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303" w:lineRule="exact"/>
        <w:rPr>
          <w:sz w:val="24"/>
          <w:szCs w:val="24"/>
          <w:color w:val="auto"/>
        </w:rPr>
      </w:pPr>
    </w:p>
    <w:p>
      <w:pPr>
        <w:jc w:val="center"/>
        <w:ind w:right="2480"/>
        <w:spacing w:after="0"/>
        <w:rPr>
          <w:sz w:val="20"/>
          <w:szCs w:val="20"/>
          <w:color w:val="auto"/>
        </w:rPr>
      </w:pPr>
      <w:r>
        <w:rPr>
          <w:rFonts w:ascii="Arial" w:cs="Arial" w:eastAsia="Arial" w:hAnsi="Arial"/>
          <w:sz w:val="17"/>
          <w:szCs w:val="17"/>
          <w:b w:val="1"/>
          <w:bCs w:val="1"/>
          <w:color w:val="auto"/>
        </w:rPr>
        <w:t>x ANNUAL REPORT PURSUANT TO SECTION 13 OR 15(d) OF THE SECURITIES EXCHANGE ACT OF 1934</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4460" w:right="2040" w:hanging="4452"/>
        <w:spacing w:after="0" w:line="266" w:lineRule="auto"/>
        <w:tabs>
          <w:tab w:leader="none" w:pos="22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0-23486</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NN, INC.</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25" w:lineRule="exact"/>
        <w:rPr>
          <w:sz w:val="24"/>
          <w:szCs w:val="24"/>
          <w:color w:val="auto"/>
        </w:rPr>
      </w:pPr>
    </w:p>
    <w:tbl>
      <w:tblPr>
        <w:tblLayout w:type="fixed"/>
        <w:tblInd w:w="500" w:type="dxa"/>
        <w:tblCellMar>
          <w:top w:w="0" w:type="dxa"/>
          <w:left w:w="0" w:type="dxa"/>
          <w:bottom w:w="0" w:type="dxa"/>
          <w:right w:w="0" w:type="dxa"/>
        </w:tblCellMar>
      </w:tblPr>
      <w:tr>
        <w:trPr>
          <w:trHeight w:val="228"/>
        </w:trPr>
        <w:tc>
          <w:tcPr>
            <w:tcW w:w="5620" w:type="dxa"/>
            <w:vAlign w:val="bottom"/>
          </w:tcPr>
          <w:p>
            <w:pPr>
              <w:jc w:val="center"/>
              <w:ind w:right="3711"/>
              <w:spacing w:after="0"/>
              <w:rPr>
                <w:sz w:val="20"/>
                <w:szCs w:val="20"/>
                <w:color w:val="auto"/>
              </w:rPr>
            </w:pPr>
            <w:r>
              <w:rPr>
                <w:rFonts w:ascii="Arial" w:cs="Arial" w:eastAsia="Arial" w:hAnsi="Arial"/>
                <w:sz w:val="18"/>
                <w:szCs w:val="18"/>
                <w:b w:val="1"/>
                <w:bCs w:val="1"/>
                <w:color w:val="auto"/>
                <w:w w:val="88"/>
              </w:rPr>
              <w:t>Delaware</w:t>
            </w:r>
          </w:p>
        </w:tc>
        <w:tc>
          <w:tcPr>
            <w:tcW w:w="3140" w:type="dxa"/>
            <w:vAlign w:val="bottom"/>
          </w:tcPr>
          <w:p>
            <w:pPr>
              <w:jc w:val="right"/>
              <w:ind w:right="151"/>
              <w:spacing w:after="0"/>
              <w:rPr>
                <w:sz w:val="20"/>
                <w:szCs w:val="20"/>
                <w:color w:val="auto"/>
              </w:rPr>
            </w:pPr>
            <w:r>
              <w:rPr>
                <w:rFonts w:ascii="Arial" w:cs="Arial" w:eastAsia="Arial" w:hAnsi="Arial"/>
                <w:sz w:val="18"/>
                <w:szCs w:val="18"/>
                <w:b w:val="1"/>
                <w:bCs w:val="1"/>
                <w:color w:val="auto"/>
              </w:rPr>
              <w:t>62-1096725</w:t>
            </w:r>
          </w:p>
        </w:tc>
      </w:tr>
      <w:tr>
        <w:trPr>
          <w:trHeight w:val="231"/>
        </w:trPr>
        <w:tc>
          <w:tcPr>
            <w:tcW w:w="5620" w:type="dxa"/>
            <w:vAlign w:val="bottom"/>
          </w:tcPr>
          <w:p>
            <w:pPr>
              <w:jc w:val="center"/>
              <w:ind w:right="731"/>
              <w:spacing w:after="0"/>
              <w:rPr>
                <w:sz w:val="20"/>
                <w:szCs w:val="20"/>
                <w:color w:val="auto"/>
              </w:rPr>
            </w:pPr>
            <w:r>
              <w:rPr>
                <w:rFonts w:ascii="Arial" w:cs="Arial" w:eastAsia="Arial" w:hAnsi="Arial"/>
                <w:sz w:val="18"/>
                <w:szCs w:val="18"/>
                <w:color w:val="auto"/>
                <w:w w:val="90"/>
              </w:rPr>
              <w:t>(State or other jurisdiction of</w:t>
            </w:r>
          </w:p>
        </w:tc>
        <w:tc>
          <w:tcPr>
            <w:tcW w:w="3140" w:type="dxa"/>
            <w:vAlign w:val="bottom"/>
          </w:tcPr>
          <w:p>
            <w:pPr>
              <w:jc w:val="center"/>
              <w:ind w:left="1731"/>
              <w:spacing w:after="0"/>
              <w:rPr>
                <w:sz w:val="20"/>
                <w:szCs w:val="20"/>
                <w:color w:val="auto"/>
              </w:rPr>
            </w:pPr>
            <w:r>
              <w:rPr>
                <w:rFonts w:ascii="Arial" w:cs="Arial" w:eastAsia="Arial" w:hAnsi="Arial"/>
                <w:sz w:val="18"/>
                <w:szCs w:val="18"/>
                <w:color w:val="auto"/>
                <w:w w:val="90"/>
              </w:rPr>
              <w:t>(I.R.S. Employer</w:t>
            </w:r>
          </w:p>
        </w:tc>
      </w:tr>
      <w:tr>
        <w:trPr>
          <w:trHeight w:val="230"/>
        </w:trPr>
        <w:tc>
          <w:tcPr>
            <w:tcW w:w="5620" w:type="dxa"/>
            <w:vAlign w:val="bottom"/>
          </w:tcPr>
          <w:p>
            <w:pPr>
              <w:jc w:val="center"/>
              <w:ind w:right="751"/>
              <w:spacing w:after="0"/>
              <w:rPr>
                <w:sz w:val="20"/>
                <w:szCs w:val="20"/>
                <w:color w:val="auto"/>
              </w:rPr>
            </w:pPr>
            <w:r>
              <w:rPr>
                <w:rFonts w:ascii="Arial" w:cs="Arial" w:eastAsia="Arial" w:hAnsi="Arial"/>
                <w:sz w:val="18"/>
                <w:szCs w:val="18"/>
                <w:color w:val="auto"/>
                <w:w w:val="92"/>
              </w:rPr>
              <w:t>incorporation or organization</w:t>
            </w:r>
          </w:p>
        </w:tc>
        <w:tc>
          <w:tcPr>
            <w:tcW w:w="3140" w:type="dxa"/>
            <w:vAlign w:val="bottom"/>
          </w:tcPr>
          <w:p>
            <w:pPr>
              <w:jc w:val="center"/>
              <w:ind w:left="1711"/>
              <w:spacing w:after="0"/>
              <w:rPr>
                <w:sz w:val="20"/>
                <w:szCs w:val="20"/>
                <w:color w:val="auto"/>
              </w:rPr>
            </w:pPr>
            <w:r>
              <w:rPr>
                <w:rFonts w:ascii="Arial" w:cs="Arial" w:eastAsia="Arial" w:hAnsi="Arial"/>
                <w:sz w:val="18"/>
                <w:szCs w:val="18"/>
                <w:color w:val="auto"/>
                <w:w w:val="95"/>
              </w:rPr>
              <w:t>Identification No.)</w:t>
            </w:r>
          </w:p>
        </w:tc>
      </w:tr>
      <w:tr>
        <w:trPr>
          <w:trHeight w:val="457"/>
        </w:trPr>
        <w:tc>
          <w:tcPr>
            <w:tcW w:w="5620" w:type="dxa"/>
            <w:vAlign w:val="bottom"/>
          </w:tcPr>
          <w:p>
            <w:pPr>
              <w:jc w:val="center"/>
              <w:ind w:right="751"/>
              <w:spacing w:after="0"/>
              <w:rPr>
                <w:sz w:val="20"/>
                <w:szCs w:val="20"/>
                <w:color w:val="auto"/>
              </w:rPr>
            </w:pPr>
            <w:r>
              <w:rPr>
                <w:rFonts w:ascii="Arial" w:cs="Arial" w:eastAsia="Arial" w:hAnsi="Arial"/>
                <w:sz w:val="18"/>
                <w:szCs w:val="18"/>
                <w:b w:val="1"/>
                <w:bCs w:val="1"/>
                <w:color w:val="auto"/>
                <w:w w:val="89"/>
              </w:rPr>
              <w:t>2000 Waters Edge Drive</w:t>
            </w:r>
          </w:p>
        </w:tc>
        <w:tc>
          <w:tcPr>
            <w:tcW w:w="3140" w:type="dxa"/>
            <w:vAlign w:val="bottom"/>
          </w:tcPr>
          <w:p>
            <w:pPr>
              <w:spacing w:after="0"/>
              <w:rPr>
                <w:sz w:val="24"/>
                <w:szCs w:val="24"/>
                <w:color w:val="auto"/>
              </w:rPr>
            </w:pPr>
          </w:p>
        </w:tc>
      </w:tr>
      <w:tr>
        <w:trPr>
          <w:trHeight w:val="243"/>
        </w:trPr>
        <w:tc>
          <w:tcPr>
            <w:tcW w:w="5620" w:type="dxa"/>
            <w:vAlign w:val="bottom"/>
          </w:tcPr>
          <w:p>
            <w:pPr>
              <w:jc w:val="center"/>
              <w:ind w:right="3711"/>
              <w:spacing w:after="0"/>
              <w:rPr>
                <w:sz w:val="20"/>
                <w:szCs w:val="20"/>
                <w:color w:val="auto"/>
              </w:rPr>
            </w:pPr>
            <w:r>
              <w:rPr>
                <w:rFonts w:ascii="Arial" w:cs="Arial" w:eastAsia="Arial" w:hAnsi="Arial"/>
                <w:sz w:val="18"/>
                <w:szCs w:val="18"/>
                <w:b w:val="1"/>
                <w:bCs w:val="1"/>
                <w:color w:val="auto"/>
                <w:w w:val="83"/>
              </w:rPr>
              <w:t>Johnson City, Tennessee</w:t>
            </w:r>
          </w:p>
        </w:tc>
        <w:tc>
          <w:tcPr>
            <w:tcW w:w="3140" w:type="dxa"/>
            <w:vAlign w:val="bottom"/>
          </w:tcPr>
          <w:p>
            <w:pPr>
              <w:jc w:val="right"/>
              <w:ind w:right="351"/>
              <w:spacing w:after="0"/>
              <w:rPr>
                <w:sz w:val="20"/>
                <w:szCs w:val="20"/>
                <w:color w:val="auto"/>
              </w:rPr>
            </w:pPr>
            <w:r>
              <w:rPr>
                <w:rFonts w:ascii="Arial" w:cs="Arial" w:eastAsia="Arial" w:hAnsi="Arial"/>
                <w:sz w:val="18"/>
                <w:szCs w:val="18"/>
                <w:b w:val="1"/>
                <w:bCs w:val="1"/>
                <w:color w:val="auto"/>
              </w:rPr>
              <w:t>37604</w:t>
            </w:r>
          </w:p>
        </w:tc>
      </w:tr>
      <w:tr>
        <w:trPr>
          <w:trHeight w:val="245"/>
        </w:trPr>
        <w:tc>
          <w:tcPr>
            <w:tcW w:w="5620" w:type="dxa"/>
            <w:vAlign w:val="bottom"/>
          </w:tcPr>
          <w:p>
            <w:pPr>
              <w:jc w:val="center"/>
              <w:ind w:right="751"/>
              <w:spacing w:after="0"/>
              <w:rPr>
                <w:sz w:val="20"/>
                <w:szCs w:val="20"/>
                <w:color w:val="auto"/>
              </w:rPr>
            </w:pPr>
            <w:r>
              <w:rPr>
                <w:rFonts w:ascii="Arial" w:cs="Arial" w:eastAsia="Arial" w:hAnsi="Arial"/>
                <w:sz w:val="18"/>
                <w:szCs w:val="18"/>
                <w:color w:val="auto"/>
                <w:w w:val="92"/>
              </w:rPr>
              <w:t>(Address of principal executive offices)</w:t>
            </w:r>
          </w:p>
        </w:tc>
        <w:tc>
          <w:tcPr>
            <w:tcW w:w="3140" w:type="dxa"/>
            <w:vAlign w:val="bottom"/>
          </w:tcPr>
          <w:p>
            <w:pPr>
              <w:jc w:val="center"/>
              <w:ind w:left="1731"/>
              <w:spacing w:after="0"/>
              <w:rPr>
                <w:sz w:val="20"/>
                <w:szCs w:val="20"/>
                <w:color w:val="auto"/>
              </w:rPr>
            </w:pPr>
            <w:r>
              <w:rPr>
                <w:rFonts w:ascii="Arial" w:cs="Arial" w:eastAsia="Arial" w:hAnsi="Arial"/>
                <w:sz w:val="18"/>
                <w:szCs w:val="18"/>
                <w:color w:val="auto"/>
                <w:w w:val="94"/>
              </w:rPr>
              <w:t>(Zip Code)</w:t>
            </w:r>
          </w:p>
        </w:tc>
      </w:tr>
    </w:tbl>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(423) 743-9151</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1" w:lineRule="exact"/>
        <w:rPr>
          <w:sz w:val="24"/>
          <w:szCs w:val="24"/>
          <w:color w:val="auto"/>
        </w:rPr>
      </w:pPr>
    </w:p>
    <w:tbl>
      <w:tblPr>
        <w:tblLayout w:type="fixed"/>
        <w:tblInd w:w="2140" w:type="dxa"/>
        <w:tblCellMar>
          <w:top w:w="0" w:type="dxa"/>
          <w:left w:w="0" w:type="dxa"/>
          <w:bottom w:w="0" w:type="dxa"/>
          <w:right w:w="0" w:type="dxa"/>
        </w:tblCellMar>
      </w:tblPr>
      <w:tr>
        <w:trPr>
          <w:trHeight w:val="207"/>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 Title of each class)</w:t>
            </w:r>
          </w:p>
        </w:tc>
        <w:tc>
          <w:tcPr>
            <w:tcW w:w="3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7"/>
        </w:trPr>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None</w:t>
            </w:r>
          </w:p>
        </w:tc>
        <w:tc>
          <w:tcPr>
            <w:tcW w:w="300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414"/>
        </w:trPr>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40" w:type="dxa"/>
            <w:vAlign w:val="bottom"/>
            <w:gridSpan w:val="2"/>
          </w:tcPr>
          <w:p>
            <w:pPr>
              <w:ind w:left="320"/>
              <w:spacing w:after="0"/>
              <w:rPr>
                <w:sz w:val="20"/>
                <w:szCs w:val="20"/>
                <w:color w:val="auto"/>
              </w:rPr>
            </w:pPr>
            <w:r>
              <w:rPr>
                <w:rFonts w:ascii="Arial" w:cs="Arial" w:eastAsia="Arial" w:hAnsi="Arial"/>
                <w:sz w:val="18"/>
                <w:szCs w:val="18"/>
                <w:color w:val="auto"/>
              </w:rPr>
              <w:t>Securities registered pursuant to Section 12(g) of the Act:</w:t>
            </w:r>
          </w:p>
        </w:tc>
      </w:tr>
      <w:tr>
        <w:trPr>
          <w:trHeight w:val="220"/>
        </w:trPr>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340" w:type="dxa"/>
            <w:vAlign w:val="bottom"/>
            <w:gridSpan w:val="2"/>
          </w:tcPr>
          <w:p>
            <w:pPr>
              <w:jc w:val="center"/>
              <w:ind w:right="2610"/>
              <w:spacing w:after="0"/>
              <w:rPr>
                <w:sz w:val="20"/>
                <w:szCs w:val="20"/>
                <w:color w:val="auto"/>
              </w:rPr>
            </w:pPr>
            <w:r>
              <w:rPr>
                <w:rFonts w:ascii="Arial" w:cs="Arial" w:eastAsia="Arial" w:hAnsi="Arial"/>
                <w:sz w:val="18"/>
                <w:szCs w:val="18"/>
                <w:b w:val="1"/>
                <w:bCs w:val="1"/>
                <w:color w:val="auto"/>
                <w:w w:val="90"/>
              </w:rPr>
              <w:t>Common Stock, par value $.01</w:t>
            </w:r>
          </w:p>
        </w:tc>
      </w:tr>
      <w:tr>
        <w:trPr>
          <w:trHeight w:val="230"/>
        </w:trPr>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340" w:type="dxa"/>
            <w:vAlign w:val="bottom"/>
            <w:gridSpan w:val="2"/>
          </w:tcPr>
          <w:p>
            <w:pPr>
              <w:jc w:val="center"/>
              <w:ind w:right="2610"/>
              <w:spacing w:after="0"/>
              <w:rPr>
                <w:sz w:val="20"/>
                <w:szCs w:val="20"/>
                <w:color w:val="auto"/>
              </w:rPr>
            </w:pPr>
            <w:r>
              <w:rPr>
                <w:rFonts w:ascii="Arial" w:cs="Arial" w:eastAsia="Arial" w:hAnsi="Arial"/>
                <w:sz w:val="18"/>
                <w:szCs w:val="18"/>
                <w:color w:val="auto"/>
                <w:w w:val="92"/>
              </w:rPr>
              <w:t>(Title of class)</w:t>
            </w:r>
          </w:p>
        </w:tc>
      </w:tr>
    </w:tbl>
    <w:p>
      <w:pPr>
        <w:spacing w:after="0" w:line="24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5" w:lineRule="exact"/>
        <w:rPr>
          <w:sz w:val="24"/>
          <w:szCs w:val="24"/>
          <w:color w:val="auto"/>
        </w:rPr>
      </w:pPr>
    </w:p>
    <w:p>
      <w:pPr>
        <w:spacing w:after="0" w:line="207" w:lineRule="exact"/>
        <w:tabs>
          <w:tab w:leader="none" w:pos="1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x</w:t>
      </w:r>
    </w:p>
    <w:p>
      <w:pPr>
        <w:spacing w:after="0" w:line="18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5" w:lineRule="exact"/>
        <w:rPr>
          <w:sz w:val="24"/>
          <w:szCs w:val="24"/>
          <w:color w:val="auto"/>
        </w:rPr>
      </w:pPr>
    </w:p>
    <w:p>
      <w:pPr>
        <w:spacing w:after="0" w:line="207" w:lineRule="exact"/>
        <w:tabs>
          <w:tab w:leader="none" w:pos="1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x</w:t>
      </w:r>
    </w:p>
    <w:p>
      <w:pPr>
        <w:spacing w:after="0" w:line="189" w:lineRule="exact"/>
        <w:rPr>
          <w:sz w:val="24"/>
          <w:szCs w:val="24"/>
          <w:color w:val="auto"/>
        </w:rPr>
      </w:pPr>
    </w:p>
    <w:p>
      <w:pPr>
        <w:jc w:val="both"/>
        <w:ind w:firstLine="648"/>
        <w:spacing w:after="0" w:line="217"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92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89" w:lineRule="exact"/>
        <w:rPr>
          <w:sz w:val="24"/>
          <w:szCs w:val="24"/>
          <w:color w:val="auto"/>
        </w:rPr>
      </w:pPr>
    </w:p>
    <w:p>
      <w:pPr>
        <w:jc w:val="both"/>
        <w:ind w:firstLine="648"/>
        <w:spacing w:after="0" w:line="22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63" w:lineRule="exact"/>
        <w:rPr>
          <w:sz w:val="24"/>
          <w:szCs w:val="24"/>
          <w:color w:val="auto"/>
        </w:rPr>
      </w:pPr>
    </w:p>
    <w:p>
      <w:pPr>
        <w:jc w:val="both"/>
        <w:ind w:firstLine="648"/>
        <w:spacing w:after="0" w:line="23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420"/>
          </w:cols>
          <w:pgMar w:left="240" w:top="315" w:right="239" w:bottom="1440" w:gutter="0" w:footer="0" w:header="0"/>
        </w:sectPr>
      </w:pPr>
    </w:p>
    <w:p>
      <w:pPr>
        <w:spacing w:after="0" w:line="170" w:lineRule="exact"/>
        <w:rPr>
          <w:sz w:val="24"/>
          <w:szCs w:val="24"/>
          <w:color w:val="auto"/>
        </w:rPr>
      </w:pPr>
    </w:p>
    <w:p>
      <w:pPr>
        <w:ind w:left="24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3">
            <w:col w:w="3560" w:space="720"/>
            <w:col w:w="3680" w:space="720"/>
            <w:col w:w="2740"/>
          </w:cols>
          <w:pgMar w:left="240" w:top="315" w:right="239" w:bottom="1440" w:gutter="0" w:footer="0" w:header="0"/>
          <w:type w:val="continuous"/>
        </w:sectPr>
      </w:pPr>
    </w:p>
    <w:p>
      <w:pPr>
        <w:spacing w:after="0" w:line="29" w:lineRule="exact"/>
        <w:rPr>
          <w:sz w:val="24"/>
          <w:szCs w:val="24"/>
          <w:color w:val="auto"/>
        </w:rPr>
      </w:pPr>
    </w:p>
    <w:p>
      <w:pPr>
        <w:ind w:left="6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7"/>
          <w:szCs w:val="17"/>
          <w:color w:val="auto"/>
        </w:rPr>
        <w:t>No x</w:t>
      </w:r>
    </w:p>
    <w:p>
      <w:pPr>
        <w:spacing w:after="0" w:line="200" w:lineRule="exact"/>
        <w:rPr>
          <w:sz w:val="24"/>
          <w:szCs w:val="24"/>
          <w:color w:val="auto"/>
        </w:rPr>
      </w:pPr>
    </w:p>
    <w:p>
      <w:pPr>
        <w:sectPr>
          <w:pgSz w:w="11900" w:h="16838" w:orient="portrait"/>
          <w:cols w:equalWidth="0" w:num="2">
            <w:col w:w="8560" w:space="540"/>
            <w:col w:w="2320"/>
          </w:cols>
          <w:pgMar w:left="240" w:top="315" w:right="239" w:bottom="1440" w:gutter="0" w:footer="0" w:header="0"/>
          <w:type w:val="continuous"/>
        </w:sectPr>
      </w:pPr>
    </w:p>
    <w:p>
      <w:pPr>
        <w:spacing w:after="0" w:line="10" w:lineRule="exact"/>
        <w:rPr>
          <w:sz w:val="24"/>
          <w:szCs w:val="24"/>
          <w:color w:val="auto"/>
        </w:rPr>
      </w:pPr>
    </w:p>
    <w:p>
      <w:pPr>
        <w:ind w:right="120" w:firstLine="663"/>
        <w:spacing w:after="0" w:line="235" w:lineRule="auto"/>
        <w:rPr>
          <w:sz w:val="20"/>
          <w:szCs w:val="20"/>
          <w:color w:val="auto"/>
        </w:rPr>
      </w:pPr>
      <w:r>
        <w:rPr>
          <w:rFonts w:ascii="Arial" w:cs="Arial" w:eastAsia="Arial" w:hAnsi="Arial"/>
          <w:sz w:val="18"/>
          <w:szCs w:val="18"/>
          <w:color w:val="auto"/>
        </w:rPr>
        <w:t>The aggregate market value of the voting stock held by non-affiliates of the registrant at June 30, 2005, based on the closing price on the NASDAQ National Market System on that date was approximately $184,144,653.</w:t>
      </w:r>
    </w:p>
    <w:p>
      <w:pPr>
        <w:spacing w:after="0" w:line="16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number of shares of the registrant's common stock outstanding on March 13, 2006 was 17,207,867.</w:t>
      </w:r>
    </w:p>
    <w:p>
      <w:pPr>
        <w:spacing w:after="0" w:line="169"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ind w:left="660"/>
        <w:spacing w:after="0" w:line="229" w:lineRule="auto"/>
        <w:rPr>
          <w:sz w:val="20"/>
          <w:szCs w:val="20"/>
          <w:color w:val="auto"/>
        </w:rPr>
      </w:pPr>
      <w:r>
        <w:rPr>
          <w:rFonts w:ascii="Arial" w:cs="Arial" w:eastAsia="Arial" w:hAnsi="Arial"/>
          <w:sz w:val="16"/>
          <w:szCs w:val="16"/>
          <w:color w:val="auto"/>
        </w:rPr>
        <w:t>Portions of the Proxy Statement with respect to the 2006 Annual Meeting of Stockholders are incorporated by reference in Part III of this Form 10-</w:t>
      </w:r>
    </w:p>
    <w:p>
      <w:pPr>
        <w:spacing w:after="0"/>
        <w:rPr>
          <w:sz w:val="20"/>
          <w:szCs w:val="20"/>
          <w:color w:val="auto"/>
        </w:rPr>
      </w:pPr>
      <w:r>
        <w:rPr>
          <w:rFonts w:ascii="Arial" w:cs="Arial" w:eastAsia="Arial" w:hAnsi="Arial"/>
          <w:sz w:val="18"/>
          <w:szCs w:val="18"/>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354330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50"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 Overview</w:t>
      </w:r>
    </w:p>
    <w:p>
      <w:pPr>
        <w:spacing w:after="0" w:line="2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NN, Inc. manufactures and supplies high precision bearing components, consisting of balls, cylindrical rollers, tapered rollers, seals, and plastic and metal retainers, for leading bearing manufacturers on a global basis. We are a leading independent manufacturer of precision steel bearing balls for the North American and European markets. Our core business is the manufacture and sale of high quality, precision ball and roller bearing components including steel balls and rollers . In 2005, sales of balls and rollers accounted for approximately 76% of the Company's total net sales with 56% and 20% of sales from balls and rollers, respectively. Sales of metal bearing retainers accounted for 6% and sales of precision molded plastic and rubber parts accounted for the remaining 18%. See Note 12 of the Notes to Consolidated Financial Statements. In 1998, we began implementing a strategic plan designed to position us as a worldwide manufacturer and supplier of a broad line of bearing components and other precision plastic components. Through a series of acquisitions executed as part of that plan, we have built upon our strong core ball business and expanded our bearing component product offering. Today, we offer among the industry’s most complete line of commercially available bearing components. We emphasize engineered products that take advantage of our competencies in product design and tight tolerance manufacturing processes. Our bearing customers use our components in fully assembled ball and roller bearings, which serve a wide variety of industrial applications in the transportation, electrical, agricultural, construction, machinery, mining and aerospace markets. As used in this Annual Report on Form 10-K, the terms “NN”, “the Company”, “we”, “our”, or “us” mean NN, Inc. and its subsidiaries.</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managerial and financial analysis purposes, management views the Company’s operation in three segments: the domestic ball and roller operations of Erwin, Tennessee and Mountain City, Tennessee, which also includes costs related to our start-up operation in China and corporate office costs, (“Domestic Ball and Roller Segment”), the European facilities of Kilkenny, Ireland; Eltmann, Germany; Pinerolo, Italy; Veenendaal, The Netherlands and Kysucke Nove Mesto, Slovakia (“NN Europe Segment”) and the operations of Industrial Molding Corporation (“IMC”) and The Delta Rubber Company (“Delta”) (collectively “Plastic and Rubber Components Segment”). On March 12, 2004 we changed the name of our primary European entity from NN Euroball, ApS to NN Europe ApS. To avoid confusion between the entity and the segment, we will refer to the segment as the NN Europe Segment and the entity as NN Europe. Financial information about the Domestic Ball and Roller Segment, the NN Europe Segment and the Plastic and Rubber Components Segment is set forth in Note 12 of the 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2006, we reached an informal agreement in principle to extend our supply agreement with AB SKF (“SKF”) until the end of 2006. The agreement would have expired on July 31, 2006. SKF is a global bearing manufacturer and our largest customer. We are currently in discussions with SKF to extend the agreement beyond the end of 2006.</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7, 2005, we entered into an agreement with SNR Roulements (“SNR”) to purchase all of SNR’s internal precision ball producing equipment for approximately 5.0 million Euros ($6.0 million). SNR, a division of Renault SA, France, is a global bearing manufacturer and supplier to the automotive, industrial and aerospace industries. As part of the transaction, we received a three year supply agreement for the present business (approximately $8.0 million) and a five year supply agreement to provide SNR with its annual ball requirements of the former in-house production of approximately $9.0 million. The product will be supplied from NN Europe’s existing precision ball operations. In December 2005, we started to acquire the precision ball producing equipment of SNR, from its manufacturing facility in Annecy, France. Once complete, we will have acquired approximately 5.0 million Euros (approximately $6.0 million) of equipment and intangibles.</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2004 we formed a wholly owned subsidiary, NN Precision Bearing Products Company Co., Ltd, (“NN Asia)”. This subsidiary, which began production of precision balls during the fourth quarter of 2005, is located in the Kunshan Economic and Technology Development Zone, Jiangsu, The People’s Republic of China and is a component of our strategy to globally expand our manufacturing base. The costs incurred as a result of this start-up are included in our Domestic Ball and Roller Segment during the years ended December 31, 2005 and 2004. Limited production of precision balls began at NN Asia in the fourth quarter of 2005.</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9, 2003, we acquired certain assets comprised of land, building and machinery and equipment of the precision ball operations of KLF - Gulickaren (“KLF”), based in Kysucke Nove Mesto, Slovakia. We paid consideration of approximately 1.7 million Euros ($2.0 million). The assets are being utilized by our wholly-owned subsidiary NN Slovakia based in Kysucke Nove Mesto, Slovakia, which began production in June 2004. The financial results of the operations are included in our NN Europe Segment.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both"/>
        <w:spacing w:after="0" w:line="286" w:lineRule="auto"/>
        <w:rPr>
          <w:sz w:val="20"/>
          <w:szCs w:val="20"/>
          <w:color w:val="auto"/>
        </w:rPr>
      </w:pPr>
      <w:r>
        <w:rPr>
          <w:rFonts w:ascii="Arial" w:cs="Arial" w:eastAsia="Arial" w:hAnsi="Arial"/>
          <w:sz w:val="17"/>
          <w:szCs w:val="17"/>
          <w:color w:val="auto"/>
        </w:rPr>
        <w:t>On May 2, 2003, we acquired the 23 percent interest in NN Europe, ApS (“NN Europe”) held by SKF. NN Europe was formed in 2000 by the Company, FAG Kugelfischer George Schaefer AG, which was subsequently acquired by Schaeffler KG (INA) , and SKF We paid approximately 13.8 million Euros ($15.6 million) for SKF’s interest in NN Europe. Following the closing of the transaction, we own 100 percent of the outstanding shares of NN Europe.</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2, 2003 we acquired 100 percent of the tapered roller and metal cage manufacturing operation of SKF in Veenendaal, The Netherlands. The results of Veenendaal’s operations have been included in the consolidated financial statements since that date. We paid consideration of approximately 23.0 million Euros ($25.7 million) and incurred other costs of approximately $1.0 million, for the Veenendaal net assets acquired from SKF. The Veenendaal operation manufactures rollers for tapered roller bearings and metal cages for both tapered roller and spherical roller bearings allowing us to expand our bearing component offering. The financial results of the Veenendaal operation are included in the NN Europe Segment.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NN, originally organized in October 1980, is incorporated in Delaware. Our principal executive offices are located at 2000 Waters Edge Drive, Johnson City, Tennessee, and our telephone number is (423) 743-9151. Our web site address is www.nnbr.com. Information contained on our web site is not part of this Annual Report. Our annual report on Form 10-K, quarterly reports on Form 10-Q, current reports on Form 8-K and amendments thereto are available on our web site under “Investor Relations.”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Precision Steel Balls</w:t>
      </w:r>
      <w:r>
        <w:rPr>
          <w:rFonts w:ascii="Arial" w:cs="Arial" w:eastAsia="Arial" w:hAnsi="Arial"/>
          <w:sz w:val="17"/>
          <w:szCs w:val="17"/>
          <w:color w:val="auto"/>
        </w:rPr>
        <w:t>. At our Domestic Ball and Roller Segment facilities including NN Asia and our NN Europe Segment facilities, we manufacture and sell</w:t>
      </w:r>
      <w:r>
        <w:rPr>
          <w:rFonts w:ascii="Arial" w:cs="Arial" w:eastAsia="Arial" w:hAnsi="Arial"/>
          <w:sz w:val="17"/>
          <w:szCs w:val="17"/>
          <w:i w:val="1"/>
          <w:iCs w:val="1"/>
          <w:color w:val="auto"/>
        </w:rPr>
        <w:t xml:space="preserve"> </w:t>
      </w:r>
      <w:r>
        <w:rPr>
          <w:rFonts w:ascii="Arial" w:cs="Arial" w:eastAsia="Arial" w:hAnsi="Arial"/>
          <w:sz w:val="17"/>
          <w:szCs w:val="17"/>
          <w:color w:val="auto"/>
        </w:rPr>
        <w:t>high quality, precision steel balls in sizes ranging in diameter from 5/32 of an inch to 2 ½ inches. We produce and sell balls in grades ranging from grade 3 to grade 1000, according to international standards endorsed by the American Bearing Manufacturers Association. The grade number for a ball, in addition to defining allowable dimensional variation within production batches, indicates the degree of spherical precision of the ball; for example, grade 3 balls are manufactured to within three-millionths of an inch of roundness. Our steel balls are used primarily by manufacturers of anti-friction bearings where precise spherical, tolerance and surface finish accuracies are required. At our Domestic Ball and Roller Segment, sales of steel balls accounted for approximately 81%, 86%, and 86% of the segment’s net sales in 2005, 2004, and 2003 respectively. At our NN Europe Segment, sales of steel balls accounted for approximately 65%, 68%, and 76% of the segment’s net sales in 2005, 2004 and 2003, respectively.</w:t>
      </w:r>
    </w:p>
    <w:p>
      <w:pPr>
        <w:spacing w:after="0" w:line="2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Steel Rollers</w:t>
      </w:r>
      <w:r>
        <w:rPr>
          <w:rFonts w:ascii="Arial" w:cs="Arial" w:eastAsia="Arial" w:hAnsi="Arial"/>
          <w:sz w:val="16"/>
          <w:szCs w:val="16"/>
          <w:color w:val="auto"/>
        </w:rPr>
        <w:t>. We manufacture cylindrical rollers at our Erwin, Tennessee facility. Cylindrical rollers are normally defined by the combination of diameter and</w:t>
      </w:r>
      <w:r>
        <w:rPr>
          <w:rFonts w:ascii="Arial" w:cs="Arial" w:eastAsia="Arial" w:hAnsi="Arial"/>
          <w:sz w:val="16"/>
          <w:szCs w:val="16"/>
          <w:i w:val="1"/>
          <w:iCs w:val="1"/>
          <w:color w:val="auto"/>
        </w:rPr>
        <w:t xml:space="preserve"> </w:t>
      </w:r>
      <w:r>
        <w:rPr>
          <w:rFonts w:ascii="Arial" w:cs="Arial" w:eastAsia="Arial" w:hAnsi="Arial"/>
          <w:sz w:val="16"/>
          <w:szCs w:val="16"/>
          <w:color w:val="auto"/>
        </w:rPr>
        <w:t>length. Most cylindrical rollers are made to specific customer requirements for diameter and length, so there is very little overlap of common cylindrical rollers matching two or more customers’ needs. The Company has experienced minimal roller product returns and does not have any customer acceptance clauses. Rollers are an alternative rolling element used instead of balls in anti-friction bearings that typically have heavier loading or different speed requirements. Our roller products are used primarily for applications similar to those of our ball product lines, plus certain non-bearing applications such as hydraulic pumps and motors. Cylindrical rollers accounted for approximately 19%, 14%, and 14% of sales at our domestic Ball and Roller Segment in 2005, 2004, and 2003, respectively. We manufacture tapered rollers at our Veenendaal, The Netherlands facility. These tapered rollers are used in tapered roller bearings that are used in a variety of applications including automotive gearbox applications, automotive wheel bearings and a wide variety of industrial applications. Tapered rollers accounted for approximately 25% and 23% of sales at our NN Europe Segment in 2005 and 2004, respectively.</w:t>
      </w: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Bearing Seals</w:t>
      </w:r>
      <w:r>
        <w:rPr>
          <w:rFonts w:ascii="Arial" w:cs="Arial" w:eastAsia="Arial" w:hAnsi="Arial"/>
          <w:sz w:val="18"/>
          <w:szCs w:val="18"/>
          <w:color w:val="auto"/>
        </w:rPr>
        <w:t>. At our Plastic and Rubber Components Segment’s Danielson, CT facilities, we manufacture and sell a wide range of precision bearing seals</w:t>
      </w:r>
      <w:r>
        <w:rPr>
          <w:rFonts w:ascii="Arial" w:cs="Arial" w:eastAsia="Arial" w:hAnsi="Arial"/>
          <w:sz w:val="18"/>
          <w:szCs w:val="18"/>
          <w:i w:val="1"/>
          <w:iCs w:val="1"/>
          <w:color w:val="auto"/>
        </w:rPr>
        <w:t xml:space="preserve"> </w:t>
      </w:r>
      <w:r>
        <w:rPr>
          <w:rFonts w:ascii="Arial" w:cs="Arial" w:eastAsia="Arial" w:hAnsi="Arial"/>
          <w:sz w:val="18"/>
          <w:szCs w:val="18"/>
          <w:color w:val="auto"/>
        </w:rPr>
        <w:t>produced through a variety of compression and injection molding processes and adhesion technologies to create rubber-to-metal bonded bearing seals. The seals are used in applications for automotive, industrial, agricultural, mining and aerospace markets.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Retainers: </w:t>
      </w:r>
      <w:r>
        <w:rPr>
          <w:rFonts w:ascii="Arial" w:cs="Arial" w:eastAsia="Arial" w:hAnsi="Arial"/>
          <w:sz w:val="18"/>
          <w:szCs w:val="18"/>
          <w:color w:val="auto"/>
        </w:rPr>
        <w:t>We manufacture and sell precision metal and plastic retainers for ball and roller bearings used in a wide variety of industrial applications. Retainers</w:t>
      </w:r>
      <w:r>
        <w:rPr>
          <w:rFonts w:ascii="Arial" w:cs="Arial" w:eastAsia="Arial" w:hAnsi="Arial"/>
          <w:sz w:val="18"/>
          <w:szCs w:val="18"/>
          <w:i w:val="1"/>
          <w:iCs w:val="1"/>
          <w:color w:val="auto"/>
        </w:rPr>
        <w:t xml:space="preserve"> </w:t>
      </w:r>
      <w:r>
        <w:rPr>
          <w:rFonts w:ascii="Arial" w:cs="Arial" w:eastAsia="Arial" w:hAnsi="Arial"/>
          <w:sz w:val="18"/>
          <w:szCs w:val="18"/>
          <w:color w:val="auto"/>
        </w:rPr>
        <w:t>are used to separate and space the rolling elements (balls or rollers) within a fully assembled bearing. We manufacture plastic retainers at our Lubbock, Texas facilities and metal retainers at our Veenendaal, The Netherlands facility.</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Precision Plastic Components. </w:t>
      </w:r>
      <w:r>
        <w:rPr>
          <w:rFonts w:ascii="Arial" w:cs="Arial" w:eastAsia="Arial" w:hAnsi="Arial"/>
          <w:sz w:val="18"/>
          <w:szCs w:val="18"/>
          <w:color w:val="auto"/>
        </w:rPr>
        <w:t>At our Plastic and Rubber Components Segment’s Lubbock, TX facilities, we also manufacture and sell a wide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specialized plastic products including automotive under-the-hood components, electronic instrument cases and precision electronic connectors and lenses, as well as a variety of other specialized parts.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The amounts spent on research and development activities by us during each of the last three fiscal years are not material.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Amounts spent are expensed as incurred.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bearing component products are supplied primarily to bearing manufacturers for use in a broad range of industrial applications, including transportation, electrical, agricultural, construction, machinery, mining and aerospace. We supply over 500 customers; however, our top 10 customers account for approximately 81% of our revenue. These top 10 customers include SKF, Schaeffler Group (INA), Timken, SNR, GKN, Iljin, Koyo, ORS, NSK and FTE. In 2005, 31% of our products were sold to customers in North America, 58% to customers in Europe, and the remaining 11% to customers located throughout the rest of the world, primarily Asia. Sales to various U.S. and foreign divisions of SKF accounted for approximately 47% of net sales in 2005 and sales to Schaeffler Group (INA) accounted for approximately 13% of net sales in 2005. Sales to various divisions of the Timken Co. accounted for approximately 6% of net sales in 2005. None of our other customers accounted for more than 5% of our net sales in 2005.</w:t>
      </w:r>
    </w:p>
    <w:p>
      <w:pPr>
        <w:spacing w:after="0" w:line="23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customers have contracted to purchase all or a majority of their bearing component requirements from us, although only a few are contractually obligated to purchase any specific amounts. Certain agreements are in effect with some of our largest customers, which provide for targeted, annual price adjustments that may be offset by material cost fluctuations. We ordinarily ship our products directly to customers within 60 days, and in some cases, during the same calendar month, of the date on which a sales order is placed. Accordingly, we generally have an insignificant amount of open (backlog) orders from customers at month end. For our Domestic Ball and Roller Segment, we maintain a computerized, bar coded inventory management system with many of our major customers that enables us to determine on a day-to-day basis the amount of these components remaining in a customer’s inventory. When such inventories fall below certain levels this triggers shipment of additional product.</w:t>
      </w:r>
    </w:p>
    <w:p>
      <w:pPr>
        <w:spacing w:after="0" w:line="23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2001, NN Europe entered into six-year supply agreements with SKF and Schaeffler Group (INA) providing for the purchase of NN Europe products in amounts and at prices that are subject to adjustment on an annual basis. The agreements contain provisions obligating NN Europe to maintain specified quality standards and comply with various ordering and delivery procedures, as well as other customary provisions. SKF may terminate its agreement if, among other things, NN Europe acquires or becomes acquired by a competitor of SKF. Schaeffler Group (INA) may terminate its agreement if, among other things, NN Europe assigns its rights under the agreement, whether voluntarily or by operation of law. The Schaeffler Group (INA) and SKF agreements for precision steel balls expire on June 30, 2006 and July 31, 2006, respectively. Schaeffler Group (INA) has decided to in-source approximately $12 million of annual business to its internal ball manufacturing facility in Germany, which will result in a $12 million reduction in sales to Schaeffler Group (INA), or about 30% of our business with Schaeffler Group (INA). SKF has informally agreed in principle to extend our current contract until the end of December 2006. The contract negotiations for a new long term supply agreements with SKF and Schaeffler Group (INA) are ongoing.</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2003, Veenendaal entered into a five-year supply agreement with SKF providing for the purchase of steel rollers and metal retainers manufactured at our Veenendaal facility in amounts and at prices that are subject to adjustment on an annual basis. The agreement contains provisions obligating Veenendaal to maintain specified quality standards and comply with various ordering and delivery procedures, as well as other customary provisions. This agreement expires during 2008.</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2005, the Domestic Ball and Roller Segment sold its products to more than 350 customers located in 26 different countries. Approximately 55% of the Domestic Ball and Roller Segment’s net sales in 2005 were to customers outside the United States. Sales to the Domestic Ball &amp; Roller Segment’s top ten customers accounted for approximately 76% of the segment’s net sales in 2005. Sales to SKF and Schaeffler Group (INA) accounted for approximately 25% and 14%, respectively, of the segment’s net sales in 2005.</w:t>
      </w:r>
    </w:p>
    <w:p>
      <w:pPr>
        <w:spacing w:after="0" w:line="24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2005, the NN Europe Segment sold its products to 116 customers located in 28 different countries. Approximately 87% of its net sales in 2005 were to customers within Europe. Sales to the segment’s top ten customers accounted for approximately 97% of the segment’s net sales in 2005. Sales to SKF and Schaeffler Group (INA) accounted for approximately 67% and 14% of the segment’s net sales in 2005, respectively. Sales to SKF and Schaeffler Group (INA) are made pursuant to the terms of supply agreements which expire in 2006 (precision steel balls) and 2008 (SKF rollers and metal retainers).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2005, the Plastic and Rubber Components Segment sold its products to 79 customers located in 12 different countries. Approximately 19% of the Plastic and Rubber Components Segment net sales were to customers outside the United States. Sales to the segment’s top ten customers accounted for approximately 74% of the segment’s net sales in 2005, including Timken which accounted for 30% of the segments sales.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 w:name="page5"/>
    <w:bookmarkEnd w:id="4"/>
    <w:p>
      <w:pPr>
        <w:jc w:val="both"/>
        <w:ind w:right="20"/>
        <w:spacing w:after="0" w:line="277" w:lineRule="auto"/>
        <w:rPr>
          <w:sz w:val="20"/>
          <w:szCs w:val="20"/>
          <w:color w:val="auto"/>
        </w:rPr>
      </w:pPr>
      <w:r>
        <w:rPr>
          <w:rFonts w:ascii="Arial" w:cs="Arial" w:eastAsia="Arial" w:hAnsi="Arial"/>
          <w:sz w:val="18"/>
          <w:szCs w:val="18"/>
          <w:color w:val="auto"/>
        </w:rPr>
        <w:t>In both the foreign and domestic markets, the Company principally sells its products directly to manufacturers and does not sell significant amounts through distributors or dealers.</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12 of the Notes to Consolidated Financial Statements and "Management's Discussion and Analysis of Financial Condition and Results of Operations -- Results of Operations" for additional segment financial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breakdown of our net sales for fiscal years 2005, 2004 and 2003:</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67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2003</w:t>
            </w:r>
          </w:p>
        </w:tc>
        <w:tc>
          <w:tcPr>
            <w:tcW w:w="160" w:type="dxa"/>
            <w:vAlign w:val="bottom"/>
          </w:tcPr>
          <w:p>
            <w:pPr>
              <w:spacing w:after="0"/>
              <w:rPr>
                <w:sz w:val="23"/>
                <w:szCs w:val="23"/>
                <w:color w:val="auto"/>
              </w:rPr>
            </w:pPr>
          </w:p>
        </w:tc>
      </w:tr>
      <w:tr>
        <w:trPr>
          <w:trHeight w:val="237"/>
        </w:trPr>
        <w:tc>
          <w:tcPr>
            <w:tcW w:w="6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Domestic Ball and Roller Segment</w:t>
            </w:r>
          </w:p>
        </w:tc>
        <w:tc>
          <w:tcPr>
            <w:tcW w:w="300" w:type="dxa"/>
            <w:vAlign w:val="bottom"/>
            <w:shd w:val="clear" w:color="auto" w:fill="E2EEF6"/>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66,088</w:t>
            </w:r>
          </w:p>
        </w:tc>
        <w:tc>
          <w:tcPr>
            <w:tcW w:w="300" w:type="dxa"/>
            <w:vAlign w:val="bottom"/>
            <w:shd w:val="clear" w:color="auto" w:fill="E2EEF6"/>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58,435</w:t>
            </w:r>
          </w:p>
        </w:tc>
        <w:tc>
          <w:tcPr>
            <w:tcW w:w="300" w:type="dxa"/>
            <w:vAlign w:val="bottom"/>
            <w:shd w:val="clear" w:color="auto" w:fill="E2EEF6"/>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55,437</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Percentage of Total Sales</w:t>
            </w:r>
          </w:p>
        </w:tc>
        <w:tc>
          <w:tcPr>
            <w:tcW w:w="30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3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19.2%</w:t>
            </w:r>
          </w:p>
        </w:tc>
        <w:tc>
          <w:tcPr>
            <w:tcW w:w="30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21.9%</w:t>
            </w:r>
          </w:p>
        </w:tc>
      </w:tr>
      <w:tr>
        <w:trPr>
          <w:trHeight w:val="243"/>
        </w:trPr>
        <w:tc>
          <w:tcPr>
            <w:tcW w:w="674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6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6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NN Europe Segment</w:t>
            </w: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197,397</w:t>
            </w:r>
          </w:p>
        </w:tc>
        <w:tc>
          <w:tcPr>
            <w:tcW w:w="3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193,930</w:t>
            </w:r>
          </w:p>
        </w:tc>
        <w:tc>
          <w:tcPr>
            <w:tcW w:w="3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147,127</w:t>
            </w: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Percentage of Total Sales</w:t>
            </w:r>
          </w:p>
        </w:tc>
        <w:tc>
          <w:tcPr>
            <w:tcW w:w="300" w:type="dxa"/>
            <w:vAlign w:val="bottom"/>
            <w:shd w:val="clear" w:color="auto" w:fill="E2EEF6"/>
          </w:tcPr>
          <w:p>
            <w:pPr>
              <w:spacing w:after="0"/>
              <w:rPr>
                <w:sz w:val="21"/>
                <w:szCs w:val="21"/>
                <w:color w:val="auto"/>
              </w:rPr>
            </w:pPr>
          </w:p>
        </w:tc>
        <w:tc>
          <w:tcPr>
            <w:tcW w:w="130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61.4%</w:t>
            </w:r>
          </w:p>
        </w:tc>
        <w:tc>
          <w:tcPr>
            <w:tcW w:w="300" w:type="dxa"/>
            <w:vAlign w:val="bottom"/>
            <w:shd w:val="clear" w:color="auto" w:fill="E2EEF6"/>
          </w:tcPr>
          <w:p>
            <w:pPr>
              <w:spacing w:after="0"/>
              <w:rPr>
                <w:sz w:val="21"/>
                <w:szCs w:val="21"/>
                <w:color w:val="auto"/>
              </w:rPr>
            </w:pPr>
          </w:p>
        </w:tc>
        <w:tc>
          <w:tcPr>
            <w:tcW w:w="126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63.8%</w:t>
            </w:r>
          </w:p>
        </w:tc>
        <w:tc>
          <w:tcPr>
            <w:tcW w:w="300" w:type="dxa"/>
            <w:vAlign w:val="bottom"/>
            <w:shd w:val="clear" w:color="auto" w:fill="E2EEF6"/>
          </w:tcPr>
          <w:p>
            <w:pPr>
              <w:spacing w:after="0"/>
              <w:rPr>
                <w:sz w:val="21"/>
                <w:szCs w:val="21"/>
                <w:color w:val="auto"/>
              </w:rPr>
            </w:pPr>
          </w:p>
        </w:tc>
        <w:tc>
          <w:tcPr>
            <w:tcW w:w="122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58.0%</w:t>
            </w:r>
          </w:p>
        </w:tc>
      </w:tr>
      <w:tr>
        <w:trPr>
          <w:trHeight w:val="243"/>
        </w:trPr>
        <w:tc>
          <w:tcPr>
            <w:tcW w:w="6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Plastic and Rubber Components Segment</w:t>
            </w:r>
          </w:p>
        </w:tc>
        <w:tc>
          <w:tcPr>
            <w:tcW w:w="300" w:type="dxa"/>
            <w:vAlign w:val="bottom"/>
            <w:shd w:val="clear" w:color="auto" w:fill="E2EEF6"/>
          </w:tcPr>
          <w:p>
            <w:pPr>
              <w:spacing w:after="0"/>
              <w:rPr>
                <w:sz w:val="21"/>
                <w:szCs w:val="21"/>
                <w:color w:val="auto"/>
              </w:rPr>
            </w:pPr>
          </w:p>
        </w:tc>
        <w:tc>
          <w:tcPr>
            <w:tcW w:w="13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57,902</w:t>
            </w:r>
          </w:p>
        </w:tc>
        <w:tc>
          <w:tcPr>
            <w:tcW w:w="300" w:type="dxa"/>
            <w:vAlign w:val="bottom"/>
            <w:shd w:val="clear" w:color="auto" w:fill="E2EEF6"/>
          </w:tcPr>
          <w:p>
            <w:pPr>
              <w:spacing w:after="0"/>
              <w:rPr>
                <w:sz w:val="21"/>
                <w:szCs w:val="21"/>
                <w:color w:val="auto"/>
              </w:rPr>
            </w:pPr>
          </w:p>
        </w:tc>
        <w:tc>
          <w:tcPr>
            <w:tcW w:w="126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51,724</w:t>
            </w:r>
          </w:p>
        </w:tc>
        <w:tc>
          <w:tcPr>
            <w:tcW w:w="300" w:type="dxa"/>
            <w:vAlign w:val="bottom"/>
            <w:shd w:val="clear" w:color="auto" w:fill="E2EEF6"/>
          </w:tcPr>
          <w:p>
            <w:pPr>
              <w:spacing w:after="0"/>
              <w:rPr>
                <w:sz w:val="21"/>
                <w:szCs w:val="21"/>
                <w:color w:val="auto"/>
              </w:rPr>
            </w:pPr>
          </w:p>
        </w:tc>
        <w:tc>
          <w:tcPr>
            <w:tcW w:w="122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50,898</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Percentage of Total Sales</w:t>
            </w:r>
          </w:p>
        </w:tc>
        <w:tc>
          <w:tcPr>
            <w:tcW w:w="30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18.0%</w:t>
            </w:r>
          </w:p>
        </w:tc>
        <w:tc>
          <w:tcPr>
            <w:tcW w:w="3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17.0%</w:t>
            </w:r>
          </w:p>
        </w:tc>
        <w:tc>
          <w:tcPr>
            <w:tcW w:w="30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r>
      <w:tr>
        <w:trPr>
          <w:trHeight w:val="237"/>
        </w:trPr>
        <w:tc>
          <w:tcPr>
            <w:tcW w:w="6740" w:type="dxa"/>
            <w:vAlign w:val="bottom"/>
            <w:shd w:val="clear" w:color="auto" w:fill="E2EEF6"/>
          </w:tcPr>
          <w:p>
            <w:pPr>
              <w:spacing w:after="0"/>
              <w:rPr>
                <w:sz w:val="20"/>
                <w:szCs w:val="20"/>
                <w:color w:val="auto"/>
              </w:rPr>
            </w:pPr>
          </w:p>
        </w:tc>
        <w:tc>
          <w:tcPr>
            <w:tcW w:w="300" w:type="dxa"/>
            <w:vAlign w:val="bottom"/>
            <w:tcBorders>
              <w:top w:val="single" w:sz="8" w:color="auto"/>
            </w:tcBorders>
            <w:shd w:val="clear" w:color="auto" w:fill="E2EEF6"/>
          </w:tcPr>
          <w:p>
            <w:pPr>
              <w:spacing w:after="0"/>
              <w:rPr>
                <w:sz w:val="20"/>
                <w:szCs w:val="20"/>
                <w:color w:val="auto"/>
              </w:rPr>
            </w:pPr>
          </w:p>
        </w:tc>
        <w:tc>
          <w:tcPr>
            <w:tcW w:w="1080" w:type="dxa"/>
            <w:vAlign w:val="bottom"/>
            <w:tcBorders>
              <w:top w:val="single" w:sz="8" w:color="auto"/>
            </w:tcBorders>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300" w:type="dxa"/>
            <w:vAlign w:val="bottom"/>
            <w:tcBorders>
              <w:top w:val="single" w:sz="8" w:color="auto"/>
            </w:tcBorders>
            <w:shd w:val="clear" w:color="auto" w:fill="E2EEF6"/>
          </w:tcPr>
          <w:p>
            <w:pPr>
              <w:spacing w:after="0"/>
              <w:rPr>
                <w:sz w:val="20"/>
                <w:szCs w:val="20"/>
                <w:color w:val="auto"/>
              </w:rPr>
            </w:pPr>
          </w:p>
        </w:tc>
        <w:tc>
          <w:tcPr>
            <w:tcW w:w="1060" w:type="dxa"/>
            <w:vAlign w:val="bottom"/>
            <w:tcBorders>
              <w:top w:val="single" w:sz="8" w:color="auto"/>
            </w:tcBorders>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300" w:type="dxa"/>
            <w:vAlign w:val="bottom"/>
            <w:tcBorders>
              <w:top w:val="single" w:sz="8" w:color="auto"/>
            </w:tcBorders>
            <w:shd w:val="clear" w:color="auto" w:fill="E2EEF6"/>
          </w:tcPr>
          <w:p>
            <w:pPr>
              <w:spacing w:after="0"/>
              <w:rPr>
                <w:sz w:val="20"/>
                <w:szCs w:val="20"/>
                <w:color w:val="auto"/>
              </w:rPr>
            </w:pPr>
          </w:p>
        </w:tc>
        <w:tc>
          <w:tcPr>
            <w:tcW w:w="1060" w:type="dxa"/>
            <w:vAlign w:val="bottom"/>
            <w:tcBorders>
              <w:top w:val="single" w:sz="8" w:color="auto"/>
            </w:tcBorders>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321,387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304,089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253,462</w:t>
            </w:r>
          </w:p>
        </w:tc>
      </w:tr>
      <w:tr>
        <w:trPr>
          <w:trHeight w:val="20"/>
        </w:trPr>
        <w:tc>
          <w:tcPr>
            <w:tcW w:w="6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674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08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060" w:type="dxa"/>
            <w:vAlign w:val="bottom"/>
            <w:shd w:val="clear" w:color="auto" w:fill="E2EEF6"/>
          </w:tcPr>
          <w:p>
            <w:pPr>
              <w:spacing w:after="0"/>
              <w:rPr>
                <w:sz w:val="19"/>
                <w:szCs w:val="19"/>
                <w:color w:val="auto"/>
              </w:rPr>
            </w:pPr>
          </w:p>
        </w:tc>
        <w:tc>
          <w:tcPr>
            <w:tcW w:w="20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06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Percentage of Total Sales</w:t>
            </w:r>
          </w:p>
        </w:tc>
        <w:tc>
          <w:tcPr>
            <w:tcW w:w="30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6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primary emphasis of our marketing strategy is to expand key customer relationships by offering them high quality, high precision products with the value of a single supply chain partner for a wide variety of components. As a result, we have progressed toward integrating our sales organization on a global basis across all of our product lines. Our sales organization includes eleven direct sales and fourteen customer service representatives. Due to the technical nature of many of our products, our engineers and manufacturing management personnel also provide technical sales support functions, while internal sales employees handle customer orders and other general sales support activities.</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bearing component marketing strategy focuses on increasing our outsourcing relationships with global bearing manufacturers that maintain captive bearing component manufacturing operations. Our marketing strategy for our other precision plastic products is to offer custom manufactured, high quality, precision parts to niche markets with high value-added characteristics at competitive price levels. This strategy focuses on relationships with key customers that require the production of technically difficult parts, enabling us to take advantage of our strengths in custom product development, tool design, and precision molding processes.</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arrangements with our domestic customers typically provide that payments are due within 30 days following the date of shipment of goods. With respect to foreign customers of our domestic business, payments generally are due within 90 to 120 days following the date of shipment in order to allow for additional freight time and customs clearance. For customers that participate in our Domestic Ball and Roller Segment’s inventory management program, sales are recorded when the customer uses the product. See "Business -- Customers" and "Management's Discussion and Analysis of Financial Condition and Results of Operations -- Liquidity and Capital Resources."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Process</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become a leading independent bearing component manufacturer through exceptional service and high quality manufacturing processes and are recognized throughout the industry as a low-cost producer. Because our ball and roller manufacturing processes incorporate the use of standardized tooling, load sizes, and process technology, we are able to produce large volumes of products while maintaining high quality standards.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18"/>
          <w:szCs w:val="18"/>
          <w:color w:val="auto"/>
        </w:rPr>
        <w:t>The key to our low-cost, high quality production of seals and retainers is the incorporation of customized engineering into our manufacturing processes, metal to rubber bonding competency and experience with a broad range of engineered resins. This design process includes the testing and quality assessment of each product.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2005, we employed a total of 1,721 full-time employees. Our Domestic Ball and Roller Segment employed 322 workers, the NN Europe Segment employed 955 workers, our Plastic and Rubber Components Segment employed 436 workers, and there were 8 employees at the Company’s corporate headquarters. Of our total employment, 16% are management/staff employees and 84% are production employees. We believe we are able to attract and retain high quality employees because of our quality reputation, technical expertise, history of financial and operating stability, attractive employee benefit programs, and our progressive, employee-friendly working environment. The employees in the Eltmann, Germany, Pinerolo, Italy, and Veenendaal, The Netherlands plants are unionized. We have excellent labor relations, and the Company has never experienced any involuntary work stoppages. We consider our relations with our employees worldwide to be excellent.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precision ball and roller and metal retainer industry is intensely competitive, and many of our competitors have greater financial resources than we do. Our primary domestic competitor is Hoover Precision Products, Inc., a wholly owned US subsidiary of Tsubakimoto Precision Products Co. Ltd. Our primary foreign competitors are Amatsuji Steel Ball Manufacturing Company, Ltd., which has agreed to be acquired by NSK, and Tsubakimoto Precision Products Co. Ltd.</w:t>
      </w: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that competition within the precision ball, roller and metal retainer markets is based principally on quality, price and the ability to consistently meet customer delivery requirements. Management believes that our competitive strengths are our precision manufacturing capabilities, our wide product assortment offering capabilities, our reputation for consistent quality and reliability, and the productivity of our workforce.</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markets for the Plastic and Rubber Components Segment’s products are also intensely competitive. Since the plastic injection molding industry is currently very fragmented, IMC must compete with numerous companies in each of its marketing segments. Many of these companies have substantially greater financial resources than we do and many currently offer competing products nationally and internationally. IMC’s primary competitor in the bearing retainer segment is Nakanishi Manufacturing Corporation. Domestically, Nypro, Inc. and Key Plastics are among the main competitors in the automotive market.</w:t>
      </w: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that competition within the plastic injection molding industry is based principally on quality, price, design capabilities and speed of responsiveness and delivery. Management believes that IMC’s competitive strengths are product development, tool design, fabrication, and tight tolerance molding processes. With these strengths, IMC has built its reputation in the marketplace as a quality producer of technically difficult products.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intensely competitive, the markets for Delta’s products are less fragmented than IMC’s. The bearing seal market is comprised of approximately six major competitors that range from small privately held companies to Fortune 500 global enterprises. Bearing seal manufacturers compete on design, service, quality and price. Delta’s primary competitors in the United States bearing seal market are Freudenburg-NOK, Chicago Rawhide Industries (an SKF subsidiary), Trostel, and Uchiyama.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primary raw material used in our Domestic Ball and Roller Segment and NN Europe Segment is 52100 Steel, which is high quality chromium steel. During 2005, approximately 97% and 90% of the steel used by these two segments, respectively, was 52100 Steel in rod and wire form. Our other steel requirements include metal strips, type 440C stainless steel and type S2 rock bit steel.</w:t>
      </w:r>
    </w:p>
    <w:p>
      <w:pPr>
        <w:spacing w:after="0" w:line="23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Domestic Ball and Roller Segment purchases substantially all of its 52100 Steel requirements from foreign mills in Europe and Japan because of the lack of domestic producers of such steel in the form we require. The principal suppliers of 52100 Steel to the Domestic Ball and Roller Segment are Daido Steel Inc. (America), Kobe Steel America, Lucchini USA Inc. (affiliate of Ascometal France) and Ohio Star Forge Co. The NN Europe Segment purchases almost all of its 52100 Steel requirements from European mills and all of its metal strips requirements from European mills and traders. The principal supplier of 52100 Steel to the NN Europe Segment is Ascometal France (See Note 15 of the Notes to Consolidated Financial Statements), while the principal supplier of metal strips is Thyssen. Our other steel requirements are purchased principally from foreign steel manufacturers. There are a limited number of suppliers of the 52100 Steel that we use in our Domestic Ball and Roller and NN Europe Segments. We believe that if any of our current suppliers were unable to supply 52100 Steel to us, we would be able to obtain our 52100 Steel requirements from alternate sources. We are unable to provide assurances that we would not face higher costs or production interruptions as a result of obtaining 52100 Steel from alternate sources.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both"/>
        <w:spacing w:after="0" w:line="290" w:lineRule="auto"/>
        <w:rPr>
          <w:sz w:val="20"/>
          <w:szCs w:val="20"/>
          <w:color w:val="auto"/>
        </w:rPr>
      </w:pPr>
      <w:r>
        <w:rPr>
          <w:rFonts w:ascii="Arial" w:cs="Arial" w:eastAsia="Arial" w:hAnsi="Arial"/>
          <w:sz w:val="16"/>
          <w:szCs w:val="16"/>
          <w:color w:val="auto"/>
        </w:rPr>
        <w:t>We purchase steel on the basis of price and, more significantly, composition and quality. The pricing arrangements with our suppliers are typically subject to adjustment every three to six months for the Domestic Ball and Roller Segment. Steel pricing is contractually adjusted on an annual basis within the NN Europe Segment. For the NN Europe Segment wire price, scrap surcharges are adjusted quarterly based upon market activity in the preceding quarter. In general, we do not enter into written supply agreements with suppliers or commit to maintain minimum monthly purchases of steel except for the supply arrangements between Ascometal, Ovako, and NN Europe (see Note 15 of the Notes to Consolidated Financial Statements). For the Domestic Ball and Roller Segment, the average price of 52100 steel increased approximately 36% in 2005. The NN Europe Segment experienced an average price increase for 52100 steel of approximately 10% in 2005. Due to the structure of the NN Europe Segment steel purchase contracts, much of the market pressure for increased prices was postponed until 2006. For both segments the price of 52100 steel increased by 9.8% in 2004, and increased approximately 3.5% in 2003.</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52100 Steel is principally produced by foreign manufacturers, the Company's operating results would be negatively affected in the event that the U.S. or European governments impose any significant quotas, tariffs or other duties or restrictions on the import of such steel, if the U.S. dollar decreases in value relative to foreign currencies or if supplies available to us would significantly decrease. The relatively weak US Dollar is a factor for steel price increases in the Domestic Ball and Roller Segment since the suppliers' base currencies are the Euro and Yen.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price of steel has risen over the last twenty-four to thirty-six months. The upward price pressure has been principally due to general increases in global demand and, more recently, due to China’s increased consumption of steel. This has had the impact of increasing steel prices we pay in procuring our steel in the form of higher unit prices and scrap surcharges and could adversely impact the availability of steel. Our contracts with key customers allow us to pass a majority of the steel price increases on to those customers. However, for our NN Europe Segment, material price changes in any given year are typically passed along with price adjustments in January of the following year. Until increases can be passed through to our customers, income from operations, net income and cash flow from operations can be adversely affected. The recent weakness of US Dollar has softened the impact to of the price increases to our customers since most of our export sales are denominated in US Dollars.</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primary raw materials used by IMC are engineered resins. Injection grade nylon is utilized in bearing retainers, gears, automotive and other industrial products. We purchase substantially all of our resin requirements from domestic manufacturers and suppliers. The majority of these suppliers are international companies with resin manufacturing facilities located throughout the world. We experienced price increases for engineered resins of approximately 10.3% in 2005, 5.3% in 2004, and price decreases of approximately 1.0% in 2003.</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Delta uses certified vendors to provide a custom mix of proprietary rubber compounds. Delta also procures metal stampings from several domestic suppliers.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experienced price increases for Delta’s raw materials of approximately 7% in 2005, 10.2% in 2004, and price decreases of 2.5% in 2003.</w:t>
      </w: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Plastic and Rubber Components Segment, we base purchase decisions on price, quality and service. Generally, we do not enter into written supply contracts with our suppliers or commit to maintain minimum monthly purchases of resins. The pricing arrangements with our suppliers typically can be adjusted at anytime.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own any U.S. or foreign patents, trademarks or licenses that are material to our business. We do rely on certain data and processes, including trade secrets and know-how, and the success of our business depends, to some extent, on such information remaining confidential. Each executive officer is subject to a non-competition and confidentiality agreement that seeks to protect this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Historically, due to a substantial portion of sales to European customers, seasonality has been a factor for our business in that some European customers typically reduce their production activities during the month of August.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Environmental Compliance</w:t>
      </w:r>
    </w:p>
    <w:p>
      <w:pPr>
        <w:spacing w:after="0" w:line="2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operations and products are subject to extensive federal, state and local regulatory requirements both domestically and abroad relating to pollution control and protection of the environment. We maintain a compliance program to assist in preventing and, if necessary, correcting environmental problems. The NN Europe segment plants in Eltmann, Germany; Kilkenny, Ireland; and Pinerolo, Italy are ISO 14000 certified and received the EPD (Environmental Product Declaration.) The Veenendaal, The Netherlands plant is also ISO 14000 certified. Based on information compiled to date, management believes that our current operations are in substantial compliance with applicable environmental laws and regulations, the violation of which would have a material adverse effect on our business and financial condition. The Company has assessed conditional asset retirement obligations and have found them to be immaterial to the consolidated financial statements. There can be no assurance, however, that currently unknown matters, new laws and regulations, or stricter interpretations of existing laws and regulations will not materially affect our business or operations in the future. More specifically, although we believe that we dispose of wastes in material compliance with applicable environmental laws and regulations, there can be no assurance that we will not incur significant liabilities in the future in connection with the clean-up of waste disposal sites.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Our executive officers are:</w:t>
            </w:r>
          </w:p>
        </w:tc>
        <w:tc>
          <w:tcPr>
            <w:tcW w:w="1000" w:type="dxa"/>
            <w:vAlign w:val="bottom"/>
          </w:tcPr>
          <w:p>
            <w:pPr>
              <w:spacing w:after="0"/>
              <w:rPr>
                <w:sz w:val="20"/>
                <w:szCs w:val="20"/>
                <w:color w:val="auto"/>
              </w:rPr>
            </w:pPr>
          </w:p>
        </w:tc>
        <w:tc>
          <w:tcPr>
            <w:tcW w:w="8160" w:type="dxa"/>
            <w:vAlign w:val="bottom"/>
          </w:tcPr>
          <w:p>
            <w:pPr>
              <w:spacing w:after="0"/>
              <w:rPr>
                <w:sz w:val="20"/>
                <w:szCs w:val="20"/>
                <w:color w:val="auto"/>
              </w:rPr>
            </w:pPr>
          </w:p>
        </w:tc>
      </w:tr>
      <w:tr>
        <w:trPr>
          <w:trHeight w:val="486"/>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Age</w:t>
            </w:r>
          </w:p>
        </w:tc>
        <w:tc>
          <w:tcPr>
            <w:tcW w:w="81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Position</w:t>
            </w:r>
          </w:p>
        </w:tc>
      </w:tr>
      <w:tr>
        <w:trPr>
          <w:trHeight w:val="438"/>
        </w:trPr>
        <w:tc>
          <w:tcPr>
            <w:tcW w:w="2260" w:type="dxa"/>
            <w:vAlign w:val="bottom"/>
          </w:tcPr>
          <w:p>
            <w:pPr>
              <w:spacing w:after="0"/>
              <w:rPr>
                <w:sz w:val="20"/>
                <w:szCs w:val="20"/>
                <w:color w:val="auto"/>
              </w:rPr>
            </w:pPr>
            <w:r>
              <w:rPr>
                <w:rFonts w:ascii="Arial" w:cs="Arial" w:eastAsia="Arial" w:hAnsi="Arial"/>
                <w:sz w:val="18"/>
                <w:szCs w:val="18"/>
                <w:color w:val="auto"/>
              </w:rPr>
              <w:t>Roderick R. Baty</w:t>
            </w:r>
          </w:p>
        </w:tc>
        <w:tc>
          <w:tcPr>
            <w:tcW w:w="1000" w:type="dxa"/>
            <w:vAlign w:val="bottom"/>
          </w:tcPr>
          <w:p>
            <w:pPr>
              <w:ind w:left="320"/>
              <w:spacing w:after="0"/>
              <w:rPr>
                <w:sz w:val="20"/>
                <w:szCs w:val="20"/>
                <w:color w:val="auto"/>
              </w:rPr>
            </w:pPr>
            <w:r>
              <w:rPr>
                <w:rFonts w:ascii="Arial" w:cs="Arial" w:eastAsia="Arial" w:hAnsi="Arial"/>
                <w:sz w:val="18"/>
                <w:szCs w:val="18"/>
                <w:color w:val="auto"/>
              </w:rPr>
              <w:t>52</w:t>
            </w:r>
          </w:p>
        </w:tc>
        <w:tc>
          <w:tcPr>
            <w:tcW w:w="8160" w:type="dxa"/>
            <w:vAlign w:val="bottom"/>
          </w:tcPr>
          <w:p>
            <w:pPr>
              <w:ind w:left="380"/>
              <w:spacing w:after="0"/>
              <w:rPr>
                <w:sz w:val="20"/>
                <w:szCs w:val="20"/>
                <w:color w:val="auto"/>
              </w:rPr>
            </w:pPr>
            <w:r>
              <w:rPr>
                <w:rFonts w:ascii="Arial" w:cs="Arial" w:eastAsia="Arial" w:hAnsi="Arial"/>
                <w:sz w:val="18"/>
                <w:szCs w:val="18"/>
                <w:color w:val="auto"/>
              </w:rPr>
              <w:t>Chairman of the Board, Chief Executive Officer, President and Director</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Frank T. Gentry, III</w:t>
            </w:r>
          </w:p>
        </w:tc>
        <w:tc>
          <w:tcPr>
            <w:tcW w:w="1000" w:type="dxa"/>
            <w:vAlign w:val="bottom"/>
          </w:tcPr>
          <w:p>
            <w:pPr>
              <w:ind w:left="320"/>
              <w:spacing w:after="0"/>
              <w:rPr>
                <w:sz w:val="20"/>
                <w:szCs w:val="20"/>
                <w:color w:val="auto"/>
              </w:rPr>
            </w:pPr>
            <w:r>
              <w:rPr>
                <w:rFonts w:ascii="Arial" w:cs="Arial" w:eastAsia="Arial" w:hAnsi="Arial"/>
                <w:sz w:val="18"/>
                <w:szCs w:val="18"/>
                <w:color w:val="auto"/>
              </w:rPr>
              <w:t>50</w:t>
            </w:r>
          </w:p>
        </w:tc>
        <w:tc>
          <w:tcPr>
            <w:tcW w:w="8160" w:type="dxa"/>
            <w:vAlign w:val="bottom"/>
          </w:tcPr>
          <w:p>
            <w:pPr>
              <w:ind w:left="380"/>
              <w:spacing w:after="0"/>
              <w:rPr>
                <w:sz w:val="20"/>
                <w:szCs w:val="20"/>
                <w:color w:val="auto"/>
              </w:rPr>
            </w:pPr>
            <w:r>
              <w:rPr>
                <w:rFonts w:ascii="Arial" w:cs="Arial" w:eastAsia="Arial" w:hAnsi="Arial"/>
                <w:sz w:val="18"/>
                <w:szCs w:val="18"/>
                <w:color w:val="auto"/>
              </w:rPr>
              <w:t>Vice President - General Manager U.S. Ball and Roller Division</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Robert R. Sams</w:t>
            </w:r>
          </w:p>
        </w:tc>
        <w:tc>
          <w:tcPr>
            <w:tcW w:w="1000" w:type="dxa"/>
            <w:vAlign w:val="bottom"/>
          </w:tcPr>
          <w:p>
            <w:pPr>
              <w:ind w:left="320"/>
              <w:spacing w:after="0"/>
              <w:rPr>
                <w:sz w:val="20"/>
                <w:szCs w:val="20"/>
                <w:color w:val="auto"/>
              </w:rPr>
            </w:pPr>
            <w:r>
              <w:rPr>
                <w:rFonts w:ascii="Arial" w:cs="Arial" w:eastAsia="Arial" w:hAnsi="Arial"/>
                <w:sz w:val="18"/>
                <w:szCs w:val="18"/>
                <w:color w:val="auto"/>
              </w:rPr>
              <w:t>48</w:t>
            </w:r>
          </w:p>
        </w:tc>
        <w:tc>
          <w:tcPr>
            <w:tcW w:w="8160" w:type="dxa"/>
            <w:vAlign w:val="bottom"/>
          </w:tcPr>
          <w:p>
            <w:pPr>
              <w:ind w:left="380"/>
              <w:spacing w:after="0"/>
              <w:rPr>
                <w:sz w:val="20"/>
                <w:szCs w:val="20"/>
                <w:color w:val="auto"/>
              </w:rPr>
            </w:pPr>
            <w:r>
              <w:rPr>
                <w:rFonts w:ascii="Arial" w:cs="Arial" w:eastAsia="Arial" w:hAnsi="Arial"/>
                <w:sz w:val="18"/>
                <w:szCs w:val="18"/>
                <w:color w:val="auto"/>
              </w:rPr>
              <w:t>Vice President - Sales</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James H. Dorton</w:t>
            </w:r>
          </w:p>
        </w:tc>
        <w:tc>
          <w:tcPr>
            <w:tcW w:w="1000" w:type="dxa"/>
            <w:vAlign w:val="bottom"/>
          </w:tcPr>
          <w:p>
            <w:pPr>
              <w:ind w:left="320"/>
              <w:spacing w:after="0"/>
              <w:rPr>
                <w:sz w:val="20"/>
                <w:szCs w:val="20"/>
                <w:color w:val="auto"/>
              </w:rPr>
            </w:pPr>
            <w:r>
              <w:rPr>
                <w:rFonts w:ascii="Arial" w:cs="Arial" w:eastAsia="Arial" w:hAnsi="Arial"/>
                <w:sz w:val="18"/>
                <w:szCs w:val="18"/>
                <w:color w:val="auto"/>
              </w:rPr>
              <w:t>49</w:t>
            </w:r>
          </w:p>
        </w:tc>
        <w:tc>
          <w:tcPr>
            <w:tcW w:w="8160" w:type="dxa"/>
            <w:vAlign w:val="bottom"/>
          </w:tcPr>
          <w:p>
            <w:pPr>
              <w:ind w:left="380"/>
              <w:spacing w:after="0"/>
              <w:rPr>
                <w:sz w:val="20"/>
                <w:szCs w:val="20"/>
                <w:color w:val="auto"/>
              </w:rPr>
            </w:pPr>
            <w:r>
              <w:rPr>
                <w:rFonts w:ascii="Arial" w:cs="Arial" w:eastAsia="Arial" w:hAnsi="Arial"/>
                <w:sz w:val="18"/>
                <w:szCs w:val="18"/>
                <w:color w:val="auto"/>
              </w:rPr>
              <w:t>Vice President - Corporate Development and Chief Financial Officer</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William C. Kelly, Jr.</w:t>
            </w:r>
          </w:p>
        </w:tc>
        <w:tc>
          <w:tcPr>
            <w:tcW w:w="1000" w:type="dxa"/>
            <w:vAlign w:val="bottom"/>
          </w:tcPr>
          <w:p>
            <w:pPr>
              <w:ind w:left="320"/>
              <w:spacing w:after="0"/>
              <w:rPr>
                <w:sz w:val="20"/>
                <w:szCs w:val="20"/>
                <w:color w:val="auto"/>
              </w:rPr>
            </w:pPr>
            <w:r>
              <w:rPr>
                <w:rFonts w:ascii="Arial" w:cs="Arial" w:eastAsia="Arial" w:hAnsi="Arial"/>
                <w:sz w:val="18"/>
                <w:szCs w:val="18"/>
                <w:color w:val="auto"/>
              </w:rPr>
              <w:t>47</w:t>
            </w:r>
          </w:p>
        </w:tc>
        <w:tc>
          <w:tcPr>
            <w:tcW w:w="8160" w:type="dxa"/>
            <w:vAlign w:val="bottom"/>
          </w:tcPr>
          <w:p>
            <w:pPr>
              <w:ind w:left="380"/>
              <w:spacing w:after="0"/>
              <w:rPr>
                <w:sz w:val="20"/>
                <w:szCs w:val="20"/>
                <w:color w:val="auto"/>
              </w:rPr>
            </w:pPr>
            <w:r>
              <w:rPr>
                <w:rFonts w:ascii="Arial" w:cs="Arial" w:eastAsia="Arial" w:hAnsi="Arial"/>
                <w:sz w:val="18"/>
                <w:szCs w:val="18"/>
                <w:color w:val="auto"/>
              </w:rPr>
              <w:t>Vice President - Chief Administrative Officer, Secretary, and Treasurer</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Thomas W. McKown</w:t>
            </w:r>
          </w:p>
        </w:tc>
        <w:tc>
          <w:tcPr>
            <w:tcW w:w="1000" w:type="dxa"/>
            <w:vAlign w:val="bottom"/>
          </w:tcPr>
          <w:p>
            <w:pPr>
              <w:ind w:left="320"/>
              <w:spacing w:after="0"/>
              <w:rPr>
                <w:sz w:val="20"/>
                <w:szCs w:val="20"/>
                <w:color w:val="auto"/>
              </w:rPr>
            </w:pPr>
            <w:r>
              <w:rPr>
                <w:rFonts w:ascii="Arial" w:cs="Arial" w:eastAsia="Arial" w:hAnsi="Arial"/>
                <w:sz w:val="18"/>
                <w:szCs w:val="18"/>
                <w:color w:val="auto"/>
              </w:rPr>
              <w:t>40</w:t>
            </w:r>
          </w:p>
        </w:tc>
        <w:tc>
          <w:tcPr>
            <w:tcW w:w="8160" w:type="dxa"/>
            <w:vAlign w:val="bottom"/>
          </w:tcPr>
          <w:p>
            <w:pPr>
              <w:ind w:left="380"/>
              <w:spacing w:after="0"/>
              <w:rPr>
                <w:sz w:val="20"/>
                <w:szCs w:val="20"/>
                <w:color w:val="auto"/>
              </w:rPr>
            </w:pPr>
            <w:r>
              <w:rPr>
                <w:rFonts w:ascii="Arial" w:cs="Arial" w:eastAsia="Arial" w:hAnsi="Arial"/>
                <w:sz w:val="18"/>
                <w:szCs w:val="18"/>
                <w:color w:val="auto"/>
              </w:rPr>
              <w:t>Vice President - Managing Director of NN Asia</w:t>
            </w: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Nicola Trombetti</w:t>
            </w:r>
          </w:p>
        </w:tc>
        <w:tc>
          <w:tcPr>
            <w:tcW w:w="1000" w:type="dxa"/>
            <w:vAlign w:val="bottom"/>
          </w:tcPr>
          <w:p>
            <w:pPr>
              <w:ind w:left="320"/>
              <w:spacing w:after="0"/>
              <w:rPr>
                <w:sz w:val="20"/>
                <w:szCs w:val="20"/>
                <w:color w:val="auto"/>
              </w:rPr>
            </w:pPr>
            <w:r>
              <w:rPr>
                <w:rFonts w:ascii="Arial" w:cs="Arial" w:eastAsia="Arial" w:hAnsi="Arial"/>
                <w:sz w:val="18"/>
                <w:szCs w:val="18"/>
                <w:color w:val="auto"/>
              </w:rPr>
              <w:t>45</w:t>
            </w:r>
          </w:p>
        </w:tc>
        <w:tc>
          <w:tcPr>
            <w:tcW w:w="8160" w:type="dxa"/>
            <w:vAlign w:val="bottom"/>
          </w:tcPr>
          <w:p>
            <w:pPr>
              <w:ind w:left="380"/>
              <w:spacing w:after="0"/>
              <w:rPr>
                <w:sz w:val="20"/>
                <w:szCs w:val="20"/>
                <w:color w:val="auto"/>
              </w:rPr>
            </w:pPr>
            <w:r>
              <w:rPr>
                <w:rFonts w:ascii="Arial" w:cs="Arial" w:eastAsia="Arial" w:hAnsi="Arial"/>
                <w:sz w:val="18"/>
                <w:szCs w:val="18"/>
                <w:color w:val="auto"/>
              </w:rPr>
              <w:t>Vice President - Managing Director of NN Europe</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certain additional information with respect to each of our executive officers.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Roderick R. Baty was elected Chairman of the Board in September 2001 and continues to serve as Chief Executive Officer and President. He has served as President and Chief Executive Officer since July 1997. He joined NN in July 1995 as Vice President and Chief Financial Officer and was elected to the Board of Directors in 1995. Prior to joining NN, Mr. Baty served as President and Chief Operating Officer of Hoover Precision Products from 1990 until January 1995, and as Vice President and General Manager of Hoover Group from 1985 to 1990.</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Frank T. Gentry, III, was appointed Vice President - General Manager U.S. Ball and Roller Division in August 1995. Mr. Gentry is responsible for the Domestic Ball and Roller Segment. Mr. Gentry joined NN in 1981 and held various manufacturing management positions within NN from 1981 to August 1995.</w:t>
      </w:r>
    </w:p>
    <w:p>
      <w:pPr>
        <w:spacing w:after="0" w:line="23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Robert R. Sams joined NN in 1996 as Plant Manager of the Mountain City, Tennessee facility. In 1997, Mr. Sams served as Managing Director of the Kilkenny facility and in 1999 was elected to the position of Vice President - Sales. Prior to joining NN, Mr. Sams held various positions with Hoover Precision Products from 1980 to 1994 and as Vice President of Production for Blum, Inc. from 1994 to 1996.</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James H. Dorton joined NN as Vice President of Corporate Development and Chief Financial Officer in June 2005. Prior to joining NN, Mr. Dorton served as Executive Vice President and Chief Financial Officer of Specialty Foods Group, Inc. from 2003 to 2004, Vice President Corporate Development and Strategy and Vice President - Treasurer of Bowater Incorporated from 1996 to 2002 and as Treasurer of Intergraph Corporation from 1989 to 1996. Mr. Dorton is a Certified Public Accountant.</w:t>
      </w:r>
    </w:p>
    <w:p>
      <w:pPr>
        <w:spacing w:after="0" w:line="24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William C. Kelly, Jr. was named Vice President and Chief Administrative Officer in June 2005. In March 2003, Mr. Kelly was elected to serve as Chief Administrative Officer. In March 1999 he was elected Secretary of NN and still serves in that capacity as well as that of Treasurer. In February 1995, Mr. Kelly was elected Treasurer and Assistant Secretary. He joined NN in 1993 as Assistant Treasurer and Manager of Investor Relations. In July 1994, Mr. Kelly was elected to serve as NN’s Chief Accounting Officer, and served in that capacity through March 2003. Prior to joining NN, Mr. Kelly served from 1988 to 1993 as a Staff Accountant and as a Senior Auditor with the accounting firm of PricewaterhouseCoopers LLP.</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8"/>
          <w:szCs w:val="18"/>
          <w:color w:val="auto"/>
        </w:rPr>
        <w:t>Thomas W. McKown joined NN in 2004 in the newly created position of Managing Director of NN Asia. In 2005 Mr. McKown was appointed as an Executive Officer and Corporate Vice President of NN. Prior to joining NN, Mr. McKown held various management positions within firms operating in Hong Kong, Malaysia, China, and Taiwan.</w:t>
      </w:r>
    </w:p>
    <w:p>
      <w:pPr>
        <w:spacing w:after="0" w:line="2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Nicola Trombetti was elected NN Europe Managing Director in June 2004 and was elected a Corporate Vice President in June 2005. Prior to being named NN Europe Managing Director he was Vice President and Director of Operations, NN Europe. He joined NN in September 2000 as Pinerolo Italy Plant Manager. Prior to joining NN Europe, Mr. Trombetti was Plant Director for Tekfor - Neumaier GmbH Group, a European-based steel component manufacturer for the auto industry. From 1996 to 1999 he was Manufacturing Manager and Plant Manager for SKF Group. He also spent seven years as a manufacturing manager for Pininfarina, an Italian-based car design, engineering, development and manufacturing company.</w:t>
      </w:r>
    </w:p>
    <w:p>
      <w:pPr>
        <w:spacing w:after="0" w:line="223"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 for Purposes of the "Safe Harbor" Provisions of the Private Securities Litigation Reform Act of 1995</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wishes to caution readers that this report contains, and future filings by the Company, press releases and oral statements made by the Company's authorized representatives may contain, forward-looking statements that involve certain risks and uncertainties. Readers can identify these forward-looking statements by the use of such verbs as expects, anticipates, believes or similar verbs or conjugations of such verbs. The Company's actual results could differ materially from those expressed in such forward-looking statements due to important factors bearing on the Company's business, many of which already have been discussed in this filing and in the Company's prior filings. The differences could be caused by a number of factors or combination of factors including, but not limited to, the risk factors described below.</w:t>
      </w:r>
    </w:p>
    <w:p>
      <w:pPr>
        <w:spacing w:after="0" w:line="2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You should carefully consider the following risks and uncertainties, and all other information contained in or incorporated by reference in this annual report on Form 10-K, before making an investment in our common stock. Any of the following risks could have a material adverse effect on our business, financial condition or operating results. In such case, the trading price of our common stock could decline and you may lose all or part of your investment.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demand for our products is cyclical, which could adversely impact our revenues.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end markets for fully assembled bearings are cyclical and tend to decline in response to overall declines in industrial and automotive production. As a result, the market for bearing components is also cyclical and impacted by overall levels of industrial and automotive production. Our sales in the past have been negatively affected, and in the future will be negatively affected, by adverse conditions in the industrial and/or automotive production sectors of the economy or by adverse global or national economic conditions generally.</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a very limited number of foreign sources for our primary raw material and are subject to risks of shortages and price fluctuation.</w:t>
      </w:r>
    </w:p>
    <w:p>
      <w:pPr>
        <w:spacing w:after="0" w:line="3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steel that we use to manufacture precision balls and rollers is of an extremely high quality and is available from a limited number of producers on a global basis. Due to quality constraints in the U.S. steel industry, we obtain substantially all of the steel used in our U.S. ball and roller production from overseas suppliers. In addition, we obtain most of the steel used in our European ball production from a single European source. If we had to obtain steel from sources other than our current suppliers we could face higher prices and transportation costs, increased duties or taxes, and shortages of steel. Problems in obtaining steel, and particularly 52100 chrome steel, in the quantities that we require and on commercially reasonable terms, could increase our costs, adversely impacting our ability to operate our business efficiently and have a material adverse effect on our revenues and operating and financial results.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Increases in the market demand for steel can have the impact of increasing scrap surcharges we pay in procuring our steel in the form of higher unit prices and could adversely impact the availability of steel. Our contracts with key customers allow us to pass a majority of the steel price increases on to those customers. However, by contract, material price changes in any given year at NN Europe are typically passed along with price adjustments in January of the following year. Until the current increases can be passed through to our customers, income from operations, net income and cash flow from operations can be adversely affected.</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heavily on a relatively limited number of customers, and the loss of any major customer would have a material adverse effect on our business.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both"/>
        <w:spacing w:after="0" w:line="270" w:lineRule="auto"/>
        <w:rPr>
          <w:sz w:val="20"/>
          <w:szCs w:val="20"/>
          <w:color w:val="auto"/>
        </w:rPr>
      </w:pPr>
      <w:r>
        <w:rPr>
          <w:rFonts w:ascii="Arial" w:cs="Arial" w:eastAsia="Arial" w:hAnsi="Arial"/>
          <w:sz w:val="17"/>
          <w:szCs w:val="17"/>
          <w:color w:val="auto"/>
        </w:rPr>
        <w:t>Sales to various U.S. and foreign divisions of SKF, which is one of the largest bearing manufacturers in the world, accounted for approximately 47% of consolidated net sales in 2005, and sales to Schaeffler Group (INA) accounted for approximately 13% of consolidated net sales in 2005. Sales to various divisions of the Timken Company accounted for approximately 6% of our net sales in 2005. During 2005, our ten largest customers accounted for approximately 81% of our consolidated net sales. None of our other customers individually accounted for more than 5% of our consolidated net sales for 2005. The loss of all or a substantial portion of sales to these customers would cause us to lose a substantial portion of our revenue and would lower our operating profit margin and cash flows from operations. Schaeffler Group (INA) has decided to in-source approximately $12 million of annual business to their internal ball manufacturing facility in Germany. This represents approximately 30% of the existing Schaeffler Group (INA) business. We are in the process of negotiating a long term supply agreement with Schaeffler Group (INA) for remaining business. In addition, we are in process of negotiating a new long term agreement with SKF to replace the one for precision balls that expires July 31, 2006. SKF has informally agreed in principle to carry the current agreement through to December 31, 2006.</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and sell products to customers outside the U.S. and are subject to several related risks.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224" w:lineRule="exact"/>
        <w:rPr>
          <w:sz w:val="20"/>
          <w:szCs w:val="20"/>
          <w:color w:val="auto"/>
        </w:rPr>
      </w:pPr>
    </w:p>
    <w:p>
      <w:pPr>
        <w:ind w:left="1300" w:hanging="13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foreign currency fluctuations;</w:t>
      </w:r>
    </w:p>
    <w:p>
      <w:pPr>
        <w:spacing w:after="0" w:line="279" w:lineRule="exact"/>
        <w:rPr>
          <w:rFonts w:ascii="Arial" w:cs="Arial" w:eastAsia="Arial" w:hAnsi="Arial"/>
          <w:sz w:val="18"/>
          <w:szCs w:val="18"/>
          <w:color w:val="auto"/>
        </w:rPr>
      </w:pPr>
    </w:p>
    <w:p>
      <w:pPr>
        <w:ind w:left="1300" w:hanging="130"/>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trade, monetary and fiscal policies, laws and regulations, and other activities of governments, agencies and similar organizations;</w:t>
      </w:r>
    </w:p>
    <w:p>
      <w:pPr>
        <w:spacing w:after="0" w:line="302" w:lineRule="exact"/>
        <w:rPr>
          <w:rFonts w:ascii="Arial" w:cs="Arial" w:eastAsia="Arial" w:hAnsi="Arial"/>
          <w:sz w:val="16"/>
          <w:szCs w:val="16"/>
          <w:color w:val="auto"/>
        </w:rPr>
      </w:pPr>
    </w:p>
    <w:p>
      <w:pPr>
        <w:ind w:left="1300" w:hanging="13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imposition of trade restrictions or prohibitions;</w:t>
      </w:r>
    </w:p>
    <w:p>
      <w:pPr>
        <w:spacing w:after="0" w:line="279" w:lineRule="exact"/>
        <w:rPr>
          <w:rFonts w:ascii="Arial" w:cs="Arial" w:eastAsia="Arial" w:hAnsi="Arial"/>
          <w:sz w:val="18"/>
          <w:szCs w:val="18"/>
          <w:color w:val="auto"/>
        </w:rPr>
      </w:pPr>
    </w:p>
    <w:p>
      <w:pPr>
        <w:ind w:left="1300" w:hanging="13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high tax rates that discourage the repatriation of funds to the U.S.;</w:t>
      </w:r>
    </w:p>
    <w:p>
      <w:pPr>
        <w:spacing w:after="0" w:line="279" w:lineRule="exact"/>
        <w:rPr>
          <w:rFonts w:ascii="Arial" w:cs="Arial" w:eastAsia="Arial" w:hAnsi="Arial"/>
          <w:sz w:val="18"/>
          <w:szCs w:val="18"/>
          <w:color w:val="auto"/>
        </w:rPr>
      </w:pPr>
    </w:p>
    <w:p>
      <w:pPr>
        <w:ind w:left="1300" w:hanging="13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imposition of import or other duties or taxes; and</w:t>
      </w:r>
    </w:p>
    <w:p>
      <w:pPr>
        <w:spacing w:after="0" w:line="279" w:lineRule="exact"/>
        <w:rPr>
          <w:rFonts w:ascii="Arial" w:cs="Arial" w:eastAsia="Arial" w:hAnsi="Arial"/>
          <w:sz w:val="18"/>
          <w:szCs w:val="18"/>
          <w:color w:val="auto"/>
        </w:rPr>
      </w:pPr>
    </w:p>
    <w:p>
      <w:pPr>
        <w:ind w:left="1300" w:hanging="130"/>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unstable governments or legal systems in countries in which our suppliers, manufacturing operations, and customers are located.</w:t>
      </w:r>
    </w:p>
    <w:p>
      <w:pPr>
        <w:spacing w:after="0" w:line="2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have a hedging program in place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Also, a decline in the value of the Euro relative to the U.S. dollar will negatively impact our consolidated financial results, which are denominated in U.S. dollars.</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due to the typical slower summer manufacturing season in Europe, we expect that revenues in the third fiscal quarter of each year will reflect lower sales than in the other quarters of the year.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costs and difficulties of integrating acquired business could impede our future growth.</w:t>
      </w:r>
    </w:p>
    <w:p>
      <w:pPr>
        <w:spacing w:after="0" w:line="2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cannot assure you that any future acquisition will enhance our financial 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continue to make the acquisitions necessary for us to realize our future growth strategy.</w:t>
      </w:r>
    </w:p>
    <w:p>
      <w:pPr>
        <w:spacing w:after="0" w:line="2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Acquiring businesses that complement or expand our operations has been and continues to be an important element of our business strategy. This strategy calls for growth through acquisitions constituting the majority of our future growth objectives, with the remainder resulting from internal growth and increased market penetration. We bought our plastic bearing component business in 1999, formed NN Europe with our two largest bearing customers, SKF and Schaeffler Group (INA), in 2000 and acquired our bearing seal operations in 2001. During 2002, we purchased Schaeffler Group (INA)’s minority interest in NN Europe and during 2003 we purchased SKF’s minority interest in NN Europe and SKF’s tapered roller and metal cage manufacturing operations in Veenendaal, The Netherlands. See Note 2 of the Notes to Consolidated Financial Statements. In 2005, we entered into an agreement and started to acquire the internal precision ball equipment of SNR and a five year supply agreement to provide additional ball requirements to SNR.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b w:val="1"/>
          <w:bCs w:val="1"/>
          <w:i w:val="1"/>
          <w:iCs w:val="1"/>
          <w:color w:val="auto"/>
        </w:rPr>
        <w:t>Our growth strategy depends in part on outsourcing, and if the industry trend toward outsourcing does not continue, our business could be adversely affected.</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ability to grow our business could be materially adversely affected.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is highly competitive and many of our competitors have significant advantages that could adversely affect our business.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global market for bearing components is highly competitive, with a majority of production represented by the captive production operations of certain large bearing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2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production capacity we have added over the last several years has at times resulted in our having more capacity than we need, causing our operating costs to be higher than expected.</w:t>
      </w:r>
    </w:p>
    <w:p>
      <w:pPr>
        <w:spacing w:after="0" w:line="2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expanded our ball and roller production facilities and capacity over the last several years. Our ball and roller production facilities have not always operated at full capacity and from time to time our results of operations have been adversely affected by the under-utilization of our production facilities. Under-utilization or inefficient utilization of our production facilities could be a risk in the future.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The market price of our common stock could be subject to significant fluctuations and may decline. Among the factors that could affect our stock price are:</w:t>
      </w:r>
    </w:p>
    <w:p>
      <w:pPr>
        <w:spacing w:after="0" w:line="302" w:lineRule="exact"/>
        <w:rPr>
          <w:sz w:val="20"/>
          <w:szCs w:val="20"/>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279" w:lineRule="exact"/>
        <w:rPr>
          <w:rFonts w:ascii="Arial" w:cs="Arial" w:eastAsia="Arial" w:hAnsi="Arial"/>
          <w:sz w:val="18"/>
          <w:szCs w:val="18"/>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variations in the rate of growth of our financial indicators, such as earnings per share, net income and revenues;</w:t>
      </w:r>
    </w:p>
    <w:p>
      <w:pPr>
        <w:spacing w:after="0" w:line="279" w:lineRule="exact"/>
        <w:rPr>
          <w:rFonts w:ascii="Arial" w:cs="Arial" w:eastAsia="Arial" w:hAnsi="Arial"/>
          <w:sz w:val="18"/>
          <w:szCs w:val="18"/>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revenue or earnings estimates or publication of research reports by analysts;</w:t>
      </w:r>
    </w:p>
    <w:p>
      <w:pPr>
        <w:spacing w:after="0" w:line="279" w:lineRule="exact"/>
        <w:rPr>
          <w:rFonts w:ascii="Arial" w:cs="Arial" w:eastAsia="Arial" w:hAnsi="Arial"/>
          <w:sz w:val="18"/>
          <w:szCs w:val="18"/>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any member of our senior management team;</w:t>
      </w:r>
    </w:p>
    <w:p>
      <w:pPr>
        <w:spacing w:after="0" w:line="279" w:lineRule="exact"/>
        <w:rPr>
          <w:rFonts w:ascii="Arial" w:cs="Arial" w:eastAsia="Arial" w:hAnsi="Arial"/>
          <w:sz w:val="18"/>
          <w:szCs w:val="18"/>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79" w:lineRule="exact"/>
        <w:rPr>
          <w:rFonts w:ascii="Arial" w:cs="Arial" w:eastAsia="Arial" w:hAnsi="Arial"/>
          <w:sz w:val="18"/>
          <w:szCs w:val="18"/>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279" w:lineRule="exact"/>
        <w:rPr>
          <w:rFonts w:ascii="Arial" w:cs="Arial" w:eastAsia="Arial" w:hAnsi="Arial"/>
          <w:sz w:val="18"/>
          <w:szCs w:val="18"/>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of our common stock by stockholders;</w:t>
      </w:r>
    </w:p>
    <w:p>
      <w:pPr>
        <w:spacing w:after="0" w:line="279" w:lineRule="exact"/>
        <w:rPr>
          <w:rFonts w:ascii="Arial" w:cs="Arial" w:eastAsia="Arial" w:hAnsi="Arial"/>
          <w:sz w:val="18"/>
          <w:szCs w:val="18"/>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79" w:lineRule="exact"/>
        <w:rPr>
          <w:rFonts w:ascii="Arial" w:cs="Arial" w:eastAsia="Arial" w:hAnsi="Arial"/>
          <w:sz w:val="18"/>
          <w:szCs w:val="18"/>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 and</w:t>
      </w:r>
    </w:p>
    <w:p>
      <w:pPr>
        <w:spacing w:after="0" w:line="279" w:lineRule="exact"/>
        <w:rPr>
          <w:rFonts w:ascii="Arial" w:cs="Arial" w:eastAsia="Arial" w:hAnsi="Arial"/>
          <w:sz w:val="18"/>
          <w:szCs w:val="18"/>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a major customer.</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The stock markets in general have experienced extreme volatility that has often been unrelated to the operating performance of particular companies. These broad market fluctuations may adversely affect the trading price of our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in our charter documents and Delaware law may inhibit a takeover, which could adversely affect the value of our common stock.</w:t>
      </w:r>
    </w:p>
    <w:p>
      <w:pPr>
        <w:spacing w:after="0" w:line="2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 preferred shares without a stockholder vote. In addition, our restated certificate of incorporation provides that stockholders may not call a special meeting.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22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Item 1B. Unresolved Staff Comments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two operating domestic ball manufacturing facilities located in Erwin, Tennessee and Mountain City, Tennessee. The Erwin, Tennessee facilities produce balls and rollers, and the Mountain City, Tennessee facility produces balls. Production began in1996 at the Mountain City facility. We ceased production and closed a facility in Walterboro, South Carolina in 2001, and sold the land and building assets during 2004.</w:t>
      </w:r>
    </w:p>
    <w:p>
      <w:pPr>
        <w:spacing w:after="0" w:line="22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Erwin and Mountain City plants currently have approximately 125,000 and 86,400 square feet of manufacturing space, respectively. The Erwin plant is located on a 12 acre tract of land owned by the Company and the Mountain City plant is located on an eight acre tract of land owned by the Company.</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Through NN Europe, we manufacture precision steel balls in four manufacturing facilities located in Kilkenny, Ireland; Eltmann, Germany; Pinerolo, Italy and Kysucke Nove Mesto, Slovakia. The facilities currently have approximately 125,000, 175,000, 330,000 and 135,000 square feet of manufacturing space, respectively. The Kilkenny facility is located on a two acre tract owned by NN Europe, the Eltmann facility is leased from Schaeffler Group (INA), and the Pinerolo facility is located on a nine acre tract owned by NN Europe. The Kysucke facility is also owned by NN Europe.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Veenendaal, The Netherlands operation manufactures rollers for tapered roller bearings and metal retainers in two facilities. The facilities, owned by the Company, have approximately 107,000 and 52,000 square feet of manufacturing space, respectively.</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IMC manufactures a wide range of plastic molded products through two facilities located in Lubbock, Texas. The Slaton facility, located on a six and one half acre tract of land owned by the Company, contains approximately 193,000 square feet of manufacturing, warehouse and office space. The Cedar facility is situated on a two and one half acre tract of land which is also owned by the Company and contains approximately 35,000 square feet of manufacturing and warehouse space.</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Delta’s operations are located in two facilities on a 12 acre site in Danielson, Connecticut, owned by the Company. The two facilities encompass over 50,000 square feet of rubber seal manufacturing and administrative functions.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The property related to our NN Asia ball production facility in the People’s Republic of China is leased and accounted for as a capital lease. NN Asia has an option to purchase the facility at various points in the future. The facility has approximately 110,000 square feet of production and office space and is located on approximately 5 acres.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See "Management's Discussion and Analysis of Financial Condition and Results of Operations -- Liquidity and Capital Resources."</w:t>
      </w:r>
    </w:p>
    <w:p>
      <w:pPr>
        <w:spacing w:after="0" w:line="27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Item 3. Legal Proceedings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the Company is subject to legal actions related to its operations, most of which are of an ordinary and routine nature and are incidental to the operations of the Company. Management believes that such proceedings should not, individually or in the aggregate, have a material adverse effect on the Company's business or financial condition or on the results of operations.</w:t>
      </w:r>
    </w:p>
    <w:p>
      <w:pPr>
        <w:spacing w:after="0" w:line="23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for a vote of stockholders during the fourth quarter of 2005.</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the Company’s initial public offering in 1994, the Common Stock has been traded on the Nasdaq National Market under the trading symbol “NNBR.” Prior to such time there was no established market for the Common Stock. As of March 13, 2006, there were approximately 2,500 holders of the Common Stock.</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high and low closing sales prices of the Common Stock, as reported by Nasdaq, and the dividends paid per share on the Common Stock during each calendar quarter of 2005 and 2004.</w:t>
      </w:r>
    </w:p>
    <w:p>
      <w:pPr>
        <w:spacing w:after="0" w:line="200" w:lineRule="exact"/>
        <w:rPr>
          <w:sz w:val="20"/>
          <w:szCs w:val="20"/>
          <w:color w:val="auto"/>
        </w:rPr>
      </w:pPr>
    </w:p>
    <w:p>
      <w:pPr>
        <w:spacing w:after="0" w:line="354" w:lineRule="exact"/>
        <w:rPr>
          <w:sz w:val="20"/>
          <w:szCs w:val="20"/>
          <w:color w:val="auto"/>
        </w:rPr>
      </w:pPr>
    </w:p>
    <w:tbl>
      <w:tblPr>
        <w:tblLayout w:type="fixed"/>
        <w:tblInd w:w="17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440" w:type="dxa"/>
            <w:vAlign w:val="bottom"/>
            <w:tcBorders>
              <w:bottom w:val="single" w:sz="8" w:color="auto"/>
            </w:tcBorders>
            <w:gridSpan w:val="3"/>
          </w:tcPr>
          <w:p>
            <w:pPr>
              <w:ind w:left="1320"/>
              <w:spacing w:after="0"/>
              <w:rPr>
                <w:sz w:val="20"/>
                <w:szCs w:val="20"/>
                <w:color w:val="auto"/>
              </w:rPr>
            </w:pPr>
            <w:r>
              <w:rPr>
                <w:rFonts w:ascii="Arial" w:cs="Arial" w:eastAsia="Arial" w:hAnsi="Arial"/>
                <w:sz w:val="14"/>
                <w:szCs w:val="14"/>
                <w:b w:val="1"/>
                <w:bCs w:val="1"/>
                <w:color w:val="auto"/>
              </w:rPr>
              <w:t>Close Price</w:t>
            </w:r>
          </w:p>
        </w:tc>
        <w:tc>
          <w:tcPr>
            <w:tcW w:w="8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440" w:type="dxa"/>
            <w:vAlign w:val="bottom"/>
            <w:gridSpan w:val="3"/>
          </w:tcPr>
          <w:p>
            <w:pPr>
              <w:ind w:left="1260"/>
              <w:spacing w:after="0"/>
              <w:rPr>
                <w:sz w:val="20"/>
                <w:szCs w:val="20"/>
                <w:color w:val="auto"/>
              </w:rPr>
            </w:pPr>
            <w:r>
              <w:rPr>
                <w:rFonts w:ascii="Arial" w:cs="Arial" w:eastAsia="Arial" w:hAnsi="Arial"/>
                <w:sz w:val="14"/>
                <w:szCs w:val="14"/>
                <w:b w:val="1"/>
                <w:bCs w:val="1"/>
                <w:color w:val="auto"/>
              </w:rPr>
              <w:t>High</w:t>
            </w:r>
          </w:p>
        </w:tc>
        <w:tc>
          <w:tcPr>
            <w:tcW w:w="860" w:type="dxa"/>
            <w:vAlign w:val="bottom"/>
          </w:tcPr>
          <w:p>
            <w:pPr>
              <w:ind w:left="600"/>
              <w:spacing w:after="0"/>
              <w:rPr>
                <w:sz w:val="20"/>
                <w:szCs w:val="20"/>
                <w:color w:val="auto"/>
              </w:rPr>
            </w:pPr>
            <w:r>
              <w:rPr>
                <w:rFonts w:ascii="Arial" w:cs="Arial" w:eastAsia="Arial" w:hAnsi="Arial"/>
                <w:sz w:val="14"/>
                <w:szCs w:val="14"/>
                <w:b w:val="1"/>
                <w:bCs w:val="1"/>
                <w:color w:val="auto"/>
                <w:w w:val="85"/>
              </w:rPr>
              <w:t>Low</w:t>
            </w:r>
          </w:p>
        </w:tc>
        <w:tc>
          <w:tcPr>
            <w:tcW w:w="380" w:type="dxa"/>
            <w:vAlign w:val="bottom"/>
          </w:tcPr>
          <w:p>
            <w:pPr>
              <w:spacing w:after="0"/>
              <w:rPr>
                <w:sz w:val="15"/>
                <w:szCs w:val="15"/>
                <w:color w:val="auto"/>
              </w:rPr>
            </w:pPr>
          </w:p>
        </w:tc>
        <w:tc>
          <w:tcPr>
            <w:tcW w:w="1800" w:type="dxa"/>
            <w:vAlign w:val="bottom"/>
            <w:gridSpan w:val="2"/>
          </w:tcPr>
          <w:p>
            <w:pPr>
              <w:ind w:left="1220"/>
              <w:spacing w:after="0"/>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43"/>
        </w:trPr>
        <w:tc>
          <w:tcPr>
            <w:tcW w:w="2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2005</w:t>
            </w:r>
          </w:p>
        </w:tc>
        <w:tc>
          <w:tcPr>
            <w:tcW w:w="156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520" w:type="dxa"/>
            <w:vAlign w:val="bottom"/>
            <w:gridSpan w:val="2"/>
            <w:vMerge w:val="continue"/>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00" w:type="dxa"/>
            <w:vAlign w:val="bottom"/>
            <w:shd w:val="clear" w:color="auto" w:fill="E2EEF6"/>
          </w:tcPr>
          <w:p>
            <w:pPr>
              <w:spacing w:after="0"/>
              <w:rPr>
                <w:sz w:val="20"/>
                <w:szCs w:val="20"/>
                <w:color w:val="auto"/>
              </w:rPr>
            </w:pPr>
            <w:r>
              <w:rPr>
                <w:rFonts w:ascii="Arial" w:cs="Arial" w:eastAsia="Arial" w:hAnsi="Arial"/>
                <w:sz w:val="14"/>
                <w:szCs w:val="14"/>
                <w:color w:val="auto"/>
              </w:rPr>
              <w:t>First Quarter</w:t>
            </w:r>
          </w:p>
        </w:tc>
        <w:tc>
          <w:tcPr>
            <w:tcW w:w="1940" w:type="dxa"/>
            <w:vAlign w:val="bottom"/>
            <w:gridSpan w:val="2"/>
            <w:shd w:val="clear" w:color="auto" w:fill="E2EEF6"/>
          </w:tcPr>
          <w:p>
            <w:pPr>
              <w:jc w:val="right"/>
              <w:ind w:right="380"/>
              <w:spacing w:after="0"/>
              <w:rPr>
                <w:sz w:val="20"/>
                <w:szCs w:val="20"/>
                <w:color w:val="auto"/>
              </w:rPr>
            </w:pPr>
            <w:r>
              <w:rPr>
                <w:rFonts w:ascii="Arial" w:cs="Arial" w:eastAsia="Arial" w:hAnsi="Arial"/>
                <w:sz w:val="14"/>
                <w:szCs w:val="14"/>
                <w:color w:val="auto"/>
              </w:rPr>
              <w:t>$ 13.01</w:t>
            </w:r>
          </w:p>
        </w:tc>
        <w:tc>
          <w:tcPr>
            <w:tcW w:w="500" w:type="dxa"/>
            <w:vAlign w:val="bottom"/>
            <w:shd w:val="clear" w:color="auto" w:fill="E2EEF6"/>
          </w:tcPr>
          <w:p>
            <w:pPr>
              <w:spacing w:after="0"/>
              <w:rPr>
                <w:sz w:val="15"/>
                <w:szCs w:val="15"/>
                <w:color w:val="auto"/>
              </w:rPr>
            </w:pPr>
          </w:p>
        </w:tc>
        <w:tc>
          <w:tcPr>
            <w:tcW w:w="1240" w:type="dxa"/>
            <w:vAlign w:val="bottom"/>
            <w:gridSpan w:val="2"/>
            <w:shd w:val="clear" w:color="auto" w:fill="E2EEF6"/>
          </w:tcPr>
          <w:p>
            <w:pPr>
              <w:jc w:val="right"/>
              <w:ind w:right="380"/>
              <w:spacing w:after="0"/>
              <w:rPr>
                <w:sz w:val="20"/>
                <w:szCs w:val="20"/>
                <w:color w:val="auto"/>
              </w:rPr>
            </w:pPr>
            <w:r>
              <w:rPr>
                <w:rFonts w:ascii="Arial" w:cs="Arial" w:eastAsia="Arial" w:hAnsi="Arial"/>
                <w:sz w:val="14"/>
                <w:szCs w:val="14"/>
                <w:color w:val="auto"/>
              </w:rPr>
              <w:t>$ 10.70</w:t>
            </w:r>
          </w:p>
        </w:tc>
        <w:tc>
          <w:tcPr>
            <w:tcW w:w="1780" w:type="dxa"/>
            <w:vAlign w:val="bottom"/>
            <w:shd w:val="clear" w:color="auto" w:fill="E2EEF6"/>
          </w:tcPr>
          <w:p>
            <w:pPr>
              <w:jc w:val="right"/>
              <w:spacing w:after="0"/>
              <w:rPr>
                <w:sz w:val="20"/>
                <w:szCs w:val="20"/>
                <w:color w:val="auto"/>
              </w:rPr>
            </w:pPr>
            <w:r>
              <w:rPr>
                <w:rFonts w:ascii="Arial" w:cs="Arial" w:eastAsia="Arial" w:hAnsi="Arial"/>
                <w:sz w:val="14"/>
                <w:szCs w:val="14"/>
                <w:color w:val="auto"/>
              </w:rPr>
              <w:t>$ 0.08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500" w:type="dxa"/>
            <w:vAlign w:val="bottom"/>
            <w:shd w:val="clear" w:color="auto" w:fill="E2EEF6"/>
          </w:tcPr>
          <w:p>
            <w:pPr>
              <w:spacing w:after="0"/>
              <w:rPr>
                <w:sz w:val="5"/>
                <w:szCs w:val="5"/>
                <w:color w:val="auto"/>
              </w:rPr>
            </w:pPr>
          </w:p>
        </w:tc>
        <w:tc>
          <w:tcPr>
            <w:tcW w:w="1560" w:type="dxa"/>
            <w:vAlign w:val="bottom"/>
            <w:shd w:val="clear" w:color="auto" w:fill="E2EEF6"/>
          </w:tcPr>
          <w:p>
            <w:pPr>
              <w:spacing w:after="0"/>
              <w:rPr>
                <w:sz w:val="5"/>
                <w:szCs w:val="5"/>
                <w:color w:val="auto"/>
              </w:rPr>
            </w:pPr>
          </w:p>
        </w:tc>
        <w:tc>
          <w:tcPr>
            <w:tcW w:w="380" w:type="dxa"/>
            <w:vAlign w:val="bottom"/>
            <w:shd w:val="clear" w:color="auto" w:fill="E2EEF6"/>
          </w:tcPr>
          <w:p>
            <w:pPr>
              <w:spacing w:after="0"/>
              <w:rPr>
                <w:sz w:val="5"/>
                <w:szCs w:val="5"/>
                <w:color w:val="auto"/>
              </w:rPr>
            </w:pPr>
          </w:p>
        </w:tc>
        <w:tc>
          <w:tcPr>
            <w:tcW w:w="500" w:type="dxa"/>
            <w:vAlign w:val="bottom"/>
            <w:shd w:val="clear" w:color="auto" w:fill="E2EEF6"/>
          </w:tcPr>
          <w:p>
            <w:pPr>
              <w:spacing w:after="0"/>
              <w:rPr>
                <w:sz w:val="5"/>
                <w:szCs w:val="5"/>
                <w:color w:val="auto"/>
              </w:rPr>
            </w:pPr>
          </w:p>
        </w:tc>
        <w:tc>
          <w:tcPr>
            <w:tcW w:w="860" w:type="dxa"/>
            <w:vAlign w:val="bottom"/>
            <w:shd w:val="clear" w:color="auto" w:fill="E2EEF6"/>
          </w:tcPr>
          <w:p>
            <w:pPr>
              <w:spacing w:after="0"/>
              <w:rPr>
                <w:sz w:val="5"/>
                <w:szCs w:val="5"/>
                <w:color w:val="auto"/>
              </w:rPr>
            </w:pPr>
          </w:p>
        </w:tc>
        <w:tc>
          <w:tcPr>
            <w:tcW w:w="380" w:type="dxa"/>
            <w:vAlign w:val="bottom"/>
            <w:shd w:val="clear" w:color="auto" w:fill="E2EEF6"/>
          </w:tcPr>
          <w:p>
            <w:pPr>
              <w:spacing w:after="0"/>
              <w:rPr>
                <w:sz w:val="5"/>
                <w:szCs w:val="5"/>
                <w:color w:val="auto"/>
              </w:rPr>
            </w:pPr>
          </w:p>
        </w:tc>
        <w:tc>
          <w:tcPr>
            <w:tcW w:w="1780" w:type="dxa"/>
            <w:vAlign w:val="bottom"/>
            <w:shd w:val="clear" w:color="auto" w:fill="E2EEF6"/>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500" w:type="dxa"/>
            <w:vAlign w:val="bottom"/>
          </w:tcPr>
          <w:p>
            <w:pPr>
              <w:spacing w:after="0"/>
              <w:rPr>
                <w:sz w:val="20"/>
                <w:szCs w:val="20"/>
                <w:color w:val="auto"/>
              </w:rPr>
            </w:pPr>
            <w:r>
              <w:rPr>
                <w:rFonts w:ascii="Arial" w:cs="Arial" w:eastAsia="Arial" w:hAnsi="Arial"/>
                <w:sz w:val="14"/>
                <w:szCs w:val="14"/>
                <w:color w:val="auto"/>
              </w:rPr>
              <w:t>Second Quarter</w:t>
            </w:r>
          </w:p>
        </w:tc>
        <w:tc>
          <w:tcPr>
            <w:tcW w:w="1940" w:type="dxa"/>
            <w:vAlign w:val="bottom"/>
            <w:gridSpan w:val="2"/>
          </w:tcPr>
          <w:p>
            <w:pPr>
              <w:jc w:val="right"/>
              <w:ind w:right="380"/>
              <w:spacing w:after="0"/>
              <w:rPr>
                <w:sz w:val="20"/>
                <w:szCs w:val="20"/>
                <w:color w:val="auto"/>
              </w:rPr>
            </w:pPr>
            <w:r>
              <w:rPr>
                <w:rFonts w:ascii="Arial" w:cs="Arial" w:eastAsia="Arial" w:hAnsi="Arial"/>
                <w:sz w:val="14"/>
                <w:szCs w:val="14"/>
                <w:color w:val="auto"/>
              </w:rPr>
              <w:t>13.12</w:t>
            </w:r>
          </w:p>
        </w:tc>
        <w:tc>
          <w:tcPr>
            <w:tcW w:w="500" w:type="dxa"/>
            <w:vAlign w:val="bottom"/>
          </w:tcPr>
          <w:p>
            <w:pPr>
              <w:spacing w:after="0"/>
              <w:rPr>
                <w:sz w:val="15"/>
                <w:szCs w:val="15"/>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11.62</w:t>
            </w:r>
          </w:p>
        </w:tc>
        <w:tc>
          <w:tcPr>
            <w:tcW w:w="1780" w:type="dxa"/>
            <w:vAlign w:val="bottom"/>
          </w:tcPr>
          <w:p>
            <w:pPr>
              <w:jc w:val="right"/>
              <w:spacing w:after="0"/>
              <w:rPr>
                <w:sz w:val="20"/>
                <w:szCs w:val="20"/>
                <w:color w:val="auto"/>
              </w:rPr>
            </w:pPr>
            <w:r>
              <w:rPr>
                <w:rFonts w:ascii="Arial" w:cs="Arial" w:eastAsia="Arial" w:hAnsi="Arial"/>
                <w:sz w:val="14"/>
                <w:szCs w:val="14"/>
                <w:color w:val="auto"/>
              </w:rPr>
              <w:t>0.08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5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500" w:type="dxa"/>
            <w:vAlign w:val="bottom"/>
            <w:shd w:val="clear" w:color="auto" w:fill="E2EEF6"/>
          </w:tcPr>
          <w:p>
            <w:pPr>
              <w:spacing w:after="0"/>
              <w:rPr>
                <w:sz w:val="20"/>
                <w:szCs w:val="20"/>
                <w:color w:val="auto"/>
              </w:rPr>
            </w:pPr>
            <w:r>
              <w:rPr>
                <w:rFonts w:ascii="Arial" w:cs="Arial" w:eastAsia="Arial" w:hAnsi="Arial"/>
                <w:sz w:val="14"/>
                <w:szCs w:val="14"/>
                <w:color w:val="auto"/>
              </w:rPr>
              <w:t>Third Quarter</w:t>
            </w:r>
          </w:p>
        </w:tc>
        <w:tc>
          <w:tcPr>
            <w:tcW w:w="1940" w:type="dxa"/>
            <w:vAlign w:val="bottom"/>
            <w:gridSpan w:val="2"/>
            <w:shd w:val="clear" w:color="auto" w:fill="E2EEF6"/>
          </w:tcPr>
          <w:p>
            <w:pPr>
              <w:jc w:val="right"/>
              <w:ind w:right="380"/>
              <w:spacing w:after="0"/>
              <w:rPr>
                <w:sz w:val="20"/>
                <w:szCs w:val="20"/>
                <w:color w:val="auto"/>
              </w:rPr>
            </w:pPr>
            <w:r>
              <w:rPr>
                <w:rFonts w:ascii="Arial" w:cs="Arial" w:eastAsia="Arial" w:hAnsi="Arial"/>
                <w:sz w:val="14"/>
                <w:szCs w:val="14"/>
                <w:color w:val="auto"/>
              </w:rPr>
              <w:t>13.58</w:t>
            </w:r>
          </w:p>
        </w:tc>
        <w:tc>
          <w:tcPr>
            <w:tcW w:w="500" w:type="dxa"/>
            <w:vAlign w:val="bottom"/>
            <w:shd w:val="clear" w:color="auto" w:fill="E2EEF6"/>
          </w:tcPr>
          <w:p>
            <w:pPr>
              <w:spacing w:after="0"/>
              <w:rPr>
                <w:sz w:val="15"/>
                <w:szCs w:val="15"/>
                <w:color w:val="auto"/>
              </w:rPr>
            </w:pPr>
          </w:p>
        </w:tc>
        <w:tc>
          <w:tcPr>
            <w:tcW w:w="1240" w:type="dxa"/>
            <w:vAlign w:val="bottom"/>
            <w:gridSpan w:val="2"/>
            <w:shd w:val="clear" w:color="auto" w:fill="E2EEF6"/>
          </w:tcPr>
          <w:p>
            <w:pPr>
              <w:jc w:val="right"/>
              <w:ind w:right="380"/>
              <w:spacing w:after="0"/>
              <w:rPr>
                <w:sz w:val="20"/>
                <w:szCs w:val="20"/>
                <w:color w:val="auto"/>
              </w:rPr>
            </w:pPr>
            <w:r>
              <w:rPr>
                <w:rFonts w:ascii="Arial" w:cs="Arial" w:eastAsia="Arial" w:hAnsi="Arial"/>
                <w:sz w:val="14"/>
                <w:szCs w:val="14"/>
                <w:color w:val="auto"/>
              </w:rPr>
              <w:t>11.38</w:t>
            </w:r>
          </w:p>
        </w:tc>
        <w:tc>
          <w:tcPr>
            <w:tcW w:w="1780" w:type="dxa"/>
            <w:vAlign w:val="bottom"/>
            <w:shd w:val="clear" w:color="auto" w:fill="E2EEF6"/>
          </w:tcPr>
          <w:p>
            <w:pPr>
              <w:jc w:val="right"/>
              <w:spacing w:after="0"/>
              <w:rPr>
                <w:sz w:val="20"/>
                <w:szCs w:val="20"/>
                <w:color w:val="auto"/>
              </w:rPr>
            </w:pPr>
            <w:r>
              <w:rPr>
                <w:rFonts w:ascii="Arial" w:cs="Arial" w:eastAsia="Arial" w:hAnsi="Arial"/>
                <w:sz w:val="14"/>
                <w:szCs w:val="14"/>
                <w:color w:val="auto"/>
              </w:rPr>
              <w:t>0.08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500" w:type="dxa"/>
            <w:vAlign w:val="bottom"/>
            <w:shd w:val="clear" w:color="auto" w:fill="E2EEF6"/>
          </w:tcPr>
          <w:p>
            <w:pPr>
              <w:spacing w:after="0"/>
              <w:rPr>
                <w:sz w:val="5"/>
                <w:szCs w:val="5"/>
                <w:color w:val="auto"/>
              </w:rPr>
            </w:pPr>
          </w:p>
        </w:tc>
        <w:tc>
          <w:tcPr>
            <w:tcW w:w="1560" w:type="dxa"/>
            <w:vAlign w:val="bottom"/>
            <w:shd w:val="clear" w:color="auto" w:fill="E2EEF6"/>
          </w:tcPr>
          <w:p>
            <w:pPr>
              <w:spacing w:after="0"/>
              <w:rPr>
                <w:sz w:val="5"/>
                <w:szCs w:val="5"/>
                <w:color w:val="auto"/>
              </w:rPr>
            </w:pPr>
          </w:p>
        </w:tc>
        <w:tc>
          <w:tcPr>
            <w:tcW w:w="380" w:type="dxa"/>
            <w:vAlign w:val="bottom"/>
            <w:shd w:val="clear" w:color="auto" w:fill="E2EEF6"/>
          </w:tcPr>
          <w:p>
            <w:pPr>
              <w:spacing w:after="0"/>
              <w:rPr>
                <w:sz w:val="5"/>
                <w:szCs w:val="5"/>
                <w:color w:val="auto"/>
              </w:rPr>
            </w:pPr>
          </w:p>
        </w:tc>
        <w:tc>
          <w:tcPr>
            <w:tcW w:w="500" w:type="dxa"/>
            <w:vAlign w:val="bottom"/>
            <w:shd w:val="clear" w:color="auto" w:fill="E2EEF6"/>
          </w:tcPr>
          <w:p>
            <w:pPr>
              <w:spacing w:after="0"/>
              <w:rPr>
                <w:sz w:val="5"/>
                <w:szCs w:val="5"/>
                <w:color w:val="auto"/>
              </w:rPr>
            </w:pPr>
          </w:p>
        </w:tc>
        <w:tc>
          <w:tcPr>
            <w:tcW w:w="860" w:type="dxa"/>
            <w:vAlign w:val="bottom"/>
            <w:shd w:val="clear" w:color="auto" w:fill="E2EEF6"/>
          </w:tcPr>
          <w:p>
            <w:pPr>
              <w:spacing w:after="0"/>
              <w:rPr>
                <w:sz w:val="5"/>
                <w:szCs w:val="5"/>
                <w:color w:val="auto"/>
              </w:rPr>
            </w:pPr>
          </w:p>
        </w:tc>
        <w:tc>
          <w:tcPr>
            <w:tcW w:w="380" w:type="dxa"/>
            <w:vAlign w:val="bottom"/>
            <w:shd w:val="clear" w:color="auto" w:fill="E2EEF6"/>
          </w:tcPr>
          <w:p>
            <w:pPr>
              <w:spacing w:after="0"/>
              <w:rPr>
                <w:sz w:val="5"/>
                <w:szCs w:val="5"/>
                <w:color w:val="auto"/>
              </w:rPr>
            </w:pPr>
          </w:p>
        </w:tc>
        <w:tc>
          <w:tcPr>
            <w:tcW w:w="1780" w:type="dxa"/>
            <w:vAlign w:val="bottom"/>
            <w:shd w:val="clear" w:color="auto" w:fill="E2EEF6"/>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500" w:type="dxa"/>
            <w:vAlign w:val="bottom"/>
          </w:tcPr>
          <w:p>
            <w:pPr>
              <w:spacing w:after="0"/>
              <w:rPr>
                <w:sz w:val="20"/>
                <w:szCs w:val="20"/>
                <w:color w:val="auto"/>
              </w:rPr>
            </w:pPr>
            <w:r>
              <w:rPr>
                <w:rFonts w:ascii="Arial" w:cs="Arial" w:eastAsia="Arial" w:hAnsi="Arial"/>
                <w:sz w:val="14"/>
                <w:szCs w:val="14"/>
                <w:color w:val="auto"/>
              </w:rPr>
              <w:t>Fourth Quarter</w:t>
            </w:r>
          </w:p>
        </w:tc>
        <w:tc>
          <w:tcPr>
            <w:tcW w:w="1940" w:type="dxa"/>
            <w:vAlign w:val="bottom"/>
            <w:gridSpan w:val="2"/>
          </w:tcPr>
          <w:p>
            <w:pPr>
              <w:jc w:val="right"/>
              <w:ind w:right="380"/>
              <w:spacing w:after="0"/>
              <w:rPr>
                <w:sz w:val="20"/>
                <w:szCs w:val="20"/>
                <w:color w:val="auto"/>
              </w:rPr>
            </w:pPr>
            <w:r>
              <w:rPr>
                <w:rFonts w:ascii="Arial" w:cs="Arial" w:eastAsia="Arial" w:hAnsi="Arial"/>
                <w:sz w:val="14"/>
                <w:szCs w:val="14"/>
                <w:color w:val="auto"/>
              </w:rPr>
              <w:t>11.96</w:t>
            </w:r>
          </w:p>
        </w:tc>
        <w:tc>
          <w:tcPr>
            <w:tcW w:w="500" w:type="dxa"/>
            <w:vAlign w:val="bottom"/>
          </w:tcPr>
          <w:p>
            <w:pPr>
              <w:spacing w:after="0"/>
              <w:rPr>
                <w:sz w:val="15"/>
                <w:szCs w:val="15"/>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9.87</w:t>
            </w:r>
          </w:p>
        </w:tc>
        <w:tc>
          <w:tcPr>
            <w:tcW w:w="1780" w:type="dxa"/>
            <w:vAlign w:val="bottom"/>
          </w:tcPr>
          <w:p>
            <w:pPr>
              <w:jc w:val="right"/>
              <w:spacing w:after="0"/>
              <w:rPr>
                <w:sz w:val="20"/>
                <w:szCs w:val="20"/>
                <w:color w:val="auto"/>
              </w:rPr>
            </w:pPr>
            <w:r>
              <w:rPr>
                <w:rFonts w:ascii="Arial" w:cs="Arial" w:eastAsia="Arial" w:hAnsi="Arial"/>
                <w:sz w:val="14"/>
                <w:szCs w:val="14"/>
                <w:color w:val="auto"/>
              </w:rPr>
              <w:t>0.08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1"/>
        </w:trPr>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2004</w:t>
            </w: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00" w:type="dxa"/>
            <w:vAlign w:val="bottom"/>
            <w:shd w:val="clear" w:color="auto" w:fill="E2EEF6"/>
          </w:tcPr>
          <w:p>
            <w:pPr>
              <w:spacing w:after="0"/>
              <w:rPr>
                <w:sz w:val="20"/>
                <w:szCs w:val="20"/>
                <w:color w:val="auto"/>
              </w:rPr>
            </w:pPr>
            <w:r>
              <w:rPr>
                <w:rFonts w:ascii="Arial" w:cs="Arial" w:eastAsia="Arial" w:hAnsi="Arial"/>
                <w:sz w:val="14"/>
                <w:szCs w:val="14"/>
                <w:color w:val="auto"/>
              </w:rPr>
              <w:t>First Quarter</w:t>
            </w:r>
          </w:p>
        </w:tc>
        <w:tc>
          <w:tcPr>
            <w:tcW w:w="1940" w:type="dxa"/>
            <w:vAlign w:val="bottom"/>
            <w:gridSpan w:val="2"/>
            <w:shd w:val="clear" w:color="auto" w:fill="E2EEF6"/>
          </w:tcPr>
          <w:p>
            <w:pPr>
              <w:jc w:val="right"/>
              <w:ind w:right="380"/>
              <w:spacing w:after="0"/>
              <w:rPr>
                <w:sz w:val="20"/>
                <w:szCs w:val="20"/>
                <w:color w:val="auto"/>
              </w:rPr>
            </w:pPr>
            <w:r>
              <w:rPr>
                <w:rFonts w:ascii="Arial" w:cs="Arial" w:eastAsia="Arial" w:hAnsi="Arial"/>
                <w:sz w:val="14"/>
                <w:szCs w:val="14"/>
                <w:color w:val="auto"/>
              </w:rPr>
              <w:t>$ 13.13</w:t>
            </w:r>
          </w:p>
        </w:tc>
        <w:tc>
          <w:tcPr>
            <w:tcW w:w="500" w:type="dxa"/>
            <w:vAlign w:val="bottom"/>
            <w:shd w:val="clear" w:color="auto" w:fill="E2EEF6"/>
          </w:tcPr>
          <w:p>
            <w:pPr>
              <w:spacing w:after="0"/>
              <w:rPr>
                <w:sz w:val="15"/>
                <w:szCs w:val="15"/>
                <w:color w:val="auto"/>
              </w:rPr>
            </w:pPr>
          </w:p>
        </w:tc>
        <w:tc>
          <w:tcPr>
            <w:tcW w:w="1240" w:type="dxa"/>
            <w:vAlign w:val="bottom"/>
            <w:gridSpan w:val="2"/>
            <w:shd w:val="clear" w:color="auto" w:fill="E2EEF6"/>
          </w:tcPr>
          <w:p>
            <w:pPr>
              <w:jc w:val="right"/>
              <w:ind w:right="380"/>
              <w:spacing w:after="0"/>
              <w:rPr>
                <w:sz w:val="20"/>
                <w:szCs w:val="20"/>
                <w:color w:val="auto"/>
              </w:rPr>
            </w:pPr>
            <w:r>
              <w:rPr>
                <w:rFonts w:ascii="Arial" w:cs="Arial" w:eastAsia="Arial" w:hAnsi="Arial"/>
                <w:sz w:val="14"/>
                <w:szCs w:val="14"/>
                <w:color w:val="auto"/>
              </w:rPr>
              <w:t>$ 11.08</w:t>
            </w:r>
          </w:p>
        </w:tc>
        <w:tc>
          <w:tcPr>
            <w:tcW w:w="1780" w:type="dxa"/>
            <w:vAlign w:val="bottom"/>
            <w:shd w:val="clear" w:color="auto" w:fill="E2EEF6"/>
          </w:tcPr>
          <w:p>
            <w:pPr>
              <w:jc w:val="right"/>
              <w:spacing w:after="0"/>
              <w:rPr>
                <w:sz w:val="20"/>
                <w:szCs w:val="20"/>
                <w:color w:val="auto"/>
              </w:rPr>
            </w:pPr>
            <w:r>
              <w:rPr>
                <w:rFonts w:ascii="Arial" w:cs="Arial" w:eastAsia="Arial" w:hAnsi="Arial"/>
                <w:sz w:val="14"/>
                <w:szCs w:val="14"/>
                <w:color w:val="auto"/>
              </w:rPr>
              <w:t>$ 0.08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500" w:type="dxa"/>
            <w:vAlign w:val="bottom"/>
            <w:shd w:val="clear" w:color="auto" w:fill="E2EEF6"/>
          </w:tcPr>
          <w:p>
            <w:pPr>
              <w:spacing w:after="0"/>
              <w:rPr>
                <w:sz w:val="5"/>
                <w:szCs w:val="5"/>
                <w:color w:val="auto"/>
              </w:rPr>
            </w:pPr>
          </w:p>
        </w:tc>
        <w:tc>
          <w:tcPr>
            <w:tcW w:w="1560" w:type="dxa"/>
            <w:vAlign w:val="bottom"/>
            <w:shd w:val="clear" w:color="auto" w:fill="E2EEF6"/>
          </w:tcPr>
          <w:p>
            <w:pPr>
              <w:spacing w:after="0"/>
              <w:rPr>
                <w:sz w:val="5"/>
                <w:szCs w:val="5"/>
                <w:color w:val="auto"/>
              </w:rPr>
            </w:pPr>
          </w:p>
        </w:tc>
        <w:tc>
          <w:tcPr>
            <w:tcW w:w="380" w:type="dxa"/>
            <w:vAlign w:val="bottom"/>
            <w:shd w:val="clear" w:color="auto" w:fill="E2EEF6"/>
          </w:tcPr>
          <w:p>
            <w:pPr>
              <w:spacing w:after="0"/>
              <w:rPr>
                <w:sz w:val="5"/>
                <w:szCs w:val="5"/>
                <w:color w:val="auto"/>
              </w:rPr>
            </w:pPr>
          </w:p>
        </w:tc>
        <w:tc>
          <w:tcPr>
            <w:tcW w:w="500" w:type="dxa"/>
            <w:vAlign w:val="bottom"/>
            <w:shd w:val="clear" w:color="auto" w:fill="E2EEF6"/>
          </w:tcPr>
          <w:p>
            <w:pPr>
              <w:spacing w:after="0"/>
              <w:rPr>
                <w:sz w:val="5"/>
                <w:szCs w:val="5"/>
                <w:color w:val="auto"/>
              </w:rPr>
            </w:pPr>
          </w:p>
        </w:tc>
        <w:tc>
          <w:tcPr>
            <w:tcW w:w="860" w:type="dxa"/>
            <w:vAlign w:val="bottom"/>
            <w:shd w:val="clear" w:color="auto" w:fill="E2EEF6"/>
          </w:tcPr>
          <w:p>
            <w:pPr>
              <w:spacing w:after="0"/>
              <w:rPr>
                <w:sz w:val="5"/>
                <w:szCs w:val="5"/>
                <w:color w:val="auto"/>
              </w:rPr>
            </w:pPr>
          </w:p>
        </w:tc>
        <w:tc>
          <w:tcPr>
            <w:tcW w:w="380" w:type="dxa"/>
            <w:vAlign w:val="bottom"/>
            <w:shd w:val="clear" w:color="auto" w:fill="E2EEF6"/>
          </w:tcPr>
          <w:p>
            <w:pPr>
              <w:spacing w:after="0"/>
              <w:rPr>
                <w:sz w:val="5"/>
                <w:szCs w:val="5"/>
                <w:color w:val="auto"/>
              </w:rPr>
            </w:pPr>
          </w:p>
        </w:tc>
        <w:tc>
          <w:tcPr>
            <w:tcW w:w="1780" w:type="dxa"/>
            <w:vAlign w:val="bottom"/>
            <w:shd w:val="clear" w:color="auto" w:fill="E2EEF6"/>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500" w:type="dxa"/>
            <w:vAlign w:val="bottom"/>
          </w:tcPr>
          <w:p>
            <w:pPr>
              <w:spacing w:after="0"/>
              <w:rPr>
                <w:sz w:val="20"/>
                <w:szCs w:val="20"/>
                <w:color w:val="auto"/>
              </w:rPr>
            </w:pPr>
            <w:r>
              <w:rPr>
                <w:rFonts w:ascii="Arial" w:cs="Arial" w:eastAsia="Arial" w:hAnsi="Arial"/>
                <w:sz w:val="14"/>
                <w:szCs w:val="14"/>
                <w:color w:val="auto"/>
              </w:rPr>
              <w:t>Second Quarter</w:t>
            </w:r>
          </w:p>
        </w:tc>
        <w:tc>
          <w:tcPr>
            <w:tcW w:w="1940" w:type="dxa"/>
            <w:vAlign w:val="bottom"/>
            <w:gridSpan w:val="2"/>
          </w:tcPr>
          <w:p>
            <w:pPr>
              <w:jc w:val="right"/>
              <w:ind w:right="380"/>
              <w:spacing w:after="0"/>
              <w:rPr>
                <w:sz w:val="20"/>
                <w:szCs w:val="20"/>
                <w:color w:val="auto"/>
              </w:rPr>
            </w:pPr>
            <w:r>
              <w:rPr>
                <w:rFonts w:ascii="Arial" w:cs="Arial" w:eastAsia="Arial" w:hAnsi="Arial"/>
                <w:sz w:val="14"/>
                <w:szCs w:val="14"/>
                <w:color w:val="auto"/>
              </w:rPr>
              <w:t>12.94</w:t>
            </w:r>
          </w:p>
        </w:tc>
        <w:tc>
          <w:tcPr>
            <w:tcW w:w="500" w:type="dxa"/>
            <w:vAlign w:val="bottom"/>
          </w:tcPr>
          <w:p>
            <w:pPr>
              <w:spacing w:after="0"/>
              <w:rPr>
                <w:sz w:val="15"/>
                <w:szCs w:val="15"/>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11.03</w:t>
            </w:r>
          </w:p>
        </w:tc>
        <w:tc>
          <w:tcPr>
            <w:tcW w:w="1780" w:type="dxa"/>
            <w:vAlign w:val="bottom"/>
          </w:tcPr>
          <w:p>
            <w:pPr>
              <w:jc w:val="right"/>
              <w:spacing w:after="0"/>
              <w:rPr>
                <w:sz w:val="20"/>
                <w:szCs w:val="20"/>
                <w:color w:val="auto"/>
              </w:rPr>
            </w:pPr>
            <w:r>
              <w:rPr>
                <w:rFonts w:ascii="Arial" w:cs="Arial" w:eastAsia="Arial" w:hAnsi="Arial"/>
                <w:sz w:val="14"/>
                <w:szCs w:val="14"/>
                <w:color w:val="auto"/>
              </w:rPr>
              <w:t>0.08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5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500" w:type="dxa"/>
            <w:vAlign w:val="bottom"/>
            <w:shd w:val="clear" w:color="auto" w:fill="E2EEF6"/>
          </w:tcPr>
          <w:p>
            <w:pPr>
              <w:spacing w:after="0"/>
              <w:rPr>
                <w:sz w:val="20"/>
                <w:szCs w:val="20"/>
                <w:color w:val="auto"/>
              </w:rPr>
            </w:pPr>
            <w:r>
              <w:rPr>
                <w:rFonts w:ascii="Arial" w:cs="Arial" w:eastAsia="Arial" w:hAnsi="Arial"/>
                <w:sz w:val="14"/>
                <w:szCs w:val="14"/>
                <w:color w:val="auto"/>
              </w:rPr>
              <w:t>Third Quarter</w:t>
            </w:r>
          </w:p>
        </w:tc>
        <w:tc>
          <w:tcPr>
            <w:tcW w:w="1940" w:type="dxa"/>
            <w:vAlign w:val="bottom"/>
            <w:gridSpan w:val="2"/>
            <w:shd w:val="clear" w:color="auto" w:fill="E2EEF6"/>
          </w:tcPr>
          <w:p>
            <w:pPr>
              <w:jc w:val="right"/>
              <w:ind w:right="380"/>
              <w:spacing w:after="0"/>
              <w:rPr>
                <w:sz w:val="20"/>
                <w:szCs w:val="20"/>
                <w:color w:val="auto"/>
              </w:rPr>
            </w:pPr>
            <w:r>
              <w:rPr>
                <w:rFonts w:ascii="Arial" w:cs="Arial" w:eastAsia="Arial" w:hAnsi="Arial"/>
                <w:sz w:val="14"/>
                <w:szCs w:val="14"/>
                <w:color w:val="auto"/>
              </w:rPr>
              <w:t>12.00</w:t>
            </w:r>
          </w:p>
        </w:tc>
        <w:tc>
          <w:tcPr>
            <w:tcW w:w="500" w:type="dxa"/>
            <w:vAlign w:val="bottom"/>
            <w:shd w:val="clear" w:color="auto" w:fill="E2EEF6"/>
          </w:tcPr>
          <w:p>
            <w:pPr>
              <w:spacing w:after="0"/>
              <w:rPr>
                <w:sz w:val="15"/>
                <w:szCs w:val="15"/>
                <w:color w:val="auto"/>
              </w:rPr>
            </w:pPr>
          </w:p>
        </w:tc>
        <w:tc>
          <w:tcPr>
            <w:tcW w:w="1240" w:type="dxa"/>
            <w:vAlign w:val="bottom"/>
            <w:gridSpan w:val="2"/>
            <w:shd w:val="clear" w:color="auto" w:fill="E2EEF6"/>
          </w:tcPr>
          <w:p>
            <w:pPr>
              <w:jc w:val="right"/>
              <w:ind w:right="380"/>
              <w:spacing w:after="0"/>
              <w:rPr>
                <w:sz w:val="20"/>
                <w:szCs w:val="20"/>
                <w:color w:val="auto"/>
              </w:rPr>
            </w:pPr>
            <w:r>
              <w:rPr>
                <w:rFonts w:ascii="Arial" w:cs="Arial" w:eastAsia="Arial" w:hAnsi="Arial"/>
                <w:sz w:val="14"/>
                <w:szCs w:val="14"/>
                <w:color w:val="auto"/>
              </w:rPr>
              <w:t>9.40</w:t>
            </w:r>
          </w:p>
        </w:tc>
        <w:tc>
          <w:tcPr>
            <w:tcW w:w="1780" w:type="dxa"/>
            <w:vAlign w:val="bottom"/>
            <w:shd w:val="clear" w:color="auto" w:fill="E2EEF6"/>
          </w:tcPr>
          <w:p>
            <w:pPr>
              <w:jc w:val="right"/>
              <w:spacing w:after="0"/>
              <w:rPr>
                <w:sz w:val="20"/>
                <w:szCs w:val="20"/>
                <w:color w:val="auto"/>
              </w:rPr>
            </w:pPr>
            <w:r>
              <w:rPr>
                <w:rFonts w:ascii="Arial" w:cs="Arial" w:eastAsia="Arial" w:hAnsi="Arial"/>
                <w:sz w:val="14"/>
                <w:szCs w:val="14"/>
                <w:color w:val="auto"/>
              </w:rPr>
              <w:t>0.08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500" w:type="dxa"/>
            <w:vAlign w:val="bottom"/>
            <w:shd w:val="clear" w:color="auto" w:fill="E2EEF6"/>
          </w:tcPr>
          <w:p>
            <w:pPr>
              <w:spacing w:after="0"/>
              <w:rPr>
                <w:sz w:val="5"/>
                <w:szCs w:val="5"/>
                <w:color w:val="auto"/>
              </w:rPr>
            </w:pPr>
          </w:p>
        </w:tc>
        <w:tc>
          <w:tcPr>
            <w:tcW w:w="1560" w:type="dxa"/>
            <w:vAlign w:val="bottom"/>
            <w:shd w:val="clear" w:color="auto" w:fill="E2EEF6"/>
          </w:tcPr>
          <w:p>
            <w:pPr>
              <w:spacing w:after="0"/>
              <w:rPr>
                <w:sz w:val="5"/>
                <w:szCs w:val="5"/>
                <w:color w:val="auto"/>
              </w:rPr>
            </w:pPr>
          </w:p>
        </w:tc>
        <w:tc>
          <w:tcPr>
            <w:tcW w:w="380" w:type="dxa"/>
            <w:vAlign w:val="bottom"/>
            <w:shd w:val="clear" w:color="auto" w:fill="E2EEF6"/>
          </w:tcPr>
          <w:p>
            <w:pPr>
              <w:spacing w:after="0"/>
              <w:rPr>
                <w:sz w:val="5"/>
                <w:szCs w:val="5"/>
                <w:color w:val="auto"/>
              </w:rPr>
            </w:pPr>
          </w:p>
        </w:tc>
        <w:tc>
          <w:tcPr>
            <w:tcW w:w="500" w:type="dxa"/>
            <w:vAlign w:val="bottom"/>
            <w:shd w:val="clear" w:color="auto" w:fill="E2EEF6"/>
          </w:tcPr>
          <w:p>
            <w:pPr>
              <w:spacing w:after="0"/>
              <w:rPr>
                <w:sz w:val="5"/>
                <w:szCs w:val="5"/>
                <w:color w:val="auto"/>
              </w:rPr>
            </w:pPr>
          </w:p>
        </w:tc>
        <w:tc>
          <w:tcPr>
            <w:tcW w:w="860" w:type="dxa"/>
            <w:vAlign w:val="bottom"/>
            <w:shd w:val="clear" w:color="auto" w:fill="E2EEF6"/>
          </w:tcPr>
          <w:p>
            <w:pPr>
              <w:spacing w:after="0"/>
              <w:rPr>
                <w:sz w:val="5"/>
                <w:szCs w:val="5"/>
                <w:color w:val="auto"/>
              </w:rPr>
            </w:pPr>
          </w:p>
        </w:tc>
        <w:tc>
          <w:tcPr>
            <w:tcW w:w="380" w:type="dxa"/>
            <w:vAlign w:val="bottom"/>
            <w:shd w:val="clear" w:color="auto" w:fill="E2EEF6"/>
          </w:tcPr>
          <w:p>
            <w:pPr>
              <w:spacing w:after="0"/>
              <w:rPr>
                <w:sz w:val="5"/>
                <w:szCs w:val="5"/>
                <w:color w:val="auto"/>
              </w:rPr>
            </w:pPr>
          </w:p>
        </w:tc>
        <w:tc>
          <w:tcPr>
            <w:tcW w:w="1780" w:type="dxa"/>
            <w:vAlign w:val="bottom"/>
            <w:shd w:val="clear" w:color="auto" w:fill="E2EEF6"/>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500" w:type="dxa"/>
            <w:vAlign w:val="bottom"/>
          </w:tcPr>
          <w:p>
            <w:pPr>
              <w:spacing w:after="0"/>
              <w:rPr>
                <w:sz w:val="20"/>
                <w:szCs w:val="20"/>
                <w:color w:val="auto"/>
              </w:rPr>
            </w:pPr>
            <w:r>
              <w:rPr>
                <w:rFonts w:ascii="Arial" w:cs="Arial" w:eastAsia="Arial" w:hAnsi="Arial"/>
                <w:sz w:val="14"/>
                <w:szCs w:val="14"/>
                <w:color w:val="auto"/>
              </w:rPr>
              <w:t>Fourth Quarter</w:t>
            </w:r>
          </w:p>
        </w:tc>
        <w:tc>
          <w:tcPr>
            <w:tcW w:w="1940" w:type="dxa"/>
            <w:vAlign w:val="bottom"/>
            <w:gridSpan w:val="2"/>
          </w:tcPr>
          <w:p>
            <w:pPr>
              <w:jc w:val="right"/>
              <w:ind w:right="380"/>
              <w:spacing w:after="0"/>
              <w:rPr>
                <w:sz w:val="20"/>
                <w:szCs w:val="20"/>
                <w:color w:val="auto"/>
              </w:rPr>
            </w:pPr>
            <w:r>
              <w:rPr>
                <w:rFonts w:ascii="Arial" w:cs="Arial" w:eastAsia="Arial" w:hAnsi="Arial"/>
                <w:sz w:val="14"/>
                <w:szCs w:val="14"/>
                <w:color w:val="auto"/>
              </w:rPr>
              <w:t>13.21</w:t>
            </w:r>
          </w:p>
        </w:tc>
        <w:tc>
          <w:tcPr>
            <w:tcW w:w="500" w:type="dxa"/>
            <w:vAlign w:val="bottom"/>
          </w:tcPr>
          <w:p>
            <w:pPr>
              <w:spacing w:after="0"/>
              <w:rPr>
                <w:sz w:val="15"/>
                <w:szCs w:val="15"/>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11.06</w:t>
            </w:r>
          </w:p>
        </w:tc>
        <w:tc>
          <w:tcPr>
            <w:tcW w:w="1780" w:type="dxa"/>
            <w:vAlign w:val="bottom"/>
          </w:tcPr>
          <w:p>
            <w:pPr>
              <w:jc w:val="right"/>
              <w:spacing w:after="0"/>
              <w:rPr>
                <w:sz w:val="20"/>
                <w:szCs w:val="20"/>
                <w:color w:val="auto"/>
              </w:rPr>
            </w:pPr>
            <w:r>
              <w:rPr>
                <w:rFonts w:ascii="Arial" w:cs="Arial" w:eastAsia="Arial" w:hAnsi="Arial"/>
                <w:sz w:val="14"/>
                <w:szCs w:val="14"/>
                <w:color w:val="auto"/>
              </w:rPr>
              <w:t>0.08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declaration and payment of dividends are subject to the sole discretion of the Board of Directors of the Company and depend upon the Company’s profitability, financial condition, capital needs, future prospects and other factors deemed relevant by the Board of Directors. The terms of the Company’s revolving credit facility restrict the payment of dividends by prohibiting the Company from declaring or paying any dividend if an event of default exists at the time of, or would occur as a result of, such declaration or payment. Additionally, the terms of the Company’s revolving credit facility restrict the declaration and payment of dividends in excess of certain amounts specified in the credit agreement in any fiscal year. For further description of the Company’s revolving credit facility, see “Management’s Discussion and Analysis of Financial Condition and Results of Operations - Liquidity and Capital Resources” herein.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During the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Quarter of 2005, there were not any repurchases of the Company’s stock by the Company or any “affiliated purchasers.”</w:t>
      </w:r>
    </w:p>
    <w:p>
      <w:pPr>
        <w:spacing w:after="0" w:line="174"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Item 6. Selected Financial Data</w:t>
      </w:r>
    </w:p>
    <w:p>
      <w:pPr>
        <w:spacing w:after="0" w:line="2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selected financial data of the Company are qualified by reference to and should be read in conjunction with the consolidated financial statements and the Notes thereto included as Item 8. The data set forth below as of December 31, 2005, 2004, and 2003 and for the periods then ended has been derived from the consolidated financial statements of the Company which have been audited by PricewaterhouseCoopers LLP, an independent registered public accounting firm, whose report thereon is included as part of Item 8. The data below as of December 31, 2002 and 2001 and for the periods then ended has been derived from the consolidated financial statements of the Company, which have been audited by KPMG LLP, an independent registered public accounting firm. These historical results are not necessarily indicative of the results to be expected in the future. See "Management's Discussion and Analysis of Financial Condition and Results of Operations."</w:t>
      </w:r>
    </w:p>
    <w:p>
      <w:pPr>
        <w:sectPr>
          <w:pgSz w:w="11900" w:h="16838" w:orient="portrait"/>
          <w:cols w:equalWidth="0" w:num="1">
            <w:col w:w="11420"/>
          </w:cols>
          <w:pgMar w:left="240" w:top="125" w:right="239" w:bottom="5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578"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2005</w:t>
            </w: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2004</w:t>
            </w: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2003</w:t>
            </w: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2002</w:t>
            </w: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2001</w:t>
            </w: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Statement of Income Data:</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spacing w:after="0"/>
              <w:rPr>
                <w:sz w:val="20"/>
                <w:szCs w:val="20"/>
                <w:color w:val="auto"/>
              </w:rPr>
            </w:pPr>
            <w:r>
              <w:rPr>
                <w:rFonts w:ascii="Arial" w:cs="Arial" w:eastAsia="Arial" w:hAnsi="Arial"/>
                <w:sz w:val="18"/>
                <w:szCs w:val="18"/>
                <w:color w:val="auto"/>
              </w:rPr>
              <w:t>Net sales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$321,387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$304,089</w:t>
            </w:r>
          </w:p>
        </w:tc>
        <w:tc>
          <w:tcPr>
            <w:tcW w:w="2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$253,462</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$192,856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$180,151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2"/>
            <w:shd w:val="clear" w:color="auto" w:fill="E2EEF6"/>
          </w:tcPr>
          <w:p>
            <w:pPr>
              <w:spacing w:after="0" w:line="201" w:lineRule="exact"/>
              <w:rPr>
                <w:sz w:val="20"/>
                <w:szCs w:val="20"/>
                <w:color w:val="auto"/>
              </w:rPr>
            </w:pPr>
            <w:r>
              <w:rPr>
                <w:rFonts w:ascii="Arial" w:cs="Arial" w:eastAsia="Arial" w:hAnsi="Arial"/>
                <w:sz w:val="18"/>
                <w:szCs w:val="18"/>
                <w:color w:val="auto"/>
                <w:w w:val="98"/>
              </w:rPr>
              <w:t>Cost of products sold (exclusive of depreciation shown separately</w:t>
            </w:r>
          </w:p>
        </w:tc>
        <w:tc>
          <w:tcPr>
            <w:tcW w:w="240" w:type="dxa"/>
            <w:vAlign w:val="bottom"/>
            <w:shd w:val="clear" w:color="auto" w:fill="E2EEF6"/>
          </w:tcPr>
          <w:p>
            <w:pPr>
              <w:spacing w:after="0"/>
              <w:rPr>
                <w:sz w:val="17"/>
                <w:szCs w:val="17"/>
                <w:color w:val="auto"/>
              </w:rPr>
            </w:pPr>
          </w:p>
        </w:tc>
        <w:tc>
          <w:tcPr>
            <w:tcW w:w="920" w:type="dxa"/>
            <w:vAlign w:val="bottom"/>
            <w:vMerge w:val="restart"/>
            <w:shd w:val="clear" w:color="auto" w:fill="E2EEF6"/>
          </w:tcPr>
          <w:p>
            <w:pPr>
              <w:jc w:val="right"/>
              <w:spacing w:after="0"/>
              <w:rPr>
                <w:sz w:val="20"/>
                <w:szCs w:val="20"/>
                <w:color w:val="auto"/>
              </w:rPr>
            </w:pPr>
            <w:r>
              <w:rPr>
                <w:rFonts w:ascii="Arial" w:cs="Arial" w:eastAsia="Arial" w:hAnsi="Arial"/>
                <w:sz w:val="18"/>
                <w:szCs w:val="18"/>
                <w:color w:val="auto"/>
              </w:rPr>
              <w:t>248,828</w:t>
            </w:r>
          </w:p>
        </w:tc>
        <w:tc>
          <w:tcPr>
            <w:tcW w:w="120" w:type="dxa"/>
            <w:vAlign w:val="bottom"/>
            <w:shd w:val="clear" w:color="auto" w:fill="E2EEF6"/>
          </w:tcPr>
          <w:p>
            <w:pPr>
              <w:spacing w:after="0"/>
              <w:rPr>
                <w:sz w:val="17"/>
                <w:szCs w:val="17"/>
                <w:color w:val="auto"/>
              </w:rPr>
            </w:pPr>
          </w:p>
        </w:tc>
        <w:tc>
          <w:tcPr>
            <w:tcW w:w="240" w:type="dxa"/>
            <w:vAlign w:val="bottom"/>
            <w:shd w:val="clear" w:color="auto" w:fill="E2EEF6"/>
          </w:tcPr>
          <w:p>
            <w:pPr>
              <w:spacing w:after="0"/>
              <w:rPr>
                <w:sz w:val="17"/>
                <w:szCs w:val="17"/>
                <w:color w:val="auto"/>
              </w:rPr>
            </w:pPr>
          </w:p>
        </w:tc>
        <w:tc>
          <w:tcPr>
            <w:tcW w:w="1020" w:type="dxa"/>
            <w:vAlign w:val="bottom"/>
            <w:gridSpan w:val="2"/>
            <w:vMerge w:val="restart"/>
            <w:shd w:val="clear" w:color="auto" w:fill="E2EEF6"/>
          </w:tcPr>
          <w:p>
            <w:pPr>
              <w:jc w:val="right"/>
              <w:ind w:right="120"/>
              <w:spacing w:after="0"/>
              <w:rPr>
                <w:sz w:val="20"/>
                <w:szCs w:val="20"/>
                <w:color w:val="auto"/>
              </w:rPr>
            </w:pPr>
            <w:r>
              <w:rPr>
                <w:rFonts w:ascii="Arial" w:cs="Arial" w:eastAsia="Arial" w:hAnsi="Arial"/>
                <w:sz w:val="18"/>
                <w:szCs w:val="18"/>
                <w:color w:val="auto"/>
              </w:rPr>
              <w:t>240,580</w:t>
            </w:r>
          </w:p>
        </w:tc>
        <w:tc>
          <w:tcPr>
            <w:tcW w:w="240" w:type="dxa"/>
            <w:vAlign w:val="bottom"/>
            <w:shd w:val="clear" w:color="auto" w:fill="E2EEF6"/>
          </w:tcPr>
          <w:p>
            <w:pPr>
              <w:spacing w:after="0"/>
              <w:rPr>
                <w:sz w:val="17"/>
                <w:szCs w:val="17"/>
                <w:color w:val="auto"/>
              </w:rPr>
            </w:pPr>
          </w:p>
        </w:tc>
        <w:tc>
          <w:tcPr>
            <w:tcW w:w="1000" w:type="dxa"/>
            <w:vAlign w:val="bottom"/>
            <w:gridSpan w:val="2"/>
            <w:vMerge w:val="restart"/>
            <w:shd w:val="clear" w:color="auto" w:fill="E2EEF6"/>
          </w:tcPr>
          <w:p>
            <w:pPr>
              <w:jc w:val="right"/>
              <w:ind w:right="120"/>
              <w:spacing w:after="0"/>
              <w:rPr>
                <w:sz w:val="20"/>
                <w:szCs w:val="20"/>
                <w:color w:val="auto"/>
              </w:rPr>
            </w:pPr>
            <w:r>
              <w:rPr>
                <w:rFonts w:ascii="Arial" w:cs="Arial" w:eastAsia="Arial" w:hAnsi="Arial"/>
                <w:sz w:val="18"/>
                <w:szCs w:val="18"/>
                <w:color w:val="auto"/>
              </w:rPr>
              <w:t>195,658</w:t>
            </w:r>
          </w:p>
        </w:tc>
        <w:tc>
          <w:tcPr>
            <w:tcW w:w="240" w:type="dxa"/>
            <w:vAlign w:val="bottom"/>
            <w:shd w:val="clear" w:color="auto" w:fill="E2EEF6"/>
          </w:tcPr>
          <w:p>
            <w:pPr>
              <w:spacing w:after="0"/>
              <w:rPr>
                <w:sz w:val="17"/>
                <w:szCs w:val="17"/>
                <w:color w:val="auto"/>
              </w:rPr>
            </w:pPr>
          </w:p>
        </w:tc>
        <w:tc>
          <w:tcPr>
            <w:tcW w:w="880" w:type="dxa"/>
            <w:vAlign w:val="bottom"/>
            <w:vMerge w:val="restart"/>
            <w:shd w:val="clear" w:color="auto" w:fill="E2EEF6"/>
          </w:tcPr>
          <w:p>
            <w:pPr>
              <w:jc w:val="right"/>
              <w:spacing w:after="0"/>
              <w:rPr>
                <w:sz w:val="20"/>
                <w:szCs w:val="20"/>
                <w:color w:val="auto"/>
              </w:rPr>
            </w:pPr>
            <w:r>
              <w:rPr>
                <w:rFonts w:ascii="Arial" w:cs="Arial" w:eastAsia="Arial" w:hAnsi="Arial"/>
                <w:sz w:val="18"/>
                <w:szCs w:val="18"/>
                <w:color w:val="auto"/>
              </w:rPr>
              <w:t>144,274</w:t>
            </w:r>
          </w:p>
        </w:tc>
        <w:tc>
          <w:tcPr>
            <w:tcW w:w="120" w:type="dxa"/>
            <w:vAlign w:val="bottom"/>
            <w:tcBorders>
              <w:right w:val="single" w:sz="8" w:color="E2EEF6"/>
            </w:tcBorders>
            <w:shd w:val="clear" w:color="auto" w:fill="E2EEF6"/>
          </w:tcPr>
          <w:p>
            <w:pPr>
              <w:spacing w:after="0"/>
              <w:rPr>
                <w:sz w:val="17"/>
                <w:szCs w:val="17"/>
                <w:color w:val="auto"/>
              </w:rPr>
            </w:pPr>
          </w:p>
        </w:tc>
        <w:tc>
          <w:tcPr>
            <w:tcW w:w="240" w:type="dxa"/>
            <w:vAlign w:val="bottom"/>
            <w:shd w:val="clear" w:color="auto" w:fill="E2EEF6"/>
          </w:tcPr>
          <w:p>
            <w:pPr>
              <w:spacing w:after="0"/>
              <w:rPr>
                <w:sz w:val="17"/>
                <w:szCs w:val="17"/>
                <w:color w:val="auto"/>
              </w:rPr>
            </w:pPr>
          </w:p>
        </w:tc>
        <w:tc>
          <w:tcPr>
            <w:tcW w:w="1000" w:type="dxa"/>
            <w:vAlign w:val="bottom"/>
            <w:gridSpan w:val="2"/>
            <w:vMerge w:val="restart"/>
            <w:shd w:val="clear" w:color="auto" w:fill="E2EEF6"/>
          </w:tcPr>
          <w:p>
            <w:pPr>
              <w:jc w:val="right"/>
              <w:ind w:right="100"/>
              <w:spacing w:after="0"/>
              <w:rPr>
                <w:sz w:val="20"/>
                <w:szCs w:val="20"/>
                <w:color w:val="auto"/>
              </w:rPr>
            </w:pPr>
            <w:r>
              <w:rPr>
                <w:rFonts w:ascii="Arial" w:cs="Arial" w:eastAsia="Arial" w:hAnsi="Arial"/>
                <w:sz w:val="18"/>
                <w:szCs w:val="18"/>
                <w:color w:val="auto"/>
              </w:rPr>
              <w:t>137,221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shd w:val="clear" w:color="auto" w:fill="E2EEF6"/>
          </w:tcPr>
          <w:p>
            <w:pPr>
              <w:ind w:left="160"/>
              <w:spacing w:after="0"/>
              <w:rPr>
                <w:sz w:val="20"/>
                <w:szCs w:val="20"/>
                <w:color w:val="auto"/>
              </w:rPr>
            </w:pPr>
            <w:r>
              <w:rPr>
                <w:rFonts w:ascii="Arial" w:cs="Arial" w:eastAsia="Arial" w:hAnsi="Arial"/>
                <w:sz w:val="18"/>
                <w:szCs w:val="18"/>
                <w:color w:val="auto"/>
              </w:rPr>
              <w:t>below)</w:t>
            </w:r>
          </w:p>
        </w:tc>
        <w:tc>
          <w:tcPr>
            <w:tcW w:w="240" w:type="dxa"/>
            <w:vAlign w:val="bottom"/>
            <w:shd w:val="clear" w:color="auto" w:fill="E2EEF6"/>
          </w:tcPr>
          <w:p>
            <w:pPr>
              <w:spacing w:after="0"/>
              <w:rPr>
                <w:sz w:val="20"/>
                <w:szCs w:val="20"/>
                <w:color w:val="auto"/>
              </w:rPr>
            </w:pPr>
          </w:p>
        </w:tc>
        <w:tc>
          <w:tcPr>
            <w:tcW w:w="920" w:type="dxa"/>
            <w:vAlign w:val="bottom"/>
            <w:vMerge w:val="continue"/>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1020" w:type="dxa"/>
            <w:vAlign w:val="bottom"/>
            <w:gridSpan w:val="2"/>
            <w:vMerge w:val="continue"/>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1000" w:type="dxa"/>
            <w:vAlign w:val="bottom"/>
            <w:gridSpan w:val="2"/>
            <w:vMerge w:val="continue"/>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880" w:type="dxa"/>
            <w:vAlign w:val="bottom"/>
            <w:vMerge w:val="continue"/>
            <w:shd w:val="clear" w:color="auto" w:fill="E2EEF6"/>
          </w:tcPr>
          <w:p>
            <w:pPr>
              <w:spacing w:after="0"/>
              <w:rPr>
                <w:sz w:val="20"/>
                <w:szCs w:val="20"/>
                <w:color w:val="auto"/>
              </w:rPr>
            </w:pPr>
          </w:p>
        </w:tc>
        <w:tc>
          <w:tcPr>
            <w:tcW w:w="120" w:type="dxa"/>
            <w:vAlign w:val="bottom"/>
            <w:tcBorders>
              <w:right w:val="single" w:sz="8" w:color="E2EEF6"/>
            </w:tcBorders>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1000" w:type="dxa"/>
            <w:vAlign w:val="bottom"/>
            <w:gridSpan w:val="2"/>
            <w:vMerge w:val="continue"/>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29,073</w:t>
            </w: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29,755</w:t>
            </w:r>
          </w:p>
        </w:tc>
        <w:tc>
          <w:tcPr>
            <w:tcW w:w="2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21,700</w:t>
            </w:r>
          </w:p>
        </w:tc>
        <w:tc>
          <w:tcPr>
            <w:tcW w:w="2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17,134</w:t>
            </w: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16,752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16,331</w:t>
            </w:r>
          </w:p>
        </w:tc>
        <w:tc>
          <w:tcPr>
            <w:tcW w:w="240" w:type="dxa"/>
            <w:vAlign w:val="bottom"/>
            <w:shd w:val="clear" w:color="auto" w:fill="E2EEF6"/>
          </w:tcPr>
          <w:p>
            <w:pPr>
              <w:spacing w:after="0"/>
              <w:rPr>
                <w:sz w:val="21"/>
                <w:szCs w:val="21"/>
                <w:color w:val="auto"/>
              </w:rPr>
            </w:pPr>
          </w:p>
        </w:tc>
        <w:tc>
          <w:tcPr>
            <w:tcW w:w="10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16,133</w:t>
            </w:r>
          </w:p>
        </w:tc>
        <w:tc>
          <w:tcPr>
            <w:tcW w:w="240" w:type="dxa"/>
            <w:vAlign w:val="bottom"/>
            <w:shd w:val="clear" w:color="auto" w:fill="E2EEF6"/>
          </w:tcPr>
          <w:p>
            <w:pPr>
              <w:spacing w:after="0"/>
              <w:rPr>
                <w:sz w:val="21"/>
                <w:szCs w:val="21"/>
                <w:color w:val="auto"/>
              </w:rPr>
            </w:pPr>
          </w:p>
        </w:tc>
        <w:tc>
          <w:tcPr>
            <w:tcW w:w="10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13,691</w:t>
            </w:r>
          </w:p>
        </w:tc>
        <w:tc>
          <w:tcPr>
            <w:tcW w:w="240" w:type="dxa"/>
            <w:vAlign w:val="bottom"/>
            <w:shd w:val="clear" w:color="auto" w:fill="E2EEF6"/>
          </w:tcPr>
          <w:p>
            <w:pPr>
              <w:spacing w:after="0"/>
              <w:rPr>
                <w:sz w:val="21"/>
                <w:szCs w:val="21"/>
                <w:color w:val="auto"/>
              </w:rPr>
            </w:pP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11,212</w:t>
            </w:r>
          </w:p>
        </w:tc>
        <w:tc>
          <w:tcPr>
            <w:tcW w:w="120" w:type="dxa"/>
            <w:vAlign w:val="bottom"/>
            <w:tcBorders>
              <w:right w:val="single" w:sz="8" w:color="E2EEF6"/>
            </w:tcBorders>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0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13,150</w:t>
            </w:r>
          </w:p>
        </w:tc>
        <w:tc>
          <w:tcPr>
            <w:tcW w:w="0" w:type="dxa"/>
            <w:vAlign w:val="bottom"/>
          </w:tcPr>
          <w:p>
            <w:pPr>
              <w:spacing w:after="0"/>
              <w:rPr>
                <w:sz w:val="1"/>
                <w:szCs w:val="1"/>
                <w:color w:val="auto"/>
              </w:rPr>
            </w:pPr>
          </w:p>
        </w:tc>
      </w:tr>
      <w:tr>
        <w:trPr>
          <w:trHeight w:val="243"/>
        </w:trPr>
        <w:tc>
          <w:tcPr>
            <w:tcW w:w="5160" w:type="dxa"/>
            <w:vAlign w:val="bottom"/>
            <w:gridSpan w:val="3"/>
          </w:tcPr>
          <w:p>
            <w:pPr>
              <w:spacing w:after="0"/>
              <w:rPr>
                <w:sz w:val="20"/>
                <w:szCs w:val="20"/>
                <w:color w:val="auto"/>
              </w:rPr>
            </w:pPr>
            <w:r>
              <w:rPr>
                <w:rFonts w:ascii="Arial" w:cs="Arial" w:eastAsia="Arial" w:hAnsi="Arial"/>
                <w:sz w:val="18"/>
                <w:szCs w:val="18"/>
                <w:color w:val="auto"/>
              </w:rPr>
              <w:t>(Gain) loss on disposal of assets</w:t>
            </w:r>
          </w:p>
        </w:tc>
        <w:tc>
          <w:tcPr>
            <w:tcW w:w="2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(391)</w:t>
            </w: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856</w:t>
            </w:r>
          </w:p>
        </w:tc>
        <w:tc>
          <w:tcPr>
            <w:tcW w:w="24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E2EEF6"/>
            </w:tcBorders>
            <w:gridSpan w:val="2"/>
            <w:shd w:val="clear" w:color="auto" w:fill="E2EEF6"/>
          </w:tcPr>
          <w:p>
            <w:pPr>
              <w:spacing w:after="0"/>
              <w:rPr>
                <w:sz w:val="20"/>
                <w:szCs w:val="20"/>
                <w:color w:val="auto"/>
              </w:rPr>
            </w:pPr>
            <w:r>
              <w:rPr>
                <w:rFonts w:ascii="Arial" w:cs="Arial" w:eastAsia="Arial" w:hAnsi="Arial"/>
                <w:sz w:val="18"/>
                <w:szCs w:val="18"/>
                <w:color w:val="auto"/>
              </w:rPr>
              <w:t>Restructuring and impairment costs</w:t>
            </w:r>
          </w:p>
        </w:tc>
        <w:tc>
          <w:tcPr>
            <w:tcW w:w="240" w:type="dxa"/>
            <w:vAlign w:val="bottom"/>
            <w:tcBorders>
              <w:bottom w:val="single" w:sz="8" w:color="E2EEF6"/>
            </w:tcBorders>
            <w:shd w:val="clear" w:color="auto" w:fill="E2EEF6"/>
          </w:tcPr>
          <w:p>
            <w:pPr>
              <w:spacing w:after="0"/>
              <w:rPr>
                <w:sz w:val="21"/>
                <w:szCs w:val="21"/>
                <w:color w:val="auto"/>
              </w:rPr>
            </w:pPr>
          </w:p>
        </w:tc>
        <w:tc>
          <w:tcPr>
            <w:tcW w:w="1040" w:type="dxa"/>
            <w:vAlign w:val="bottom"/>
            <w:tcBorders>
              <w:bottom w:val="single" w:sz="8" w:color="E2EEF6"/>
            </w:tcBorders>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(342)</w:t>
            </w:r>
          </w:p>
        </w:tc>
        <w:tc>
          <w:tcPr>
            <w:tcW w:w="240" w:type="dxa"/>
            <w:vAlign w:val="bottom"/>
            <w:tcBorders>
              <w:bottom w:val="single" w:sz="8" w:color="E2EEF6"/>
            </w:tcBorders>
            <w:shd w:val="clear" w:color="auto" w:fill="E2EEF6"/>
          </w:tcPr>
          <w:p>
            <w:pPr>
              <w:spacing w:after="0"/>
              <w:rPr>
                <w:sz w:val="21"/>
                <w:szCs w:val="21"/>
                <w:color w:val="auto"/>
              </w:rPr>
            </w:pPr>
          </w:p>
        </w:tc>
        <w:tc>
          <w:tcPr>
            <w:tcW w:w="102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2,398</w:t>
            </w:r>
          </w:p>
        </w:tc>
        <w:tc>
          <w:tcPr>
            <w:tcW w:w="240" w:type="dxa"/>
            <w:vAlign w:val="bottom"/>
            <w:tcBorders>
              <w:bottom w:val="single" w:sz="8" w:color="E2EEF6"/>
            </w:tcBorders>
            <w:shd w:val="clear" w:color="auto" w:fill="E2EEF6"/>
          </w:tcPr>
          <w:p>
            <w:pPr>
              <w:spacing w:after="0"/>
              <w:rPr>
                <w:sz w:val="21"/>
                <w:szCs w:val="21"/>
                <w:color w:val="auto"/>
              </w:rPr>
            </w:pPr>
          </w:p>
        </w:tc>
        <w:tc>
          <w:tcPr>
            <w:tcW w:w="100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2,490</w:t>
            </w:r>
          </w:p>
        </w:tc>
        <w:tc>
          <w:tcPr>
            <w:tcW w:w="240" w:type="dxa"/>
            <w:vAlign w:val="bottom"/>
            <w:tcBorders>
              <w:bottom w:val="single" w:sz="8" w:color="E2EEF6"/>
            </w:tcBorders>
            <w:shd w:val="clear" w:color="auto" w:fill="E2EEF6"/>
          </w:tcPr>
          <w:p>
            <w:pPr>
              <w:spacing w:after="0"/>
              <w:rPr>
                <w:sz w:val="21"/>
                <w:szCs w:val="21"/>
                <w:color w:val="auto"/>
              </w:rPr>
            </w:pPr>
          </w:p>
        </w:tc>
        <w:tc>
          <w:tcPr>
            <w:tcW w:w="88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Borders>
              <w:bottom w:val="single" w:sz="8" w:color="E2EEF6"/>
              <w:right w:val="single" w:sz="8" w:color="E2EEF6"/>
            </w:tcBorders>
            <w:shd w:val="clear" w:color="auto" w:fill="E2EEF6"/>
          </w:tcPr>
          <w:p>
            <w:pPr>
              <w:spacing w:after="0"/>
              <w:rPr>
                <w:sz w:val="21"/>
                <w:szCs w:val="21"/>
                <w:color w:val="auto"/>
              </w:rPr>
            </w:pPr>
          </w:p>
        </w:tc>
        <w:tc>
          <w:tcPr>
            <w:tcW w:w="240" w:type="dxa"/>
            <w:vAlign w:val="bottom"/>
            <w:tcBorders>
              <w:bottom w:val="single" w:sz="8" w:color="E2EEF6"/>
            </w:tcBorders>
            <w:shd w:val="clear" w:color="auto" w:fill="E2EEF6"/>
          </w:tcPr>
          <w:p>
            <w:pPr>
              <w:spacing w:after="0"/>
              <w:rPr>
                <w:sz w:val="21"/>
                <w:szCs w:val="21"/>
                <w:color w:val="auto"/>
              </w:rPr>
            </w:pPr>
          </w:p>
        </w:tc>
        <w:tc>
          <w:tcPr>
            <w:tcW w:w="100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shd w:val="clear" w:color="auto" w:fill="E2EEF6"/>
          </w:tcPr>
          <w:p>
            <w:pPr>
              <w:spacing w:after="0" w:line="20" w:lineRule="exact"/>
              <w:rPr>
                <w:sz w:val="1"/>
                <w:szCs w:val="1"/>
                <w:color w:val="auto"/>
              </w:rPr>
            </w:pPr>
          </w:p>
        </w:tc>
        <w:tc>
          <w:tcPr>
            <w:tcW w:w="740" w:type="dxa"/>
            <w:vAlign w:val="bottom"/>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right w:val="single" w:sz="8" w:color="E2EEF6"/>
            </w:tcBorders>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27,888</w:t>
            </w: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14,367</w:t>
            </w:r>
          </w:p>
        </w:tc>
        <w:tc>
          <w:tcPr>
            <w:tcW w:w="2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20,070</w:t>
            </w:r>
          </w:p>
        </w:tc>
        <w:tc>
          <w:tcPr>
            <w:tcW w:w="2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18,984</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E2EEF6"/>
          </w:tcPr>
          <w:p>
            <w:pPr>
              <w:spacing w:after="0"/>
              <w:rPr>
                <w:sz w:val="21"/>
                <w:szCs w:val="21"/>
                <w:color w:val="auto"/>
              </w:rPr>
            </w:pPr>
          </w:p>
        </w:tc>
        <w:tc>
          <w:tcPr>
            <w:tcW w:w="9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3,777</w:t>
            </w:r>
          </w:p>
        </w:tc>
        <w:tc>
          <w:tcPr>
            <w:tcW w:w="1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0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4,029</w:t>
            </w:r>
          </w:p>
        </w:tc>
        <w:tc>
          <w:tcPr>
            <w:tcW w:w="240" w:type="dxa"/>
            <w:vAlign w:val="bottom"/>
            <w:shd w:val="clear" w:color="auto" w:fill="E2EEF6"/>
          </w:tcPr>
          <w:p>
            <w:pPr>
              <w:spacing w:after="0"/>
              <w:rPr>
                <w:sz w:val="21"/>
                <w:szCs w:val="21"/>
                <w:color w:val="auto"/>
              </w:rPr>
            </w:pPr>
          </w:p>
        </w:tc>
        <w:tc>
          <w:tcPr>
            <w:tcW w:w="10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3,392</w:t>
            </w:r>
          </w:p>
        </w:tc>
        <w:tc>
          <w:tcPr>
            <w:tcW w:w="240" w:type="dxa"/>
            <w:vAlign w:val="bottom"/>
            <w:shd w:val="clear" w:color="auto" w:fill="E2EEF6"/>
          </w:tcPr>
          <w:p>
            <w:pPr>
              <w:spacing w:after="0"/>
              <w:rPr>
                <w:sz w:val="21"/>
                <w:szCs w:val="21"/>
                <w:color w:val="auto"/>
              </w:rPr>
            </w:pP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2,451</w:t>
            </w:r>
          </w:p>
        </w:tc>
        <w:tc>
          <w:tcPr>
            <w:tcW w:w="120" w:type="dxa"/>
            <w:vAlign w:val="bottom"/>
            <w:tcBorders>
              <w:right w:val="single" w:sz="8" w:color="E2EEF6"/>
            </w:tcBorders>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0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4,196</w:t>
            </w:r>
          </w:p>
        </w:tc>
        <w:tc>
          <w:tcPr>
            <w:tcW w:w="0" w:type="dxa"/>
            <w:vAlign w:val="bottom"/>
          </w:tcPr>
          <w:p>
            <w:pPr>
              <w:spacing w:after="0"/>
              <w:rPr>
                <w:sz w:val="1"/>
                <w:szCs w:val="1"/>
                <w:color w:val="auto"/>
              </w:rPr>
            </w:pPr>
          </w:p>
        </w:tc>
      </w:tr>
      <w:tr>
        <w:trPr>
          <w:trHeight w:val="243"/>
        </w:trPr>
        <w:tc>
          <w:tcPr>
            <w:tcW w:w="5160" w:type="dxa"/>
            <w:vAlign w:val="bottom"/>
            <w:gridSpan w:val="3"/>
          </w:tcPr>
          <w:p>
            <w:pPr>
              <w:spacing w:after="0"/>
              <w:rPr>
                <w:sz w:val="20"/>
                <w:szCs w:val="20"/>
                <w:color w:val="auto"/>
              </w:rPr>
            </w:pPr>
            <w:r>
              <w:rPr>
                <w:rFonts w:ascii="Arial" w:cs="Arial" w:eastAsia="Arial" w:hAnsi="Arial"/>
                <w:sz w:val="18"/>
                <w:szCs w:val="18"/>
                <w:color w:val="auto"/>
              </w:rPr>
              <w:t>Net gain on involuntary conversion</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Other (Income) Loss</w:t>
            </w:r>
          </w:p>
        </w:tc>
        <w:tc>
          <w:tcPr>
            <w:tcW w:w="24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(653)</w:t>
            </w:r>
          </w:p>
        </w:tc>
        <w:tc>
          <w:tcPr>
            <w:tcW w:w="240" w:type="dxa"/>
            <w:vAlign w:val="bottom"/>
            <w:shd w:val="clear" w:color="auto" w:fill="E2EEF6"/>
          </w:tcPr>
          <w:p>
            <w:pPr>
              <w:spacing w:after="0"/>
              <w:rPr>
                <w:sz w:val="21"/>
                <w:szCs w:val="21"/>
                <w:color w:val="auto"/>
              </w:rPr>
            </w:pPr>
          </w:p>
        </w:tc>
        <w:tc>
          <w:tcPr>
            <w:tcW w:w="102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(853)</w:t>
            </w:r>
          </w:p>
        </w:tc>
        <w:tc>
          <w:tcPr>
            <w:tcW w:w="240" w:type="dxa"/>
            <w:vAlign w:val="bottom"/>
            <w:shd w:val="clear" w:color="auto" w:fill="E2EEF6"/>
          </w:tcPr>
          <w:p>
            <w:pPr>
              <w:spacing w:after="0"/>
              <w:rPr>
                <w:sz w:val="21"/>
                <w:szCs w:val="21"/>
                <w:color w:val="auto"/>
              </w:rPr>
            </w:pPr>
          </w:p>
        </w:tc>
        <w:tc>
          <w:tcPr>
            <w:tcW w:w="10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99</w:t>
            </w:r>
          </w:p>
        </w:tc>
        <w:tc>
          <w:tcPr>
            <w:tcW w:w="240" w:type="dxa"/>
            <w:vAlign w:val="bottom"/>
            <w:shd w:val="clear" w:color="auto" w:fill="E2EEF6"/>
          </w:tcPr>
          <w:p>
            <w:pPr>
              <w:spacing w:after="0"/>
              <w:rPr>
                <w:sz w:val="21"/>
                <w:szCs w:val="21"/>
                <w:color w:val="auto"/>
              </w:rPr>
            </w:pPr>
          </w:p>
        </w:tc>
        <w:tc>
          <w:tcPr>
            <w:tcW w:w="1000" w:type="dxa"/>
            <w:vAlign w:val="bottom"/>
            <w:tcBorders>
              <w:right w:val="single" w:sz="8" w:color="E2EEF6"/>
            </w:tcBorders>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(462)</w:t>
            </w:r>
          </w:p>
        </w:tc>
        <w:tc>
          <w:tcPr>
            <w:tcW w:w="240" w:type="dxa"/>
            <w:vAlign w:val="bottom"/>
            <w:shd w:val="clear" w:color="auto" w:fill="E2EEF6"/>
          </w:tcPr>
          <w:p>
            <w:pPr>
              <w:spacing w:after="0"/>
              <w:rPr>
                <w:sz w:val="21"/>
                <w:szCs w:val="21"/>
                <w:color w:val="auto"/>
              </w:rPr>
            </w:pPr>
          </w:p>
        </w:tc>
        <w:tc>
          <w:tcPr>
            <w:tcW w:w="100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shd w:val="clear" w:color="auto" w:fill="E2EEF6"/>
          </w:tcPr>
          <w:p>
            <w:pPr>
              <w:spacing w:after="0" w:line="20" w:lineRule="exact"/>
              <w:rPr>
                <w:sz w:val="1"/>
                <w:szCs w:val="1"/>
                <w:color w:val="auto"/>
              </w:rPr>
            </w:pPr>
          </w:p>
        </w:tc>
        <w:tc>
          <w:tcPr>
            <w:tcW w:w="740" w:type="dxa"/>
            <w:vAlign w:val="bottom"/>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right w:val="single" w:sz="8" w:color="E2EEF6"/>
            </w:tcBorders>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gridSpan w:val="3"/>
          </w:tcPr>
          <w:p>
            <w:pPr>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24,764</w:t>
            </w: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11,191</w:t>
            </w:r>
          </w:p>
        </w:tc>
        <w:tc>
          <w:tcPr>
            <w:tcW w:w="2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16,579</w:t>
            </w:r>
          </w:p>
        </w:tc>
        <w:tc>
          <w:tcPr>
            <w:tcW w:w="2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16,995</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E2EEF6"/>
          </w:tcPr>
          <w:p>
            <w:pPr>
              <w:spacing w:after="0"/>
              <w:rPr>
                <w:sz w:val="21"/>
                <w:szCs w:val="21"/>
                <w:color w:val="auto"/>
              </w:rPr>
            </w:pPr>
          </w:p>
        </w:tc>
        <w:tc>
          <w:tcPr>
            <w:tcW w:w="9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9,752</w:t>
            </w:r>
          </w:p>
        </w:tc>
        <w:tc>
          <w:tcPr>
            <w:tcW w:w="1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0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4,089</w:t>
            </w:r>
          </w:p>
        </w:tc>
        <w:tc>
          <w:tcPr>
            <w:tcW w:w="240" w:type="dxa"/>
            <w:vAlign w:val="bottom"/>
            <w:shd w:val="clear" w:color="auto" w:fill="E2EEF6"/>
          </w:tcPr>
          <w:p>
            <w:pPr>
              <w:spacing w:after="0"/>
              <w:rPr>
                <w:sz w:val="21"/>
                <w:szCs w:val="21"/>
                <w:color w:val="auto"/>
              </w:rPr>
            </w:pPr>
          </w:p>
        </w:tc>
        <w:tc>
          <w:tcPr>
            <w:tcW w:w="10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5,726</w:t>
            </w:r>
          </w:p>
        </w:tc>
        <w:tc>
          <w:tcPr>
            <w:tcW w:w="240" w:type="dxa"/>
            <w:vAlign w:val="bottom"/>
            <w:shd w:val="clear" w:color="auto" w:fill="E2EEF6"/>
          </w:tcPr>
          <w:p>
            <w:pPr>
              <w:spacing w:after="0"/>
              <w:rPr>
                <w:sz w:val="21"/>
                <w:szCs w:val="21"/>
                <w:color w:val="auto"/>
              </w:rPr>
            </w:pP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6,457</w:t>
            </w:r>
          </w:p>
        </w:tc>
        <w:tc>
          <w:tcPr>
            <w:tcW w:w="120" w:type="dxa"/>
            <w:vAlign w:val="bottom"/>
            <w:tcBorders>
              <w:right w:val="single" w:sz="8" w:color="E2EEF6"/>
            </w:tcBorders>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0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2"/>
          </w:tcPr>
          <w:p>
            <w:pPr>
              <w:spacing w:after="0" w:line="201" w:lineRule="exact"/>
              <w:rPr>
                <w:sz w:val="20"/>
                <w:szCs w:val="20"/>
                <w:color w:val="auto"/>
              </w:rPr>
            </w:pPr>
            <w:r>
              <w:rPr>
                <w:rFonts w:ascii="Arial" w:cs="Arial" w:eastAsia="Arial" w:hAnsi="Arial"/>
                <w:sz w:val="18"/>
                <w:szCs w:val="18"/>
                <w:color w:val="auto"/>
              </w:rPr>
              <w:t>Minority interest in income of consolidated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160" w:type="dxa"/>
            <w:vAlign w:val="bottom"/>
            <w:gridSpan w:val="3"/>
          </w:tcPr>
          <w:p>
            <w:pPr>
              <w:spacing w:after="0"/>
              <w:rPr>
                <w:sz w:val="20"/>
                <w:szCs w:val="20"/>
                <w:color w:val="auto"/>
              </w:rPr>
            </w:pPr>
            <w:r>
              <w:rPr>
                <w:rFonts w:ascii="Arial" w:cs="Arial" w:eastAsia="Arial" w:hAnsi="Arial"/>
                <w:sz w:val="18"/>
                <w:szCs w:val="18"/>
                <w:color w:val="auto"/>
              </w:rPr>
              <w:t>Subsidiary</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675</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40" w:type="dxa"/>
            <w:vAlign w:val="bottom"/>
            <w:gridSpan w:val="2"/>
            <w:shd w:val="clear" w:color="auto" w:fill="E2EEF6"/>
          </w:tcPr>
          <w:p>
            <w:pPr>
              <w:spacing w:after="0" w:line="195" w:lineRule="exact"/>
              <w:rPr>
                <w:sz w:val="20"/>
                <w:szCs w:val="20"/>
                <w:color w:val="auto"/>
              </w:rPr>
            </w:pPr>
            <w:r>
              <w:rPr>
                <w:rFonts w:ascii="Arial" w:cs="Arial" w:eastAsia="Arial" w:hAnsi="Arial"/>
                <w:sz w:val="18"/>
                <w:szCs w:val="18"/>
                <w:color w:val="auto"/>
              </w:rPr>
              <w:t>Income before cumulative effect of change in</w:t>
            </w:r>
          </w:p>
        </w:tc>
        <w:tc>
          <w:tcPr>
            <w:tcW w:w="240" w:type="dxa"/>
            <w:vAlign w:val="bottom"/>
            <w:tcBorders>
              <w:top w:val="single" w:sz="8" w:color="auto"/>
            </w:tcBorders>
            <w:shd w:val="clear" w:color="auto" w:fill="E2EEF6"/>
          </w:tcPr>
          <w:p>
            <w:pPr>
              <w:spacing w:after="0"/>
              <w:rPr>
                <w:sz w:val="16"/>
                <w:szCs w:val="16"/>
                <w:color w:val="auto"/>
              </w:rPr>
            </w:pPr>
          </w:p>
        </w:tc>
        <w:tc>
          <w:tcPr>
            <w:tcW w:w="920" w:type="dxa"/>
            <w:vAlign w:val="bottom"/>
            <w:tcBorders>
              <w:top w:val="single" w:sz="8" w:color="auto"/>
            </w:tcBorders>
            <w:shd w:val="clear" w:color="auto" w:fill="E2EEF6"/>
          </w:tcPr>
          <w:p>
            <w:pPr>
              <w:spacing w:after="0"/>
              <w:rPr>
                <w:sz w:val="16"/>
                <w:szCs w:val="16"/>
                <w:color w:val="auto"/>
              </w:rPr>
            </w:pPr>
          </w:p>
        </w:tc>
        <w:tc>
          <w:tcPr>
            <w:tcW w:w="120" w:type="dxa"/>
            <w:vAlign w:val="bottom"/>
            <w:shd w:val="clear" w:color="auto" w:fill="E2EEF6"/>
          </w:tcPr>
          <w:p>
            <w:pPr>
              <w:spacing w:after="0"/>
              <w:rPr>
                <w:sz w:val="16"/>
                <w:szCs w:val="16"/>
                <w:color w:val="auto"/>
              </w:rPr>
            </w:pPr>
          </w:p>
        </w:tc>
        <w:tc>
          <w:tcPr>
            <w:tcW w:w="240" w:type="dxa"/>
            <w:vAlign w:val="bottom"/>
            <w:tcBorders>
              <w:top w:val="single" w:sz="8" w:color="auto"/>
            </w:tcBorders>
            <w:shd w:val="clear" w:color="auto" w:fill="E2EEF6"/>
          </w:tcPr>
          <w:p>
            <w:pPr>
              <w:spacing w:after="0"/>
              <w:rPr>
                <w:sz w:val="16"/>
                <w:szCs w:val="16"/>
                <w:color w:val="auto"/>
              </w:rPr>
            </w:pPr>
          </w:p>
        </w:tc>
        <w:tc>
          <w:tcPr>
            <w:tcW w:w="900" w:type="dxa"/>
            <w:vAlign w:val="bottom"/>
            <w:tcBorders>
              <w:top w:val="single" w:sz="8" w:color="auto"/>
            </w:tcBorders>
            <w:shd w:val="clear" w:color="auto" w:fill="E2EEF6"/>
          </w:tcPr>
          <w:p>
            <w:pPr>
              <w:spacing w:after="0"/>
              <w:rPr>
                <w:sz w:val="16"/>
                <w:szCs w:val="16"/>
                <w:color w:val="auto"/>
              </w:rPr>
            </w:pPr>
          </w:p>
        </w:tc>
        <w:tc>
          <w:tcPr>
            <w:tcW w:w="120" w:type="dxa"/>
            <w:vAlign w:val="bottom"/>
            <w:shd w:val="clear" w:color="auto" w:fill="E2EEF6"/>
          </w:tcPr>
          <w:p>
            <w:pPr>
              <w:spacing w:after="0"/>
              <w:rPr>
                <w:sz w:val="16"/>
                <w:szCs w:val="16"/>
                <w:color w:val="auto"/>
              </w:rPr>
            </w:pPr>
          </w:p>
        </w:tc>
        <w:tc>
          <w:tcPr>
            <w:tcW w:w="240" w:type="dxa"/>
            <w:vAlign w:val="bottom"/>
            <w:tcBorders>
              <w:top w:val="single" w:sz="8" w:color="auto"/>
            </w:tcBorders>
            <w:shd w:val="clear" w:color="auto" w:fill="E2EEF6"/>
          </w:tcPr>
          <w:p>
            <w:pPr>
              <w:spacing w:after="0"/>
              <w:rPr>
                <w:sz w:val="16"/>
                <w:szCs w:val="16"/>
                <w:color w:val="auto"/>
              </w:rPr>
            </w:pPr>
          </w:p>
        </w:tc>
        <w:tc>
          <w:tcPr>
            <w:tcW w:w="880" w:type="dxa"/>
            <w:vAlign w:val="bottom"/>
            <w:tcBorders>
              <w:top w:val="single" w:sz="8" w:color="auto"/>
            </w:tcBorders>
            <w:shd w:val="clear" w:color="auto" w:fill="E2EEF6"/>
          </w:tcPr>
          <w:p>
            <w:pPr>
              <w:spacing w:after="0"/>
              <w:rPr>
                <w:sz w:val="16"/>
                <w:szCs w:val="16"/>
                <w:color w:val="auto"/>
              </w:rPr>
            </w:pPr>
          </w:p>
        </w:tc>
        <w:tc>
          <w:tcPr>
            <w:tcW w:w="120" w:type="dxa"/>
            <w:vAlign w:val="bottom"/>
            <w:shd w:val="clear" w:color="auto" w:fill="E2EEF6"/>
          </w:tcPr>
          <w:p>
            <w:pPr>
              <w:spacing w:after="0"/>
              <w:rPr>
                <w:sz w:val="16"/>
                <w:szCs w:val="16"/>
                <w:color w:val="auto"/>
              </w:rPr>
            </w:pPr>
          </w:p>
        </w:tc>
        <w:tc>
          <w:tcPr>
            <w:tcW w:w="240" w:type="dxa"/>
            <w:vAlign w:val="bottom"/>
            <w:tcBorders>
              <w:top w:val="single" w:sz="8" w:color="auto"/>
            </w:tcBorders>
            <w:shd w:val="clear" w:color="auto" w:fill="E2EEF6"/>
          </w:tcPr>
          <w:p>
            <w:pPr>
              <w:spacing w:after="0"/>
              <w:rPr>
                <w:sz w:val="16"/>
                <w:szCs w:val="16"/>
                <w:color w:val="auto"/>
              </w:rPr>
            </w:pPr>
          </w:p>
        </w:tc>
        <w:tc>
          <w:tcPr>
            <w:tcW w:w="880" w:type="dxa"/>
            <w:vAlign w:val="bottom"/>
            <w:tcBorders>
              <w:top w:val="single" w:sz="8" w:color="auto"/>
            </w:tcBorders>
            <w:shd w:val="clear" w:color="auto" w:fill="E2EEF6"/>
          </w:tcPr>
          <w:p>
            <w:pPr>
              <w:spacing w:after="0"/>
              <w:rPr>
                <w:sz w:val="16"/>
                <w:szCs w:val="16"/>
                <w:color w:val="auto"/>
              </w:rPr>
            </w:pPr>
          </w:p>
        </w:tc>
        <w:tc>
          <w:tcPr>
            <w:tcW w:w="120" w:type="dxa"/>
            <w:vAlign w:val="bottom"/>
            <w:tcBorders>
              <w:right w:val="single" w:sz="8" w:color="E2EEF6"/>
            </w:tcBorders>
            <w:shd w:val="clear" w:color="auto" w:fill="E2EEF6"/>
          </w:tcPr>
          <w:p>
            <w:pPr>
              <w:spacing w:after="0"/>
              <w:rPr>
                <w:sz w:val="16"/>
                <w:szCs w:val="16"/>
                <w:color w:val="auto"/>
              </w:rPr>
            </w:pPr>
          </w:p>
        </w:tc>
        <w:tc>
          <w:tcPr>
            <w:tcW w:w="240" w:type="dxa"/>
            <w:vAlign w:val="bottom"/>
            <w:tcBorders>
              <w:top w:val="single" w:sz="8" w:color="auto"/>
            </w:tcBorders>
            <w:shd w:val="clear" w:color="auto" w:fill="E2EEF6"/>
          </w:tcPr>
          <w:p>
            <w:pPr>
              <w:spacing w:after="0"/>
              <w:rPr>
                <w:sz w:val="16"/>
                <w:szCs w:val="16"/>
                <w:color w:val="auto"/>
              </w:rPr>
            </w:pPr>
          </w:p>
        </w:tc>
        <w:tc>
          <w:tcPr>
            <w:tcW w:w="900" w:type="dxa"/>
            <w:vAlign w:val="bottom"/>
            <w:tcBorders>
              <w:top w:val="single" w:sz="8" w:color="auto"/>
            </w:tcBorders>
            <w:shd w:val="clear" w:color="auto" w:fill="E2EEF6"/>
          </w:tcPr>
          <w:p>
            <w:pPr>
              <w:spacing w:after="0"/>
              <w:rPr>
                <w:sz w:val="16"/>
                <w:szCs w:val="16"/>
                <w:color w:val="auto"/>
              </w:rPr>
            </w:pPr>
          </w:p>
        </w:tc>
        <w:tc>
          <w:tcPr>
            <w:tcW w:w="100" w:type="dxa"/>
            <w:vAlign w:val="bottom"/>
            <w:shd w:val="clear" w:color="auto" w:fill="E2EEF6"/>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accounting principle</w:t>
            </w:r>
          </w:p>
        </w:tc>
        <w:tc>
          <w:tcPr>
            <w:tcW w:w="240" w:type="dxa"/>
            <w:vAlign w:val="bottom"/>
            <w:shd w:val="clear" w:color="auto" w:fill="E2EEF6"/>
          </w:tcPr>
          <w:p>
            <w:pPr>
              <w:spacing w:after="0"/>
              <w:rPr>
                <w:sz w:val="20"/>
                <w:szCs w:val="20"/>
                <w:color w:val="auto"/>
              </w:rPr>
            </w:pPr>
          </w:p>
        </w:tc>
        <w:tc>
          <w:tcPr>
            <w:tcW w:w="104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15,012</w:t>
            </w:r>
          </w:p>
        </w:tc>
        <w:tc>
          <w:tcPr>
            <w:tcW w:w="240" w:type="dxa"/>
            <w:vAlign w:val="bottom"/>
            <w:shd w:val="clear" w:color="auto" w:fill="E2EEF6"/>
          </w:tcPr>
          <w:p>
            <w:pPr>
              <w:spacing w:after="0"/>
              <w:rPr>
                <w:sz w:val="20"/>
                <w:szCs w:val="20"/>
                <w:color w:val="auto"/>
              </w:rPr>
            </w:pPr>
          </w:p>
        </w:tc>
        <w:tc>
          <w:tcPr>
            <w:tcW w:w="10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7,102</w:t>
            </w:r>
          </w:p>
        </w:tc>
        <w:tc>
          <w:tcPr>
            <w:tcW w:w="240" w:type="dxa"/>
            <w:vAlign w:val="bottom"/>
            <w:shd w:val="clear" w:color="auto" w:fill="E2EEF6"/>
          </w:tcPr>
          <w:p>
            <w:pPr>
              <w:spacing w:after="0"/>
              <w:rPr>
                <w:sz w:val="20"/>
                <w:szCs w:val="20"/>
                <w:color w:val="auto"/>
              </w:rPr>
            </w:pPr>
          </w:p>
        </w:tc>
        <w:tc>
          <w:tcPr>
            <w:tcW w:w="10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10,178</w:t>
            </w:r>
          </w:p>
        </w:tc>
        <w:tc>
          <w:tcPr>
            <w:tcW w:w="240" w:type="dxa"/>
            <w:vAlign w:val="bottom"/>
            <w:shd w:val="clear" w:color="auto" w:fill="E2EEF6"/>
          </w:tcPr>
          <w:p>
            <w:pPr>
              <w:spacing w:after="0"/>
              <w:rPr>
                <w:sz w:val="20"/>
                <w:szCs w:val="20"/>
                <w:color w:val="auto"/>
              </w:rPr>
            </w:pP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7,760</w:t>
            </w:r>
          </w:p>
        </w:tc>
        <w:tc>
          <w:tcPr>
            <w:tcW w:w="120" w:type="dxa"/>
            <w:vAlign w:val="bottom"/>
            <w:tcBorders>
              <w:right w:val="single" w:sz="8" w:color="E2EEF6"/>
            </w:tcBorders>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10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4,760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14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40" w:type="dxa"/>
            <w:vAlign w:val="bottom"/>
            <w:gridSpan w:val="2"/>
            <w:shd w:val="clear" w:color="auto" w:fill="E2EEF6"/>
          </w:tcPr>
          <w:p>
            <w:pPr>
              <w:spacing w:after="0" w:line="201" w:lineRule="exact"/>
              <w:rPr>
                <w:sz w:val="20"/>
                <w:szCs w:val="20"/>
                <w:color w:val="auto"/>
              </w:rPr>
            </w:pPr>
            <w:r>
              <w:rPr>
                <w:rFonts w:ascii="Arial" w:cs="Arial" w:eastAsia="Arial" w:hAnsi="Arial"/>
                <w:sz w:val="18"/>
                <w:szCs w:val="18"/>
                <w:color w:val="auto"/>
              </w:rPr>
              <w:t>Cumulative effect of change in accounting</w:t>
            </w:r>
          </w:p>
        </w:tc>
        <w:tc>
          <w:tcPr>
            <w:tcW w:w="240" w:type="dxa"/>
            <w:vAlign w:val="bottom"/>
            <w:shd w:val="clear" w:color="auto" w:fill="E2EEF6"/>
          </w:tcPr>
          <w:p>
            <w:pPr>
              <w:spacing w:after="0"/>
              <w:rPr>
                <w:sz w:val="17"/>
                <w:szCs w:val="17"/>
                <w:color w:val="auto"/>
              </w:rPr>
            </w:pPr>
          </w:p>
        </w:tc>
        <w:tc>
          <w:tcPr>
            <w:tcW w:w="920" w:type="dxa"/>
            <w:vAlign w:val="bottom"/>
            <w:shd w:val="clear" w:color="auto" w:fill="E2EEF6"/>
          </w:tcPr>
          <w:p>
            <w:pPr>
              <w:spacing w:after="0"/>
              <w:rPr>
                <w:sz w:val="17"/>
                <w:szCs w:val="17"/>
                <w:color w:val="auto"/>
              </w:rPr>
            </w:pPr>
          </w:p>
        </w:tc>
        <w:tc>
          <w:tcPr>
            <w:tcW w:w="120" w:type="dxa"/>
            <w:vAlign w:val="bottom"/>
            <w:shd w:val="clear" w:color="auto" w:fill="E2EEF6"/>
          </w:tcPr>
          <w:p>
            <w:pPr>
              <w:spacing w:after="0"/>
              <w:rPr>
                <w:sz w:val="17"/>
                <w:szCs w:val="17"/>
                <w:color w:val="auto"/>
              </w:rPr>
            </w:pPr>
          </w:p>
        </w:tc>
        <w:tc>
          <w:tcPr>
            <w:tcW w:w="240" w:type="dxa"/>
            <w:vAlign w:val="bottom"/>
            <w:shd w:val="clear" w:color="auto" w:fill="E2EEF6"/>
          </w:tcPr>
          <w:p>
            <w:pPr>
              <w:spacing w:after="0"/>
              <w:rPr>
                <w:sz w:val="17"/>
                <w:szCs w:val="17"/>
                <w:color w:val="auto"/>
              </w:rPr>
            </w:pPr>
          </w:p>
        </w:tc>
        <w:tc>
          <w:tcPr>
            <w:tcW w:w="900" w:type="dxa"/>
            <w:vAlign w:val="bottom"/>
            <w:shd w:val="clear" w:color="auto" w:fill="E2EEF6"/>
          </w:tcPr>
          <w:p>
            <w:pPr>
              <w:spacing w:after="0"/>
              <w:rPr>
                <w:sz w:val="17"/>
                <w:szCs w:val="17"/>
                <w:color w:val="auto"/>
              </w:rPr>
            </w:pPr>
          </w:p>
        </w:tc>
        <w:tc>
          <w:tcPr>
            <w:tcW w:w="120" w:type="dxa"/>
            <w:vAlign w:val="bottom"/>
            <w:shd w:val="clear" w:color="auto" w:fill="E2EEF6"/>
          </w:tcPr>
          <w:p>
            <w:pPr>
              <w:spacing w:after="0"/>
              <w:rPr>
                <w:sz w:val="17"/>
                <w:szCs w:val="17"/>
                <w:color w:val="auto"/>
              </w:rPr>
            </w:pPr>
          </w:p>
        </w:tc>
        <w:tc>
          <w:tcPr>
            <w:tcW w:w="240" w:type="dxa"/>
            <w:vAlign w:val="bottom"/>
            <w:shd w:val="clear" w:color="auto" w:fill="E2EEF6"/>
          </w:tcPr>
          <w:p>
            <w:pPr>
              <w:spacing w:after="0"/>
              <w:rPr>
                <w:sz w:val="17"/>
                <w:szCs w:val="17"/>
                <w:color w:val="auto"/>
              </w:rPr>
            </w:pPr>
          </w:p>
        </w:tc>
        <w:tc>
          <w:tcPr>
            <w:tcW w:w="880" w:type="dxa"/>
            <w:vAlign w:val="bottom"/>
            <w:shd w:val="clear" w:color="auto" w:fill="E2EEF6"/>
          </w:tcPr>
          <w:p>
            <w:pPr>
              <w:spacing w:after="0"/>
              <w:rPr>
                <w:sz w:val="17"/>
                <w:szCs w:val="17"/>
                <w:color w:val="auto"/>
              </w:rPr>
            </w:pPr>
          </w:p>
        </w:tc>
        <w:tc>
          <w:tcPr>
            <w:tcW w:w="120" w:type="dxa"/>
            <w:vAlign w:val="bottom"/>
            <w:shd w:val="clear" w:color="auto" w:fill="E2EEF6"/>
          </w:tcPr>
          <w:p>
            <w:pPr>
              <w:spacing w:after="0"/>
              <w:rPr>
                <w:sz w:val="17"/>
                <w:szCs w:val="17"/>
                <w:color w:val="auto"/>
              </w:rPr>
            </w:pPr>
          </w:p>
        </w:tc>
        <w:tc>
          <w:tcPr>
            <w:tcW w:w="240" w:type="dxa"/>
            <w:vAlign w:val="bottom"/>
            <w:shd w:val="clear" w:color="auto" w:fill="E2EEF6"/>
          </w:tcPr>
          <w:p>
            <w:pPr>
              <w:spacing w:after="0"/>
              <w:rPr>
                <w:sz w:val="17"/>
                <w:szCs w:val="17"/>
                <w:color w:val="auto"/>
              </w:rPr>
            </w:pPr>
          </w:p>
        </w:tc>
        <w:tc>
          <w:tcPr>
            <w:tcW w:w="880" w:type="dxa"/>
            <w:vAlign w:val="bottom"/>
            <w:shd w:val="clear" w:color="auto" w:fill="E2EEF6"/>
          </w:tcPr>
          <w:p>
            <w:pPr>
              <w:spacing w:after="0"/>
              <w:rPr>
                <w:sz w:val="17"/>
                <w:szCs w:val="17"/>
                <w:color w:val="auto"/>
              </w:rPr>
            </w:pPr>
          </w:p>
        </w:tc>
        <w:tc>
          <w:tcPr>
            <w:tcW w:w="120" w:type="dxa"/>
            <w:vAlign w:val="bottom"/>
            <w:tcBorders>
              <w:right w:val="single" w:sz="8" w:color="E2EEF6"/>
            </w:tcBorders>
            <w:shd w:val="clear" w:color="auto" w:fill="E2EEF6"/>
          </w:tcPr>
          <w:p>
            <w:pPr>
              <w:spacing w:after="0"/>
              <w:rPr>
                <w:sz w:val="17"/>
                <w:szCs w:val="17"/>
                <w:color w:val="auto"/>
              </w:rPr>
            </w:pPr>
          </w:p>
        </w:tc>
        <w:tc>
          <w:tcPr>
            <w:tcW w:w="240" w:type="dxa"/>
            <w:vAlign w:val="bottom"/>
            <w:shd w:val="clear" w:color="auto" w:fill="E2EEF6"/>
          </w:tcPr>
          <w:p>
            <w:pPr>
              <w:spacing w:after="0"/>
              <w:rPr>
                <w:sz w:val="17"/>
                <w:szCs w:val="17"/>
                <w:color w:val="auto"/>
              </w:rPr>
            </w:pPr>
          </w:p>
        </w:tc>
        <w:tc>
          <w:tcPr>
            <w:tcW w:w="900" w:type="dxa"/>
            <w:vAlign w:val="bottom"/>
            <w:shd w:val="clear" w:color="auto" w:fill="E2EEF6"/>
          </w:tcPr>
          <w:p>
            <w:pPr>
              <w:spacing w:after="0"/>
              <w:rPr>
                <w:sz w:val="17"/>
                <w:szCs w:val="17"/>
                <w:color w:val="auto"/>
              </w:rPr>
            </w:pPr>
          </w:p>
        </w:tc>
        <w:tc>
          <w:tcPr>
            <w:tcW w:w="100" w:type="dxa"/>
            <w:vAlign w:val="bottom"/>
            <w:shd w:val="clear" w:color="auto" w:fill="E2EEF6"/>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principle, net of income tax benefit of $112</w:t>
            </w:r>
          </w:p>
        </w:tc>
        <w:tc>
          <w:tcPr>
            <w:tcW w:w="240" w:type="dxa"/>
            <w:vAlign w:val="bottom"/>
            <w:shd w:val="clear" w:color="auto" w:fill="E2EEF6"/>
          </w:tcPr>
          <w:p>
            <w:pPr>
              <w:spacing w:after="0"/>
              <w:rPr>
                <w:sz w:val="18"/>
                <w:szCs w:val="18"/>
                <w:color w:val="auto"/>
              </w:rPr>
            </w:pPr>
          </w:p>
        </w:tc>
        <w:tc>
          <w:tcPr>
            <w:tcW w:w="920" w:type="dxa"/>
            <w:vAlign w:val="bottom"/>
            <w:shd w:val="clear" w:color="auto" w:fill="E2EEF6"/>
          </w:tcPr>
          <w:p>
            <w:pPr>
              <w:spacing w:after="0"/>
              <w:rPr>
                <w:sz w:val="18"/>
                <w:szCs w:val="18"/>
                <w:color w:val="auto"/>
              </w:rPr>
            </w:pPr>
          </w:p>
        </w:tc>
        <w:tc>
          <w:tcPr>
            <w:tcW w:w="120" w:type="dxa"/>
            <w:vAlign w:val="bottom"/>
            <w:shd w:val="clear" w:color="auto" w:fill="E2EEF6"/>
          </w:tcPr>
          <w:p>
            <w:pPr>
              <w:spacing w:after="0"/>
              <w:rPr>
                <w:sz w:val="18"/>
                <w:szCs w:val="18"/>
                <w:color w:val="auto"/>
              </w:rPr>
            </w:pPr>
          </w:p>
        </w:tc>
        <w:tc>
          <w:tcPr>
            <w:tcW w:w="240" w:type="dxa"/>
            <w:vAlign w:val="bottom"/>
            <w:shd w:val="clear" w:color="auto" w:fill="E2EEF6"/>
          </w:tcPr>
          <w:p>
            <w:pPr>
              <w:spacing w:after="0"/>
              <w:rPr>
                <w:sz w:val="18"/>
                <w:szCs w:val="18"/>
                <w:color w:val="auto"/>
              </w:rPr>
            </w:pPr>
          </w:p>
        </w:tc>
        <w:tc>
          <w:tcPr>
            <w:tcW w:w="900" w:type="dxa"/>
            <w:vAlign w:val="bottom"/>
            <w:shd w:val="clear" w:color="auto" w:fill="E2EEF6"/>
          </w:tcPr>
          <w:p>
            <w:pPr>
              <w:spacing w:after="0"/>
              <w:rPr>
                <w:sz w:val="18"/>
                <w:szCs w:val="18"/>
                <w:color w:val="auto"/>
              </w:rPr>
            </w:pPr>
          </w:p>
        </w:tc>
        <w:tc>
          <w:tcPr>
            <w:tcW w:w="120" w:type="dxa"/>
            <w:vAlign w:val="bottom"/>
            <w:shd w:val="clear" w:color="auto" w:fill="E2EEF6"/>
          </w:tcPr>
          <w:p>
            <w:pPr>
              <w:spacing w:after="0"/>
              <w:rPr>
                <w:sz w:val="18"/>
                <w:szCs w:val="18"/>
                <w:color w:val="auto"/>
              </w:rPr>
            </w:pPr>
          </w:p>
        </w:tc>
        <w:tc>
          <w:tcPr>
            <w:tcW w:w="240" w:type="dxa"/>
            <w:vAlign w:val="bottom"/>
            <w:shd w:val="clear" w:color="auto" w:fill="E2EEF6"/>
          </w:tcPr>
          <w:p>
            <w:pPr>
              <w:spacing w:after="0"/>
              <w:rPr>
                <w:sz w:val="18"/>
                <w:szCs w:val="18"/>
                <w:color w:val="auto"/>
              </w:rPr>
            </w:pPr>
          </w:p>
        </w:tc>
        <w:tc>
          <w:tcPr>
            <w:tcW w:w="880" w:type="dxa"/>
            <w:vAlign w:val="bottom"/>
            <w:shd w:val="clear" w:color="auto" w:fill="E2EEF6"/>
          </w:tcPr>
          <w:p>
            <w:pPr>
              <w:spacing w:after="0"/>
              <w:rPr>
                <w:sz w:val="18"/>
                <w:szCs w:val="18"/>
                <w:color w:val="auto"/>
              </w:rPr>
            </w:pPr>
          </w:p>
        </w:tc>
        <w:tc>
          <w:tcPr>
            <w:tcW w:w="120" w:type="dxa"/>
            <w:vAlign w:val="bottom"/>
            <w:shd w:val="clear" w:color="auto" w:fill="E2EEF6"/>
          </w:tcPr>
          <w:p>
            <w:pPr>
              <w:spacing w:after="0"/>
              <w:rPr>
                <w:sz w:val="18"/>
                <w:szCs w:val="18"/>
                <w:color w:val="auto"/>
              </w:rPr>
            </w:pPr>
          </w:p>
        </w:tc>
        <w:tc>
          <w:tcPr>
            <w:tcW w:w="240" w:type="dxa"/>
            <w:vAlign w:val="bottom"/>
            <w:shd w:val="clear" w:color="auto" w:fill="E2EEF6"/>
          </w:tcPr>
          <w:p>
            <w:pPr>
              <w:spacing w:after="0"/>
              <w:rPr>
                <w:sz w:val="18"/>
                <w:szCs w:val="18"/>
                <w:color w:val="auto"/>
              </w:rPr>
            </w:pPr>
          </w:p>
        </w:tc>
        <w:tc>
          <w:tcPr>
            <w:tcW w:w="880" w:type="dxa"/>
            <w:vAlign w:val="bottom"/>
            <w:shd w:val="clear" w:color="auto" w:fill="E2EEF6"/>
          </w:tcPr>
          <w:p>
            <w:pPr>
              <w:spacing w:after="0"/>
              <w:rPr>
                <w:sz w:val="18"/>
                <w:szCs w:val="18"/>
                <w:color w:val="auto"/>
              </w:rPr>
            </w:pPr>
          </w:p>
        </w:tc>
        <w:tc>
          <w:tcPr>
            <w:tcW w:w="120" w:type="dxa"/>
            <w:vAlign w:val="bottom"/>
            <w:tcBorders>
              <w:right w:val="single" w:sz="8" w:color="E2EEF6"/>
            </w:tcBorders>
            <w:shd w:val="clear" w:color="auto" w:fill="E2EEF6"/>
          </w:tcPr>
          <w:p>
            <w:pPr>
              <w:spacing w:after="0"/>
              <w:rPr>
                <w:sz w:val="18"/>
                <w:szCs w:val="18"/>
                <w:color w:val="auto"/>
              </w:rPr>
            </w:pPr>
          </w:p>
        </w:tc>
        <w:tc>
          <w:tcPr>
            <w:tcW w:w="240" w:type="dxa"/>
            <w:vAlign w:val="bottom"/>
            <w:shd w:val="clear" w:color="auto" w:fill="E2EEF6"/>
          </w:tcPr>
          <w:p>
            <w:pPr>
              <w:spacing w:after="0"/>
              <w:rPr>
                <w:sz w:val="18"/>
                <w:szCs w:val="18"/>
                <w:color w:val="auto"/>
              </w:rPr>
            </w:pPr>
          </w:p>
        </w:tc>
        <w:tc>
          <w:tcPr>
            <w:tcW w:w="900" w:type="dxa"/>
            <w:vAlign w:val="bottom"/>
            <w:shd w:val="clear" w:color="auto" w:fill="E2EEF6"/>
          </w:tcPr>
          <w:p>
            <w:pPr>
              <w:spacing w:after="0"/>
              <w:rPr>
                <w:sz w:val="18"/>
                <w:szCs w:val="18"/>
                <w:color w:val="auto"/>
              </w:rPr>
            </w:pPr>
          </w:p>
        </w:tc>
        <w:tc>
          <w:tcPr>
            <w:tcW w:w="100" w:type="dxa"/>
            <w:vAlign w:val="bottom"/>
            <w:shd w:val="clear" w:color="auto" w:fill="E2EEF6"/>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and related minority interest impact of $84</w:t>
            </w:r>
          </w:p>
        </w:tc>
        <w:tc>
          <w:tcPr>
            <w:tcW w:w="240" w:type="dxa"/>
            <w:vAlign w:val="bottom"/>
            <w:shd w:val="clear" w:color="auto" w:fill="E2EEF6"/>
          </w:tcPr>
          <w:p>
            <w:pPr>
              <w:spacing w:after="0"/>
              <w:rPr>
                <w:sz w:val="22"/>
                <w:szCs w:val="22"/>
                <w:color w:val="auto"/>
              </w:rPr>
            </w:pPr>
          </w:p>
        </w:tc>
        <w:tc>
          <w:tcPr>
            <w:tcW w:w="9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2EEF6"/>
          </w:tcPr>
          <w:p>
            <w:pPr>
              <w:spacing w:after="0"/>
              <w:rPr>
                <w:sz w:val="22"/>
                <w:szCs w:val="22"/>
                <w:color w:val="auto"/>
              </w:rPr>
            </w:pPr>
          </w:p>
        </w:tc>
        <w:tc>
          <w:tcPr>
            <w:tcW w:w="240" w:type="dxa"/>
            <w:vAlign w:val="bottom"/>
            <w:shd w:val="clear" w:color="auto" w:fill="E2EEF6"/>
          </w:tcPr>
          <w:p>
            <w:pPr>
              <w:spacing w:after="0"/>
              <w:rPr>
                <w:sz w:val="22"/>
                <w:szCs w:val="22"/>
                <w:color w:val="auto"/>
              </w:rPr>
            </w:pPr>
          </w:p>
        </w:tc>
        <w:tc>
          <w:tcPr>
            <w:tcW w:w="10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2EEF6"/>
          </w:tcPr>
          <w:p>
            <w:pPr>
              <w:spacing w:after="0"/>
              <w:rPr>
                <w:sz w:val="22"/>
                <w:szCs w:val="22"/>
                <w:color w:val="auto"/>
              </w:rPr>
            </w:pPr>
          </w:p>
        </w:tc>
        <w:tc>
          <w:tcPr>
            <w:tcW w:w="10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2EEF6"/>
          </w:tcPr>
          <w:p>
            <w:pPr>
              <w:spacing w:after="0"/>
              <w:rPr>
                <w:sz w:val="22"/>
                <w:szCs w:val="22"/>
                <w:color w:val="auto"/>
              </w:rPr>
            </w:pP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E2EEF6"/>
            </w:tcBorders>
            <w:shd w:val="clear" w:color="auto" w:fill="E2EEF6"/>
          </w:tcPr>
          <w:p>
            <w:pPr>
              <w:spacing w:after="0"/>
              <w:rPr>
                <w:sz w:val="22"/>
                <w:szCs w:val="22"/>
                <w:color w:val="auto"/>
              </w:rPr>
            </w:pPr>
          </w:p>
        </w:tc>
        <w:tc>
          <w:tcPr>
            <w:tcW w:w="240" w:type="dxa"/>
            <w:vAlign w:val="bottom"/>
            <w:shd w:val="clear" w:color="auto" w:fill="E2EEF6"/>
          </w:tcPr>
          <w:p>
            <w:pPr>
              <w:spacing w:after="0"/>
              <w:rPr>
                <w:sz w:val="22"/>
                <w:szCs w:val="22"/>
                <w:color w:val="auto"/>
              </w:rPr>
            </w:pPr>
          </w:p>
        </w:tc>
        <w:tc>
          <w:tcPr>
            <w:tcW w:w="10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shd w:val="clear" w:color="auto" w:fill="E2EEF6"/>
          </w:tcPr>
          <w:p>
            <w:pPr>
              <w:spacing w:after="0" w:line="20" w:lineRule="exact"/>
              <w:rPr>
                <w:sz w:val="1"/>
                <w:szCs w:val="1"/>
                <w:color w:val="auto"/>
              </w:rPr>
            </w:pPr>
          </w:p>
        </w:tc>
        <w:tc>
          <w:tcPr>
            <w:tcW w:w="740" w:type="dxa"/>
            <w:vAlign w:val="bottom"/>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right w:val="single" w:sz="8" w:color="E2EEF6"/>
            </w:tcBorders>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15,012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7,102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10,178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7,760</w:t>
            </w:r>
          </w:p>
        </w:tc>
        <w:tc>
          <w:tcPr>
            <w:tcW w:w="120" w:type="dxa"/>
            <w:vAlign w:val="bottom"/>
          </w:tcPr>
          <w:p>
            <w:pPr>
              <w:spacing w:after="0"/>
              <w:rPr>
                <w:sz w:val="20"/>
                <w:szCs w:val="20"/>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bottom w:val="single" w:sz="8" w:color="E2EEF6"/>
            </w:tcBorders>
          </w:tcPr>
          <w:p>
            <w:pPr>
              <w:spacing w:after="0" w:line="20" w:lineRule="exact"/>
              <w:rPr>
                <w:sz w:val="1"/>
                <w:szCs w:val="1"/>
                <w:color w:val="auto"/>
              </w:rPr>
            </w:pPr>
          </w:p>
        </w:tc>
        <w:tc>
          <w:tcPr>
            <w:tcW w:w="740" w:type="dxa"/>
            <w:vAlign w:val="bottom"/>
            <w:tcBorders>
              <w:bottom w:val="single" w:sz="8" w:color="E2EEF6"/>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2EEF6"/>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2EEF6"/>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2EEF6"/>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2EEF6"/>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2EEF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shd w:val="clear" w:color="auto" w:fill="E2EEF6"/>
          </w:tcPr>
          <w:p>
            <w:pPr>
              <w:spacing w:after="0"/>
              <w:rPr>
                <w:sz w:val="20"/>
                <w:szCs w:val="20"/>
                <w:color w:val="auto"/>
              </w:rPr>
            </w:pPr>
          </w:p>
        </w:tc>
        <w:tc>
          <w:tcPr>
            <w:tcW w:w="74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92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90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88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880" w:type="dxa"/>
            <w:vAlign w:val="bottom"/>
            <w:shd w:val="clear" w:color="auto" w:fill="E2EEF6"/>
          </w:tcPr>
          <w:p>
            <w:pPr>
              <w:spacing w:after="0"/>
              <w:rPr>
                <w:sz w:val="20"/>
                <w:szCs w:val="20"/>
                <w:color w:val="auto"/>
              </w:rPr>
            </w:pPr>
          </w:p>
        </w:tc>
        <w:tc>
          <w:tcPr>
            <w:tcW w:w="120" w:type="dxa"/>
            <w:vAlign w:val="bottom"/>
            <w:tcBorders>
              <w:right w:val="single" w:sz="8" w:color="E2EEF6"/>
            </w:tcBorders>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90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160" w:type="dxa"/>
            <w:vAlign w:val="bottom"/>
            <w:gridSpan w:val="3"/>
          </w:tcPr>
          <w:p>
            <w:pPr>
              <w:spacing w:after="0"/>
              <w:rPr>
                <w:sz w:val="20"/>
                <w:szCs w:val="20"/>
                <w:color w:val="auto"/>
              </w:rPr>
            </w:pPr>
            <w:r>
              <w:rPr>
                <w:rFonts w:ascii="Arial" w:cs="Arial" w:eastAsia="Arial" w:hAnsi="Arial"/>
                <w:sz w:val="18"/>
                <w:szCs w:val="18"/>
                <w:color w:val="auto"/>
              </w:rPr>
              <w:t>Basic income per share:</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2"/>
            <w:shd w:val="clear" w:color="auto" w:fill="E2EEF6"/>
          </w:tcPr>
          <w:p>
            <w:pPr>
              <w:spacing w:after="0" w:line="201" w:lineRule="exact"/>
              <w:rPr>
                <w:sz w:val="20"/>
                <w:szCs w:val="20"/>
                <w:color w:val="auto"/>
              </w:rPr>
            </w:pPr>
            <w:r>
              <w:rPr>
                <w:rFonts w:ascii="Arial" w:cs="Arial" w:eastAsia="Arial" w:hAnsi="Arial"/>
                <w:sz w:val="18"/>
                <w:szCs w:val="18"/>
                <w:color w:val="auto"/>
              </w:rPr>
              <w:t>Income before cumulative effect of change in</w:t>
            </w:r>
          </w:p>
        </w:tc>
        <w:tc>
          <w:tcPr>
            <w:tcW w:w="240" w:type="dxa"/>
            <w:vAlign w:val="bottom"/>
            <w:shd w:val="clear" w:color="auto" w:fill="E2EEF6"/>
          </w:tcPr>
          <w:p>
            <w:pPr>
              <w:spacing w:after="0"/>
              <w:rPr>
                <w:sz w:val="17"/>
                <w:szCs w:val="17"/>
                <w:color w:val="auto"/>
              </w:rPr>
            </w:pPr>
          </w:p>
        </w:tc>
        <w:tc>
          <w:tcPr>
            <w:tcW w:w="920" w:type="dxa"/>
            <w:vAlign w:val="bottom"/>
            <w:shd w:val="clear" w:color="auto" w:fill="E2EEF6"/>
          </w:tcPr>
          <w:p>
            <w:pPr>
              <w:spacing w:after="0"/>
              <w:rPr>
                <w:sz w:val="17"/>
                <w:szCs w:val="17"/>
                <w:color w:val="auto"/>
              </w:rPr>
            </w:pPr>
          </w:p>
        </w:tc>
        <w:tc>
          <w:tcPr>
            <w:tcW w:w="120" w:type="dxa"/>
            <w:vAlign w:val="bottom"/>
            <w:shd w:val="clear" w:color="auto" w:fill="E2EEF6"/>
          </w:tcPr>
          <w:p>
            <w:pPr>
              <w:spacing w:after="0"/>
              <w:rPr>
                <w:sz w:val="17"/>
                <w:szCs w:val="17"/>
                <w:color w:val="auto"/>
              </w:rPr>
            </w:pPr>
          </w:p>
        </w:tc>
        <w:tc>
          <w:tcPr>
            <w:tcW w:w="240" w:type="dxa"/>
            <w:vAlign w:val="bottom"/>
            <w:shd w:val="clear" w:color="auto" w:fill="E2EEF6"/>
          </w:tcPr>
          <w:p>
            <w:pPr>
              <w:spacing w:after="0"/>
              <w:rPr>
                <w:sz w:val="17"/>
                <w:szCs w:val="17"/>
                <w:color w:val="auto"/>
              </w:rPr>
            </w:pPr>
          </w:p>
        </w:tc>
        <w:tc>
          <w:tcPr>
            <w:tcW w:w="900" w:type="dxa"/>
            <w:vAlign w:val="bottom"/>
            <w:shd w:val="clear" w:color="auto" w:fill="E2EEF6"/>
          </w:tcPr>
          <w:p>
            <w:pPr>
              <w:spacing w:after="0"/>
              <w:rPr>
                <w:sz w:val="17"/>
                <w:szCs w:val="17"/>
                <w:color w:val="auto"/>
              </w:rPr>
            </w:pPr>
          </w:p>
        </w:tc>
        <w:tc>
          <w:tcPr>
            <w:tcW w:w="120" w:type="dxa"/>
            <w:vAlign w:val="bottom"/>
            <w:shd w:val="clear" w:color="auto" w:fill="E2EEF6"/>
          </w:tcPr>
          <w:p>
            <w:pPr>
              <w:spacing w:after="0"/>
              <w:rPr>
                <w:sz w:val="17"/>
                <w:szCs w:val="17"/>
                <w:color w:val="auto"/>
              </w:rPr>
            </w:pPr>
          </w:p>
        </w:tc>
        <w:tc>
          <w:tcPr>
            <w:tcW w:w="240" w:type="dxa"/>
            <w:vAlign w:val="bottom"/>
            <w:shd w:val="clear" w:color="auto" w:fill="E2EEF6"/>
          </w:tcPr>
          <w:p>
            <w:pPr>
              <w:spacing w:after="0"/>
              <w:rPr>
                <w:sz w:val="17"/>
                <w:szCs w:val="17"/>
                <w:color w:val="auto"/>
              </w:rPr>
            </w:pPr>
          </w:p>
        </w:tc>
        <w:tc>
          <w:tcPr>
            <w:tcW w:w="880" w:type="dxa"/>
            <w:vAlign w:val="bottom"/>
            <w:shd w:val="clear" w:color="auto" w:fill="E2EEF6"/>
          </w:tcPr>
          <w:p>
            <w:pPr>
              <w:spacing w:after="0"/>
              <w:rPr>
                <w:sz w:val="17"/>
                <w:szCs w:val="17"/>
                <w:color w:val="auto"/>
              </w:rPr>
            </w:pPr>
          </w:p>
        </w:tc>
        <w:tc>
          <w:tcPr>
            <w:tcW w:w="120" w:type="dxa"/>
            <w:vAlign w:val="bottom"/>
            <w:shd w:val="clear" w:color="auto" w:fill="E2EEF6"/>
          </w:tcPr>
          <w:p>
            <w:pPr>
              <w:spacing w:after="0"/>
              <w:rPr>
                <w:sz w:val="17"/>
                <w:szCs w:val="17"/>
                <w:color w:val="auto"/>
              </w:rPr>
            </w:pPr>
          </w:p>
        </w:tc>
        <w:tc>
          <w:tcPr>
            <w:tcW w:w="240" w:type="dxa"/>
            <w:vAlign w:val="bottom"/>
            <w:shd w:val="clear" w:color="auto" w:fill="E2EEF6"/>
          </w:tcPr>
          <w:p>
            <w:pPr>
              <w:spacing w:after="0"/>
              <w:rPr>
                <w:sz w:val="17"/>
                <w:szCs w:val="17"/>
                <w:color w:val="auto"/>
              </w:rPr>
            </w:pPr>
          </w:p>
        </w:tc>
        <w:tc>
          <w:tcPr>
            <w:tcW w:w="880" w:type="dxa"/>
            <w:vAlign w:val="bottom"/>
            <w:shd w:val="clear" w:color="auto" w:fill="E2EEF6"/>
          </w:tcPr>
          <w:p>
            <w:pPr>
              <w:spacing w:after="0"/>
              <w:rPr>
                <w:sz w:val="17"/>
                <w:szCs w:val="17"/>
                <w:color w:val="auto"/>
              </w:rPr>
            </w:pPr>
          </w:p>
        </w:tc>
        <w:tc>
          <w:tcPr>
            <w:tcW w:w="120" w:type="dxa"/>
            <w:vAlign w:val="bottom"/>
            <w:tcBorders>
              <w:right w:val="single" w:sz="8" w:color="E2EEF6"/>
            </w:tcBorders>
            <w:shd w:val="clear" w:color="auto" w:fill="E2EEF6"/>
          </w:tcPr>
          <w:p>
            <w:pPr>
              <w:spacing w:after="0"/>
              <w:rPr>
                <w:sz w:val="17"/>
                <w:szCs w:val="17"/>
                <w:color w:val="auto"/>
              </w:rPr>
            </w:pPr>
          </w:p>
        </w:tc>
        <w:tc>
          <w:tcPr>
            <w:tcW w:w="240" w:type="dxa"/>
            <w:vAlign w:val="bottom"/>
            <w:shd w:val="clear" w:color="auto" w:fill="E2EEF6"/>
          </w:tcPr>
          <w:p>
            <w:pPr>
              <w:spacing w:after="0"/>
              <w:rPr>
                <w:sz w:val="17"/>
                <w:szCs w:val="17"/>
                <w:color w:val="auto"/>
              </w:rPr>
            </w:pPr>
          </w:p>
        </w:tc>
        <w:tc>
          <w:tcPr>
            <w:tcW w:w="900" w:type="dxa"/>
            <w:vAlign w:val="bottom"/>
            <w:shd w:val="clear" w:color="auto" w:fill="E2EEF6"/>
          </w:tcPr>
          <w:p>
            <w:pPr>
              <w:spacing w:after="0"/>
              <w:rPr>
                <w:sz w:val="17"/>
                <w:szCs w:val="17"/>
                <w:color w:val="auto"/>
              </w:rPr>
            </w:pPr>
          </w:p>
        </w:tc>
        <w:tc>
          <w:tcPr>
            <w:tcW w:w="100" w:type="dxa"/>
            <w:vAlign w:val="bottom"/>
            <w:shd w:val="clear" w:color="auto" w:fill="E2EEF6"/>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accounting principle</w:t>
            </w:r>
          </w:p>
        </w:tc>
        <w:tc>
          <w:tcPr>
            <w:tcW w:w="240" w:type="dxa"/>
            <w:vAlign w:val="bottom"/>
            <w:shd w:val="clear" w:color="auto" w:fill="E2EEF6"/>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0.88</w:t>
            </w:r>
          </w:p>
        </w:tc>
        <w:tc>
          <w:tcPr>
            <w:tcW w:w="240" w:type="dxa"/>
            <w:vAlign w:val="bottom"/>
            <w:shd w:val="clear" w:color="auto" w:fill="E2EEF6"/>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0.42</w:t>
            </w:r>
          </w:p>
        </w:tc>
        <w:tc>
          <w:tcPr>
            <w:tcW w:w="240" w:type="dxa"/>
            <w:vAlign w:val="bottom"/>
            <w:shd w:val="clear" w:color="auto" w:fill="E2EEF6"/>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0.64</w:t>
            </w:r>
          </w:p>
        </w:tc>
        <w:tc>
          <w:tcPr>
            <w:tcW w:w="240" w:type="dxa"/>
            <w:vAlign w:val="bottom"/>
            <w:shd w:val="clear" w:color="auto" w:fill="E2EEF6"/>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0. 51</w:t>
            </w:r>
          </w:p>
        </w:tc>
        <w:tc>
          <w:tcPr>
            <w:tcW w:w="120" w:type="dxa"/>
            <w:vAlign w:val="bottom"/>
            <w:tcBorders>
              <w:right w:val="single" w:sz="8" w:color="E2EEF6"/>
            </w:tcBorders>
            <w:shd w:val="clear" w:color="auto" w:fill="E2EEF6"/>
          </w:tcPr>
          <w:p>
            <w:pPr>
              <w:spacing w:after="0"/>
              <w:rPr>
                <w:sz w:val="20"/>
                <w:szCs w:val="20"/>
                <w:color w:val="auto"/>
              </w:rPr>
            </w:pPr>
          </w:p>
        </w:tc>
        <w:tc>
          <w:tcPr>
            <w:tcW w:w="240" w:type="dxa"/>
            <w:vAlign w:val="bottom"/>
            <w:shd w:val="clear" w:color="auto" w:fill="E2EEF6"/>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2"/>
          </w:tcPr>
          <w:p>
            <w:pPr>
              <w:spacing w:after="0" w:line="201" w:lineRule="exact"/>
              <w:rPr>
                <w:sz w:val="20"/>
                <w:szCs w:val="20"/>
                <w:color w:val="auto"/>
              </w:rPr>
            </w:pPr>
            <w:r>
              <w:rPr>
                <w:rFonts w:ascii="Arial" w:cs="Arial" w:eastAsia="Arial" w:hAnsi="Arial"/>
                <w:sz w:val="18"/>
                <w:szCs w:val="18"/>
                <w:color w:val="auto"/>
              </w:rPr>
              <w:t>Cumulative effect of change in accounting</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160" w:type="dxa"/>
            <w:vAlign w:val="bottom"/>
            <w:gridSpan w:val="3"/>
          </w:tcPr>
          <w:p>
            <w:pPr>
              <w:spacing w:after="0"/>
              <w:rPr>
                <w:sz w:val="20"/>
                <w:szCs w:val="20"/>
                <w:color w:val="auto"/>
              </w:rPr>
            </w:pPr>
            <w:r>
              <w:rPr>
                <w:rFonts w:ascii="Arial" w:cs="Arial" w:eastAsia="Arial" w:hAnsi="Arial"/>
                <w:sz w:val="18"/>
                <w:szCs w:val="18"/>
                <w:color w:val="auto"/>
              </w:rPr>
              <w:t>Principle</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16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14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E2EEF6"/>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0.88</w:t>
            </w:r>
          </w:p>
        </w:tc>
        <w:tc>
          <w:tcPr>
            <w:tcW w:w="120" w:type="dxa"/>
            <w:vAlign w:val="bottom"/>
            <w:shd w:val="clear" w:color="auto" w:fill="E2EEF6"/>
          </w:tcPr>
          <w:p>
            <w:pPr>
              <w:spacing w:after="0"/>
              <w:rPr>
                <w:sz w:val="24"/>
                <w:szCs w:val="24"/>
                <w:color w:val="auto"/>
              </w:rPr>
            </w:pPr>
          </w:p>
        </w:tc>
        <w:tc>
          <w:tcPr>
            <w:tcW w:w="240" w:type="dxa"/>
            <w:vAlign w:val="bottom"/>
            <w:shd w:val="clear" w:color="auto" w:fill="E2EEF6"/>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0.42</w:t>
            </w:r>
          </w:p>
        </w:tc>
        <w:tc>
          <w:tcPr>
            <w:tcW w:w="240" w:type="dxa"/>
            <w:vAlign w:val="bottom"/>
            <w:shd w:val="clear" w:color="auto" w:fill="E2EEF6"/>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0.64</w:t>
            </w:r>
          </w:p>
        </w:tc>
        <w:tc>
          <w:tcPr>
            <w:tcW w:w="240" w:type="dxa"/>
            <w:vAlign w:val="bottom"/>
            <w:shd w:val="clear" w:color="auto" w:fill="E2EEF6"/>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0. 51</w:t>
            </w:r>
          </w:p>
        </w:tc>
        <w:tc>
          <w:tcPr>
            <w:tcW w:w="120" w:type="dxa"/>
            <w:vAlign w:val="bottom"/>
            <w:tcBorders>
              <w:right w:val="single" w:sz="8" w:color="E2EEF6"/>
            </w:tcBorders>
            <w:shd w:val="clear" w:color="auto" w:fill="E2EEF6"/>
          </w:tcPr>
          <w:p>
            <w:pPr>
              <w:spacing w:after="0"/>
              <w:rPr>
                <w:sz w:val="24"/>
                <w:szCs w:val="24"/>
                <w:color w:val="auto"/>
              </w:rPr>
            </w:pPr>
          </w:p>
        </w:tc>
        <w:tc>
          <w:tcPr>
            <w:tcW w:w="240" w:type="dxa"/>
            <w:vAlign w:val="bottom"/>
            <w:shd w:val="clear" w:color="auto" w:fill="E2EEF6"/>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Borders>
              <w:top w:val="single" w:sz="8" w:color="E2EEF6"/>
            </w:tcBorders>
          </w:tcPr>
          <w:p>
            <w:pPr>
              <w:spacing w:after="0"/>
              <w:rPr>
                <w:sz w:val="20"/>
                <w:szCs w:val="20"/>
                <w:color w:val="auto"/>
              </w:rPr>
            </w:pPr>
          </w:p>
        </w:tc>
        <w:tc>
          <w:tcPr>
            <w:tcW w:w="740" w:type="dxa"/>
            <w:vAlign w:val="bottom"/>
            <w:tcBorders>
              <w:top w:val="single" w:sz="8" w:color="E2EEF6"/>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Borders>
              <w:top w:val="single" w:sz="8" w:color="E2EEF6"/>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Borders>
              <w:top w:val="single" w:sz="8" w:color="E2EEF6"/>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Borders>
              <w:top w:val="single" w:sz="8" w:color="E2EEF6"/>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Borders>
              <w:top w:val="single" w:sz="8" w:color="E2EEF6"/>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Diluted income per share:</w:t>
            </w:r>
          </w:p>
        </w:tc>
        <w:tc>
          <w:tcPr>
            <w:tcW w:w="240" w:type="dxa"/>
            <w:vAlign w:val="bottom"/>
            <w:shd w:val="clear" w:color="auto" w:fill="E2EEF6"/>
          </w:tcPr>
          <w:p>
            <w:pPr>
              <w:spacing w:after="0"/>
              <w:rPr>
                <w:sz w:val="22"/>
                <w:szCs w:val="22"/>
                <w:color w:val="auto"/>
              </w:rPr>
            </w:pPr>
          </w:p>
        </w:tc>
        <w:tc>
          <w:tcPr>
            <w:tcW w:w="920" w:type="dxa"/>
            <w:vAlign w:val="bottom"/>
            <w:shd w:val="clear" w:color="auto" w:fill="E2EEF6"/>
          </w:tcPr>
          <w:p>
            <w:pPr>
              <w:spacing w:after="0"/>
              <w:rPr>
                <w:sz w:val="22"/>
                <w:szCs w:val="22"/>
                <w:color w:val="auto"/>
              </w:rPr>
            </w:pPr>
          </w:p>
        </w:tc>
        <w:tc>
          <w:tcPr>
            <w:tcW w:w="120" w:type="dxa"/>
            <w:vAlign w:val="bottom"/>
            <w:shd w:val="clear" w:color="auto" w:fill="E2EEF6"/>
          </w:tcPr>
          <w:p>
            <w:pPr>
              <w:spacing w:after="0"/>
              <w:rPr>
                <w:sz w:val="22"/>
                <w:szCs w:val="22"/>
                <w:color w:val="auto"/>
              </w:rPr>
            </w:pPr>
          </w:p>
        </w:tc>
        <w:tc>
          <w:tcPr>
            <w:tcW w:w="240" w:type="dxa"/>
            <w:vAlign w:val="bottom"/>
            <w:shd w:val="clear" w:color="auto" w:fill="E2EEF6"/>
          </w:tcPr>
          <w:p>
            <w:pPr>
              <w:spacing w:after="0"/>
              <w:rPr>
                <w:sz w:val="22"/>
                <w:szCs w:val="22"/>
                <w:color w:val="auto"/>
              </w:rPr>
            </w:pPr>
          </w:p>
        </w:tc>
        <w:tc>
          <w:tcPr>
            <w:tcW w:w="900" w:type="dxa"/>
            <w:vAlign w:val="bottom"/>
            <w:shd w:val="clear" w:color="auto" w:fill="E2EEF6"/>
          </w:tcPr>
          <w:p>
            <w:pPr>
              <w:spacing w:after="0"/>
              <w:rPr>
                <w:sz w:val="22"/>
                <w:szCs w:val="22"/>
                <w:color w:val="auto"/>
              </w:rPr>
            </w:pPr>
          </w:p>
        </w:tc>
        <w:tc>
          <w:tcPr>
            <w:tcW w:w="120" w:type="dxa"/>
            <w:vAlign w:val="bottom"/>
            <w:shd w:val="clear" w:color="auto" w:fill="E2EEF6"/>
          </w:tcPr>
          <w:p>
            <w:pPr>
              <w:spacing w:after="0"/>
              <w:rPr>
                <w:sz w:val="22"/>
                <w:szCs w:val="22"/>
                <w:color w:val="auto"/>
              </w:rPr>
            </w:pPr>
          </w:p>
        </w:tc>
        <w:tc>
          <w:tcPr>
            <w:tcW w:w="240" w:type="dxa"/>
            <w:vAlign w:val="bottom"/>
            <w:shd w:val="clear" w:color="auto" w:fill="E2EEF6"/>
          </w:tcPr>
          <w:p>
            <w:pPr>
              <w:spacing w:after="0"/>
              <w:rPr>
                <w:sz w:val="22"/>
                <w:szCs w:val="22"/>
                <w:color w:val="auto"/>
              </w:rPr>
            </w:pPr>
          </w:p>
        </w:tc>
        <w:tc>
          <w:tcPr>
            <w:tcW w:w="880" w:type="dxa"/>
            <w:vAlign w:val="bottom"/>
            <w:shd w:val="clear" w:color="auto" w:fill="E2EEF6"/>
          </w:tcPr>
          <w:p>
            <w:pPr>
              <w:spacing w:after="0"/>
              <w:rPr>
                <w:sz w:val="22"/>
                <w:szCs w:val="22"/>
                <w:color w:val="auto"/>
              </w:rPr>
            </w:pPr>
          </w:p>
        </w:tc>
        <w:tc>
          <w:tcPr>
            <w:tcW w:w="120" w:type="dxa"/>
            <w:vAlign w:val="bottom"/>
            <w:shd w:val="clear" w:color="auto" w:fill="E2EEF6"/>
          </w:tcPr>
          <w:p>
            <w:pPr>
              <w:spacing w:after="0"/>
              <w:rPr>
                <w:sz w:val="22"/>
                <w:szCs w:val="22"/>
                <w:color w:val="auto"/>
              </w:rPr>
            </w:pPr>
          </w:p>
        </w:tc>
        <w:tc>
          <w:tcPr>
            <w:tcW w:w="240" w:type="dxa"/>
            <w:vAlign w:val="bottom"/>
            <w:shd w:val="clear" w:color="auto" w:fill="E2EEF6"/>
          </w:tcPr>
          <w:p>
            <w:pPr>
              <w:spacing w:after="0"/>
              <w:rPr>
                <w:sz w:val="22"/>
                <w:szCs w:val="22"/>
                <w:color w:val="auto"/>
              </w:rPr>
            </w:pPr>
          </w:p>
        </w:tc>
        <w:tc>
          <w:tcPr>
            <w:tcW w:w="880" w:type="dxa"/>
            <w:vAlign w:val="bottom"/>
            <w:shd w:val="clear" w:color="auto" w:fill="E2EEF6"/>
          </w:tcPr>
          <w:p>
            <w:pPr>
              <w:spacing w:after="0"/>
              <w:rPr>
                <w:sz w:val="22"/>
                <w:szCs w:val="22"/>
                <w:color w:val="auto"/>
              </w:rPr>
            </w:pPr>
          </w:p>
        </w:tc>
        <w:tc>
          <w:tcPr>
            <w:tcW w:w="120" w:type="dxa"/>
            <w:vAlign w:val="bottom"/>
            <w:tcBorders>
              <w:right w:val="single" w:sz="8" w:color="E2EEF6"/>
            </w:tcBorders>
            <w:shd w:val="clear" w:color="auto" w:fill="E2EEF6"/>
          </w:tcPr>
          <w:p>
            <w:pPr>
              <w:spacing w:after="0"/>
              <w:rPr>
                <w:sz w:val="22"/>
                <w:szCs w:val="22"/>
                <w:color w:val="auto"/>
              </w:rPr>
            </w:pPr>
          </w:p>
        </w:tc>
        <w:tc>
          <w:tcPr>
            <w:tcW w:w="240" w:type="dxa"/>
            <w:vAlign w:val="bottom"/>
            <w:shd w:val="clear" w:color="auto" w:fill="E2EEF6"/>
          </w:tcPr>
          <w:p>
            <w:pPr>
              <w:spacing w:after="0"/>
              <w:rPr>
                <w:sz w:val="22"/>
                <w:szCs w:val="22"/>
                <w:color w:val="auto"/>
              </w:rPr>
            </w:pPr>
          </w:p>
        </w:tc>
        <w:tc>
          <w:tcPr>
            <w:tcW w:w="900" w:type="dxa"/>
            <w:vAlign w:val="bottom"/>
            <w:shd w:val="clear" w:color="auto" w:fill="E2EEF6"/>
          </w:tcPr>
          <w:p>
            <w:pPr>
              <w:spacing w:after="0"/>
              <w:rPr>
                <w:sz w:val="22"/>
                <w:szCs w:val="22"/>
                <w:color w:val="auto"/>
              </w:rPr>
            </w:pPr>
          </w:p>
        </w:tc>
        <w:tc>
          <w:tcPr>
            <w:tcW w:w="100" w:type="dxa"/>
            <w:vAlign w:val="bottom"/>
            <w:shd w:val="clear" w:color="auto" w:fill="E2EEF6"/>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2"/>
          </w:tcPr>
          <w:p>
            <w:pPr>
              <w:spacing w:after="0" w:line="201" w:lineRule="exact"/>
              <w:rPr>
                <w:sz w:val="20"/>
                <w:szCs w:val="20"/>
                <w:color w:val="auto"/>
              </w:rPr>
            </w:pPr>
            <w:r>
              <w:rPr>
                <w:rFonts w:ascii="Arial" w:cs="Arial" w:eastAsia="Arial" w:hAnsi="Arial"/>
                <w:sz w:val="18"/>
                <w:szCs w:val="18"/>
                <w:color w:val="auto"/>
              </w:rPr>
              <w:t>Income before cumulative effect of change in</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gridSpan w:val="3"/>
          </w:tcPr>
          <w:p>
            <w:pPr>
              <w:spacing w:after="0"/>
              <w:rPr>
                <w:sz w:val="20"/>
                <w:szCs w:val="20"/>
                <w:color w:val="auto"/>
              </w:rPr>
            </w:pPr>
            <w:r>
              <w:rPr>
                <w:rFonts w:ascii="Arial" w:cs="Arial" w:eastAsia="Arial" w:hAnsi="Arial"/>
                <w:sz w:val="18"/>
                <w:szCs w:val="18"/>
                <w:color w:val="auto"/>
              </w:rPr>
              <w:t>accounting principle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0.87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0.41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0.62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0.49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2"/>
            <w:shd w:val="clear" w:color="auto" w:fill="E2EEF6"/>
          </w:tcPr>
          <w:p>
            <w:pPr>
              <w:spacing w:after="0" w:line="201" w:lineRule="exact"/>
              <w:rPr>
                <w:sz w:val="20"/>
                <w:szCs w:val="20"/>
                <w:color w:val="auto"/>
              </w:rPr>
            </w:pPr>
            <w:r>
              <w:rPr>
                <w:rFonts w:ascii="Arial" w:cs="Arial" w:eastAsia="Arial" w:hAnsi="Arial"/>
                <w:sz w:val="18"/>
                <w:szCs w:val="18"/>
                <w:color w:val="auto"/>
              </w:rPr>
              <w:t>Cumulative effect of change in accounting</w:t>
            </w:r>
          </w:p>
        </w:tc>
        <w:tc>
          <w:tcPr>
            <w:tcW w:w="240" w:type="dxa"/>
            <w:vAlign w:val="bottom"/>
            <w:shd w:val="clear" w:color="auto" w:fill="E2EEF6"/>
          </w:tcPr>
          <w:p>
            <w:pPr>
              <w:spacing w:after="0"/>
              <w:rPr>
                <w:sz w:val="17"/>
                <w:szCs w:val="17"/>
                <w:color w:val="auto"/>
              </w:rPr>
            </w:pPr>
          </w:p>
        </w:tc>
        <w:tc>
          <w:tcPr>
            <w:tcW w:w="920" w:type="dxa"/>
            <w:vAlign w:val="bottom"/>
            <w:shd w:val="clear" w:color="auto" w:fill="E2EEF6"/>
          </w:tcPr>
          <w:p>
            <w:pPr>
              <w:spacing w:after="0"/>
              <w:rPr>
                <w:sz w:val="17"/>
                <w:szCs w:val="17"/>
                <w:color w:val="auto"/>
              </w:rPr>
            </w:pPr>
          </w:p>
        </w:tc>
        <w:tc>
          <w:tcPr>
            <w:tcW w:w="120" w:type="dxa"/>
            <w:vAlign w:val="bottom"/>
            <w:shd w:val="clear" w:color="auto" w:fill="E2EEF6"/>
          </w:tcPr>
          <w:p>
            <w:pPr>
              <w:spacing w:after="0"/>
              <w:rPr>
                <w:sz w:val="17"/>
                <w:szCs w:val="17"/>
                <w:color w:val="auto"/>
              </w:rPr>
            </w:pPr>
          </w:p>
        </w:tc>
        <w:tc>
          <w:tcPr>
            <w:tcW w:w="240" w:type="dxa"/>
            <w:vAlign w:val="bottom"/>
            <w:shd w:val="clear" w:color="auto" w:fill="E2EEF6"/>
          </w:tcPr>
          <w:p>
            <w:pPr>
              <w:spacing w:after="0"/>
              <w:rPr>
                <w:sz w:val="17"/>
                <w:szCs w:val="17"/>
                <w:color w:val="auto"/>
              </w:rPr>
            </w:pPr>
          </w:p>
        </w:tc>
        <w:tc>
          <w:tcPr>
            <w:tcW w:w="900" w:type="dxa"/>
            <w:vAlign w:val="bottom"/>
            <w:shd w:val="clear" w:color="auto" w:fill="E2EEF6"/>
          </w:tcPr>
          <w:p>
            <w:pPr>
              <w:spacing w:after="0"/>
              <w:rPr>
                <w:sz w:val="17"/>
                <w:szCs w:val="17"/>
                <w:color w:val="auto"/>
              </w:rPr>
            </w:pPr>
          </w:p>
        </w:tc>
        <w:tc>
          <w:tcPr>
            <w:tcW w:w="120" w:type="dxa"/>
            <w:vAlign w:val="bottom"/>
            <w:shd w:val="clear" w:color="auto" w:fill="E2EEF6"/>
          </w:tcPr>
          <w:p>
            <w:pPr>
              <w:spacing w:after="0"/>
              <w:rPr>
                <w:sz w:val="17"/>
                <w:szCs w:val="17"/>
                <w:color w:val="auto"/>
              </w:rPr>
            </w:pPr>
          </w:p>
        </w:tc>
        <w:tc>
          <w:tcPr>
            <w:tcW w:w="240" w:type="dxa"/>
            <w:vAlign w:val="bottom"/>
            <w:shd w:val="clear" w:color="auto" w:fill="E2EEF6"/>
          </w:tcPr>
          <w:p>
            <w:pPr>
              <w:spacing w:after="0"/>
              <w:rPr>
                <w:sz w:val="17"/>
                <w:szCs w:val="17"/>
                <w:color w:val="auto"/>
              </w:rPr>
            </w:pPr>
          </w:p>
        </w:tc>
        <w:tc>
          <w:tcPr>
            <w:tcW w:w="880" w:type="dxa"/>
            <w:vAlign w:val="bottom"/>
            <w:shd w:val="clear" w:color="auto" w:fill="E2EEF6"/>
          </w:tcPr>
          <w:p>
            <w:pPr>
              <w:spacing w:after="0"/>
              <w:rPr>
                <w:sz w:val="17"/>
                <w:szCs w:val="17"/>
                <w:color w:val="auto"/>
              </w:rPr>
            </w:pPr>
          </w:p>
        </w:tc>
        <w:tc>
          <w:tcPr>
            <w:tcW w:w="120" w:type="dxa"/>
            <w:vAlign w:val="bottom"/>
            <w:shd w:val="clear" w:color="auto" w:fill="E2EEF6"/>
          </w:tcPr>
          <w:p>
            <w:pPr>
              <w:spacing w:after="0"/>
              <w:rPr>
                <w:sz w:val="17"/>
                <w:szCs w:val="17"/>
                <w:color w:val="auto"/>
              </w:rPr>
            </w:pPr>
          </w:p>
        </w:tc>
        <w:tc>
          <w:tcPr>
            <w:tcW w:w="240" w:type="dxa"/>
            <w:vAlign w:val="bottom"/>
            <w:shd w:val="clear" w:color="auto" w:fill="E2EEF6"/>
          </w:tcPr>
          <w:p>
            <w:pPr>
              <w:spacing w:after="0"/>
              <w:rPr>
                <w:sz w:val="17"/>
                <w:szCs w:val="17"/>
                <w:color w:val="auto"/>
              </w:rPr>
            </w:pPr>
          </w:p>
        </w:tc>
        <w:tc>
          <w:tcPr>
            <w:tcW w:w="880" w:type="dxa"/>
            <w:vAlign w:val="bottom"/>
            <w:shd w:val="clear" w:color="auto" w:fill="E2EEF6"/>
          </w:tcPr>
          <w:p>
            <w:pPr>
              <w:spacing w:after="0"/>
              <w:rPr>
                <w:sz w:val="17"/>
                <w:szCs w:val="17"/>
                <w:color w:val="auto"/>
              </w:rPr>
            </w:pPr>
          </w:p>
        </w:tc>
        <w:tc>
          <w:tcPr>
            <w:tcW w:w="120" w:type="dxa"/>
            <w:vAlign w:val="bottom"/>
            <w:tcBorders>
              <w:right w:val="single" w:sz="8" w:color="E2EEF6"/>
            </w:tcBorders>
            <w:shd w:val="clear" w:color="auto" w:fill="E2EEF6"/>
          </w:tcPr>
          <w:p>
            <w:pPr>
              <w:spacing w:after="0"/>
              <w:rPr>
                <w:sz w:val="17"/>
                <w:szCs w:val="17"/>
                <w:color w:val="auto"/>
              </w:rPr>
            </w:pPr>
          </w:p>
        </w:tc>
        <w:tc>
          <w:tcPr>
            <w:tcW w:w="240" w:type="dxa"/>
            <w:vAlign w:val="bottom"/>
            <w:shd w:val="clear" w:color="auto" w:fill="E2EEF6"/>
          </w:tcPr>
          <w:p>
            <w:pPr>
              <w:spacing w:after="0"/>
              <w:rPr>
                <w:sz w:val="17"/>
                <w:szCs w:val="17"/>
                <w:color w:val="auto"/>
              </w:rPr>
            </w:pPr>
          </w:p>
        </w:tc>
        <w:tc>
          <w:tcPr>
            <w:tcW w:w="900" w:type="dxa"/>
            <w:vAlign w:val="bottom"/>
            <w:shd w:val="clear" w:color="auto" w:fill="E2EEF6"/>
          </w:tcPr>
          <w:p>
            <w:pPr>
              <w:spacing w:after="0"/>
              <w:rPr>
                <w:sz w:val="17"/>
                <w:szCs w:val="17"/>
                <w:color w:val="auto"/>
              </w:rPr>
            </w:pPr>
          </w:p>
        </w:tc>
        <w:tc>
          <w:tcPr>
            <w:tcW w:w="100" w:type="dxa"/>
            <w:vAlign w:val="bottom"/>
            <w:shd w:val="clear" w:color="auto" w:fill="E2EEF6"/>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Principle</w:t>
            </w:r>
          </w:p>
        </w:tc>
        <w:tc>
          <w:tcPr>
            <w:tcW w:w="240" w:type="dxa"/>
            <w:vAlign w:val="bottom"/>
            <w:shd w:val="clear" w:color="auto" w:fill="E2EEF6"/>
          </w:tcPr>
          <w:p>
            <w:pPr>
              <w:spacing w:after="0"/>
              <w:rPr>
                <w:sz w:val="22"/>
                <w:szCs w:val="22"/>
                <w:color w:val="auto"/>
              </w:rPr>
            </w:pPr>
          </w:p>
        </w:tc>
        <w:tc>
          <w:tcPr>
            <w:tcW w:w="9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2EEF6"/>
          </w:tcPr>
          <w:p>
            <w:pPr>
              <w:spacing w:after="0"/>
              <w:rPr>
                <w:sz w:val="22"/>
                <w:szCs w:val="22"/>
                <w:color w:val="auto"/>
              </w:rPr>
            </w:pPr>
          </w:p>
        </w:tc>
        <w:tc>
          <w:tcPr>
            <w:tcW w:w="240" w:type="dxa"/>
            <w:vAlign w:val="bottom"/>
            <w:shd w:val="clear" w:color="auto" w:fill="E2EEF6"/>
          </w:tcPr>
          <w:p>
            <w:pPr>
              <w:spacing w:after="0"/>
              <w:rPr>
                <w:sz w:val="22"/>
                <w:szCs w:val="22"/>
                <w:color w:val="auto"/>
              </w:rPr>
            </w:pPr>
          </w:p>
        </w:tc>
        <w:tc>
          <w:tcPr>
            <w:tcW w:w="10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2EEF6"/>
          </w:tcPr>
          <w:p>
            <w:pPr>
              <w:spacing w:after="0"/>
              <w:rPr>
                <w:sz w:val="22"/>
                <w:szCs w:val="22"/>
                <w:color w:val="auto"/>
              </w:rPr>
            </w:pPr>
          </w:p>
        </w:tc>
        <w:tc>
          <w:tcPr>
            <w:tcW w:w="10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2EEF6"/>
          </w:tcPr>
          <w:p>
            <w:pPr>
              <w:spacing w:after="0"/>
              <w:rPr>
                <w:sz w:val="22"/>
                <w:szCs w:val="22"/>
                <w:color w:val="auto"/>
              </w:rPr>
            </w:pP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E2EEF6"/>
            </w:tcBorders>
            <w:shd w:val="clear" w:color="auto" w:fill="E2EEF6"/>
          </w:tcPr>
          <w:p>
            <w:pPr>
              <w:spacing w:after="0"/>
              <w:rPr>
                <w:sz w:val="22"/>
                <w:szCs w:val="22"/>
                <w:color w:val="auto"/>
              </w:rPr>
            </w:pPr>
          </w:p>
        </w:tc>
        <w:tc>
          <w:tcPr>
            <w:tcW w:w="240" w:type="dxa"/>
            <w:vAlign w:val="bottom"/>
            <w:shd w:val="clear" w:color="auto" w:fill="E2EEF6"/>
          </w:tcPr>
          <w:p>
            <w:pPr>
              <w:spacing w:after="0"/>
              <w:rPr>
                <w:sz w:val="22"/>
                <w:szCs w:val="22"/>
                <w:color w:val="auto"/>
              </w:rPr>
            </w:pPr>
          </w:p>
        </w:tc>
        <w:tc>
          <w:tcPr>
            <w:tcW w:w="100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shd w:val="clear" w:color="auto" w:fill="E2EEF6"/>
          </w:tcPr>
          <w:p>
            <w:pPr>
              <w:spacing w:after="0" w:line="20" w:lineRule="exact"/>
              <w:rPr>
                <w:sz w:val="1"/>
                <w:szCs w:val="1"/>
                <w:color w:val="auto"/>
              </w:rPr>
            </w:pPr>
          </w:p>
        </w:tc>
        <w:tc>
          <w:tcPr>
            <w:tcW w:w="740" w:type="dxa"/>
            <w:vAlign w:val="bottom"/>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right w:val="single" w:sz="8" w:color="E2EEF6"/>
            </w:tcBorders>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0.87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0.41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0.62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0.49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bottom w:val="single" w:sz="8" w:color="E2EEF6"/>
            </w:tcBorders>
          </w:tcPr>
          <w:p>
            <w:pPr>
              <w:spacing w:after="0" w:line="20" w:lineRule="exact"/>
              <w:rPr>
                <w:sz w:val="1"/>
                <w:szCs w:val="1"/>
                <w:color w:val="auto"/>
              </w:rPr>
            </w:pPr>
          </w:p>
        </w:tc>
        <w:tc>
          <w:tcPr>
            <w:tcW w:w="740" w:type="dxa"/>
            <w:vAlign w:val="bottom"/>
            <w:tcBorders>
              <w:bottom w:val="single" w:sz="8" w:color="E2EEF6"/>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2EEF6"/>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2EEF6"/>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2EEF6"/>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2EEF6"/>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2EEF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shd w:val="clear" w:color="auto" w:fill="E2EEF6"/>
          </w:tcPr>
          <w:p>
            <w:pPr>
              <w:spacing w:after="0"/>
              <w:rPr>
                <w:sz w:val="20"/>
                <w:szCs w:val="20"/>
                <w:color w:val="auto"/>
              </w:rPr>
            </w:pPr>
          </w:p>
        </w:tc>
        <w:tc>
          <w:tcPr>
            <w:tcW w:w="74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92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90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88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880" w:type="dxa"/>
            <w:vAlign w:val="bottom"/>
            <w:shd w:val="clear" w:color="auto" w:fill="E2EEF6"/>
          </w:tcPr>
          <w:p>
            <w:pPr>
              <w:spacing w:after="0"/>
              <w:rPr>
                <w:sz w:val="20"/>
                <w:szCs w:val="20"/>
                <w:color w:val="auto"/>
              </w:rPr>
            </w:pPr>
          </w:p>
        </w:tc>
        <w:tc>
          <w:tcPr>
            <w:tcW w:w="120" w:type="dxa"/>
            <w:vAlign w:val="bottom"/>
            <w:tcBorders>
              <w:right w:val="single" w:sz="8" w:color="E2EEF6"/>
            </w:tcBorders>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90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spacing w:after="0"/>
              <w:rPr>
                <w:sz w:val="20"/>
                <w:szCs w:val="20"/>
                <w:color w:val="auto"/>
              </w:rPr>
            </w:pPr>
            <w:r>
              <w:rPr>
                <w:rFonts w:ascii="Arial" w:cs="Arial" w:eastAsia="Arial" w:hAnsi="Arial"/>
                <w:sz w:val="18"/>
                <w:szCs w:val="18"/>
                <w:color w:val="auto"/>
              </w:rPr>
              <w:t>Dividends declared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0.32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0.32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0.32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0.32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5140" w:type="dxa"/>
            <w:vAlign w:val="bottom"/>
            <w:gridSpan w:val="2"/>
            <w:shd w:val="clear" w:color="auto" w:fill="E2EEF6"/>
          </w:tcPr>
          <w:p>
            <w:pPr>
              <w:spacing w:after="0" w:line="182" w:lineRule="exact"/>
              <w:rPr>
                <w:sz w:val="20"/>
                <w:szCs w:val="20"/>
                <w:color w:val="auto"/>
              </w:rPr>
            </w:pPr>
            <w:r>
              <w:rPr>
                <w:rFonts w:ascii="Arial" w:cs="Arial" w:eastAsia="Arial" w:hAnsi="Arial"/>
                <w:sz w:val="18"/>
                <w:szCs w:val="18"/>
                <w:color w:val="auto"/>
              </w:rPr>
              <w:t>Weighted average number of shares</w:t>
            </w:r>
          </w:p>
        </w:tc>
        <w:tc>
          <w:tcPr>
            <w:tcW w:w="240" w:type="dxa"/>
            <w:vAlign w:val="bottom"/>
            <w:shd w:val="clear" w:color="auto" w:fill="E2EEF6"/>
          </w:tcPr>
          <w:p>
            <w:pPr>
              <w:spacing w:after="0"/>
              <w:rPr>
                <w:sz w:val="15"/>
                <w:szCs w:val="15"/>
                <w:color w:val="auto"/>
              </w:rPr>
            </w:pPr>
          </w:p>
        </w:tc>
        <w:tc>
          <w:tcPr>
            <w:tcW w:w="920" w:type="dxa"/>
            <w:vAlign w:val="bottom"/>
            <w:shd w:val="clear" w:color="auto" w:fill="E2EEF6"/>
          </w:tcPr>
          <w:p>
            <w:pPr>
              <w:spacing w:after="0"/>
              <w:rPr>
                <w:sz w:val="15"/>
                <w:szCs w:val="15"/>
                <w:color w:val="auto"/>
              </w:rPr>
            </w:pPr>
          </w:p>
        </w:tc>
        <w:tc>
          <w:tcPr>
            <w:tcW w:w="120" w:type="dxa"/>
            <w:vAlign w:val="bottom"/>
            <w:shd w:val="clear" w:color="auto" w:fill="E2EEF6"/>
          </w:tcPr>
          <w:p>
            <w:pPr>
              <w:spacing w:after="0"/>
              <w:rPr>
                <w:sz w:val="15"/>
                <w:szCs w:val="15"/>
                <w:color w:val="auto"/>
              </w:rPr>
            </w:pPr>
          </w:p>
        </w:tc>
        <w:tc>
          <w:tcPr>
            <w:tcW w:w="240" w:type="dxa"/>
            <w:vAlign w:val="bottom"/>
            <w:shd w:val="clear" w:color="auto" w:fill="E2EEF6"/>
          </w:tcPr>
          <w:p>
            <w:pPr>
              <w:spacing w:after="0"/>
              <w:rPr>
                <w:sz w:val="15"/>
                <w:szCs w:val="15"/>
                <w:color w:val="auto"/>
              </w:rPr>
            </w:pPr>
          </w:p>
        </w:tc>
        <w:tc>
          <w:tcPr>
            <w:tcW w:w="900" w:type="dxa"/>
            <w:vAlign w:val="bottom"/>
            <w:shd w:val="clear" w:color="auto" w:fill="E2EEF6"/>
          </w:tcPr>
          <w:p>
            <w:pPr>
              <w:spacing w:after="0"/>
              <w:rPr>
                <w:sz w:val="15"/>
                <w:szCs w:val="15"/>
                <w:color w:val="auto"/>
              </w:rPr>
            </w:pPr>
          </w:p>
        </w:tc>
        <w:tc>
          <w:tcPr>
            <w:tcW w:w="120" w:type="dxa"/>
            <w:vAlign w:val="bottom"/>
            <w:shd w:val="clear" w:color="auto" w:fill="E2EEF6"/>
          </w:tcPr>
          <w:p>
            <w:pPr>
              <w:spacing w:after="0"/>
              <w:rPr>
                <w:sz w:val="15"/>
                <w:szCs w:val="15"/>
                <w:color w:val="auto"/>
              </w:rPr>
            </w:pPr>
          </w:p>
        </w:tc>
        <w:tc>
          <w:tcPr>
            <w:tcW w:w="240" w:type="dxa"/>
            <w:vAlign w:val="bottom"/>
            <w:shd w:val="clear" w:color="auto" w:fill="E2EEF6"/>
          </w:tcPr>
          <w:p>
            <w:pPr>
              <w:spacing w:after="0"/>
              <w:rPr>
                <w:sz w:val="15"/>
                <w:szCs w:val="15"/>
                <w:color w:val="auto"/>
              </w:rPr>
            </w:pPr>
          </w:p>
        </w:tc>
        <w:tc>
          <w:tcPr>
            <w:tcW w:w="880" w:type="dxa"/>
            <w:vAlign w:val="bottom"/>
            <w:shd w:val="clear" w:color="auto" w:fill="E2EEF6"/>
          </w:tcPr>
          <w:p>
            <w:pPr>
              <w:spacing w:after="0"/>
              <w:rPr>
                <w:sz w:val="15"/>
                <w:szCs w:val="15"/>
                <w:color w:val="auto"/>
              </w:rPr>
            </w:pPr>
          </w:p>
        </w:tc>
        <w:tc>
          <w:tcPr>
            <w:tcW w:w="120" w:type="dxa"/>
            <w:vAlign w:val="bottom"/>
            <w:shd w:val="clear" w:color="auto" w:fill="E2EEF6"/>
          </w:tcPr>
          <w:p>
            <w:pPr>
              <w:spacing w:after="0"/>
              <w:rPr>
                <w:sz w:val="15"/>
                <w:szCs w:val="15"/>
                <w:color w:val="auto"/>
              </w:rPr>
            </w:pPr>
          </w:p>
        </w:tc>
        <w:tc>
          <w:tcPr>
            <w:tcW w:w="240" w:type="dxa"/>
            <w:vAlign w:val="bottom"/>
            <w:shd w:val="clear" w:color="auto" w:fill="E2EEF6"/>
          </w:tcPr>
          <w:p>
            <w:pPr>
              <w:spacing w:after="0"/>
              <w:rPr>
                <w:sz w:val="15"/>
                <w:szCs w:val="15"/>
                <w:color w:val="auto"/>
              </w:rPr>
            </w:pPr>
          </w:p>
        </w:tc>
        <w:tc>
          <w:tcPr>
            <w:tcW w:w="880" w:type="dxa"/>
            <w:vAlign w:val="bottom"/>
            <w:shd w:val="clear" w:color="auto" w:fill="E2EEF6"/>
          </w:tcPr>
          <w:p>
            <w:pPr>
              <w:spacing w:after="0"/>
              <w:rPr>
                <w:sz w:val="15"/>
                <w:szCs w:val="15"/>
                <w:color w:val="auto"/>
              </w:rPr>
            </w:pPr>
          </w:p>
        </w:tc>
        <w:tc>
          <w:tcPr>
            <w:tcW w:w="120" w:type="dxa"/>
            <w:vAlign w:val="bottom"/>
            <w:tcBorders>
              <w:right w:val="single" w:sz="8" w:color="E2EEF6"/>
            </w:tcBorders>
            <w:shd w:val="clear" w:color="auto" w:fill="E2EEF6"/>
          </w:tcPr>
          <w:p>
            <w:pPr>
              <w:spacing w:after="0"/>
              <w:rPr>
                <w:sz w:val="15"/>
                <w:szCs w:val="15"/>
                <w:color w:val="auto"/>
              </w:rPr>
            </w:pPr>
          </w:p>
        </w:tc>
        <w:tc>
          <w:tcPr>
            <w:tcW w:w="240" w:type="dxa"/>
            <w:vAlign w:val="bottom"/>
            <w:shd w:val="clear" w:color="auto" w:fill="E2EEF6"/>
          </w:tcPr>
          <w:p>
            <w:pPr>
              <w:spacing w:after="0"/>
              <w:rPr>
                <w:sz w:val="15"/>
                <w:szCs w:val="15"/>
                <w:color w:val="auto"/>
              </w:rPr>
            </w:pPr>
          </w:p>
        </w:tc>
        <w:tc>
          <w:tcPr>
            <w:tcW w:w="900" w:type="dxa"/>
            <w:vAlign w:val="bottom"/>
            <w:shd w:val="clear" w:color="auto" w:fill="E2EEF6"/>
          </w:tcPr>
          <w:p>
            <w:pPr>
              <w:spacing w:after="0"/>
              <w:rPr>
                <w:sz w:val="15"/>
                <w:szCs w:val="15"/>
                <w:color w:val="auto"/>
              </w:rPr>
            </w:pPr>
          </w:p>
        </w:tc>
        <w:tc>
          <w:tcPr>
            <w:tcW w:w="100" w:type="dxa"/>
            <w:vAlign w:val="bottom"/>
            <w:shd w:val="clear" w:color="auto" w:fill="E2EEF6"/>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outstanding - Basic</w:t>
            </w:r>
          </w:p>
        </w:tc>
        <w:tc>
          <w:tcPr>
            <w:tcW w:w="240" w:type="dxa"/>
            <w:vAlign w:val="bottom"/>
            <w:shd w:val="clear" w:color="auto" w:fill="E2EEF6"/>
          </w:tcPr>
          <w:p>
            <w:pPr>
              <w:spacing w:after="0"/>
              <w:rPr>
                <w:sz w:val="23"/>
                <w:szCs w:val="23"/>
                <w:color w:val="auto"/>
              </w:rPr>
            </w:pPr>
          </w:p>
        </w:tc>
        <w:tc>
          <w:tcPr>
            <w:tcW w:w="104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17,004</w:t>
            </w:r>
          </w:p>
        </w:tc>
        <w:tc>
          <w:tcPr>
            <w:tcW w:w="240" w:type="dxa"/>
            <w:vAlign w:val="bottom"/>
            <w:shd w:val="clear" w:color="auto" w:fill="E2EEF6"/>
          </w:tcPr>
          <w:p>
            <w:pPr>
              <w:spacing w:after="0"/>
              <w:rPr>
                <w:sz w:val="23"/>
                <w:szCs w:val="23"/>
                <w:color w:val="auto"/>
              </w:rPr>
            </w:pPr>
          </w:p>
        </w:tc>
        <w:tc>
          <w:tcPr>
            <w:tcW w:w="10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16,728</w:t>
            </w:r>
          </w:p>
        </w:tc>
        <w:tc>
          <w:tcPr>
            <w:tcW w:w="240" w:type="dxa"/>
            <w:vAlign w:val="bottom"/>
            <w:shd w:val="clear" w:color="auto" w:fill="E2EEF6"/>
          </w:tcPr>
          <w:p>
            <w:pPr>
              <w:spacing w:after="0"/>
              <w:rPr>
                <w:sz w:val="23"/>
                <w:szCs w:val="23"/>
                <w:color w:val="auto"/>
              </w:rPr>
            </w:pPr>
          </w:p>
        </w:tc>
        <w:tc>
          <w:tcPr>
            <w:tcW w:w="10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15,973</w:t>
            </w:r>
          </w:p>
        </w:tc>
        <w:tc>
          <w:tcPr>
            <w:tcW w:w="240" w:type="dxa"/>
            <w:vAlign w:val="bottom"/>
            <w:shd w:val="clear" w:color="auto" w:fill="E2EEF6"/>
          </w:tcPr>
          <w:p>
            <w:pPr>
              <w:spacing w:after="0"/>
              <w:rPr>
                <w:sz w:val="23"/>
                <w:szCs w:val="23"/>
                <w:color w:val="auto"/>
              </w:rPr>
            </w:pPr>
          </w:p>
        </w:tc>
        <w:tc>
          <w:tcPr>
            <w:tcW w:w="1000" w:type="dxa"/>
            <w:vAlign w:val="bottom"/>
            <w:tcBorders>
              <w:right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15,343</w:t>
            </w:r>
          </w:p>
        </w:tc>
        <w:tc>
          <w:tcPr>
            <w:tcW w:w="240" w:type="dxa"/>
            <w:vAlign w:val="bottom"/>
            <w:shd w:val="clear" w:color="auto" w:fill="E2EEF6"/>
          </w:tcPr>
          <w:p>
            <w:pPr>
              <w:spacing w:after="0"/>
              <w:rPr>
                <w:sz w:val="23"/>
                <w:szCs w:val="23"/>
                <w:color w:val="auto"/>
              </w:rPr>
            </w:pPr>
          </w:p>
        </w:tc>
        <w:tc>
          <w:tcPr>
            <w:tcW w:w="10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15,259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40" w:type="dxa"/>
            <w:vAlign w:val="bottom"/>
            <w:tcBorders>
              <w:top w:val="single" w:sz="8" w:color="E2EEF6"/>
            </w:tcBorders>
            <w:gridSpan w:val="2"/>
          </w:tcPr>
          <w:p>
            <w:pPr>
              <w:spacing w:after="0" w:line="182" w:lineRule="exact"/>
              <w:rPr>
                <w:sz w:val="20"/>
                <w:szCs w:val="20"/>
                <w:color w:val="auto"/>
              </w:rPr>
            </w:pPr>
            <w:r>
              <w:rPr>
                <w:rFonts w:ascii="Arial" w:cs="Arial" w:eastAsia="Arial" w:hAnsi="Arial"/>
                <w:sz w:val="18"/>
                <w:szCs w:val="18"/>
                <w:color w:val="auto"/>
              </w:rPr>
              <w:t>Weighted average number of shares</w:t>
            </w: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E2EEF6"/>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E2EEF6"/>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E2EEF6"/>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E2EEF6"/>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E2EEF6"/>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60" w:type="dxa"/>
            <w:vAlign w:val="bottom"/>
            <w:gridSpan w:val="3"/>
          </w:tcPr>
          <w:p>
            <w:pPr>
              <w:spacing w:after="0"/>
              <w:rPr>
                <w:sz w:val="20"/>
                <w:szCs w:val="20"/>
                <w:color w:val="auto"/>
              </w:rPr>
            </w:pPr>
            <w:r>
              <w:rPr>
                <w:rFonts w:ascii="Arial" w:cs="Arial" w:eastAsia="Arial" w:hAnsi="Arial"/>
                <w:sz w:val="18"/>
                <w:szCs w:val="18"/>
                <w:color w:val="auto"/>
              </w:rPr>
              <w:t>outstanding - Diluted</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17,193</w:t>
            </w: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17,151</w:t>
            </w:r>
          </w:p>
        </w:tc>
        <w:tc>
          <w:tcPr>
            <w:tcW w:w="2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16,379</w:t>
            </w:r>
          </w:p>
        </w:tc>
        <w:tc>
          <w:tcPr>
            <w:tcW w:w="2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15,714</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4"/>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451"/>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(In Thousands, Except Per Share Data)</w:t>
      </w:r>
    </w:p>
    <w:p>
      <w:pPr>
        <w:spacing w:after="0" w:line="29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w w:val="92"/>
              </w:rPr>
              <w:t>Year ended December 31,</w:t>
            </w: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777"/>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5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b w:val="1"/>
                <w:bCs w:val="1"/>
                <w:color w:val="auto"/>
                <w:w w:val="89"/>
              </w:rPr>
              <w:t>2002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2001</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7"/>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16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2500" w:type="dxa"/>
            <w:vAlign w:val="bottom"/>
            <w:shd w:val="clear" w:color="auto" w:fill="E2EEF6"/>
          </w:tcPr>
          <w:p>
            <w:pPr>
              <w:spacing w:after="0"/>
              <w:rPr>
                <w:sz w:val="20"/>
                <w:szCs w:val="20"/>
                <w:color w:val="auto"/>
              </w:rPr>
            </w:pPr>
            <w:r>
              <w:rPr>
                <w:rFonts w:ascii="Arial" w:cs="Arial" w:eastAsia="Arial" w:hAnsi="Arial"/>
                <w:sz w:val="18"/>
                <w:szCs w:val="18"/>
                <w:color w:val="auto"/>
              </w:rPr>
              <w:t>Current assets</w:t>
            </w:r>
          </w:p>
        </w:tc>
        <w:tc>
          <w:tcPr>
            <w:tcW w:w="254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   105,950</w:t>
            </w:r>
          </w:p>
        </w:tc>
        <w:tc>
          <w:tcPr>
            <w:tcW w:w="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108,440</w:t>
            </w:r>
          </w:p>
        </w:tc>
        <w:tc>
          <w:tcPr>
            <w:tcW w:w="26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89,901</w:t>
            </w:r>
          </w:p>
        </w:tc>
        <w:tc>
          <w:tcPr>
            <w:tcW w:w="32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61,412</w:t>
            </w:r>
          </w:p>
        </w:tc>
        <w:tc>
          <w:tcPr>
            <w:tcW w:w="2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55,617</w:t>
            </w:r>
          </w:p>
        </w:tc>
        <w:tc>
          <w:tcPr>
            <w:tcW w:w="80" w:type="dxa"/>
            <w:vAlign w:val="bottom"/>
            <w:shd w:val="clear" w:color="auto" w:fill="E2EEF6"/>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25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64,839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74,431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64,176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40,234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32,534</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500" w:type="dxa"/>
            <w:vAlign w:val="bottom"/>
            <w:shd w:val="clear" w:color="auto" w:fill="E2EEF6"/>
          </w:tcPr>
          <w:p>
            <w:pPr>
              <w:spacing w:after="0"/>
              <w:rPr>
                <w:sz w:val="20"/>
                <w:szCs w:val="20"/>
                <w:color w:val="auto"/>
              </w:rPr>
            </w:pPr>
            <w:r>
              <w:rPr>
                <w:rFonts w:ascii="Arial" w:cs="Arial" w:eastAsia="Arial" w:hAnsi="Arial"/>
                <w:sz w:val="18"/>
                <w:szCs w:val="18"/>
                <w:color w:val="auto"/>
              </w:rPr>
              <w:t>Total assets</w:t>
            </w:r>
          </w:p>
        </w:tc>
        <w:tc>
          <w:tcPr>
            <w:tcW w:w="254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269,655</w:t>
            </w:r>
          </w:p>
        </w:tc>
        <w:tc>
          <w:tcPr>
            <w:tcW w:w="10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7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288,342</w:t>
            </w:r>
          </w:p>
        </w:tc>
        <w:tc>
          <w:tcPr>
            <w:tcW w:w="8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267,899</w:t>
            </w:r>
          </w:p>
        </w:tc>
        <w:tc>
          <w:tcPr>
            <w:tcW w:w="8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660" w:type="dxa"/>
            <w:vAlign w:val="bottom"/>
            <w:shd w:val="clear" w:color="auto" w:fill="E2EEF6"/>
          </w:tcPr>
          <w:p>
            <w:pPr>
              <w:jc w:val="right"/>
              <w:spacing w:after="0"/>
              <w:rPr>
                <w:sz w:val="20"/>
                <w:szCs w:val="20"/>
                <w:color w:val="auto"/>
              </w:rPr>
            </w:pPr>
            <w:r>
              <w:rPr>
                <w:rFonts w:ascii="Arial" w:cs="Arial" w:eastAsia="Arial" w:hAnsi="Arial"/>
                <w:sz w:val="18"/>
                <w:szCs w:val="18"/>
                <w:color w:val="auto"/>
                <w:w w:val="98"/>
              </w:rPr>
              <w:t>195,215</w:t>
            </w:r>
          </w:p>
        </w:tc>
        <w:tc>
          <w:tcPr>
            <w:tcW w:w="8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7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184,477</w:t>
            </w:r>
          </w:p>
        </w:tc>
        <w:tc>
          <w:tcPr>
            <w:tcW w:w="80" w:type="dxa"/>
            <w:vAlign w:val="bottom"/>
            <w:shd w:val="clear" w:color="auto" w:fill="E2EEF6"/>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25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57,900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67,510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69,752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46,135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47,661</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500" w:type="dxa"/>
            <w:vAlign w:val="bottom"/>
            <w:shd w:val="clear" w:color="auto" w:fill="E2EEF6"/>
          </w:tcPr>
          <w:p>
            <w:pPr>
              <w:spacing w:after="0"/>
              <w:rPr>
                <w:sz w:val="20"/>
                <w:szCs w:val="20"/>
                <w:color w:val="auto"/>
              </w:rPr>
            </w:pPr>
            <w:r>
              <w:rPr>
                <w:rFonts w:ascii="Arial" w:cs="Arial" w:eastAsia="Arial" w:hAnsi="Arial"/>
                <w:sz w:val="18"/>
                <w:szCs w:val="18"/>
                <w:color w:val="auto"/>
              </w:rPr>
              <w:t>Stockholders' equity</w:t>
            </w:r>
          </w:p>
        </w:tc>
        <w:tc>
          <w:tcPr>
            <w:tcW w:w="254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116,074</w:t>
            </w:r>
          </w:p>
        </w:tc>
        <w:tc>
          <w:tcPr>
            <w:tcW w:w="10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7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115,140</w:t>
            </w:r>
          </w:p>
        </w:tc>
        <w:tc>
          <w:tcPr>
            <w:tcW w:w="8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106,468</w:t>
            </w:r>
          </w:p>
        </w:tc>
        <w:tc>
          <w:tcPr>
            <w:tcW w:w="8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6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77,908</w:t>
            </w:r>
          </w:p>
        </w:tc>
        <w:tc>
          <w:tcPr>
            <w:tcW w:w="8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7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70,982</w:t>
            </w:r>
          </w:p>
        </w:tc>
        <w:tc>
          <w:tcPr>
            <w:tcW w:w="80" w:type="dxa"/>
            <w:vAlign w:val="bottom"/>
            <w:shd w:val="clear" w:color="auto" w:fill="E2EEF6"/>
          </w:tcPr>
          <w:p>
            <w:pPr>
              <w:spacing w:after="0"/>
              <w:rPr>
                <w:sz w:val="21"/>
                <w:szCs w:val="21"/>
                <w:color w:val="auto"/>
              </w:rPr>
            </w:pPr>
          </w:p>
        </w:tc>
        <w:tc>
          <w:tcPr>
            <w:tcW w:w="1140" w:type="dxa"/>
            <w:vAlign w:val="bottom"/>
          </w:tcPr>
          <w:p>
            <w:pPr>
              <w:spacing w:after="0"/>
              <w:rPr>
                <w:sz w:val="21"/>
                <w:szCs w:val="21"/>
                <w:color w:val="auto"/>
              </w:rPr>
            </w:pPr>
          </w:p>
        </w:tc>
      </w:tr>
    </w:tbl>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2004 we formed a wholly-owned subsidiary, NN Precision Bearing Products Company, LTD. This subsidiary, which began production of precision balls during the fourth quarter of 2005, is located in the Kunshan Economic and Technology Development Zone, Jiangsu, The People’s Republic of China.</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9, 2003, we acquired certain assets comprised of land, building and machinery and equipment of the precision ball operations of KLF - Gulickaren (“KLF”), based in Kysucke Nove Mesto, Slovakia.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On May 2, 2003 we acquired 100% of the tapered roller and metal cage manufacturing operations of SKF in Veenendaal, The Netherlands.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On May 2, 2003 we acquired the 23% interest in NN Europe, held by SKF. Upon consummation of this transaction, we became the sole owner of NN Europe.</w:t>
      </w:r>
    </w:p>
    <w:p>
      <w:pPr>
        <w:spacing w:after="0" w:line="3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December 20, 2002 we completed the purchase of the 23% interest in NN Europe held by INA. As a result of this transaction, we own 77% of the shares of NN Europe.</w:t>
      </w:r>
    </w:p>
    <w:p>
      <w:pPr>
        <w:spacing w:after="0" w:line="2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Effective January 1, 2002 we adopted the provision of Statement of Financial Accounting Standards (SFAS) No. 142. SFAS No. 142 requires that goodwill and intangible assets with indefinite useful lives no longer be amortized. See Note 1 of the Notes to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On February 16, 2001 we completed the acquisition of all of the outstanding stock of The Delta Rubber Company.</w:t>
      </w:r>
    </w:p>
    <w:p>
      <w:pPr>
        <w:spacing w:after="0" w:line="200" w:lineRule="exact"/>
        <w:rPr>
          <w:sz w:val="20"/>
          <w:szCs w:val="20"/>
          <w:color w:val="auto"/>
        </w:rPr>
      </w:pPr>
    </w:p>
    <w:p>
      <w:pPr>
        <w:spacing w:after="0" w:line="34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discussion should be read in conjunction with, and is qualified in its entirety by, the Consolidated Financial Statements and the Notes thereto and Selected Financial Data included elsewhere in this Form 10-K. Historical operating results and percentage relationships among any amounts included in the Consolidated Financial Statements are not necessarily indicative of trends in operating results for any future period.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Item 1A. "Risk Factors" for a discussion of risk factors that could materially impact the Company’s actual results.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Overview and Management Focus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strategy and management focus is based upon the following long-term objectives:</w:t>
      </w:r>
    </w:p>
    <w:p>
      <w:pPr>
        <w:spacing w:after="0" w:line="279" w:lineRule="exact"/>
        <w:rPr>
          <w:sz w:val="20"/>
          <w:szCs w:val="20"/>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Captive growth, providing a competitive and attractive alternative to the operations of our global customers</w:t>
      </w:r>
    </w:p>
    <w:p>
      <w:pPr>
        <w:spacing w:after="0" w:line="279"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of our bearing product offering and closely related adjacent markets, and</w:t>
      </w:r>
    </w:p>
    <w:p>
      <w:pPr>
        <w:spacing w:after="0" w:line="279"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expansion of our manufacturing base to better address the global requirements of our customers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Management generally focuses on these trends and relevant market indicators:</w:t>
      </w:r>
    </w:p>
    <w:p>
      <w:pPr>
        <w:spacing w:after="0" w:line="279" w:lineRule="exact"/>
        <w:rPr>
          <w:sz w:val="20"/>
          <w:szCs w:val="20"/>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industrial growth and economics</w:t>
      </w:r>
    </w:p>
    <w:p>
      <w:pPr>
        <w:spacing w:after="0" w:line="27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automotive production rates</w:t>
      </w:r>
    </w:p>
    <w:p>
      <w:pPr>
        <w:spacing w:after="0" w:line="279" w:lineRule="exact"/>
        <w:rPr>
          <w:rFonts w:ascii="Arial" w:cs="Arial" w:eastAsia="Arial" w:hAnsi="Arial"/>
          <w:sz w:val="18"/>
          <w:szCs w:val="18"/>
          <w:color w:val="auto"/>
        </w:rPr>
      </w:pPr>
    </w:p>
    <w:p>
      <w:pPr>
        <w:ind w:left="1300" w:right="4540" w:hanging="454"/>
        <w:spacing w:after="0" w:line="258" w:lineRule="auto"/>
        <w:tabs>
          <w:tab w:leader="none" w:pos="976"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subject to the global inflationary environment, including, but not limited to: o Raw material</w:t>
      </w:r>
    </w:p>
    <w:p>
      <w:pPr>
        <w:spacing w:after="0" w:line="1" w:lineRule="exact"/>
        <w:rPr>
          <w:rFonts w:ascii="Arial" w:cs="Arial" w:eastAsia="Arial" w:hAnsi="Arial"/>
          <w:sz w:val="18"/>
          <w:szCs w:val="18"/>
          <w:color w:val="auto"/>
        </w:rPr>
      </w:pPr>
    </w:p>
    <w:p>
      <w:pPr>
        <w:ind w:left="1700" w:right="6140"/>
        <w:spacing w:after="0" w:line="250" w:lineRule="auto"/>
        <w:rPr>
          <w:rFonts w:ascii="Arial" w:cs="Arial" w:eastAsia="Arial" w:hAnsi="Arial"/>
          <w:sz w:val="18"/>
          <w:szCs w:val="18"/>
          <w:color w:val="auto"/>
        </w:rPr>
      </w:pPr>
      <w:r>
        <w:rPr>
          <w:rFonts w:ascii="Arial" w:cs="Arial" w:eastAsia="Arial" w:hAnsi="Arial"/>
          <w:sz w:val="18"/>
          <w:szCs w:val="18"/>
          <w:color w:val="auto"/>
        </w:rPr>
        <w:t>o Wages and benefits, including health care costs o Regulatory compliance</w:t>
      </w:r>
    </w:p>
    <w:p>
      <w:pPr>
        <w:ind w:left="1700"/>
        <w:spacing w:after="0"/>
        <w:rPr>
          <w:rFonts w:ascii="Arial" w:cs="Arial" w:eastAsia="Arial" w:hAnsi="Arial"/>
          <w:sz w:val="18"/>
          <w:szCs w:val="18"/>
          <w:color w:val="auto"/>
        </w:rPr>
      </w:pPr>
      <w:r>
        <w:rPr>
          <w:rFonts w:ascii="Arial" w:cs="Arial" w:eastAsia="Arial" w:hAnsi="Arial"/>
          <w:sz w:val="18"/>
          <w:szCs w:val="18"/>
          <w:color w:val="auto"/>
        </w:rPr>
        <w:t>o Energy</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Raw material availability</w:t>
      </w:r>
    </w:p>
    <w:p>
      <w:pPr>
        <w:spacing w:after="0" w:line="264"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related to the geographic migration of competitive manufacturing</w:t>
      </w:r>
    </w:p>
    <w:p>
      <w:pPr>
        <w:spacing w:after="0" w:line="27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environment for United States public companies</w:t>
      </w:r>
    </w:p>
    <w:p>
      <w:pPr>
        <w:spacing w:after="0" w:line="27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Currency and exchange rate movements and trends</w:t>
      </w:r>
    </w:p>
    <w:p>
      <w:pPr>
        <w:spacing w:after="0" w:line="27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rate levels and expectations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Management generally focuses on the following key indicators of operating performance:</w:t>
      </w:r>
    </w:p>
    <w:p>
      <w:pPr>
        <w:spacing w:after="0" w:line="279" w:lineRule="exact"/>
        <w:rPr>
          <w:sz w:val="20"/>
          <w:szCs w:val="20"/>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growth</w:t>
      </w:r>
    </w:p>
    <w:p>
      <w:pPr>
        <w:spacing w:after="0" w:line="279"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of products sold levels</w:t>
      </w:r>
    </w:p>
    <w:p>
      <w:pPr>
        <w:spacing w:after="0" w:line="279"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Selling, general and administrative expense levels</w:t>
      </w:r>
    </w:p>
    <w:p>
      <w:pPr>
        <w:spacing w:after="0" w:line="279"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w:t>
      </w:r>
    </w:p>
    <w:p>
      <w:pPr>
        <w:spacing w:after="0" w:line="279"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flow from operations and capital spending</w:t>
      </w:r>
    </w:p>
    <w:p>
      <w:pPr>
        <w:spacing w:after="0" w:line="279"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service reliability</w:t>
      </w:r>
    </w:p>
    <w:p>
      <w:pPr>
        <w:spacing w:after="0" w:line="279"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External and internal quality indicators</w:t>
      </w:r>
    </w:p>
    <w:p>
      <w:pPr>
        <w:spacing w:after="0" w:line="279"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 development</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our formation in 1980, we have grown primarily through the acquisition of in-house ball manufacturing operations of domestic and international bearing manufacturers resulting in increased sales of high precision balls for bearing applications. Management believes that our core business sales growth since our formation has been due to our ability to capitalize on opportunities in global markets and provide precision products at competitive prices, as well as our emphasis on product quality and customer service.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In 1998, we recognized changing dynamics in the marketplace, and as a result, began implementing an extensive long-term growth strategy building upon our core business and leveraging our inherent strengths to better serve our global customer base. As part of this strategy, we sought to augment our intrinsic growth with complementary acquisitions that fit specific criteria.</w:t>
      </w:r>
    </w:p>
    <w:p>
      <w:pPr>
        <w:spacing w:after="0" w:line="23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July 4, 1999, we acquired substantially all of the assets of Earsley Capital Corporation, formerly known as Industrial Molding Corporation (“IMC”) for consideration of approximately $30.0 million. Formed in 1947, IMC provides full-service design and manufacture of plastic injection molded components to the bearing, automotive, electronic, leisure and consumer markets with an emphasis on value-added products that take advantage of its capabilities in product development, tool design and tight tolerance molding processes. IMC operates two manufacturing facilities in Lubbock, Texas.</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July 31, 2000, we formed a majority owned stand-alone company in Europe, NN Europe ApS (“NN Europe”), for the manufacture and sale of chrome steel balls used for ball bearings and other products. As a result of this transaction, we owned 54% of NN Europe. SKF and INA respectively each owned 23% of NN Europe. As part of the transaction, NN Europe acquired the ball factories located in Pinerolo, Italy (previously owned by SKF), Eltmann, Germany (previously owned by INA), and Kilkenny, Ireland (previously owned by the Company). Acquisition financing of approximately 31.5 million Euro (approximately $29.7 million) was drawn at closing, and the credit facility provided for additional working capital expenditure financing. In connection with this transaction, total equity, specifically additional paid in capital, increased by 10.0 million Euros ($9.3 million) to reflect the increase in our proportionate interest in NN Europe as related to our 54%. We have always consolidated NN Europe due to our majority ownership and have accounted for the acquisitions of the Pinerolo, Italy and Eltmann, Germany ball factories in a manner similar to the purchase method of accounting. On December 20, 2002 we completed the purchase of the 23% interest held by INA. We paid approximately 13.4 million Euros ($13.8 million) for INA/FAG’s interest in NN Europe. The excess of the purchase price paid to INA for its 23% interest over fair value of INA’s 23% interest in the net assets of NN Europe of approximately $1.5 million has been allocated to goodwill. On May 2, 2003 we acquired the 23% interest in NN Europe held by SKF. We paid approximately 13.8 million Euros ($15.6 million) for SKF’s interest in NN Europe. The excess of the purchase price paid to SKF for its 23% interest over the fair value of SKF’s 23% interest in the net assets of NN Europe of approximately $2.1 million was allocated to goodwill.</w:t>
      </w:r>
    </w:p>
    <w:p>
      <w:pPr>
        <w:spacing w:after="0" w:line="24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February 16, 2001, we completed the acquisition of all of the outstanding stock of The Delta Rubber Company, a Connecticut corporation (“Delta”), for $22.5 million in cash. Delta provides high quality engineered bearing seals and other precision-molded rubber products to original equipment manufacturers. Delta operates two manufacturing facilities in Danielson, Connecticut.</w:t>
      </w:r>
    </w:p>
    <w:p>
      <w:pPr>
        <w:spacing w:after="0" w:line="23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September 11, 2001, we announced the closing of our Walterboro, South Carolina ball manufacturing facility effective December 2001. The closing was made as part of our strategy to redistribute our global production in order to better utilize capacity and serve the needs of our worldwide customers. The precision ball production of the Walterboro facility has been fully absorbed by our remaining U.S. Ball &amp; Roller manufacturing facilities located in Erwin and Mountain City, Tennessee. In 2002 and 2001 we recorded before tax charges associated with the closing of $1.3 million and $1.9 million, respectively. In 2001, this amount includes a $1.1 million before-tax charge for the recording of impairment on our manufacturing facility located in Walterboro, South Carolina and $0.8 million related to employee severance costs. In 2002, this amount includes a $0.6 million before-tax charge for the recording of an additional impairment on the facility, a $0.6 million before-tax charge for the recording of impairment on the machinery and equipment and a $0.1 million charge related to employee severance costs. There were no impairment charges related to these assets recorded in 2003. The land and building assets were sold during the fourth quarter of 2004. As a result, we recorded a loss on disposal of assets of approximately $0.8 million which has been recorded as a loss on disposal of assets, a component of income from operations. Additionally, during the fourth quarter of 2004, we recorded an impairment charge of approximately $0.1 million related to certain remaining machinery and equipment assets of this facility. This amount was recorded as a component of restructuring and impairment costs. The financial results of this operation have been reflected in the Domestic Ball and Roller Segment in the years ended December 31, 2004 and 2003. See Note 12 of the Notes to Consolidated Financial Statements.</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December 21, 2001, we sold our minority interest in Jiangsu General Ball &amp; Roller Company, LTD, a Chinese ball and roller manufacturer located in Rugao City, Jiangsu Province, China. To effect the transaction, we sold our 50% ownership in NN General, LLC, which owns a 60% interest in the Jiangsu joint venture to our partner, General Bearing Corporation for cash of $0.6 million and notes of $3.3 million.</w:t>
      </w:r>
    </w:p>
    <w:p>
      <w:pPr>
        <w:spacing w:after="0" w:line="2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2, 2003 we acquired 100% of the tapered roller and metal cage manufacturing operations of SKF in Veenendaal, The Netherlands. The results of Veenendaal’s operations have been included in the consolidated financial statements since that date. We paid consideration of approximately 23.0 million Euros ($25.7 million) and incurred other costs of approximately $1.0 million, for the Veenendaal net assets acquired from SKF. The Veenendaal operation manufactures rollers for tapered roller bearings and metal cages for both tapered roller and spherical roller bearings allowing us to expand our bearing component offering. The financial results of the Veenendaal operation are included in the NN Europe Segment.</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9, 2003, we acquired certain assets comprised of land, building and machinery and equipment of the precision ball operations of KLF - Gulickaren (“KLF”), based in Kysucke Nove Mesto, Slovakia. We paid consideration of approximately 1.7 million Euros ($2.0 million). The assets are being utilized by our wholly-owned subsidiary NN Slovakia based in Kysucke Nove Mesto, Slovakia, which began production in 2004. The financial results of the operations are included in our NN Europe Segment.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During 2004 we formed a wholly-owned subsidiary, NN Precision Bearing Products Company, Ltd. This subsidiary began production of precision balls during the fourth quarter of 2005, and is located in the Kunshan Economic and Technology Development Zone, Jiangsu, The People’s Republic of China and is a component of our strategy to globally expand our manufacturing base.</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7, 2005 we entered into an agreement with SNR Roulements (“SNR”) to purchase all of SNR’s internal precision ball producing equipment for approximately 5.0 million Euros ($6.0 million). SNR, a division of Renault SA, France, is a global bearing manufacturer and supplier to the automotive, industrial and aerospace industries. As part of the transaction, we received a three year supply agreement for the present business (approximately $8.0 million) and a five year supply agreement to provide SNR with its annual ball requirements of the former in-house production of approximately $9.0 million. The product will be supplied from NN Europe’s existing precision ball operations. In December 2005, we started to acquire the precision ball producing equipment of SNR, from its manufacturing facility in Annecy, France. Once complete, we will have acquired approximately 5.0 million Euros (approximately $6.0 million) of equipment and intangibles.</w:t>
      </w:r>
    </w:p>
    <w:p>
      <w:pPr>
        <w:spacing w:after="0" w:line="2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implementation and successful execution of this acquisition strategy to date has allowed the Company to expand its global presence and positions the Company for continued global growth and expansion into core served markets.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significant accounting policies, including the assumptions and judgment underlying them, are disclosed in Note 1 of the Notes to Consolidated Financial Statements. These policies have been consistently applied in all material respects and address such matters as revenue recognition, inventory valuation, asset impairment recognition, business combination accounting and pension and post-retirement benefits. Due to the estimation processes involved, management considers the following summarized accounting policies and their application to be critical to understanding the Company’s business operations, financial condition and results of operations. There can be no assurance that actual results will not significantly differ from the estimates used in these critical accounting policies.</w:t>
      </w:r>
    </w:p>
    <w:p>
      <w:pPr>
        <w:spacing w:after="0" w:line="24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 The Company recognizes revenues based on the stated shipping terms with the customer and the Company recognizes revenue when</w:t>
      </w:r>
      <w:r>
        <w:rPr>
          <w:rFonts w:ascii="Arial" w:cs="Arial" w:eastAsia="Arial" w:hAnsi="Arial"/>
          <w:sz w:val="18"/>
          <w:szCs w:val="18"/>
          <w:b w:val="1"/>
          <w:bCs w:val="1"/>
          <w:color w:val="auto"/>
        </w:rPr>
        <w:t xml:space="preserve"> </w:t>
      </w:r>
      <w:r>
        <w:rPr>
          <w:rFonts w:ascii="Arial" w:cs="Arial" w:eastAsia="Arial" w:hAnsi="Arial"/>
          <w:sz w:val="18"/>
          <w:szCs w:val="18"/>
          <w:color w:val="auto"/>
        </w:rPr>
        <w:t>these terms are satisfied and the risks of ownership are transferred to the customer. The Company has an inventory management program for certain major ball and roller customers whereby revenue is recognized when products are used by the customer from consigned stock, rather than at the time of shipment. Under both circumstances, revenue is recognized when persuasive evidence of an arrangement exists, delivery has occurred, the sellers’ price is determinable and collectibility is reasonably assured.</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Accounts Receivable</w:t>
      </w:r>
      <w:r>
        <w:rPr>
          <w:rFonts w:ascii="Arial" w:cs="Arial" w:eastAsia="Arial" w:hAnsi="Arial"/>
          <w:sz w:val="17"/>
          <w:szCs w:val="17"/>
          <w:color w:val="auto"/>
        </w:rPr>
        <w:t>. Accounts receivable are recorded upon recognition of a sale of goods and ownership and risk of loss is assumed by the customer.</w:t>
      </w:r>
      <w:r>
        <w:rPr>
          <w:rFonts w:ascii="Arial" w:cs="Arial" w:eastAsia="Arial" w:hAnsi="Arial"/>
          <w:sz w:val="17"/>
          <w:szCs w:val="17"/>
          <w:b w:val="1"/>
          <w:bCs w:val="1"/>
          <w:color w:val="auto"/>
        </w:rPr>
        <w:t xml:space="preserve"> </w:t>
      </w:r>
      <w:r>
        <w:rPr>
          <w:rFonts w:ascii="Arial" w:cs="Arial" w:eastAsia="Arial" w:hAnsi="Arial"/>
          <w:sz w:val="17"/>
          <w:szCs w:val="17"/>
          <w:color w:val="auto"/>
        </w:rPr>
        <w:t>Substantially all of the Company’s accounts receivable is due primarily from the core served markets: bearing manufacturers, automotive industry, electronics, industrial, agricultural and aerospace. The Company experienced $0.3 million of bad debt expense during 2005, $0 during 2004 and $0.1 million during 2003. In establishing allowances for doubtful accounts, the Company performs credit evaluations of its customers, considering numerous inputs when available including the customers’ financial position, past payment history, relevant industry trends, cash flows, management capability, historical loss experience and economic conditions and prospects. Accounts receivable are written off or reserves established when considered to be uncollectible or at risk of being uncollectible. While management believes that adequate allowances for doubtful accounts have been provided in the Consolidated Financial Statements, it is possible that the Company could experience additional unexpected credit losses.</w:t>
      </w:r>
    </w:p>
    <w:p>
      <w:pPr>
        <w:spacing w:after="0" w:line="22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Inventories are stated at the lower of cost or market. Cost is determined using the first-in, first-out method. The Company’s inventories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generally subject to obsolescence due to spoilage or expiring product life cycles. The Company assesses inventory obsolescence routinely and records a reserve when inventory items are deemed non recoverable in future periods. The Company operates generally as a make-to-order business; however, the Company also stocks products for certain customers in order to meet delivery schedules. While management believes that adequate write-downs for inventory obsolescence have been made in the Consolidated Financial Statements, the Company could experience additional inventory write-downs in the future.</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Acquisitions and Acquired Intangibles</w:t>
      </w:r>
      <w:r>
        <w:rPr>
          <w:rFonts w:ascii="Arial" w:cs="Arial" w:eastAsia="Arial" w:hAnsi="Arial"/>
          <w:sz w:val="18"/>
          <w:szCs w:val="18"/>
          <w:color w:val="auto"/>
        </w:rPr>
        <w:t>. For new acquisitions, the Company uses estimates, assumptions and appraisals to allocate the purchase price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acquired and to determine the amount of goodwill. These estimates are based on market analyses and comparisons to similar assets. Annual tests are required to be performed to assess whether recorded goodwill is impaired. The annual tests require management to make estimates and assumptions with regard to the future operations of its reporting units, and the expected cash flows that they will generate. These estimates and assumptions therefore impact the recorded value of assets acquired in a business combination, including goodwill, and whether or not there is any subsequent impairment of the recorded goodwill and the amount of such impairment.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jc w:val="both"/>
        <w:spacing w:after="0" w:line="298" w:lineRule="auto"/>
        <w:rPr>
          <w:sz w:val="20"/>
          <w:szCs w:val="20"/>
          <w:color w:val="auto"/>
        </w:rPr>
      </w:pPr>
      <w:r>
        <w:rPr>
          <w:rFonts w:ascii="Arial" w:cs="Arial" w:eastAsia="Arial" w:hAnsi="Arial"/>
          <w:sz w:val="16"/>
          <w:szCs w:val="16"/>
          <w:b w:val="1"/>
          <w:bCs w:val="1"/>
          <w:color w:val="auto"/>
        </w:rPr>
        <w:t>Impairment of Long-Lived Assets</w:t>
      </w:r>
      <w:r>
        <w:rPr>
          <w:rFonts w:ascii="Arial" w:cs="Arial" w:eastAsia="Arial" w:hAnsi="Arial"/>
          <w:sz w:val="16"/>
          <w:szCs w:val="16"/>
          <w:color w:val="auto"/>
        </w:rPr>
        <w:t>. The Company’s long-lived assets include property, plant and equipment. The recoverability of the long-term assets is</w:t>
      </w:r>
      <w:r>
        <w:rPr>
          <w:rFonts w:ascii="Arial" w:cs="Arial" w:eastAsia="Arial" w:hAnsi="Arial"/>
          <w:sz w:val="16"/>
          <w:szCs w:val="16"/>
          <w:b w:val="1"/>
          <w:bCs w:val="1"/>
          <w:color w:val="auto"/>
        </w:rPr>
        <w:t xml:space="preserve"> </w:t>
      </w:r>
      <w:r>
        <w:rPr>
          <w:rFonts w:ascii="Arial" w:cs="Arial" w:eastAsia="Arial" w:hAnsi="Arial"/>
          <w:sz w:val="16"/>
          <w:szCs w:val="16"/>
          <w:color w:val="auto"/>
        </w:rPr>
        <w:t>dependent on the performance of the companies which the Company has acquired, as well as volatility inherent in the external markets for these acquisitions. In assessing potential impairment for these assets the Company will consider these factors as well as forecasted financial performance. For assets held for sale, appraisals are relied upon to assess the fair market value of those assets. Future adverse changes in market conditions or adverse operating results of the underlying assets could result in the Company having to record additional impairment charges not previously recognized.</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Pension Obligations</w:t>
      </w:r>
      <w:r>
        <w:rPr>
          <w:rFonts w:ascii="Arial" w:cs="Arial" w:eastAsia="Arial" w:hAnsi="Arial"/>
          <w:sz w:val="18"/>
          <w:szCs w:val="18"/>
          <w:color w:val="auto"/>
        </w:rPr>
        <w:t>. The Company uses several assumptions in determining its periodic pension and post-retirement expense and obligations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in the Consolidated Financial Statements. These assumptions include determining an appropriate discount rate, rate of compensation increase as well as the remaining service period of active employees.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selected financial data and the percentage of the Company's net sales represented by each income statement line item presented.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3500" w:type="dxa"/>
            <w:vAlign w:val="bottom"/>
            <w:gridSpan w:val="5"/>
          </w:tcPr>
          <w:p>
            <w:pPr>
              <w:jc w:val="center"/>
              <w:ind w:left="890"/>
              <w:spacing w:after="0"/>
              <w:rPr>
                <w:sz w:val="20"/>
                <w:szCs w:val="20"/>
                <w:color w:val="auto"/>
              </w:rPr>
            </w:pPr>
            <w:r>
              <w:rPr>
                <w:rFonts w:ascii="Arial" w:cs="Arial" w:eastAsia="Arial" w:hAnsi="Arial"/>
                <w:sz w:val="18"/>
                <w:szCs w:val="18"/>
                <w:b w:val="1"/>
                <w:bCs w:val="1"/>
                <w:color w:val="auto"/>
                <w:w w:val="87"/>
              </w:rPr>
              <w:t>As a Percentage of Net Sales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p>
        </w:tc>
        <w:tc>
          <w:tcPr>
            <w:tcW w:w="3500" w:type="dxa"/>
            <w:vAlign w:val="bottom"/>
            <w:gridSpan w:val="5"/>
          </w:tcPr>
          <w:p>
            <w:pPr>
              <w:jc w:val="center"/>
              <w:ind w:left="890"/>
              <w:spacing w:after="0"/>
              <w:rPr>
                <w:sz w:val="20"/>
                <w:szCs w:val="20"/>
                <w:color w:val="auto"/>
              </w:rPr>
            </w:pPr>
            <w:r>
              <w:rPr>
                <w:rFonts w:ascii="Arial" w:cs="Arial" w:eastAsia="Arial" w:hAnsi="Arial"/>
                <w:sz w:val="18"/>
                <w:szCs w:val="18"/>
                <w:b w:val="1"/>
                <w:bCs w:val="1"/>
                <w:color w:val="auto"/>
                <w:w w:val="89"/>
              </w:rPr>
              <w:t>Year ended December 31,</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40"/>
        </w:trPr>
        <w:tc>
          <w:tcPr>
            <w:tcW w:w="6740" w:type="dxa"/>
            <w:vAlign w:val="bottom"/>
          </w:tcPr>
          <w:p>
            <w:pPr>
              <w:spacing w:after="0"/>
              <w:rPr>
                <w:sz w:val="24"/>
                <w:szCs w:val="24"/>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4"/>
                <w:szCs w:val="24"/>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2003</w:t>
            </w:r>
          </w:p>
        </w:tc>
        <w:tc>
          <w:tcPr>
            <w:tcW w:w="160" w:type="dxa"/>
            <w:vAlign w:val="bottom"/>
          </w:tcPr>
          <w:p>
            <w:pPr>
              <w:spacing w:after="0"/>
              <w:rPr>
                <w:sz w:val="24"/>
                <w:szCs w:val="24"/>
                <w:color w:val="auto"/>
              </w:rPr>
            </w:pPr>
          </w:p>
        </w:tc>
      </w:tr>
      <w:tr>
        <w:trPr>
          <w:trHeight w:val="237"/>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Net sales</w:t>
            </w:r>
          </w:p>
        </w:tc>
        <w:tc>
          <w:tcPr>
            <w:tcW w:w="13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E2EEF6"/>
          </w:tcPr>
          <w:p>
            <w:pPr>
              <w:spacing w:after="0"/>
              <w:rPr>
                <w:sz w:val="20"/>
                <w:szCs w:val="20"/>
                <w:color w:val="auto"/>
              </w:rPr>
            </w:pPr>
          </w:p>
        </w:tc>
        <w:tc>
          <w:tcPr>
            <w:tcW w:w="156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E2EEF6"/>
          </w:tcPr>
          <w:p>
            <w:pPr>
              <w:spacing w:after="0"/>
              <w:rPr>
                <w:sz w:val="20"/>
                <w:szCs w:val="20"/>
                <w:color w:val="auto"/>
              </w:rPr>
            </w:pPr>
          </w:p>
        </w:tc>
        <w:tc>
          <w:tcPr>
            <w:tcW w:w="11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100.0%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Cost of product sold (exclusive of depreciation shown separately below)</w:t>
            </w:r>
          </w:p>
        </w:tc>
        <w:tc>
          <w:tcPr>
            <w:tcW w:w="1380" w:type="dxa"/>
            <w:vAlign w:val="bottom"/>
          </w:tcPr>
          <w:p>
            <w:pPr>
              <w:jc w:val="right"/>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79.0</w:t>
            </w: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77.2</w:t>
            </w: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Selling, general and administrative expenses</w:t>
            </w:r>
          </w:p>
        </w:tc>
        <w:tc>
          <w:tcPr>
            <w:tcW w:w="13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E2EEF6"/>
          </w:tcPr>
          <w:p>
            <w:pPr>
              <w:spacing w:after="0"/>
              <w:rPr>
                <w:sz w:val="21"/>
                <w:szCs w:val="21"/>
                <w:color w:val="auto"/>
              </w:rPr>
            </w:pPr>
          </w:p>
        </w:tc>
        <w:tc>
          <w:tcPr>
            <w:tcW w:w="156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9.8</w:t>
            </w:r>
          </w:p>
        </w:tc>
        <w:tc>
          <w:tcPr>
            <w:tcW w:w="34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8.6</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(Gain) loss on disposal of assets</w:t>
            </w:r>
          </w:p>
        </w:tc>
        <w:tc>
          <w:tcPr>
            <w:tcW w:w="16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(0.1)</w:t>
            </w:r>
          </w:p>
        </w:tc>
        <w:tc>
          <w:tcPr>
            <w:tcW w:w="156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0.3</w:t>
            </w:r>
          </w:p>
        </w:tc>
        <w:tc>
          <w:tcPr>
            <w:tcW w:w="34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(0.1)</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Restructuring and impairment costs</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r>
      <w:tr>
        <w:trPr>
          <w:trHeight w:val="237"/>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Income from operations</w:t>
            </w:r>
          </w:p>
        </w:tc>
        <w:tc>
          <w:tcPr>
            <w:tcW w:w="1380" w:type="dxa"/>
            <w:vAlign w:val="bottom"/>
            <w:tcBorders>
              <w:top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E2EEF6"/>
          </w:tcPr>
          <w:p>
            <w:pPr>
              <w:spacing w:after="0"/>
              <w:rPr>
                <w:sz w:val="20"/>
                <w:szCs w:val="20"/>
                <w:color w:val="auto"/>
              </w:rPr>
            </w:pPr>
          </w:p>
        </w:tc>
        <w:tc>
          <w:tcPr>
            <w:tcW w:w="1360" w:type="dxa"/>
            <w:vAlign w:val="bottom"/>
            <w:tcBorders>
              <w:top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E2EEF6"/>
          </w:tcPr>
          <w:p>
            <w:pPr>
              <w:spacing w:after="0"/>
              <w:rPr>
                <w:sz w:val="20"/>
                <w:szCs w:val="20"/>
                <w:color w:val="auto"/>
              </w:rPr>
            </w:pPr>
          </w:p>
        </w:tc>
        <w:tc>
          <w:tcPr>
            <w:tcW w:w="340" w:type="dxa"/>
            <w:vAlign w:val="bottom"/>
            <w:tcBorders>
              <w:top w:val="single" w:sz="8" w:color="auto"/>
            </w:tcBorders>
            <w:shd w:val="clear" w:color="auto" w:fill="E2EEF6"/>
          </w:tcPr>
          <w:p>
            <w:pPr>
              <w:spacing w:after="0"/>
              <w:rPr>
                <w:sz w:val="20"/>
                <w:szCs w:val="20"/>
                <w:color w:val="auto"/>
              </w:rPr>
            </w:pPr>
          </w:p>
        </w:tc>
        <w:tc>
          <w:tcPr>
            <w:tcW w:w="1020" w:type="dxa"/>
            <w:vAlign w:val="bottom"/>
            <w:tcBorders>
              <w:top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E2EEF6"/>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Interest expense</w:t>
            </w: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Other income</w:t>
            </w:r>
          </w:p>
        </w:tc>
        <w:tc>
          <w:tcPr>
            <w:tcW w:w="16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(0.2)</w:t>
            </w:r>
          </w:p>
        </w:tc>
        <w:tc>
          <w:tcPr>
            <w:tcW w:w="156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(0.2)</w:t>
            </w:r>
          </w:p>
        </w:tc>
        <w:tc>
          <w:tcPr>
            <w:tcW w:w="34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0.1</w:t>
            </w:r>
          </w:p>
        </w:tc>
      </w:tr>
      <w:tr>
        <w:trPr>
          <w:trHeight w:val="237"/>
        </w:trPr>
        <w:tc>
          <w:tcPr>
            <w:tcW w:w="6740" w:type="dxa"/>
            <w:vAlign w:val="bottom"/>
            <w:tcBorders>
              <w:top w:val="single" w:sz="8" w:color="E2EEF6"/>
            </w:tcBorders>
          </w:tcPr>
          <w:p>
            <w:pPr>
              <w:spacing w:after="0"/>
              <w:rPr>
                <w:sz w:val="20"/>
                <w:szCs w:val="20"/>
                <w:color w:val="auto"/>
              </w:rPr>
            </w:pPr>
            <w:r>
              <w:rPr>
                <w:rFonts w:ascii="Arial" w:cs="Arial" w:eastAsia="Arial" w:hAnsi="Arial"/>
                <w:sz w:val="18"/>
                <w:szCs w:val="18"/>
                <w:color w:val="auto"/>
              </w:rPr>
              <w:t>Income before provision for income taxes</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20" w:type="dxa"/>
            <w:vAlign w:val="bottom"/>
            <w:tcBorders>
              <w:top w:val="single" w:sz="8" w:color="E2EEF6"/>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top w:val="single" w:sz="8" w:color="E2EEF6"/>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60" w:type="dxa"/>
            <w:vAlign w:val="bottom"/>
            <w:tcBorders>
              <w:top w:val="single" w:sz="8" w:color="E2EEF6"/>
            </w:tcBorders>
          </w:tcPr>
          <w:p>
            <w:pPr>
              <w:spacing w:after="0"/>
              <w:rPr>
                <w:sz w:val="20"/>
                <w:szCs w:val="20"/>
                <w:color w:val="auto"/>
              </w:rPr>
            </w:pP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Provision for income taxes</w:t>
            </w:r>
          </w:p>
        </w:tc>
        <w:tc>
          <w:tcPr>
            <w:tcW w:w="13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E2EEF6"/>
          </w:tcPr>
          <w:p>
            <w:pPr>
              <w:spacing w:after="0"/>
              <w:rPr>
                <w:sz w:val="21"/>
                <w:szCs w:val="21"/>
                <w:color w:val="auto"/>
              </w:rPr>
            </w:pPr>
          </w:p>
        </w:tc>
        <w:tc>
          <w:tcPr>
            <w:tcW w:w="156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2.2</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Minority interest in income of consolidated subsidiary</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1"/>
                <w:szCs w:val="21"/>
                <w:color w:val="auto"/>
              </w:rPr>
            </w:pPr>
          </w:p>
        </w:tc>
      </w:tr>
      <w:tr>
        <w:trPr>
          <w:trHeight w:val="257"/>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4.7%</w:t>
            </w:r>
          </w:p>
        </w:tc>
        <w:tc>
          <w:tcPr>
            <w:tcW w:w="156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2.3%</w:t>
            </w:r>
          </w:p>
        </w:tc>
        <w:tc>
          <w:tcPr>
            <w:tcW w:w="340" w:type="dxa"/>
            <w:vAlign w:val="bottom"/>
            <w:shd w:val="clear" w:color="auto" w:fill="E2EEF6"/>
          </w:tcPr>
          <w:p>
            <w:pPr>
              <w:spacing w:after="0"/>
              <w:rPr>
                <w:sz w:val="22"/>
                <w:szCs w:val="22"/>
                <w:color w:val="auto"/>
              </w:rPr>
            </w:pPr>
          </w:p>
        </w:tc>
        <w:tc>
          <w:tcPr>
            <w:tcW w:w="118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4.0%</w:t>
            </w:r>
          </w:p>
        </w:tc>
      </w:tr>
      <w:tr>
        <w:trPr>
          <w:trHeight w:val="20"/>
        </w:trPr>
        <w:tc>
          <w:tcPr>
            <w:tcW w:w="6740" w:type="dxa"/>
            <w:vAlign w:val="bottom"/>
            <w:tcBorders>
              <w:top w:val="single" w:sz="8" w:color="E2EEF6"/>
            </w:tcBorders>
            <w:shd w:val="clear" w:color="auto" w:fill="E2EEF6"/>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2EEF6"/>
            </w:tcBorders>
            <w:shd w:val="clear" w:color="auto" w:fill="E2EEF6"/>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2EEF6"/>
            </w:tcBorders>
            <w:shd w:val="clear" w:color="auto" w:fill="E2EEF6"/>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operating lease commitments for machinery, office equipment, vehicles, manufacturing and office space which expire on varying dates. The following is a schedule by year of future minimum lease payments as of December 31, 2005 under operating leases that have initial or remaining non-cancelable lease terms in excess of one year (in thousands).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ind w:left="14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17145</wp:posOffset>
            </wp:positionV>
            <wp:extent cx="53771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77180" cy="8890"/>
                    </a:xfrm>
                    <a:prstGeom prst="rect">
                      <a:avLst/>
                    </a:prstGeom>
                    <a:noFill/>
                  </pic:spPr>
                </pic:pic>
              </a:graphicData>
            </a:graphic>
          </wp:anchor>
        </w:drawing>
      </w:r>
    </w:p>
    <w:p>
      <w:pPr>
        <w:spacing w:after="0" w:line="264" w:lineRule="exact"/>
        <w:rPr>
          <w:sz w:val="20"/>
          <w:szCs w:val="20"/>
          <w:color w:val="auto"/>
        </w:rPr>
      </w:pPr>
    </w:p>
    <w:tbl>
      <w:tblPr>
        <w:tblLayout w:type="fixed"/>
        <w:tblInd w:w="1440" w:type="dxa"/>
        <w:tblCellMar>
          <w:top w:w="0" w:type="dxa"/>
          <w:left w:w="0" w:type="dxa"/>
          <w:bottom w:w="0" w:type="dxa"/>
          <w:right w:w="0" w:type="dxa"/>
        </w:tblCellMar>
      </w:tblPr>
      <w:tr>
        <w:trPr>
          <w:trHeight w:val="243"/>
        </w:trPr>
        <w:tc>
          <w:tcPr>
            <w:tcW w:w="7440" w:type="dxa"/>
            <w:vAlign w:val="bottom"/>
            <w:shd w:val="clear" w:color="auto" w:fill="E2EEF6"/>
          </w:tcPr>
          <w:p>
            <w:pPr>
              <w:ind w:left="640"/>
              <w:spacing w:after="0"/>
              <w:rPr>
                <w:sz w:val="20"/>
                <w:szCs w:val="20"/>
                <w:color w:val="auto"/>
              </w:rPr>
            </w:pPr>
            <w:r>
              <w:rPr>
                <w:rFonts w:ascii="Arial" w:cs="Arial" w:eastAsia="Arial" w:hAnsi="Arial"/>
                <w:sz w:val="18"/>
                <w:szCs w:val="18"/>
                <w:color w:val="auto"/>
              </w:rPr>
              <w:t>2006</w:t>
            </w:r>
          </w:p>
        </w:tc>
        <w:tc>
          <w:tcPr>
            <w:tcW w:w="320" w:type="dxa"/>
            <w:vAlign w:val="bottom"/>
            <w:shd w:val="clear" w:color="auto" w:fill="E2EEF6"/>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2,093</w:t>
            </w:r>
          </w:p>
        </w:tc>
        <w:tc>
          <w:tcPr>
            <w:tcW w:w="80" w:type="dxa"/>
            <w:vAlign w:val="bottom"/>
            <w:shd w:val="clear" w:color="auto" w:fill="E2EEF6"/>
          </w:tcPr>
          <w:p>
            <w:pPr>
              <w:spacing w:after="0"/>
              <w:rPr>
                <w:sz w:val="21"/>
                <w:szCs w:val="21"/>
                <w:color w:val="auto"/>
              </w:rPr>
            </w:pPr>
          </w:p>
        </w:tc>
      </w:tr>
      <w:tr>
        <w:trPr>
          <w:trHeight w:val="243"/>
        </w:trPr>
        <w:tc>
          <w:tcPr>
            <w:tcW w:w="7440" w:type="dxa"/>
            <w:vAlign w:val="bottom"/>
          </w:tcPr>
          <w:p>
            <w:pPr>
              <w:ind w:left="640"/>
              <w:spacing w:after="0"/>
              <w:rPr>
                <w:sz w:val="20"/>
                <w:szCs w:val="20"/>
                <w:color w:val="auto"/>
              </w:rPr>
            </w:pPr>
            <w:r>
              <w:rPr>
                <w:rFonts w:ascii="Arial" w:cs="Arial" w:eastAsia="Arial" w:hAnsi="Arial"/>
                <w:sz w:val="18"/>
                <w:szCs w:val="18"/>
                <w:color w:val="auto"/>
              </w:rPr>
              <w:t>2007</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1,843</w:t>
            </w:r>
          </w:p>
        </w:tc>
        <w:tc>
          <w:tcPr>
            <w:tcW w:w="80" w:type="dxa"/>
            <w:vAlign w:val="bottom"/>
          </w:tcPr>
          <w:p>
            <w:pPr>
              <w:spacing w:after="0"/>
              <w:rPr>
                <w:sz w:val="21"/>
                <w:szCs w:val="21"/>
                <w:color w:val="auto"/>
              </w:rPr>
            </w:pPr>
          </w:p>
        </w:tc>
      </w:tr>
      <w:tr>
        <w:trPr>
          <w:trHeight w:val="243"/>
        </w:trPr>
        <w:tc>
          <w:tcPr>
            <w:tcW w:w="7440" w:type="dxa"/>
            <w:vAlign w:val="bottom"/>
            <w:shd w:val="clear" w:color="auto" w:fill="E2EEF6"/>
          </w:tcPr>
          <w:p>
            <w:pPr>
              <w:ind w:left="640"/>
              <w:spacing w:after="0"/>
              <w:rPr>
                <w:sz w:val="20"/>
                <w:szCs w:val="20"/>
                <w:color w:val="auto"/>
              </w:rPr>
            </w:pPr>
            <w:r>
              <w:rPr>
                <w:rFonts w:ascii="Arial" w:cs="Arial" w:eastAsia="Arial" w:hAnsi="Arial"/>
                <w:sz w:val="18"/>
                <w:szCs w:val="18"/>
                <w:color w:val="auto"/>
              </w:rPr>
              <w:t>2008</w:t>
            </w:r>
          </w:p>
        </w:tc>
        <w:tc>
          <w:tcPr>
            <w:tcW w:w="320" w:type="dxa"/>
            <w:vAlign w:val="bottom"/>
            <w:shd w:val="clear" w:color="auto" w:fill="E2EEF6"/>
          </w:tcPr>
          <w:p>
            <w:pPr>
              <w:spacing w:after="0"/>
              <w:rPr>
                <w:sz w:val="21"/>
                <w:szCs w:val="21"/>
                <w:color w:val="auto"/>
              </w:rPr>
            </w:pPr>
          </w:p>
        </w:tc>
        <w:tc>
          <w:tcPr>
            <w:tcW w:w="7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1,551</w:t>
            </w:r>
          </w:p>
        </w:tc>
        <w:tc>
          <w:tcPr>
            <w:tcW w:w="80" w:type="dxa"/>
            <w:vAlign w:val="bottom"/>
            <w:shd w:val="clear" w:color="auto" w:fill="E2EEF6"/>
          </w:tcPr>
          <w:p>
            <w:pPr>
              <w:spacing w:after="0"/>
              <w:rPr>
                <w:sz w:val="21"/>
                <w:szCs w:val="21"/>
                <w:color w:val="auto"/>
              </w:rPr>
            </w:pPr>
          </w:p>
        </w:tc>
      </w:tr>
      <w:tr>
        <w:trPr>
          <w:trHeight w:val="243"/>
        </w:trPr>
        <w:tc>
          <w:tcPr>
            <w:tcW w:w="7440" w:type="dxa"/>
            <w:vAlign w:val="bottom"/>
          </w:tcPr>
          <w:p>
            <w:pPr>
              <w:ind w:left="640"/>
              <w:spacing w:after="0"/>
              <w:rPr>
                <w:sz w:val="20"/>
                <w:szCs w:val="20"/>
                <w:color w:val="auto"/>
              </w:rPr>
            </w:pPr>
            <w:r>
              <w:rPr>
                <w:rFonts w:ascii="Arial" w:cs="Arial" w:eastAsia="Arial" w:hAnsi="Arial"/>
                <w:sz w:val="18"/>
                <w:szCs w:val="18"/>
                <w:color w:val="auto"/>
              </w:rPr>
              <w:t>2009</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1,469</w:t>
            </w:r>
          </w:p>
        </w:tc>
        <w:tc>
          <w:tcPr>
            <w:tcW w:w="80" w:type="dxa"/>
            <w:vAlign w:val="bottom"/>
          </w:tcPr>
          <w:p>
            <w:pPr>
              <w:spacing w:after="0"/>
              <w:rPr>
                <w:sz w:val="21"/>
                <w:szCs w:val="21"/>
                <w:color w:val="auto"/>
              </w:rPr>
            </w:pPr>
          </w:p>
        </w:tc>
      </w:tr>
      <w:tr>
        <w:trPr>
          <w:trHeight w:val="243"/>
        </w:trPr>
        <w:tc>
          <w:tcPr>
            <w:tcW w:w="7440" w:type="dxa"/>
            <w:vAlign w:val="bottom"/>
            <w:shd w:val="clear" w:color="auto" w:fill="E2EEF6"/>
          </w:tcPr>
          <w:p>
            <w:pPr>
              <w:ind w:left="640"/>
              <w:spacing w:after="0"/>
              <w:rPr>
                <w:sz w:val="20"/>
                <w:szCs w:val="20"/>
                <w:color w:val="auto"/>
              </w:rPr>
            </w:pPr>
            <w:r>
              <w:rPr>
                <w:rFonts w:ascii="Arial" w:cs="Arial" w:eastAsia="Arial" w:hAnsi="Arial"/>
                <w:sz w:val="18"/>
                <w:szCs w:val="18"/>
                <w:color w:val="auto"/>
              </w:rPr>
              <w:t>2010</w:t>
            </w:r>
          </w:p>
        </w:tc>
        <w:tc>
          <w:tcPr>
            <w:tcW w:w="320" w:type="dxa"/>
            <w:vAlign w:val="bottom"/>
            <w:shd w:val="clear" w:color="auto" w:fill="E2EEF6"/>
          </w:tcPr>
          <w:p>
            <w:pPr>
              <w:spacing w:after="0"/>
              <w:rPr>
                <w:sz w:val="21"/>
                <w:szCs w:val="21"/>
                <w:color w:val="auto"/>
              </w:rPr>
            </w:pPr>
          </w:p>
        </w:tc>
        <w:tc>
          <w:tcPr>
            <w:tcW w:w="7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1,420</w:t>
            </w:r>
          </w:p>
        </w:tc>
        <w:tc>
          <w:tcPr>
            <w:tcW w:w="80" w:type="dxa"/>
            <w:vAlign w:val="bottom"/>
            <w:shd w:val="clear" w:color="auto" w:fill="E2EEF6"/>
          </w:tcPr>
          <w:p>
            <w:pPr>
              <w:spacing w:after="0"/>
              <w:rPr>
                <w:sz w:val="21"/>
                <w:szCs w:val="21"/>
                <w:color w:val="auto"/>
              </w:rPr>
            </w:pPr>
          </w:p>
        </w:tc>
      </w:tr>
      <w:tr>
        <w:trPr>
          <w:trHeight w:val="243"/>
        </w:trPr>
        <w:tc>
          <w:tcPr>
            <w:tcW w:w="7440" w:type="dxa"/>
            <w:vAlign w:val="bottom"/>
          </w:tcPr>
          <w:p>
            <w:pPr>
              <w:ind w:left="64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11,748</w:t>
            </w:r>
          </w:p>
        </w:tc>
        <w:tc>
          <w:tcPr>
            <w:tcW w:w="80" w:type="dxa"/>
            <w:vAlign w:val="bottom"/>
          </w:tcPr>
          <w:p>
            <w:pPr>
              <w:spacing w:after="0"/>
              <w:rPr>
                <w:sz w:val="21"/>
                <w:szCs w:val="21"/>
                <w:color w:val="auto"/>
              </w:rPr>
            </w:pPr>
          </w:p>
        </w:tc>
      </w:tr>
      <w:tr>
        <w:trPr>
          <w:trHeight w:val="237"/>
        </w:trPr>
        <w:tc>
          <w:tcPr>
            <w:tcW w:w="7440" w:type="dxa"/>
            <w:vAlign w:val="bottom"/>
            <w:shd w:val="clear" w:color="auto" w:fill="E2EEF6"/>
          </w:tcPr>
          <w:p>
            <w:pPr>
              <w:spacing w:after="0"/>
              <w:rPr>
                <w:sz w:val="20"/>
                <w:szCs w:val="20"/>
                <w:color w:val="auto"/>
              </w:rPr>
            </w:pPr>
          </w:p>
        </w:tc>
        <w:tc>
          <w:tcPr>
            <w:tcW w:w="320" w:type="dxa"/>
            <w:vAlign w:val="bottom"/>
            <w:shd w:val="clear" w:color="auto" w:fill="E2EEF6"/>
          </w:tcPr>
          <w:p>
            <w:pPr>
              <w:spacing w:after="0"/>
              <w:rPr>
                <w:sz w:val="20"/>
                <w:szCs w:val="20"/>
                <w:color w:val="auto"/>
              </w:rPr>
            </w:pPr>
          </w:p>
        </w:tc>
        <w:tc>
          <w:tcPr>
            <w:tcW w:w="70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r>
      <w:tr>
        <w:trPr>
          <w:trHeight w:val="243"/>
        </w:trPr>
        <w:tc>
          <w:tcPr>
            <w:tcW w:w="7440" w:type="dxa"/>
            <w:vAlign w:val="bottom"/>
          </w:tcPr>
          <w:p>
            <w:pPr>
              <w:ind w:left="980"/>
              <w:spacing w:after="0"/>
              <w:rPr>
                <w:sz w:val="20"/>
                <w:szCs w:val="20"/>
                <w:color w:val="auto"/>
              </w:rPr>
            </w:pPr>
            <w:r>
              <w:rPr>
                <w:rFonts w:ascii="Arial" w:cs="Arial" w:eastAsia="Arial" w:hAnsi="Arial"/>
                <w:sz w:val="18"/>
                <w:szCs w:val="18"/>
                <w:color w:val="auto"/>
              </w:rPr>
              <w:t>Total minimum lease payments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20,124</w:t>
            </w:r>
          </w:p>
        </w:tc>
        <w:tc>
          <w:tcPr>
            <w:tcW w:w="80" w:type="dxa"/>
            <w:vAlign w:val="bottom"/>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Concentration</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to various U.S. and foreign divisions of SKF, which is one of the largest bearing manufacturers in the world, accounted for approximately 47% of consolidated net sales in 2005, and sales to Schaeffler Group (INA) accounted for approximately 13% of consolidated net sales in 2005. Sales to various divisions of the Timken Company accounted for approximately 6% of our net sales in 2005. During 2005, our ten largest customers accounted for approximately 81% of our consolidated net sales. None of our other customers individually accounted for more than 5% of our consolidated net sales for 2005. The loss of all or a substantial portion of sales to these customers would cause us to lose a substantial portion of our revenue and would lower our operating profit margin and cash flows from operations. The Schaeffler Group (INA) and SKF agreements for precision steel balls expire on June 30, 2006 and July 31, 2006, respectively.</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Schaeffler Group (INA) has decided to in-source approximately $12 million of annual business to their internal ball manufacturing facility in Germany. This represents approximately 30% of the existing Schaeffler Group (INA) business. We are in the process of negotiating a long term supply agreement with Schaeffler Group (INA) for remaining business. In addition, we are in process of negotiating a new long term agreement with SKF to replace the one for precision balls that expires July 31, 2006. SKF has informally agreed in principle to carry the current agreement through to December 31,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Year ended December 31, 2005 compared to the year ended December 31, 2004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 (in thousands)</w:t>
      </w:r>
    </w:p>
    <w:p>
      <w:pPr>
        <w:spacing w:after="0" w:line="288"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6"/>
          </w:tcPr>
          <w:p>
            <w:pPr>
              <w:jc w:val="center"/>
              <w:ind w:right="8"/>
              <w:spacing w:after="0"/>
              <w:rPr>
                <w:sz w:val="20"/>
                <w:szCs w:val="20"/>
                <w:color w:val="auto"/>
              </w:rPr>
            </w:pPr>
            <w:r>
              <w:rPr>
                <w:rFonts w:ascii="Arial" w:cs="Arial" w:eastAsia="Arial" w:hAnsi="Arial"/>
                <w:sz w:val="14"/>
                <w:szCs w:val="14"/>
                <w:b w:val="1"/>
                <w:bCs w:val="1"/>
                <w:color w:val="auto"/>
                <w:w w:val="93"/>
              </w:rPr>
              <w:t>Domestic Ball and Roller</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Plastic and Rubber</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Segment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6"/>
          </w:tcPr>
          <w:p>
            <w:pPr>
              <w:jc w:val="right"/>
              <w:ind w:right="188"/>
              <w:spacing w:after="0"/>
              <w:rPr>
                <w:sz w:val="20"/>
                <w:szCs w:val="20"/>
                <w:color w:val="auto"/>
              </w:rPr>
            </w:pPr>
            <w:r>
              <w:rPr>
                <w:rFonts w:ascii="Arial" w:cs="Arial" w:eastAsia="Arial" w:hAnsi="Arial"/>
                <w:sz w:val="14"/>
                <w:szCs w:val="14"/>
                <w:b w:val="1"/>
                <w:bCs w:val="1"/>
                <w:color w:val="auto"/>
              </w:rPr>
              <w:t>NN Europe Segment</w:t>
            </w:r>
          </w:p>
        </w:tc>
        <w:tc>
          <w:tcPr>
            <w:tcW w:w="80" w:type="dxa"/>
            <w:vAlign w:val="bottom"/>
          </w:tcPr>
          <w:p>
            <w:pPr>
              <w:spacing w:after="0"/>
              <w:rPr>
                <w:sz w:val="16"/>
                <w:szCs w:val="16"/>
                <w:color w:val="auto"/>
              </w:rPr>
            </w:pPr>
          </w:p>
        </w:tc>
        <w:tc>
          <w:tcPr>
            <w:tcW w:w="17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0"/>
              </w:rPr>
              <w:t>Components Segment</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NN, Inc.</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w w:val="89"/>
              </w:rPr>
              <w:t>Change</w:t>
            </w:r>
          </w:p>
        </w:tc>
        <w:tc>
          <w:tcPr>
            <w:tcW w:w="8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w w:val="89"/>
              </w:rPr>
              <w:t>Change</w:t>
            </w:r>
          </w:p>
        </w:tc>
        <w:tc>
          <w:tcPr>
            <w:tcW w:w="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w w:val="93"/>
              </w:rPr>
              <w:t>Change</w:t>
            </w:r>
          </w:p>
        </w:tc>
        <w:tc>
          <w:tcPr>
            <w:tcW w:w="8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9"/>
              </w:rPr>
              <w:t>Change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2005</w:t>
            </w:r>
          </w:p>
        </w:tc>
        <w:tc>
          <w:tcPr>
            <w:tcW w:w="80" w:type="dxa"/>
            <w:vAlign w:val="bottom"/>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2004</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2005</w:t>
            </w:r>
          </w:p>
        </w:tc>
        <w:tc>
          <w:tcPr>
            <w:tcW w:w="140" w:type="dxa"/>
            <w:vAlign w:val="bottom"/>
          </w:tcPr>
          <w:p>
            <w:pPr>
              <w:spacing w:after="0"/>
              <w:rPr>
                <w:sz w:val="15"/>
                <w:szCs w:val="15"/>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2004</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2005</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89"/>
              </w:rPr>
              <w:t>2004</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2005</w:t>
            </w:r>
          </w:p>
        </w:tc>
        <w:tc>
          <w:tcPr>
            <w:tcW w:w="80" w:type="dxa"/>
            <w:vAlign w:val="bottom"/>
          </w:tcPr>
          <w:p>
            <w:pPr>
              <w:spacing w:after="0"/>
              <w:rPr>
                <w:sz w:val="15"/>
                <w:szCs w:val="15"/>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2004</w:t>
            </w:r>
          </w:p>
        </w:tc>
        <w:tc>
          <w:tcPr>
            <w:tcW w:w="40" w:type="dxa"/>
            <w:vAlign w:val="bottom"/>
          </w:tcPr>
          <w:p>
            <w:pPr>
              <w:spacing w:after="0"/>
              <w:rPr>
                <w:sz w:val="15"/>
                <w:szCs w:val="15"/>
                <w:color w:val="auto"/>
              </w:rPr>
            </w:pPr>
          </w:p>
        </w:tc>
        <w:tc>
          <w:tcPr>
            <w:tcW w:w="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40" w:type="dxa"/>
            <w:vAlign w:val="bottom"/>
            <w:shd w:val="clear" w:color="auto" w:fill="E2EEF6"/>
          </w:tcPr>
          <w:p>
            <w:pPr>
              <w:spacing w:after="0"/>
              <w:rPr>
                <w:sz w:val="20"/>
                <w:szCs w:val="20"/>
                <w:color w:val="auto"/>
              </w:rPr>
            </w:pPr>
            <w:r>
              <w:rPr>
                <w:rFonts w:ascii="Arial" w:cs="Arial" w:eastAsia="Arial" w:hAnsi="Arial"/>
                <w:sz w:val="14"/>
                <w:szCs w:val="14"/>
                <w:color w:val="auto"/>
              </w:rPr>
              <w:t>Net sales</w:t>
            </w:r>
          </w:p>
        </w:tc>
        <w:tc>
          <w:tcPr>
            <w:tcW w:w="14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2EEF6"/>
          </w:tcPr>
          <w:p>
            <w:pPr>
              <w:jc w:val="right"/>
              <w:spacing w:after="0"/>
              <w:rPr>
                <w:sz w:val="20"/>
                <w:szCs w:val="20"/>
                <w:color w:val="auto"/>
              </w:rPr>
            </w:pPr>
            <w:r>
              <w:rPr>
                <w:rFonts w:ascii="Arial" w:cs="Arial" w:eastAsia="Arial" w:hAnsi="Arial"/>
                <w:sz w:val="14"/>
                <w:szCs w:val="14"/>
                <w:color w:val="auto"/>
                <w:w w:val="97"/>
              </w:rPr>
              <w:t>66,088</w:t>
            </w:r>
          </w:p>
        </w:tc>
        <w:tc>
          <w:tcPr>
            <w:tcW w:w="60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$ 58,435</w:t>
            </w:r>
          </w:p>
        </w:tc>
        <w:tc>
          <w:tcPr>
            <w:tcW w:w="20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E2EEF6"/>
          </w:tcPr>
          <w:p>
            <w:pPr>
              <w:jc w:val="right"/>
              <w:spacing w:after="0"/>
              <w:rPr>
                <w:sz w:val="20"/>
                <w:szCs w:val="20"/>
                <w:color w:val="auto"/>
              </w:rPr>
            </w:pPr>
            <w:r>
              <w:rPr>
                <w:rFonts w:ascii="Arial" w:cs="Arial" w:eastAsia="Arial" w:hAnsi="Arial"/>
                <w:sz w:val="14"/>
                <w:szCs w:val="14"/>
                <w:color w:val="auto"/>
              </w:rPr>
              <w:t>7,653</w:t>
            </w:r>
          </w:p>
        </w:tc>
        <w:tc>
          <w:tcPr>
            <w:tcW w:w="64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$197,397</w:t>
            </w:r>
          </w:p>
        </w:tc>
        <w:tc>
          <w:tcPr>
            <w:tcW w:w="140" w:type="dxa"/>
            <w:vAlign w:val="bottom"/>
            <w:tcBorders>
              <w:left w:val="single" w:sz="8" w:color="E2EEF6"/>
              <w:right w:val="single" w:sz="8" w:color="E2EEF6"/>
            </w:tcBorders>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E2EEF6"/>
          </w:tcPr>
          <w:p>
            <w:pPr>
              <w:jc w:val="right"/>
              <w:spacing w:after="0"/>
              <w:rPr>
                <w:sz w:val="20"/>
                <w:szCs w:val="20"/>
                <w:color w:val="auto"/>
              </w:rPr>
            </w:pPr>
            <w:r>
              <w:rPr>
                <w:rFonts w:ascii="Arial" w:cs="Arial" w:eastAsia="Arial" w:hAnsi="Arial"/>
                <w:sz w:val="14"/>
                <w:szCs w:val="14"/>
                <w:color w:val="auto"/>
                <w:w w:val="90"/>
              </w:rPr>
              <w:t>193,930</w:t>
            </w:r>
          </w:p>
        </w:tc>
        <w:tc>
          <w:tcPr>
            <w:tcW w:w="18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E2EEF6"/>
          </w:tcPr>
          <w:p>
            <w:pPr>
              <w:jc w:val="right"/>
              <w:spacing w:after="0"/>
              <w:rPr>
                <w:sz w:val="20"/>
                <w:szCs w:val="20"/>
                <w:color w:val="auto"/>
              </w:rPr>
            </w:pPr>
            <w:r>
              <w:rPr>
                <w:rFonts w:ascii="Arial" w:cs="Arial" w:eastAsia="Arial" w:hAnsi="Arial"/>
                <w:sz w:val="14"/>
                <w:szCs w:val="14"/>
                <w:color w:val="auto"/>
              </w:rPr>
              <w:t>3,467</w:t>
            </w:r>
          </w:p>
        </w:tc>
        <w:tc>
          <w:tcPr>
            <w:tcW w:w="60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$ 57,902</w:t>
            </w:r>
          </w:p>
        </w:tc>
        <w:tc>
          <w:tcPr>
            <w:tcW w:w="160" w:type="dxa"/>
            <w:vAlign w:val="bottom"/>
            <w:tcBorders>
              <w:left w:val="single" w:sz="8" w:color="E2EEF6"/>
            </w:tcBorders>
            <w:gridSpan w:val="2"/>
            <w:shd w:val="clear" w:color="auto" w:fill="E2EEF6"/>
          </w:tcPr>
          <w:p>
            <w:pPr>
              <w:jc w:val="right"/>
              <w:ind w:right="20"/>
              <w:spacing w:after="0"/>
              <w:rPr>
                <w:sz w:val="20"/>
                <w:szCs w:val="20"/>
                <w:color w:val="auto"/>
              </w:rPr>
            </w:pPr>
            <w:r>
              <w:rPr>
                <w:rFonts w:ascii="Arial" w:cs="Arial" w:eastAsia="Arial" w:hAnsi="Arial"/>
                <w:sz w:val="14"/>
                <w:szCs w:val="14"/>
                <w:color w:val="auto"/>
              </w:rPr>
              <w:t>$</w:t>
            </w:r>
          </w:p>
        </w:tc>
        <w:tc>
          <w:tcPr>
            <w:tcW w:w="440" w:type="dxa"/>
            <w:vAlign w:val="bottom"/>
            <w:shd w:val="clear" w:color="auto" w:fill="E2EEF6"/>
          </w:tcPr>
          <w:p>
            <w:pPr>
              <w:jc w:val="right"/>
              <w:spacing w:after="0"/>
              <w:rPr>
                <w:sz w:val="20"/>
                <w:szCs w:val="20"/>
                <w:color w:val="auto"/>
              </w:rPr>
            </w:pPr>
            <w:r>
              <w:rPr>
                <w:rFonts w:ascii="Arial" w:cs="Arial" w:eastAsia="Arial" w:hAnsi="Arial"/>
                <w:sz w:val="14"/>
                <w:szCs w:val="14"/>
                <w:color w:val="auto"/>
                <w:w w:val="97"/>
              </w:rPr>
              <w:t>51,724</w:t>
            </w:r>
          </w:p>
        </w:tc>
        <w:tc>
          <w:tcPr>
            <w:tcW w:w="22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E2EEF6"/>
          </w:tcPr>
          <w:p>
            <w:pPr>
              <w:jc w:val="right"/>
              <w:spacing w:after="0"/>
              <w:rPr>
                <w:sz w:val="20"/>
                <w:szCs w:val="20"/>
                <w:color w:val="auto"/>
              </w:rPr>
            </w:pPr>
            <w:r>
              <w:rPr>
                <w:rFonts w:ascii="Arial" w:cs="Arial" w:eastAsia="Arial" w:hAnsi="Arial"/>
                <w:sz w:val="14"/>
                <w:szCs w:val="14"/>
                <w:color w:val="auto"/>
              </w:rPr>
              <w:t>6,178</w:t>
            </w:r>
          </w:p>
        </w:tc>
        <w:tc>
          <w:tcPr>
            <w:tcW w:w="64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$321,387</w:t>
            </w:r>
          </w:p>
        </w:tc>
        <w:tc>
          <w:tcPr>
            <w:tcW w:w="64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$304,089</w:t>
            </w:r>
          </w:p>
        </w:tc>
        <w:tc>
          <w:tcPr>
            <w:tcW w:w="40" w:type="dxa"/>
            <w:vAlign w:val="bottom"/>
            <w:shd w:val="clear" w:color="auto" w:fill="E2EEF6"/>
          </w:tcPr>
          <w:p>
            <w:pPr>
              <w:spacing w:after="0"/>
              <w:rPr>
                <w:sz w:val="21"/>
                <w:szCs w:val="21"/>
                <w:color w:val="auto"/>
              </w:rPr>
            </w:pPr>
          </w:p>
        </w:tc>
        <w:tc>
          <w:tcPr>
            <w:tcW w:w="500" w:type="dxa"/>
            <w:vAlign w:val="bottom"/>
            <w:shd w:val="clear" w:color="auto" w:fill="E2EEF6"/>
          </w:tcPr>
          <w:p>
            <w:pPr>
              <w:jc w:val="right"/>
              <w:spacing w:after="0"/>
              <w:rPr>
                <w:sz w:val="20"/>
                <w:szCs w:val="20"/>
                <w:color w:val="auto"/>
              </w:rPr>
            </w:pPr>
            <w:r>
              <w:rPr>
                <w:rFonts w:ascii="Arial" w:cs="Arial" w:eastAsia="Arial" w:hAnsi="Arial"/>
                <w:sz w:val="14"/>
                <w:szCs w:val="14"/>
                <w:color w:val="auto"/>
                <w:w w:val="84"/>
              </w:rPr>
              <w:t>$ 17,298</w:t>
            </w:r>
          </w:p>
        </w:tc>
        <w:tc>
          <w:tcPr>
            <w:tcW w:w="4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860" w:type="dxa"/>
            <w:vAlign w:val="bottom"/>
            <w:gridSpan w:val="2"/>
          </w:tcPr>
          <w:p>
            <w:pPr>
              <w:spacing w:after="0"/>
              <w:rPr>
                <w:sz w:val="20"/>
                <w:szCs w:val="20"/>
                <w:color w:val="auto"/>
              </w:rPr>
            </w:pPr>
            <w:r>
              <w:rPr>
                <w:rFonts w:ascii="Arial" w:cs="Arial" w:eastAsia="Arial" w:hAnsi="Arial"/>
                <w:sz w:val="14"/>
                <w:szCs w:val="14"/>
                <w:color w:val="auto"/>
              </w:rPr>
              <w:t>Cost of products sold</w:t>
            </w:r>
          </w:p>
        </w:tc>
        <w:tc>
          <w:tcPr>
            <w:tcW w:w="1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46,849</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42,268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4,581</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153,681</w:t>
            </w:r>
          </w:p>
        </w:tc>
        <w:tc>
          <w:tcPr>
            <w:tcW w:w="1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154,174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(493)</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48,298</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44,138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4,160</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248,828</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240,580</w:t>
            </w:r>
          </w:p>
        </w:tc>
        <w:tc>
          <w:tcPr>
            <w:tcW w:w="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8,248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40" w:type="dxa"/>
            <w:vAlign w:val="bottom"/>
            <w:shd w:val="clear" w:color="auto" w:fill="E2EEF6"/>
          </w:tcPr>
          <w:p>
            <w:pPr>
              <w:spacing w:after="0"/>
              <w:rPr>
                <w:sz w:val="20"/>
                <w:szCs w:val="20"/>
                <w:color w:val="auto"/>
              </w:rPr>
            </w:pPr>
            <w:r>
              <w:rPr>
                <w:rFonts w:ascii="Arial" w:cs="Arial" w:eastAsia="Arial" w:hAnsi="Arial"/>
                <w:sz w:val="14"/>
                <w:szCs w:val="14"/>
                <w:color w:val="auto"/>
              </w:rPr>
              <w:t>Selling, general and</w:t>
            </w:r>
          </w:p>
        </w:tc>
        <w:tc>
          <w:tcPr>
            <w:tcW w:w="140" w:type="dxa"/>
            <w:vAlign w:val="bottom"/>
            <w:tcBorders>
              <w:right w:val="single" w:sz="8" w:color="E2EEF6"/>
            </w:tcBorders>
            <w:shd w:val="clear" w:color="auto" w:fill="E2EEF6"/>
          </w:tcPr>
          <w:p>
            <w:pPr>
              <w:spacing w:after="0"/>
              <w:rPr>
                <w:sz w:val="14"/>
                <w:szCs w:val="14"/>
                <w:color w:val="auto"/>
              </w:rPr>
            </w:pPr>
          </w:p>
        </w:tc>
        <w:tc>
          <w:tcPr>
            <w:tcW w:w="440" w:type="dxa"/>
            <w:vAlign w:val="bottom"/>
            <w:shd w:val="clear" w:color="auto" w:fill="E2EEF6"/>
          </w:tcPr>
          <w:p>
            <w:pPr>
              <w:spacing w:after="0"/>
              <w:rPr>
                <w:sz w:val="14"/>
                <w:szCs w:val="14"/>
                <w:color w:val="auto"/>
              </w:rPr>
            </w:pPr>
          </w:p>
        </w:tc>
        <w:tc>
          <w:tcPr>
            <w:tcW w:w="80" w:type="dxa"/>
            <w:vAlign w:val="bottom"/>
            <w:tcBorders>
              <w:left w:val="single" w:sz="8" w:color="E2EEF6"/>
            </w:tcBorders>
            <w:shd w:val="clear" w:color="auto" w:fill="E2EEF6"/>
          </w:tcPr>
          <w:p>
            <w:pPr>
              <w:spacing w:after="0"/>
              <w:rPr>
                <w:sz w:val="14"/>
                <w:szCs w:val="14"/>
                <w:color w:val="auto"/>
              </w:rPr>
            </w:pPr>
          </w:p>
        </w:tc>
        <w:tc>
          <w:tcPr>
            <w:tcW w:w="520" w:type="dxa"/>
            <w:vAlign w:val="bottom"/>
            <w:shd w:val="clear" w:color="auto" w:fill="E2EEF6"/>
          </w:tcPr>
          <w:p>
            <w:pPr>
              <w:spacing w:after="0"/>
              <w:rPr>
                <w:sz w:val="14"/>
                <w:szCs w:val="14"/>
                <w:color w:val="auto"/>
              </w:rPr>
            </w:pPr>
          </w:p>
        </w:tc>
        <w:tc>
          <w:tcPr>
            <w:tcW w:w="80" w:type="dxa"/>
            <w:vAlign w:val="bottom"/>
            <w:tcBorders>
              <w:left w:val="single" w:sz="8" w:color="E2EEF6"/>
            </w:tcBorders>
            <w:shd w:val="clear" w:color="auto" w:fill="E2EEF6"/>
          </w:tcPr>
          <w:p>
            <w:pPr>
              <w:spacing w:after="0"/>
              <w:rPr>
                <w:sz w:val="14"/>
                <w:szCs w:val="14"/>
                <w:color w:val="auto"/>
              </w:rPr>
            </w:pPr>
          </w:p>
        </w:tc>
        <w:tc>
          <w:tcPr>
            <w:tcW w:w="120" w:type="dxa"/>
            <w:vAlign w:val="bottom"/>
            <w:shd w:val="clear" w:color="auto" w:fill="E2EEF6"/>
          </w:tcPr>
          <w:p>
            <w:pPr>
              <w:spacing w:after="0"/>
              <w:rPr>
                <w:sz w:val="14"/>
                <w:szCs w:val="14"/>
                <w:color w:val="auto"/>
              </w:rPr>
            </w:pPr>
          </w:p>
        </w:tc>
        <w:tc>
          <w:tcPr>
            <w:tcW w:w="380" w:type="dxa"/>
            <w:vAlign w:val="bottom"/>
            <w:shd w:val="clear" w:color="auto" w:fill="E2EEF6"/>
          </w:tcPr>
          <w:p>
            <w:pPr>
              <w:spacing w:after="0"/>
              <w:rPr>
                <w:sz w:val="14"/>
                <w:szCs w:val="14"/>
                <w:color w:val="auto"/>
              </w:rPr>
            </w:pPr>
          </w:p>
        </w:tc>
        <w:tc>
          <w:tcPr>
            <w:tcW w:w="80" w:type="dxa"/>
            <w:vAlign w:val="bottom"/>
            <w:tcBorders>
              <w:left w:val="single" w:sz="8" w:color="E2EEF6"/>
            </w:tcBorders>
            <w:shd w:val="clear" w:color="auto" w:fill="E2EEF6"/>
          </w:tcPr>
          <w:p>
            <w:pPr>
              <w:spacing w:after="0"/>
              <w:rPr>
                <w:sz w:val="14"/>
                <w:szCs w:val="14"/>
                <w:color w:val="auto"/>
              </w:rPr>
            </w:pPr>
          </w:p>
        </w:tc>
        <w:tc>
          <w:tcPr>
            <w:tcW w:w="560" w:type="dxa"/>
            <w:vAlign w:val="bottom"/>
            <w:shd w:val="clear" w:color="auto" w:fill="E2EEF6"/>
          </w:tcPr>
          <w:p>
            <w:pPr>
              <w:spacing w:after="0"/>
              <w:rPr>
                <w:sz w:val="14"/>
                <w:szCs w:val="14"/>
                <w:color w:val="auto"/>
              </w:rPr>
            </w:pPr>
          </w:p>
        </w:tc>
        <w:tc>
          <w:tcPr>
            <w:tcW w:w="140" w:type="dxa"/>
            <w:vAlign w:val="bottom"/>
            <w:tcBorders>
              <w:left w:val="single" w:sz="8" w:color="E2EEF6"/>
              <w:right w:val="single" w:sz="8" w:color="E2EEF6"/>
            </w:tcBorders>
            <w:shd w:val="clear" w:color="auto" w:fill="E2EEF6"/>
          </w:tcPr>
          <w:p>
            <w:pPr>
              <w:spacing w:after="0"/>
              <w:rPr>
                <w:sz w:val="14"/>
                <w:szCs w:val="14"/>
                <w:color w:val="auto"/>
              </w:rPr>
            </w:pPr>
          </w:p>
        </w:tc>
        <w:tc>
          <w:tcPr>
            <w:tcW w:w="500" w:type="dxa"/>
            <w:vAlign w:val="bottom"/>
            <w:shd w:val="clear" w:color="auto" w:fill="E2EEF6"/>
          </w:tcPr>
          <w:p>
            <w:pPr>
              <w:spacing w:after="0"/>
              <w:rPr>
                <w:sz w:val="14"/>
                <w:szCs w:val="14"/>
                <w:color w:val="auto"/>
              </w:rPr>
            </w:pPr>
          </w:p>
        </w:tc>
        <w:tc>
          <w:tcPr>
            <w:tcW w:w="80" w:type="dxa"/>
            <w:vAlign w:val="bottom"/>
            <w:tcBorders>
              <w:left w:val="single" w:sz="8" w:color="E2EEF6"/>
            </w:tcBorders>
            <w:shd w:val="clear" w:color="auto" w:fill="E2EEF6"/>
          </w:tcPr>
          <w:p>
            <w:pPr>
              <w:spacing w:after="0"/>
              <w:rPr>
                <w:sz w:val="14"/>
                <w:szCs w:val="14"/>
                <w:color w:val="auto"/>
              </w:rPr>
            </w:pPr>
          </w:p>
        </w:tc>
        <w:tc>
          <w:tcPr>
            <w:tcW w:w="100" w:type="dxa"/>
            <w:vAlign w:val="bottom"/>
            <w:shd w:val="clear" w:color="auto" w:fill="E2EEF6"/>
          </w:tcPr>
          <w:p>
            <w:pPr>
              <w:spacing w:after="0"/>
              <w:rPr>
                <w:sz w:val="14"/>
                <w:szCs w:val="14"/>
                <w:color w:val="auto"/>
              </w:rPr>
            </w:pPr>
          </w:p>
        </w:tc>
        <w:tc>
          <w:tcPr>
            <w:tcW w:w="400" w:type="dxa"/>
            <w:vAlign w:val="bottom"/>
            <w:vMerge w:val="restart"/>
            <w:shd w:val="clear" w:color="auto" w:fill="E2EEF6"/>
          </w:tcPr>
          <w:p>
            <w:pPr>
              <w:jc w:val="right"/>
              <w:spacing w:after="0"/>
              <w:rPr>
                <w:sz w:val="20"/>
                <w:szCs w:val="20"/>
                <w:color w:val="auto"/>
              </w:rPr>
            </w:pPr>
            <w:r>
              <w:rPr>
                <w:rFonts w:ascii="Arial" w:cs="Arial" w:eastAsia="Arial" w:hAnsi="Arial"/>
                <w:sz w:val="14"/>
                <w:szCs w:val="14"/>
                <w:color w:val="auto"/>
              </w:rPr>
              <w:t>(836)</w:t>
            </w:r>
          </w:p>
        </w:tc>
        <w:tc>
          <w:tcPr>
            <w:tcW w:w="80" w:type="dxa"/>
            <w:vAlign w:val="bottom"/>
            <w:tcBorders>
              <w:left w:val="single" w:sz="8" w:color="E2EEF6"/>
            </w:tcBorders>
            <w:shd w:val="clear" w:color="auto" w:fill="E2EEF6"/>
          </w:tcPr>
          <w:p>
            <w:pPr>
              <w:spacing w:after="0"/>
              <w:rPr>
                <w:sz w:val="14"/>
                <w:szCs w:val="14"/>
                <w:color w:val="auto"/>
              </w:rPr>
            </w:pPr>
          </w:p>
        </w:tc>
        <w:tc>
          <w:tcPr>
            <w:tcW w:w="520" w:type="dxa"/>
            <w:vAlign w:val="bottom"/>
            <w:shd w:val="clear" w:color="auto" w:fill="E2EEF6"/>
          </w:tcPr>
          <w:p>
            <w:pPr>
              <w:spacing w:after="0"/>
              <w:rPr>
                <w:sz w:val="14"/>
                <w:szCs w:val="14"/>
                <w:color w:val="auto"/>
              </w:rPr>
            </w:pPr>
          </w:p>
        </w:tc>
        <w:tc>
          <w:tcPr>
            <w:tcW w:w="80" w:type="dxa"/>
            <w:vAlign w:val="bottom"/>
            <w:tcBorders>
              <w:left w:val="single" w:sz="8" w:color="E2EEF6"/>
            </w:tcBorders>
            <w:shd w:val="clear" w:color="auto" w:fill="E2EEF6"/>
          </w:tcPr>
          <w:p>
            <w:pPr>
              <w:spacing w:after="0"/>
              <w:rPr>
                <w:sz w:val="14"/>
                <w:szCs w:val="14"/>
                <w:color w:val="auto"/>
              </w:rPr>
            </w:pPr>
          </w:p>
        </w:tc>
        <w:tc>
          <w:tcPr>
            <w:tcW w:w="80" w:type="dxa"/>
            <w:vAlign w:val="bottom"/>
            <w:shd w:val="clear" w:color="auto" w:fill="E2EEF6"/>
          </w:tcPr>
          <w:p>
            <w:pPr>
              <w:spacing w:after="0"/>
              <w:rPr>
                <w:sz w:val="14"/>
                <w:szCs w:val="14"/>
                <w:color w:val="auto"/>
              </w:rPr>
            </w:pPr>
          </w:p>
        </w:tc>
        <w:tc>
          <w:tcPr>
            <w:tcW w:w="440" w:type="dxa"/>
            <w:vAlign w:val="bottom"/>
            <w:shd w:val="clear" w:color="auto" w:fill="E2EEF6"/>
          </w:tcPr>
          <w:p>
            <w:pPr>
              <w:spacing w:after="0"/>
              <w:rPr>
                <w:sz w:val="14"/>
                <w:szCs w:val="14"/>
                <w:color w:val="auto"/>
              </w:rPr>
            </w:pPr>
          </w:p>
        </w:tc>
        <w:tc>
          <w:tcPr>
            <w:tcW w:w="80" w:type="dxa"/>
            <w:vAlign w:val="bottom"/>
            <w:tcBorders>
              <w:left w:val="single" w:sz="8" w:color="E2EEF6"/>
            </w:tcBorders>
            <w:shd w:val="clear" w:color="auto" w:fill="E2EEF6"/>
          </w:tcPr>
          <w:p>
            <w:pPr>
              <w:spacing w:after="0"/>
              <w:rPr>
                <w:sz w:val="14"/>
                <w:szCs w:val="14"/>
                <w:color w:val="auto"/>
              </w:rPr>
            </w:pPr>
          </w:p>
        </w:tc>
        <w:tc>
          <w:tcPr>
            <w:tcW w:w="140" w:type="dxa"/>
            <w:vAlign w:val="bottom"/>
            <w:shd w:val="clear" w:color="auto" w:fill="E2EEF6"/>
          </w:tcPr>
          <w:p>
            <w:pPr>
              <w:spacing w:after="0"/>
              <w:rPr>
                <w:sz w:val="14"/>
                <w:szCs w:val="14"/>
                <w:color w:val="auto"/>
              </w:rPr>
            </w:pPr>
          </w:p>
        </w:tc>
        <w:tc>
          <w:tcPr>
            <w:tcW w:w="380" w:type="dxa"/>
            <w:vAlign w:val="bottom"/>
            <w:vMerge w:val="restart"/>
            <w:shd w:val="clear" w:color="auto" w:fill="E2EEF6"/>
          </w:tcPr>
          <w:p>
            <w:pPr>
              <w:jc w:val="right"/>
              <w:spacing w:after="0"/>
              <w:rPr>
                <w:sz w:val="20"/>
                <w:szCs w:val="20"/>
                <w:color w:val="auto"/>
              </w:rPr>
            </w:pPr>
            <w:r>
              <w:rPr>
                <w:rFonts w:ascii="Arial" w:cs="Arial" w:eastAsia="Arial" w:hAnsi="Arial"/>
                <w:sz w:val="14"/>
                <w:szCs w:val="14"/>
                <w:color w:val="auto"/>
              </w:rPr>
              <w:t>(321)</w:t>
            </w:r>
          </w:p>
        </w:tc>
        <w:tc>
          <w:tcPr>
            <w:tcW w:w="80" w:type="dxa"/>
            <w:vAlign w:val="bottom"/>
            <w:tcBorders>
              <w:left w:val="single" w:sz="8" w:color="E2EEF6"/>
            </w:tcBorders>
            <w:shd w:val="clear" w:color="auto" w:fill="E2EEF6"/>
          </w:tcPr>
          <w:p>
            <w:pPr>
              <w:spacing w:after="0"/>
              <w:rPr>
                <w:sz w:val="14"/>
                <w:szCs w:val="14"/>
                <w:color w:val="auto"/>
              </w:rPr>
            </w:pPr>
          </w:p>
        </w:tc>
        <w:tc>
          <w:tcPr>
            <w:tcW w:w="560" w:type="dxa"/>
            <w:vAlign w:val="bottom"/>
            <w:shd w:val="clear" w:color="auto" w:fill="E2EEF6"/>
          </w:tcPr>
          <w:p>
            <w:pPr>
              <w:spacing w:after="0"/>
              <w:rPr>
                <w:sz w:val="14"/>
                <w:szCs w:val="14"/>
                <w:color w:val="auto"/>
              </w:rPr>
            </w:pPr>
          </w:p>
        </w:tc>
        <w:tc>
          <w:tcPr>
            <w:tcW w:w="80" w:type="dxa"/>
            <w:vAlign w:val="bottom"/>
            <w:tcBorders>
              <w:left w:val="single" w:sz="8" w:color="E2EEF6"/>
            </w:tcBorders>
            <w:shd w:val="clear" w:color="auto" w:fill="E2EEF6"/>
          </w:tcPr>
          <w:p>
            <w:pPr>
              <w:spacing w:after="0"/>
              <w:rPr>
                <w:sz w:val="14"/>
                <w:szCs w:val="14"/>
                <w:color w:val="auto"/>
              </w:rPr>
            </w:pPr>
          </w:p>
        </w:tc>
        <w:tc>
          <w:tcPr>
            <w:tcW w:w="560" w:type="dxa"/>
            <w:vAlign w:val="bottom"/>
            <w:shd w:val="clear" w:color="auto" w:fill="E2EEF6"/>
          </w:tcPr>
          <w:p>
            <w:pPr>
              <w:spacing w:after="0"/>
              <w:rPr>
                <w:sz w:val="14"/>
                <w:szCs w:val="14"/>
                <w:color w:val="auto"/>
              </w:rPr>
            </w:pPr>
          </w:p>
        </w:tc>
        <w:tc>
          <w:tcPr>
            <w:tcW w:w="40" w:type="dxa"/>
            <w:vAlign w:val="bottom"/>
            <w:shd w:val="clear" w:color="auto" w:fill="E2EEF6"/>
          </w:tcPr>
          <w:p>
            <w:pPr>
              <w:spacing w:after="0"/>
              <w:rPr>
                <w:sz w:val="14"/>
                <w:szCs w:val="14"/>
                <w:color w:val="auto"/>
              </w:rPr>
            </w:pPr>
          </w:p>
        </w:tc>
        <w:tc>
          <w:tcPr>
            <w:tcW w:w="540" w:type="dxa"/>
            <w:vAlign w:val="bottom"/>
            <w:gridSpan w:val="2"/>
            <w:vMerge w:val="restart"/>
            <w:shd w:val="clear" w:color="auto" w:fill="E2EEF6"/>
          </w:tcPr>
          <w:p>
            <w:pPr>
              <w:jc w:val="right"/>
              <w:spacing w:after="0"/>
              <w:rPr>
                <w:sz w:val="20"/>
                <w:szCs w:val="20"/>
                <w:color w:val="auto"/>
              </w:rPr>
            </w:pPr>
            <w:r>
              <w:rPr>
                <w:rFonts w:ascii="Arial" w:cs="Arial" w:eastAsia="Arial" w:hAnsi="Arial"/>
                <w:sz w:val="14"/>
                <w:szCs w:val="14"/>
                <w:color w:val="auto"/>
              </w:rPr>
              <w:t>(682)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40" w:type="dxa"/>
            <w:vAlign w:val="bottom"/>
            <w:shd w:val="clear" w:color="auto" w:fill="E2EEF6"/>
          </w:tcPr>
          <w:p>
            <w:pPr>
              <w:spacing w:after="0"/>
              <w:rPr>
                <w:sz w:val="20"/>
                <w:szCs w:val="20"/>
                <w:color w:val="auto"/>
              </w:rPr>
            </w:pPr>
            <w:r>
              <w:rPr>
                <w:rFonts w:ascii="Arial" w:cs="Arial" w:eastAsia="Arial" w:hAnsi="Arial"/>
                <w:sz w:val="14"/>
                <w:szCs w:val="14"/>
                <w:color w:val="auto"/>
              </w:rPr>
              <w:t>administrative expense</w:t>
            </w:r>
          </w:p>
        </w:tc>
        <w:tc>
          <w:tcPr>
            <w:tcW w:w="140" w:type="dxa"/>
            <w:vAlign w:val="bottom"/>
            <w:tcBorders>
              <w:right w:val="single" w:sz="8" w:color="E2EEF6"/>
            </w:tcBorders>
            <w:shd w:val="clear" w:color="auto" w:fill="E2EEF6"/>
          </w:tcPr>
          <w:p>
            <w:pPr>
              <w:spacing w:after="0"/>
              <w:rPr>
                <w:sz w:val="15"/>
                <w:szCs w:val="15"/>
                <w:color w:val="auto"/>
              </w:rPr>
            </w:pPr>
          </w:p>
        </w:tc>
        <w:tc>
          <w:tcPr>
            <w:tcW w:w="440" w:type="dxa"/>
            <w:vAlign w:val="bottom"/>
            <w:shd w:val="clear" w:color="auto" w:fill="E2EEF6"/>
          </w:tcPr>
          <w:p>
            <w:pPr>
              <w:jc w:val="right"/>
              <w:spacing w:after="0"/>
              <w:rPr>
                <w:sz w:val="20"/>
                <w:szCs w:val="20"/>
                <w:color w:val="auto"/>
              </w:rPr>
            </w:pPr>
            <w:r>
              <w:rPr>
                <w:rFonts w:ascii="Arial" w:cs="Arial" w:eastAsia="Arial" w:hAnsi="Arial"/>
                <w:sz w:val="14"/>
                <w:szCs w:val="14"/>
                <w:color w:val="auto"/>
                <w:w w:val="97"/>
              </w:rPr>
              <w:t>11,094</w:t>
            </w:r>
          </w:p>
        </w:tc>
        <w:tc>
          <w:tcPr>
            <w:tcW w:w="60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10,619</w:t>
            </w:r>
          </w:p>
        </w:tc>
        <w:tc>
          <w:tcPr>
            <w:tcW w:w="80" w:type="dxa"/>
            <w:vAlign w:val="bottom"/>
            <w:tcBorders>
              <w:left w:val="single" w:sz="8" w:color="E2EEF6"/>
            </w:tcBorders>
            <w:shd w:val="clear" w:color="auto" w:fill="E2EEF6"/>
          </w:tcPr>
          <w:p>
            <w:pPr>
              <w:spacing w:after="0"/>
              <w:rPr>
                <w:sz w:val="15"/>
                <w:szCs w:val="15"/>
                <w:color w:val="auto"/>
              </w:rPr>
            </w:pPr>
          </w:p>
        </w:tc>
        <w:tc>
          <w:tcPr>
            <w:tcW w:w="120" w:type="dxa"/>
            <w:vAlign w:val="bottom"/>
            <w:shd w:val="clear" w:color="auto" w:fill="E2EEF6"/>
          </w:tcPr>
          <w:p>
            <w:pPr>
              <w:spacing w:after="0"/>
              <w:rPr>
                <w:sz w:val="15"/>
                <w:szCs w:val="15"/>
                <w:color w:val="auto"/>
              </w:rPr>
            </w:pPr>
          </w:p>
        </w:tc>
        <w:tc>
          <w:tcPr>
            <w:tcW w:w="380" w:type="dxa"/>
            <w:vAlign w:val="bottom"/>
            <w:shd w:val="clear" w:color="auto" w:fill="E2EEF6"/>
          </w:tcPr>
          <w:p>
            <w:pPr>
              <w:jc w:val="right"/>
              <w:spacing w:after="0"/>
              <w:rPr>
                <w:sz w:val="20"/>
                <w:szCs w:val="20"/>
                <w:color w:val="auto"/>
              </w:rPr>
            </w:pPr>
            <w:r>
              <w:rPr>
                <w:rFonts w:ascii="Arial" w:cs="Arial" w:eastAsia="Arial" w:hAnsi="Arial"/>
                <w:sz w:val="14"/>
                <w:szCs w:val="14"/>
                <w:color w:val="auto"/>
              </w:rPr>
              <w:t>475</w:t>
            </w:r>
          </w:p>
        </w:tc>
        <w:tc>
          <w:tcPr>
            <w:tcW w:w="64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14,368</w:t>
            </w:r>
          </w:p>
        </w:tc>
        <w:tc>
          <w:tcPr>
            <w:tcW w:w="140" w:type="dxa"/>
            <w:vAlign w:val="bottom"/>
            <w:tcBorders>
              <w:left w:val="single" w:sz="8" w:color="E2EEF6"/>
              <w:right w:val="single" w:sz="8" w:color="E2EEF6"/>
            </w:tcBorders>
            <w:shd w:val="clear" w:color="auto" w:fill="E2EEF6"/>
          </w:tcPr>
          <w:p>
            <w:pPr>
              <w:spacing w:after="0"/>
              <w:rPr>
                <w:sz w:val="15"/>
                <w:szCs w:val="15"/>
                <w:color w:val="auto"/>
              </w:rPr>
            </w:pPr>
          </w:p>
        </w:tc>
        <w:tc>
          <w:tcPr>
            <w:tcW w:w="500" w:type="dxa"/>
            <w:vAlign w:val="bottom"/>
            <w:shd w:val="clear" w:color="auto" w:fill="E2EEF6"/>
          </w:tcPr>
          <w:p>
            <w:pPr>
              <w:jc w:val="right"/>
              <w:spacing w:after="0"/>
              <w:rPr>
                <w:sz w:val="20"/>
                <w:szCs w:val="20"/>
                <w:color w:val="auto"/>
              </w:rPr>
            </w:pPr>
            <w:r>
              <w:rPr>
                <w:rFonts w:ascii="Arial" w:cs="Arial" w:eastAsia="Arial" w:hAnsi="Arial"/>
                <w:sz w:val="14"/>
                <w:szCs w:val="14"/>
                <w:color w:val="auto"/>
              </w:rPr>
              <w:t>15,204</w:t>
            </w:r>
          </w:p>
        </w:tc>
        <w:tc>
          <w:tcPr>
            <w:tcW w:w="80" w:type="dxa"/>
            <w:vAlign w:val="bottom"/>
            <w:tcBorders>
              <w:left w:val="single" w:sz="8" w:color="E2EEF6"/>
            </w:tcBorders>
            <w:shd w:val="clear" w:color="auto" w:fill="E2EEF6"/>
          </w:tcPr>
          <w:p>
            <w:pPr>
              <w:spacing w:after="0"/>
              <w:rPr>
                <w:sz w:val="15"/>
                <w:szCs w:val="15"/>
                <w:color w:val="auto"/>
              </w:rPr>
            </w:pPr>
          </w:p>
        </w:tc>
        <w:tc>
          <w:tcPr>
            <w:tcW w:w="100" w:type="dxa"/>
            <w:vAlign w:val="bottom"/>
            <w:shd w:val="clear" w:color="auto" w:fill="E2EEF6"/>
          </w:tcPr>
          <w:p>
            <w:pPr>
              <w:spacing w:after="0"/>
              <w:rPr>
                <w:sz w:val="15"/>
                <w:szCs w:val="15"/>
                <w:color w:val="auto"/>
              </w:rPr>
            </w:pPr>
          </w:p>
        </w:tc>
        <w:tc>
          <w:tcPr>
            <w:tcW w:w="400" w:type="dxa"/>
            <w:vAlign w:val="bottom"/>
            <w:vMerge w:val="continue"/>
            <w:shd w:val="clear" w:color="auto" w:fill="E2EEF6"/>
          </w:tcPr>
          <w:p>
            <w:pPr>
              <w:spacing w:after="0"/>
              <w:rPr>
                <w:sz w:val="15"/>
                <w:szCs w:val="15"/>
                <w:color w:val="auto"/>
              </w:rPr>
            </w:pPr>
          </w:p>
        </w:tc>
        <w:tc>
          <w:tcPr>
            <w:tcW w:w="60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3,611</w:t>
            </w:r>
          </w:p>
        </w:tc>
        <w:tc>
          <w:tcPr>
            <w:tcW w:w="80" w:type="dxa"/>
            <w:vAlign w:val="bottom"/>
            <w:tcBorders>
              <w:left w:val="single" w:sz="8" w:color="E2EEF6"/>
            </w:tcBorders>
            <w:shd w:val="clear" w:color="auto" w:fill="E2EEF6"/>
          </w:tcPr>
          <w:p>
            <w:pPr>
              <w:spacing w:after="0"/>
              <w:rPr>
                <w:sz w:val="15"/>
                <w:szCs w:val="15"/>
                <w:color w:val="auto"/>
              </w:rPr>
            </w:pPr>
          </w:p>
        </w:tc>
        <w:tc>
          <w:tcPr>
            <w:tcW w:w="80" w:type="dxa"/>
            <w:vAlign w:val="bottom"/>
            <w:shd w:val="clear" w:color="auto" w:fill="E2EEF6"/>
          </w:tcPr>
          <w:p>
            <w:pPr>
              <w:spacing w:after="0"/>
              <w:rPr>
                <w:sz w:val="15"/>
                <w:szCs w:val="15"/>
                <w:color w:val="auto"/>
              </w:rPr>
            </w:pPr>
          </w:p>
        </w:tc>
        <w:tc>
          <w:tcPr>
            <w:tcW w:w="440" w:type="dxa"/>
            <w:vAlign w:val="bottom"/>
            <w:shd w:val="clear" w:color="auto" w:fill="E2EEF6"/>
          </w:tcPr>
          <w:p>
            <w:pPr>
              <w:jc w:val="right"/>
              <w:spacing w:after="0"/>
              <w:rPr>
                <w:sz w:val="20"/>
                <w:szCs w:val="20"/>
                <w:color w:val="auto"/>
              </w:rPr>
            </w:pPr>
            <w:r>
              <w:rPr>
                <w:rFonts w:ascii="Arial" w:cs="Arial" w:eastAsia="Arial" w:hAnsi="Arial"/>
                <w:sz w:val="14"/>
                <w:szCs w:val="14"/>
                <w:color w:val="auto"/>
              </w:rPr>
              <w:t>3,932</w:t>
            </w:r>
          </w:p>
        </w:tc>
        <w:tc>
          <w:tcPr>
            <w:tcW w:w="80" w:type="dxa"/>
            <w:vAlign w:val="bottom"/>
            <w:tcBorders>
              <w:left w:val="single" w:sz="8" w:color="E2EEF6"/>
            </w:tcBorders>
            <w:shd w:val="clear" w:color="auto" w:fill="E2EEF6"/>
          </w:tcPr>
          <w:p>
            <w:pPr>
              <w:spacing w:after="0"/>
              <w:rPr>
                <w:sz w:val="15"/>
                <w:szCs w:val="15"/>
                <w:color w:val="auto"/>
              </w:rPr>
            </w:pPr>
          </w:p>
        </w:tc>
        <w:tc>
          <w:tcPr>
            <w:tcW w:w="140" w:type="dxa"/>
            <w:vAlign w:val="bottom"/>
            <w:shd w:val="clear" w:color="auto" w:fill="E2EEF6"/>
          </w:tcPr>
          <w:p>
            <w:pPr>
              <w:spacing w:after="0"/>
              <w:rPr>
                <w:sz w:val="15"/>
                <w:szCs w:val="15"/>
                <w:color w:val="auto"/>
              </w:rPr>
            </w:pPr>
          </w:p>
        </w:tc>
        <w:tc>
          <w:tcPr>
            <w:tcW w:w="380" w:type="dxa"/>
            <w:vAlign w:val="bottom"/>
            <w:vMerge w:val="continue"/>
            <w:shd w:val="clear" w:color="auto" w:fill="E2EEF6"/>
          </w:tcPr>
          <w:p>
            <w:pPr>
              <w:spacing w:after="0"/>
              <w:rPr>
                <w:sz w:val="15"/>
                <w:szCs w:val="15"/>
                <w:color w:val="auto"/>
              </w:rPr>
            </w:pPr>
          </w:p>
        </w:tc>
        <w:tc>
          <w:tcPr>
            <w:tcW w:w="64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29,073</w:t>
            </w:r>
          </w:p>
        </w:tc>
        <w:tc>
          <w:tcPr>
            <w:tcW w:w="64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29,755</w:t>
            </w:r>
          </w:p>
        </w:tc>
        <w:tc>
          <w:tcPr>
            <w:tcW w:w="40" w:type="dxa"/>
            <w:vAlign w:val="bottom"/>
            <w:shd w:val="clear" w:color="auto" w:fill="E2EEF6"/>
          </w:tcPr>
          <w:p>
            <w:pPr>
              <w:spacing w:after="0"/>
              <w:rPr>
                <w:sz w:val="15"/>
                <w:szCs w:val="15"/>
                <w:color w:val="auto"/>
              </w:rPr>
            </w:pPr>
          </w:p>
        </w:tc>
        <w:tc>
          <w:tcPr>
            <w:tcW w:w="540" w:type="dxa"/>
            <w:vAlign w:val="bottom"/>
            <w:gridSpan w:val="2"/>
            <w:vMerge w:val="continue"/>
            <w:shd w:val="clear" w:color="auto" w:fill="E2EEF6"/>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860" w:type="dxa"/>
            <w:vAlign w:val="bottom"/>
            <w:gridSpan w:val="2"/>
          </w:tcPr>
          <w:p>
            <w:pPr>
              <w:spacing w:after="0"/>
              <w:rPr>
                <w:sz w:val="20"/>
                <w:szCs w:val="20"/>
                <w:color w:val="auto"/>
              </w:rPr>
            </w:pPr>
            <w:r>
              <w:rPr>
                <w:rFonts w:ascii="Arial" w:cs="Arial" w:eastAsia="Arial" w:hAnsi="Arial"/>
                <w:sz w:val="14"/>
                <w:szCs w:val="14"/>
                <w:color w:val="auto"/>
                <w:w w:val="98"/>
              </w:rPr>
              <w:t>Depreciation and amortization</w:t>
            </w:r>
          </w:p>
        </w:tc>
        <w:tc>
          <w:tcPr>
            <w:tcW w:w="1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3,572</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3,662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(90)</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10,278</w:t>
            </w:r>
          </w:p>
        </w:tc>
        <w:tc>
          <w:tcPr>
            <w:tcW w:w="1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9,893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385</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2,481</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2,578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(97)</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16,331</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16,133</w:t>
            </w:r>
          </w:p>
        </w:tc>
        <w:tc>
          <w:tcPr>
            <w:tcW w:w="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840" w:type="dxa"/>
            <w:vAlign w:val="bottom"/>
            <w:shd w:val="clear" w:color="auto" w:fill="E2EEF6"/>
          </w:tcPr>
          <w:p>
            <w:pPr>
              <w:spacing w:after="0"/>
              <w:rPr>
                <w:sz w:val="20"/>
                <w:szCs w:val="20"/>
                <w:color w:val="auto"/>
              </w:rPr>
            </w:pPr>
            <w:r>
              <w:rPr>
                <w:rFonts w:ascii="Arial" w:cs="Arial" w:eastAsia="Arial" w:hAnsi="Arial"/>
                <w:sz w:val="14"/>
                <w:szCs w:val="14"/>
                <w:color w:val="auto"/>
                <w:w w:val="98"/>
              </w:rPr>
              <w:t>Restructuring and Impairment</w:t>
            </w:r>
          </w:p>
        </w:tc>
        <w:tc>
          <w:tcPr>
            <w:tcW w:w="140" w:type="dxa"/>
            <w:vAlign w:val="bottom"/>
            <w:tcBorders>
              <w:right w:val="single" w:sz="8" w:color="E2EEF6"/>
            </w:tcBorders>
            <w:shd w:val="clear" w:color="auto" w:fill="E2EEF6"/>
          </w:tcPr>
          <w:p>
            <w:pPr>
              <w:spacing w:after="0"/>
              <w:rPr>
                <w:sz w:val="22"/>
                <w:szCs w:val="22"/>
                <w:color w:val="auto"/>
              </w:rPr>
            </w:pPr>
          </w:p>
        </w:tc>
        <w:tc>
          <w:tcPr>
            <w:tcW w:w="440" w:type="dxa"/>
            <w:vAlign w:val="bottom"/>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108</w:t>
            </w:r>
          </w:p>
        </w:tc>
        <w:tc>
          <w:tcPr>
            <w:tcW w:w="80" w:type="dxa"/>
            <w:vAlign w:val="bottom"/>
            <w:tcBorders>
              <w:left w:val="single" w:sz="8" w:color="E2EEF6"/>
            </w:tcBorders>
            <w:shd w:val="clear" w:color="auto" w:fill="E2EEF6"/>
          </w:tcPr>
          <w:p>
            <w:pPr>
              <w:spacing w:after="0"/>
              <w:rPr>
                <w:sz w:val="22"/>
                <w:szCs w:val="22"/>
                <w:color w:val="auto"/>
              </w:rPr>
            </w:pPr>
          </w:p>
        </w:tc>
        <w:tc>
          <w:tcPr>
            <w:tcW w:w="120" w:type="dxa"/>
            <w:vAlign w:val="bottom"/>
            <w:shd w:val="clear" w:color="auto" w:fill="E2EEF6"/>
          </w:tcPr>
          <w:p>
            <w:pPr>
              <w:spacing w:after="0"/>
              <w:rPr>
                <w:sz w:val="22"/>
                <w:szCs w:val="22"/>
                <w:color w:val="auto"/>
              </w:rPr>
            </w:pPr>
          </w:p>
        </w:tc>
        <w:tc>
          <w:tcPr>
            <w:tcW w:w="380" w:type="dxa"/>
            <w:vAlign w:val="bottom"/>
            <w:shd w:val="clear" w:color="auto" w:fill="E2EEF6"/>
          </w:tcPr>
          <w:p>
            <w:pPr>
              <w:jc w:val="right"/>
              <w:spacing w:after="0"/>
              <w:rPr>
                <w:sz w:val="20"/>
                <w:szCs w:val="20"/>
                <w:color w:val="auto"/>
              </w:rPr>
            </w:pPr>
            <w:r>
              <w:rPr>
                <w:rFonts w:ascii="Arial" w:cs="Arial" w:eastAsia="Arial" w:hAnsi="Arial"/>
                <w:sz w:val="14"/>
                <w:szCs w:val="14"/>
                <w:color w:val="auto"/>
              </w:rPr>
              <w:t>(108)</w:t>
            </w:r>
          </w:p>
        </w:tc>
        <w:tc>
          <w:tcPr>
            <w:tcW w:w="64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(342)</w:t>
            </w:r>
          </w:p>
        </w:tc>
        <w:tc>
          <w:tcPr>
            <w:tcW w:w="140" w:type="dxa"/>
            <w:vAlign w:val="bottom"/>
            <w:tcBorders>
              <w:left w:val="single" w:sz="8" w:color="E2EEF6"/>
              <w:right w:val="single" w:sz="8" w:color="E2EEF6"/>
            </w:tcBorders>
            <w:shd w:val="clear" w:color="auto" w:fill="E2EEF6"/>
          </w:tcPr>
          <w:p>
            <w:pPr>
              <w:spacing w:after="0"/>
              <w:rPr>
                <w:sz w:val="22"/>
                <w:szCs w:val="22"/>
                <w:color w:val="auto"/>
              </w:rPr>
            </w:pPr>
          </w:p>
        </w:tc>
        <w:tc>
          <w:tcPr>
            <w:tcW w:w="500" w:type="dxa"/>
            <w:vAlign w:val="bottom"/>
            <w:shd w:val="clear" w:color="auto" w:fill="E2EEF6"/>
          </w:tcPr>
          <w:p>
            <w:pPr>
              <w:jc w:val="right"/>
              <w:spacing w:after="0"/>
              <w:rPr>
                <w:sz w:val="20"/>
                <w:szCs w:val="20"/>
                <w:color w:val="auto"/>
              </w:rPr>
            </w:pPr>
            <w:r>
              <w:rPr>
                <w:rFonts w:ascii="Arial" w:cs="Arial" w:eastAsia="Arial" w:hAnsi="Arial"/>
                <w:sz w:val="14"/>
                <w:szCs w:val="14"/>
                <w:color w:val="auto"/>
              </w:rPr>
              <w:t>2,290</w:t>
            </w:r>
          </w:p>
        </w:tc>
        <w:tc>
          <w:tcPr>
            <w:tcW w:w="80" w:type="dxa"/>
            <w:vAlign w:val="bottom"/>
            <w:tcBorders>
              <w:left w:val="single" w:sz="8" w:color="E2EEF6"/>
            </w:tcBorders>
            <w:shd w:val="clear" w:color="auto" w:fill="E2EEF6"/>
          </w:tcPr>
          <w:p>
            <w:pPr>
              <w:spacing w:after="0"/>
              <w:rPr>
                <w:sz w:val="22"/>
                <w:szCs w:val="22"/>
                <w:color w:val="auto"/>
              </w:rPr>
            </w:pPr>
          </w:p>
        </w:tc>
        <w:tc>
          <w:tcPr>
            <w:tcW w:w="100" w:type="dxa"/>
            <w:vAlign w:val="bottom"/>
            <w:shd w:val="clear" w:color="auto" w:fill="E2EEF6"/>
          </w:tcPr>
          <w:p>
            <w:pPr>
              <w:spacing w:after="0"/>
              <w:rPr>
                <w:sz w:val="22"/>
                <w:szCs w:val="22"/>
                <w:color w:val="auto"/>
              </w:rPr>
            </w:pPr>
          </w:p>
        </w:tc>
        <w:tc>
          <w:tcPr>
            <w:tcW w:w="400" w:type="dxa"/>
            <w:vAlign w:val="bottom"/>
            <w:shd w:val="clear" w:color="auto" w:fill="E2EEF6"/>
          </w:tcPr>
          <w:p>
            <w:pPr>
              <w:jc w:val="right"/>
              <w:spacing w:after="0"/>
              <w:rPr>
                <w:sz w:val="20"/>
                <w:szCs w:val="20"/>
                <w:color w:val="auto"/>
              </w:rPr>
            </w:pPr>
            <w:r>
              <w:rPr>
                <w:rFonts w:ascii="Arial" w:cs="Arial" w:eastAsia="Arial" w:hAnsi="Arial"/>
                <w:sz w:val="14"/>
                <w:szCs w:val="14"/>
                <w:color w:val="auto"/>
                <w:w w:val="94"/>
              </w:rPr>
              <w:t>(2,632)</w:t>
            </w:r>
          </w:p>
        </w:tc>
        <w:tc>
          <w:tcPr>
            <w:tcW w:w="60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E2EEF6"/>
            </w:tcBorders>
            <w:shd w:val="clear" w:color="auto" w:fill="E2EEF6"/>
          </w:tcPr>
          <w:p>
            <w:pPr>
              <w:spacing w:after="0"/>
              <w:rPr>
                <w:sz w:val="22"/>
                <w:szCs w:val="22"/>
                <w:color w:val="auto"/>
              </w:rPr>
            </w:pPr>
          </w:p>
        </w:tc>
        <w:tc>
          <w:tcPr>
            <w:tcW w:w="80" w:type="dxa"/>
            <w:vAlign w:val="bottom"/>
            <w:shd w:val="clear" w:color="auto" w:fill="E2EEF6"/>
          </w:tcPr>
          <w:p>
            <w:pPr>
              <w:spacing w:after="0"/>
              <w:rPr>
                <w:sz w:val="22"/>
                <w:szCs w:val="22"/>
                <w:color w:val="auto"/>
              </w:rPr>
            </w:pPr>
          </w:p>
        </w:tc>
        <w:tc>
          <w:tcPr>
            <w:tcW w:w="440" w:type="dxa"/>
            <w:vAlign w:val="bottom"/>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E2EEF6"/>
            </w:tcBorders>
            <w:shd w:val="clear" w:color="auto" w:fill="E2EEF6"/>
          </w:tcPr>
          <w:p>
            <w:pPr>
              <w:spacing w:after="0"/>
              <w:rPr>
                <w:sz w:val="22"/>
                <w:szCs w:val="22"/>
                <w:color w:val="auto"/>
              </w:rPr>
            </w:pPr>
          </w:p>
        </w:tc>
        <w:tc>
          <w:tcPr>
            <w:tcW w:w="140" w:type="dxa"/>
            <w:vAlign w:val="bottom"/>
            <w:shd w:val="clear" w:color="auto" w:fill="E2EEF6"/>
          </w:tcPr>
          <w:p>
            <w:pPr>
              <w:spacing w:after="0"/>
              <w:rPr>
                <w:sz w:val="22"/>
                <w:szCs w:val="22"/>
                <w:color w:val="auto"/>
              </w:rPr>
            </w:pPr>
          </w:p>
        </w:tc>
        <w:tc>
          <w:tcPr>
            <w:tcW w:w="380" w:type="dxa"/>
            <w:vAlign w:val="bottom"/>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(342)</w:t>
            </w:r>
          </w:p>
        </w:tc>
        <w:tc>
          <w:tcPr>
            <w:tcW w:w="64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2,398</w:t>
            </w:r>
          </w:p>
        </w:tc>
        <w:tc>
          <w:tcPr>
            <w:tcW w:w="40" w:type="dxa"/>
            <w:vAlign w:val="bottom"/>
            <w:shd w:val="clear" w:color="auto" w:fill="E2EEF6"/>
          </w:tcPr>
          <w:p>
            <w:pPr>
              <w:spacing w:after="0"/>
              <w:rPr>
                <w:sz w:val="22"/>
                <w:szCs w:val="22"/>
                <w:color w:val="auto"/>
              </w:rPr>
            </w:pPr>
          </w:p>
        </w:tc>
        <w:tc>
          <w:tcPr>
            <w:tcW w:w="540" w:type="dxa"/>
            <w:vAlign w:val="bottom"/>
            <w:gridSpan w:val="2"/>
            <w:shd w:val="clear" w:color="auto" w:fill="E2EEF6"/>
          </w:tcPr>
          <w:p>
            <w:pPr>
              <w:jc w:val="right"/>
              <w:spacing w:after="0"/>
              <w:rPr>
                <w:sz w:val="20"/>
                <w:szCs w:val="20"/>
                <w:color w:val="auto"/>
              </w:rPr>
            </w:pPr>
            <w:r>
              <w:rPr>
                <w:rFonts w:ascii="Arial" w:cs="Arial" w:eastAsia="Arial" w:hAnsi="Arial"/>
                <w:sz w:val="14"/>
                <w:szCs w:val="14"/>
                <w:color w:val="auto"/>
              </w:rPr>
              <w:t>(2,740)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40" w:type="dxa"/>
            <w:vAlign w:val="bottom"/>
          </w:tcPr>
          <w:p>
            <w:pPr>
              <w:spacing w:after="0"/>
              <w:rPr>
                <w:sz w:val="20"/>
                <w:szCs w:val="20"/>
                <w:color w:val="auto"/>
              </w:rPr>
            </w:pPr>
            <w:r>
              <w:rPr>
                <w:rFonts w:ascii="Arial" w:cs="Arial" w:eastAsia="Arial" w:hAnsi="Arial"/>
                <w:sz w:val="14"/>
                <w:szCs w:val="14"/>
                <w:color w:val="auto"/>
              </w:rPr>
              <w:t>Gain (loss) on sale of fixed</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(755)</w:t>
            </w: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color w:val="auto"/>
              </w:rPr>
              <w:t>(391)</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(492)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color w:val="auto"/>
              </w:rPr>
              <w:t>(391)</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color w:val="auto"/>
              </w:rPr>
              <w:t>(1,247)</w:t>
            </w:r>
          </w:p>
        </w:tc>
        <w:tc>
          <w:tcPr>
            <w:tcW w:w="0" w:type="dxa"/>
            <w:vAlign w:val="bottom"/>
          </w:tcPr>
          <w:p>
            <w:pPr>
              <w:spacing w:after="0"/>
              <w:rPr>
                <w:sz w:val="1"/>
                <w:szCs w:val="1"/>
                <w:color w:val="auto"/>
              </w:rPr>
            </w:pPr>
          </w:p>
        </w:tc>
      </w:tr>
      <w:tr>
        <w:trPr>
          <w:trHeight w:val="181"/>
        </w:trPr>
        <w:tc>
          <w:tcPr>
            <w:tcW w:w="1860" w:type="dxa"/>
            <w:vAlign w:val="bottom"/>
            <w:gridSpan w:val="2"/>
          </w:tcPr>
          <w:p>
            <w:pPr>
              <w:spacing w:after="0"/>
              <w:rPr>
                <w:sz w:val="20"/>
                <w:szCs w:val="20"/>
                <w:color w:val="auto"/>
              </w:rPr>
            </w:pPr>
            <w:r>
              <w:rPr>
                <w:rFonts w:ascii="Arial" w:cs="Arial" w:eastAsia="Arial" w:hAnsi="Arial"/>
                <w:sz w:val="14"/>
                <w:szCs w:val="14"/>
                <w:color w:val="auto"/>
              </w:rPr>
              <w:t>assets</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755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vMerge w:val="continue"/>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856</w:t>
            </w:r>
          </w:p>
        </w:tc>
        <w:tc>
          <w:tcPr>
            <w:tcW w:w="4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840" w:type="dxa"/>
            <w:vAlign w:val="bottom"/>
            <w:shd w:val="clear" w:color="auto" w:fill="E2EEF6"/>
          </w:tcPr>
          <w:p>
            <w:pPr>
              <w:spacing w:after="0"/>
              <w:rPr>
                <w:sz w:val="20"/>
                <w:szCs w:val="20"/>
                <w:color w:val="auto"/>
              </w:rPr>
            </w:pPr>
            <w:r>
              <w:rPr>
                <w:rFonts w:ascii="Arial" w:cs="Arial" w:eastAsia="Arial" w:hAnsi="Arial"/>
                <w:sz w:val="14"/>
                <w:szCs w:val="14"/>
                <w:color w:val="auto"/>
              </w:rPr>
              <w:t>Interest</w:t>
            </w:r>
          </w:p>
        </w:tc>
        <w:tc>
          <w:tcPr>
            <w:tcW w:w="140" w:type="dxa"/>
            <w:vAlign w:val="bottom"/>
            <w:tcBorders>
              <w:right w:val="single" w:sz="8" w:color="E2EEF6"/>
            </w:tcBorders>
            <w:shd w:val="clear" w:color="auto" w:fill="E2EEF6"/>
          </w:tcPr>
          <w:p>
            <w:pPr>
              <w:spacing w:after="0"/>
              <w:rPr>
                <w:sz w:val="22"/>
                <w:szCs w:val="22"/>
                <w:color w:val="auto"/>
              </w:rPr>
            </w:pPr>
          </w:p>
        </w:tc>
        <w:tc>
          <w:tcPr>
            <w:tcW w:w="440" w:type="dxa"/>
            <w:vAlign w:val="bottom"/>
            <w:shd w:val="clear" w:color="auto" w:fill="E2EEF6"/>
          </w:tcPr>
          <w:p>
            <w:pPr>
              <w:jc w:val="right"/>
              <w:spacing w:after="0"/>
              <w:rPr>
                <w:sz w:val="20"/>
                <w:szCs w:val="20"/>
                <w:color w:val="auto"/>
              </w:rPr>
            </w:pPr>
            <w:r>
              <w:rPr>
                <w:rFonts w:ascii="Arial" w:cs="Arial" w:eastAsia="Arial" w:hAnsi="Arial"/>
                <w:sz w:val="14"/>
                <w:szCs w:val="14"/>
                <w:color w:val="auto"/>
              </w:rPr>
              <w:t>2,226</w:t>
            </w:r>
          </w:p>
        </w:tc>
        <w:tc>
          <w:tcPr>
            <w:tcW w:w="60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1,639</w:t>
            </w:r>
          </w:p>
        </w:tc>
        <w:tc>
          <w:tcPr>
            <w:tcW w:w="80" w:type="dxa"/>
            <w:vAlign w:val="bottom"/>
            <w:tcBorders>
              <w:left w:val="single" w:sz="8" w:color="E2EEF6"/>
            </w:tcBorders>
            <w:shd w:val="clear" w:color="auto" w:fill="E2EEF6"/>
          </w:tcPr>
          <w:p>
            <w:pPr>
              <w:spacing w:after="0"/>
              <w:rPr>
                <w:sz w:val="22"/>
                <w:szCs w:val="22"/>
                <w:color w:val="auto"/>
              </w:rPr>
            </w:pPr>
          </w:p>
        </w:tc>
        <w:tc>
          <w:tcPr>
            <w:tcW w:w="120" w:type="dxa"/>
            <w:vAlign w:val="bottom"/>
            <w:shd w:val="clear" w:color="auto" w:fill="E2EEF6"/>
          </w:tcPr>
          <w:p>
            <w:pPr>
              <w:spacing w:after="0"/>
              <w:rPr>
                <w:sz w:val="22"/>
                <w:szCs w:val="22"/>
                <w:color w:val="auto"/>
              </w:rPr>
            </w:pPr>
          </w:p>
        </w:tc>
        <w:tc>
          <w:tcPr>
            <w:tcW w:w="380" w:type="dxa"/>
            <w:vAlign w:val="bottom"/>
            <w:shd w:val="clear" w:color="auto" w:fill="E2EEF6"/>
          </w:tcPr>
          <w:p>
            <w:pPr>
              <w:jc w:val="right"/>
              <w:spacing w:after="0"/>
              <w:rPr>
                <w:sz w:val="20"/>
                <w:szCs w:val="20"/>
                <w:color w:val="auto"/>
              </w:rPr>
            </w:pPr>
            <w:r>
              <w:rPr>
                <w:rFonts w:ascii="Arial" w:cs="Arial" w:eastAsia="Arial" w:hAnsi="Arial"/>
                <w:sz w:val="14"/>
                <w:szCs w:val="14"/>
                <w:color w:val="auto"/>
              </w:rPr>
              <w:t>587</w:t>
            </w:r>
          </w:p>
        </w:tc>
        <w:tc>
          <w:tcPr>
            <w:tcW w:w="64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585</w:t>
            </w:r>
          </w:p>
        </w:tc>
        <w:tc>
          <w:tcPr>
            <w:tcW w:w="140" w:type="dxa"/>
            <w:vAlign w:val="bottom"/>
            <w:tcBorders>
              <w:left w:val="single" w:sz="8" w:color="E2EEF6"/>
              <w:right w:val="single" w:sz="8" w:color="E2EEF6"/>
            </w:tcBorders>
            <w:shd w:val="clear" w:color="auto" w:fill="E2EEF6"/>
          </w:tcPr>
          <w:p>
            <w:pPr>
              <w:spacing w:after="0"/>
              <w:rPr>
                <w:sz w:val="22"/>
                <w:szCs w:val="22"/>
                <w:color w:val="auto"/>
              </w:rPr>
            </w:pPr>
          </w:p>
        </w:tc>
        <w:tc>
          <w:tcPr>
            <w:tcW w:w="500" w:type="dxa"/>
            <w:vAlign w:val="bottom"/>
            <w:shd w:val="clear" w:color="auto" w:fill="E2EEF6"/>
          </w:tcPr>
          <w:p>
            <w:pPr>
              <w:jc w:val="right"/>
              <w:spacing w:after="0"/>
              <w:rPr>
                <w:sz w:val="20"/>
                <w:szCs w:val="20"/>
                <w:color w:val="auto"/>
              </w:rPr>
            </w:pPr>
            <w:r>
              <w:rPr>
                <w:rFonts w:ascii="Arial" w:cs="Arial" w:eastAsia="Arial" w:hAnsi="Arial"/>
                <w:sz w:val="14"/>
                <w:szCs w:val="14"/>
                <w:color w:val="auto"/>
              </w:rPr>
              <w:t>1,423</w:t>
            </w:r>
          </w:p>
        </w:tc>
        <w:tc>
          <w:tcPr>
            <w:tcW w:w="80" w:type="dxa"/>
            <w:vAlign w:val="bottom"/>
            <w:tcBorders>
              <w:left w:val="single" w:sz="8" w:color="E2EEF6"/>
            </w:tcBorders>
            <w:shd w:val="clear" w:color="auto" w:fill="E2EEF6"/>
          </w:tcPr>
          <w:p>
            <w:pPr>
              <w:spacing w:after="0"/>
              <w:rPr>
                <w:sz w:val="22"/>
                <w:szCs w:val="22"/>
                <w:color w:val="auto"/>
              </w:rPr>
            </w:pPr>
          </w:p>
        </w:tc>
        <w:tc>
          <w:tcPr>
            <w:tcW w:w="100" w:type="dxa"/>
            <w:vAlign w:val="bottom"/>
            <w:shd w:val="clear" w:color="auto" w:fill="E2EEF6"/>
          </w:tcPr>
          <w:p>
            <w:pPr>
              <w:spacing w:after="0"/>
              <w:rPr>
                <w:sz w:val="22"/>
                <w:szCs w:val="22"/>
                <w:color w:val="auto"/>
              </w:rPr>
            </w:pPr>
          </w:p>
        </w:tc>
        <w:tc>
          <w:tcPr>
            <w:tcW w:w="400" w:type="dxa"/>
            <w:vAlign w:val="bottom"/>
            <w:shd w:val="clear" w:color="auto" w:fill="E2EEF6"/>
          </w:tcPr>
          <w:p>
            <w:pPr>
              <w:jc w:val="right"/>
              <w:spacing w:after="0"/>
              <w:rPr>
                <w:sz w:val="20"/>
                <w:szCs w:val="20"/>
                <w:color w:val="auto"/>
              </w:rPr>
            </w:pPr>
            <w:r>
              <w:rPr>
                <w:rFonts w:ascii="Arial" w:cs="Arial" w:eastAsia="Arial" w:hAnsi="Arial"/>
                <w:sz w:val="14"/>
                <w:szCs w:val="14"/>
                <w:color w:val="auto"/>
              </w:rPr>
              <w:t>(838)</w:t>
            </w:r>
          </w:p>
        </w:tc>
        <w:tc>
          <w:tcPr>
            <w:tcW w:w="60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966</w:t>
            </w:r>
          </w:p>
        </w:tc>
        <w:tc>
          <w:tcPr>
            <w:tcW w:w="80" w:type="dxa"/>
            <w:vAlign w:val="bottom"/>
            <w:tcBorders>
              <w:left w:val="single" w:sz="8" w:color="E2EEF6"/>
            </w:tcBorders>
            <w:shd w:val="clear" w:color="auto" w:fill="E2EEF6"/>
          </w:tcPr>
          <w:p>
            <w:pPr>
              <w:spacing w:after="0"/>
              <w:rPr>
                <w:sz w:val="22"/>
                <w:szCs w:val="22"/>
                <w:color w:val="auto"/>
              </w:rPr>
            </w:pPr>
          </w:p>
        </w:tc>
        <w:tc>
          <w:tcPr>
            <w:tcW w:w="80" w:type="dxa"/>
            <w:vAlign w:val="bottom"/>
            <w:shd w:val="clear" w:color="auto" w:fill="E2EEF6"/>
          </w:tcPr>
          <w:p>
            <w:pPr>
              <w:spacing w:after="0"/>
              <w:rPr>
                <w:sz w:val="22"/>
                <w:szCs w:val="22"/>
                <w:color w:val="auto"/>
              </w:rPr>
            </w:pPr>
          </w:p>
        </w:tc>
        <w:tc>
          <w:tcPr>
            <w:tcW w:w="440" w:type="dxa"/>
            <w:vAlign w:val="bottom"/>
            <w:shd w:val="clear" w:color="auto" w:fill="E2EEF6"/>
          </w:tcPr>
          <w:p>
            <w:pPr>
              <w:jc w:val="right"/>
              <w:spacing w:after="0"/>
              <w:rPr>
                <w:sz w:val="20"/>
                <w:szCs w:val="20"/>
                <w:color w:val="auto"/>
              </w:rPr>
            </w:pPr>
            <w:r>
              <w:rPr>
                <w:rFonts w:ascii="Arial" w:cs="Arial" w:eastAsia="Arial" w:hAnsi="Arial"/>
                <w:sz w:val="14"/>
                <w:szCs w:val="14"/>
                <w:color w:val="auto"/>
              </w:rPr>
              <w:t>967</w:t>
            </w:r>
          </w:p>
        </w:tc>
        <w:tc>
          <w:tcPr>
            <w:tcW w:w="80" w:type="dxa"/>
            <w:vAlign w:val="bottom"/>
            <w:tcBorders>
              <w:left w:val="single" w:sz="8" w:color="E2EEF6"/>
            </w:tcBorders>
            <w:shd w:val="clear" w:color="auto" w:fill="E2EEF6"/>
          </w:tcPr>
          <w:p>
            <w:pPr>
              <w:spacing w:after="0"/>
              <w:rPr>
                <w:sz w:val="22"/>
                <w:szCs w:val="22"/>
                <w:color w:val="auto"/>
              </w:rPr>
            </w:pPr>
          </w:p>
        </w:tc>
        <w:tc>
          <w:tcPr>
            <w:tcW w:w="140" w:type="dxa"/>
            <w:vAlign w:val="bottom"/>
            <w:shd w:val="clear" w:color="auto" w:fill="E2EEF6"/>
          </w:tcPr>
          <w:p>
            <w:pPr>
              <w:spacing w:after="0"/>
              <w:rPr>
                <w:sz w:val="22"/>
                <w:szCs w:val="22"/>
                <w:color w:val="auto"/>
              </w:rPr>
            </w:pPr>
          </w:p>
        </w:tc>
        <w:tc>
          <w:tcPr>
            <w:tcW w:w="380" w:type="dxa"/>
            <w:vAlign w:val="bottom"/>
            <w:shd w:val="clear" w:color="auto" w:fill="E2EEF6"/>
          </w:tcPr>
          <w:p>
            <w:pPr>
              <w:jc w:val="right"/>
              <w:spacing w:after="0"/>
              <w:rPr>
                <w:sz w:val="20"/>
                <w:szCs w:val="20"/>
                <w:color w:val="auto"/>
              </w:rPr>
            </w:pPr>
            <w:r>
              <w:rPr>
                <w:rFonts w:ascii="Arial" w:cs="Arial" w:eastAsia="Arial" w:hAnsi="Arial"/>
                <w:sz w:val="14"/>
                <w:szCs w:val="14"/>
                <w:color w:val="auto"/>
              </w:rPr>
              <w:t>(1)</w:t>
            </w:r>
          </w:p>
        </w:tc>
        <w:tc>
          <w:tcPr>
            <w:tcW w:w="64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3,777</w:t>
            </w:r>
          </w:p>
        </w:tc>
        <w:tc>
          <w:tcPr>
            <w:tcW w:w="64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4,029</w:t>
            </w:r>
          </w:p>
        </w:tc>
        <w:tc>
          <w:tcPr>
            <w:tcW w:w="40" w:type="dxa"/>
            <w:vAlign w:val="bottom"/>
            <w:shd w:val="clear" w:color="auto" w:fill="E2EEF6"/>
          </w:tcPr>
          <w:p>
            <w:pPr>
              <w:spacing w:after="0"/>
              <w:rPr>
                <w:sz w:val="22"/>
                <w:szCs w:val="22"/>
                <w:color w:val="auto"/>
              </w:rPr>
            </w:pPr>
          </w:p>
        </w:tc>
        <w:tc>
          <w:tcPr>
            <w:tcW w:w="540" w:type="dxa"/>
            <w:vAlign w:val="bottom"/>
            <w:gridSpan w:val="2"/>
            <w:shd w:val="clear" w:color="auto" w:fill="E2EEF6"/>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43"/>
        </w:trPr>
        <w:tc>
          <w:tcPr>
            <w:tcW w:w="1860" w:type="dxa"/>
            <w:vAlign w:val="bottom"/>
            <w:gridSpan w:val="2"/>
          </w:tcPr>
          <w:p>
            <w:pPr>
              <w:spacing w:after="0"/>
              <w:rPr>
                <w:sz w:val="20"/>
                <w:szCs w:val="20"/>
                <w:color w:val="auto"/>
              </w:rPr>
            </w:pPr>
            <w:r>
              <w:rPr>
                <w:rFonts w:ascii="Arial" w:cs="Arial" w:eastAsia="Arial" w:hAnsi="Arial"/>
                <w:sz w:val="14"/>
                <w:szCs w:val="14"/>
                <w:color w:val="auto"/>
              </w:rPr>
              <w:t>Other (income) loss</w:t>
            </w: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(279)</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171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(450)</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(272)</w:t>
            </w: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(1,009)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737</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(87)</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(653)</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(853)</w:t>
            </w:r>
          </w:p>
        </w:tc>
        <w:tc>
          <w:tcPr>
            <w:tcW w:w="500" w:type="dxa"/>
            <w:vAlign w:val="bottom"/>
          </w:tcPr>
          <w:p>
            <w:pPr>
              <w:jc w:val="right"/>
              <w:spacing w:after="0"/>
              <w:rPr>
                <w:sz w:val="20"/>
                <w:szCs w:val="20"/>
                <w:color w:val="auto"/>
              </w:rPr>
            </w:pPr>
            <w:r>
              <w:rPr>
                <w:rFonts w:ascii="Arial" w:cs="Arial" w:eastAsia="Arial" w:hAnsi="Arial"/>
                <w:sz w:val="14"/>
                <w:szCs w:val="14"/>
                <w:color w:val="auto"/>
              </w:rPr>
              <w:t>200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840" w:type="dxa"/>
            <w:vAlign w:val="bottom"/>
            <w:shd w:val="clear" w:color="auto" w:fill="E2EEF6"/>
          </w:tcPr>
          <w:p>
            <w:pPr>
              <w:spacing w:after="0"/>
              <w:rPr>
                <w:sz w:val="20"/>
                <w:szCs w:val="20"/>
                <w:color w:val="auto"/>
              </w:rPr>
            </w:pPr>
            <w:r>
              <w:rPr>
                <w:rFonts w:ascii="Arial" w:cs="Arial" w:eastAsia="Arial" w:hAnsi="Arial"/>
                <w:sz w:val="14"/>
                <w:szCs w:val="14"/>
                <w:color w:val="auto"/>
              </w:rPr>
              <w:t>Pre-tax income</w:t>
            </w:r>
          </w:p>
        </w:tc>
        <w:tc>
          <w:tcPr>
            <w:tcW w:w="140" w:type="dxa"/>
            <w:vAlign w:val="bottom"/>
            <w:tcBorders>
              <w:right w:val="single" w:sz="8" w:color="E2EEF6"/>
            </w:tcBorders>
            <w:shd w:val="clear" w:color="auto" w:fill="E2EEF6"/>
          </w:tcPr>
          <w:p>
            <w:pPr>
              <w:spacing w:after="0"/>
              <w:rPr>
                <w:sz w:val="21"/>
                <w:szCs w:val="21"/>
                <w:color w:val="auto"/>
              </w:rPr>
            </w:pPr>
          </w:p>
        </w:tc>
        <w:tc>
          <w:tcPr>
            <w:tcW w:w="440" w:type="dxa"/>
            <w:vAlign w:val="bottom"/>
            <w:shd w:val="clear" w:color="auto" w:fill="E2EEF6"/>
          </w:tcPr>
          <w:p>
            <w:pPr>
              <w:jc w:val="right"/>
              <w:spacing w:after="0"/>
              <w:rPr>
                <w:sz w:val="20"/>
                <w:szCs w:val="20"/>
                <w:color w:val="auto"/>
              </w:rPr>
            </w:pPr>
            <w:r>
              <w:rPr>
                <w:rFonts w:ascii="Arial" w:cs="Arial" w:eastAsia="Arial" w:hAnsi="Arial"/>
                <w:sz w:val="14"/>
                <w:szCs w:val="14"/>
                <w:color w:val="auto"/>
              </w:rPr>
              <w:t>2,626</w:t>
            </w:r>
          </w:p>
        </w:tc>
        <w:tc>
          <w:tcPr>
            <w:tcW w:w="80" w:type="dxa"/>
            <w:vAlign w:val="bottom"/>
            <w:tcBorders>
              <w:left w:val="single" w:sz="8" w:color="E2EEF6"/>
            </w:tcBorders>
            <w:shd w:val="clear" w:color="auto" w:fill="E2EEF6"/>
          </w:tcPr>
          <w:p>
            <w:pPr>
              <w:spacing w:after="0"/>
              <w:rPr>
                <w:sz w:val="21"/>
                <w:szCs w:val="21"/>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(787)</w:t>
            </w:r>
          </w:p>
        </w:tc>
        <w:tc>
          <w:tcPr>
            <w:tcW w:w="80" w:type="dxa"/>
            <w:vAlign w:val="bottom"/>
            <w:tcBorders>
              <w:left w:val="single" w:sz="8" w:color="E2EEF6"/>
            </w:tcBorders>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380" w:type="dxa"/>
            <w:vAlign w:val="bottom"/>
            <w:shd w:val="clear" w:color="auto" w:fill="E2EEF6"/>
          </w:tcPr>
          <w:p>
            <w:pPr>
              <w:jc w:val="right"/>
              <w:spacing w:after="0"/>
              <w:rPr>
                <w:sz w:val="20"/>
                <w:szCs w:val="20"/>
                <w:color w:val="auto"/>
              </w:rPr>
            </w:pPr>
            <w:r>
              <w:rPr>
                <w:rFonts w:ascii="Arial" w:cs="Arial" w:eastAsia="Arial" w:hAnsi="Arial"/>
                <w:sz w:val="14"/>
                <w:szCs w:val="14"/>
                <w:color w:val="auto"/>
              </w:rPr>
              <w:t>3,413</w:t>
            </w:r>
          </w:p>
        </w:tc>
        <w:tc>
          <w:tcPr>
            <w:tcW w:w="64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19,490</w:t>
            </w:r>
          </w:p>
        </w:tc>
        <w:tc>
          <w:tcPr>
            <w:tcW w:w="140" w:type="dxa"/>
            <w:vAlign w:val="bottom"/>
            <w:tcBorders>
              <w:left w:val="single" w:sz="8" w:color="E2EEF6"/>
              <w:right w:val="single" w:sz="8" w:color="E2EEF6"/>
            </w:tcBorders>
            <w:shd w:val="clear" w:color="auto" w:fill="E2EEF6"/>
          </w:tcPr>
          <w:p>
            <w:pPr>
              <w:spacing w:after="0"/>
              <w:rPr>
                <w:sz w:val="21"/>
                <w:szCs w:val="21"/>
                <w:color w:val="auto"/>
              </w:rPr>
            </w:pPr>
          </w:p>
        </w:tc>
        <w:tc>
          <w:tcPr>
            <w:tcW w:w="500" w:type="dxa"/>
            <w:vAlign w:val="bottom"/>
            <w:shd w:val="clear" w:color="auto" w:fill="E2EEF6"/>
          </w:tcPr>
          <w:p>
            <w:pPr>
              <w:jc w:val="right"/>
              <w:spacing w:after="0"/>
              <w:rPr>
                <w:sz w:val="20"/>
                <w:szCs w:val="20"/>
                <w:color w:val="auto"/>
              </w:rPr>
            </w:pPr>
            <w:r>
              <w:rPr>
                <w:rFonts w:ascii="Arial" w:cs="Arial" w:eastAsia="Arial" w:hAnsi="Arial"/>
                <w:sz w:val="14"/>
                <w:szCs w:val="14"/>
                <w:color w:val="auto"/>
              </w:rPr>
              <w:t>11,854</w:t>
            </w:r>
          </w:p>
        </w:tc>
        <w:tc>
          <w:tcPr>
            <w:tcW w:w="80" w:type="dxa"/>
            <w:vAlign w:val="bottom"/>
            <w:tcBorders>
              <w:left w:val="single" w:sz="8" w:color="E2EEF6"/>
            </w:tcBorders>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400" w:type="dxa"/>
            <w:vAlign w:val="bottom"/>
            <w:shd w:val="clear" w:color="auto" w:fill="E2EEF6"/>
          </w:tcPr>
          <w:p>
            <w:pPr>
              <w:jc w:val="right"/>
              <w:spacing w:after="0"/>
              <w:rPr>
                <w:sz w:val="20"/>
                <w:szCs w:val="20"/>
                <w:color w:val="auto"/>
              </w:rPr>
            </w:pPr>
            <w:r>
              <w:rPr>
                <w:rFonts w:ascii="Arial" w:cs="Arial" w:eastAsia="Arial" w:hAnsi="Arial"/>
                <w:sz w:val="14"/>
                <w:szCs w:val="14"/>
                <w:color w:val="auto"/>
              </w:rPr>
              <w:t>7,636</w:t>
            </w:r>
          </w:p>
        </w:tc>
        <w:tc>
          <w:tcPr>
            <w:tcW w:w="60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2,648</w:t>
            </w:r>
          </w:p>
        </w:tc>
        <w:tc>
          <w:tcPr>
            <w:tcW w:w="80" w:type="dxa"/>
            <w:vAlign w:val="bottom"/>
            <w:tcBorders>
              <w:left w:val="single" w:sz="8" w:color="E2EEF6"/>
            </w:tcBorders>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440" w:type="dxa"/>
            <w:vAlign w:val="bottom"/>
            <w:shd w:val="clear" w:color="auto" w:fill="E2EEF6"/>
          </w:tcPr>
          <w:p>
            <w:pPr>
              <w:jc w:val="right"/>
              <w:spacing w:after="0"/>
              <w:rPr>
                <w:sz w:val="20"/>
                <w:szCs w:val="20"/>
                <w:color w:val="auto"/>
              </w:rPr>
            </w:pPr>
            <w:r>
              <w:rPr>
                <w:rFonts w:ascii="Arial" w:cs="Arial" w:eastAsia="Arial" w:hAnsi="Arial"/>
                <w:sz w:val="14"/>
                <w:szCs w:val="14"/>
                <w:color w:val="auto"/>
              </w:rPr>
              <w:t>124</w:t>
            </w:r>
          </w:p>
        </w:tc>
        <w:tc>
          <w:tcPr>
            <w:tcW w:w="80" w:type="dxa"/>
            <w:vAlign w:val="bottom"/>
            <w:tcBorders>
              <w:left w:val="single" w:sz="8" w:color="E2EEF6"/>
            </w:tcBorders>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380" w:type="dxa"/>
            <w:vAlign w:val="bottom"/>
            <w:shd w:val="clear" w:color="auto" w:fill="E2EEF6"/>
          </w:tcPr>
          <w:p>
            <w:pPr>
              <w:jc w:val="right"/>
              <w:spacing w:after="0"/>
              <w:rPr>
                <w:sz w:val="20"/>
                <w:szCs w:val="20"/>
                <w:color w:val="auto"/>
              </w:rPr>
            </w:pPr>
            <w:r>
              <w:rPr>
                <w:rFonts w:ascii="Arial" w:cs="Arial" w:eastAsia="Arial" w:hAnsi="Arial"/>
                <w:sz w:val="14"/>
                <w:szCs w:val="14"/>
                <w:color w:val="auto"/>
              </w:rPr>
              <w:t>2,524</w:t>
            </w:r>
          </w:p>
        </w:tc>
        <w:tc>
          <w:tcPr>
            <w:tcW w:w="64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24,764</w:t>
            </w:r>
          </w:p>
        </w:tc>
        <w:tc>
          <w:tcPr>
            <w:tcW w:w="64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11,191</w:t>
            </w:r>
          </w:p>
        </w:tc>
        <w:tc>
          <w:tcPr>
            <w:tcW w:w="40" w:type="dxa"/>
            <w:vAlign w:val="bottom"/>
            <w:shd w:val="clear" w:color="auto" w:fill="E2EEF6"/>
          </w:tcPr>
          <w:p>
            <w:pPr>
              <w:spacing w:after="0"/>
              <w:rPr>
                <w:sz w:val="21"/>
                <w:szCs w:val="21"/>
                <w:color w:val="auto"/>
              </w:rPr>
            </w:pPr>
          </w:p>
        </w:tc>
        <w:tc>
          <w:tcPr>
            <w:tcW w:w="500" w:type="dxa"/>
            <w:vAlign w:val="bottom"/>
            <w:shd w:val="clear" w:color="auto" w:fill="E2EEF6"/>
          </w:tcPr>
          <w:p>
            <w:pPr>
              <w:jc w:val="right"/>
              <w:spacing w:after="0"/>
              <w:rPr>
                <w:sz w:val="20"/>
                <w:szCs w:val="20"/>
                <w:color w:val="auto"/>
              </w:rPr>
            </w:pPr>
            <w:r>
              <w:rPr>
                <w:rFonts w:ascii="Arial" w:cs="Arial" w:eastAsia="Arial" w:hAnsi="Arial"/>
                <w:sz w:val="14"/>
                <w:szCs w:val="14"/>
                <w:color w:val="auto"/>
              </w:rPr>
              <w:t>13,573</w:t>
            </w:r>
          </w:p>
        </w:tc>
        <w:tc>
          <w:tcPr>
            <w:tcW w:w="4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gridSpan w:val="2"/>
          </w:tcPr>
          <w:p>
            <w:pPr>
              <w:spacing w:after="0"/>
              <w:rPr>
                <w:sz w:val="20"/>
                <w:szCs w:val="20"/>
                <w:color w:val="auto"/>
              </w:rPr>
            </w:pPr>
            <w:r>
              <w:rPr>
                <w:rFonts w:ascii="Arial" w:cs="Arial" w:eastAsia="Arial" w:hAnsi="Arial"/>
                <w:sz w:val="14"/>
                <w:szCs w:val="14"/>
                <w:color w:val="auto"/>
              </w:rPr>
              <w:t>Taxes</w:t>
            </w: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1,351</w:t>
            </w: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1,143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208</w:t>
            </w: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7,426</w:t>
            </w: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4,546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2,880</w:t>
            </w: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975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(1,600)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2,575</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9,752</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4,089</w:t>
            </w:r>
          </w:p>
        </w:tc>
        <w:tc>
          <w:tcPr>
            <w:tcW w:w="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5,663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6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840" w:type="dxa"/>
            <w:vAlign w:val="bottom"/>
            <w:shd w:val="clear" w:color="auto" w:fill="E2EEF6"/>
          </w:tcPr>
          <w:p>
            <w:pPr>
              <w:spacing w:after="0"/>
              <w:rPr>
                <w:sz w:val="20"/>
                <w:szCs w:val="20"/>
                <w:color w:val="auto"/>
              </w:rPr>
            </w:pPr>
            <w:r>
              <w:rPr>
                <w:rFonts w:ascii="Arial" w:cs="Arial" w:eastAsia="Arial" w:hAnsi="Arial"/>
                <w:sz w:val="14"/>
                <w:szCs w:val="14"/>
                <w:color w:val="auto"/>
              </w:rPr>
              <w:t>Net income</w:t>
            </w:r>
          </w:p>
        </w:tc>
        <w:tc>
          <w:tcPr>
            <w:tcW w:w="14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2EEF6"/>
          </w:tcPr>
          <w:p>
            <w:pPr>
              <w:jc w:val="right"/>
              <w:spacing w:after="0"/>
              <w:rPr>
                <w:sz w:val="20"/>
                <w:szCs w:val="20"/>
                <w:color w:val="auto"/>
              </w:rPr>
            </w:pPr>
            <w:r>
              <w:rPr>
                <w:rFonts w:ascii="Arial" w:cs="Arial" w:eastAsia="Arial" w:hAnsi="Arial"/>
                <w:sz w:val="14"/>
                <w:szCs w:val="14"/>
                <w:color w:val="auto"/>
              </w:rPr>
              <w:t>1,275</w:t>
            </w:r>
          </w:p>
        </w:tc>
        <w:tc>
          <w:tcPr>
            <w:tcW w:w="800" w:type="dxa"/>
            <w:vAlign w:val="bottom"/>
            <w:tcBorders>
              <w:left w:val="single" w:sz="8" w:color="E2EEF6"/>
            </w:tcBorders>
            <w:gridSpan w:val="4"/>
            <w:shd w:val="clear" w:color="auto" w:fill="E2EEF6"/>
          </w:tcPr>
          <w:p>
            <w:pPr>
              <w:jc w:val="right"/>
              <w:spacing w:after="0"/>
              <w:rPr>
                <w:sz w:val="20"/>
                <w:szCs w:val="20"/>
                <w:color w:val="auto"/>
              </w:rPr>
            </w:pPr>
            <w:r>
              <w:rPr>
                <w:rFonts w:ascii="Arial" w:cs="Arial" w:eastAsia="Arial" w:hAnsi="Arial"/>
                <w:sz w:val="14"/>
                <w:szCs w:val="14"/>
                <w:color w:val="auto"/>
              </w:rPr>
              <w:t>$ (1,930) $</w:t>
            </w:r>
          </w:p>
        </w:tc>
        <w:tc>
          <w:tcPr>
            <w:tcW w:w="380" w:type="dxa"/>
            <w:vAlign w:val="bottom"/>
            <w:shd w:val="clear" w:color="auto" w:fill="E2EEF6"/>
          </w:tcPr>
          <w:p>
            <w:pPr>
              <w:jc w:val="right"/>
              <w:spacing w:after="0"/>
              <w:rPr>
                <w:sz w:val="20"/>
                <w:szCs w:val="20"/>
                <w:color w:val="auto"/>
              </w:rPr>
            </w:pPr>
            <w:r>
              <w:rPr>
                <w:rFonts w:ascii="Arial" w:cs="Arial" w:eastAsia="Arial" w:hAnsi="Arial"/>
                <w:sz w:val="14"/>
                <w:szCs w:val="14"/>
                <w:color w:val="auto"/>
              </w:rPr>
              <w:t>3,205</w:t>
            </w:r>
          </w:p>
        </w:tc>
        <w:tc>
          <w:tcPr>
            <w:tcW w:w="64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$ 12,064</w:t>
            </w:r>
          </w:p>
        </w:tc>
        <w:tc>
          <w:tcPr>
            <w:tcW w:w="140" w:type="dxa"/>
            <w:vAlign w:val="bottom"/>
            <w:tcBorders>
              <w:left w:val="single" w:sz="8" w:color="E2EEF6"/>
              <w:right w:val="single" w:sz="8" w:color="E2EEF6"/>
            </w:tcBorders>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E2EEF6"/>
          </w:tcPr>
          <w:p>
            <w:pPr>
              <w:jc w:val="right"/>
              <w:spacing w:after="0"/>
              <w:rPr>
                <w:sz w:val="20"/>
                <w:szCs w:val="20"/>
                <w:color w:val="auto"/>
              </w:rPr>
            </w:pPr>
            <w:r>
              <w:rPr>
                <w:rFonts w:ascii="Arial" w:cs="Arial" w:eastAsia="Arial" w:hAnsi="Arial"/>
                <w:sz w:val="14"/>
                <w:szCs w:val="14"/>
                <w:color w:val="auto"/>
              </w:rPr>
              <w:t>7,308</w:t>
            </w:r>
          </w:p>
        </w:tc>
        <w:tc>
          <w:tcPr>
            <w:tcW w:w="18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E2EEF6"/>
          </w:tcPr>
          <w:p>
            <w:pPr>
              <w:jc w:val="right"/>
              <w:spacing w:after="0"/>
              <w:rPr>
                <w:sz w:val="20"/>
                <w:szCs w:val="20"/>
                <w:color w:val="auto"/>
              </w:rPr>
            </w:pPr>
            <w:r>
              <w:rPr>
                <w:rFonts w:ascii="Arial" w:cs="Arial" w:eastAsia="Arial" w:hAnsi="Arial"/>
                <w:sz w:val="14"/>
                <w:szCs w:val="14"/>
                <w:color w:val="auto"/>
              </w:rPr>
              <w:t>4,756</w:t>
            </w:r>
          </w:p>
        </w:tc>
        <w:tc>
          <w:tcPr>
            <w:tcW w:w="60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  1,673</w:t>
            </w:r>
          </w:p>
        </w:tc>
        <w:tc>
          <w:tcPr>
            <w:tcW w:w="160" w:type="dxa"/>
            <w:vAlign w:val="bottom"/>
            <w:tcBorders>
              <w:left w:val="single" w:sz="8" w:color="E2EEF6"/>
            </w:tcBorders>
            <w:gridSpan w:val="2"/>
            <w:shd w:val="clear" w:color="auto" w:fill="E2EEF6"/>
          </w:tcPr>
          <w:p>
            <w:pPr>
              <w:jc w:val="right"/>
              <w:ind w:right="20"/>
              <w:spacing w:after="0"/>
              <w:rPr>
                <w:sz w:val="20"/>
                <w:szCs w:val="20"/>
                <w:color w:val="auto"/>
              </w:rPr>
            </w:pPr>
            <w:r>
              <w:rPr>
                <w:rFonts w:ascii="Arial" w:cs="Arial" w:eastAsia="Arial" w:hAnsi="Arial"/>
                <w:sz w:val="14"/>
                <w:szCs w:val="14"/>
                <w:color w:val="auto"/>
              </w:rPr>
              <w:t>$</w:t>
            </w:r>
          </w:p>
        </w:tc>
        <w:tc>
          <w:tcPr>
            <w:tcW w:w="440" w:type="dxa"/>
            <w:vAlign w:val="bottom"/>
            <w:shd w:val="clear" w:color="auto" w:fill="E2EEF6"/>
          </w:tcPr>
          <w:p>
            <w:pPr>
              <w:jc w:val="right"/>
              <w:spacing w:after="0"/>
              <w:rPr>
                <w:sz w:val="20"/>
                <w:szCs w:val="20"/>
                <w:color w:val="auto"/>
              </w:rPr>
            </w:pPr>
            <w:r>
              <w:rPr>
                <w:rFonts w:ascii="Arial" w:cs="Arial" w:eastAsia="Arial" w:hAnsi="Arial"/>
                <w:sz w:val="14"/>
                <w:szCs w:val="14"/>
                <w:color w:val="auto"/>
              </w:rPr>
              <w:t>1,724</w:t>
            </w:r>
          </w:p>
        </w:tc>
        <w:tc>
          <w:tcPr>
            <w:tcW w:w="22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E2EEF6"/>
          </w:tcPr>
          <w:p>
            <w:pPr>
              <w:jc w:val="right"/>
              <w:spacing w:after="0"/>
              <w:rPr>
                <w:sz w:val="20"/>
                <w:szCs w:val="20"/>
                <w:color w:val="auto"/>
              </w:rPr>
            </w:pPr>
            <w:r>
              <w:rPr>
                <w:rFonts w:ascii="Arial" w:cs="Arial" w:eastAsia="Arial" w:hAnsi="Arial"/>
                <w:sz w:val="14"/>
                <w:szCs w:val="14"/>
                <w:color w:val="auto"/>
              </w:rPr>
              <w:t>(51) $ 15,012</w:t>
            </w:r>
          </w:p>
        </w:tc>
        <w:tc>
          <w:tcPr>
            <w:tcW w:w="64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  7,102</w:t>
            </w:r>
          </w:p>
        </w:tc>
        <w:tc>
          <w:tcPr>
            <w:tcW w:w="40" w:type="dxa"/>
            <w:vAlign w:val="bottom"/>
            <w:shd w:val="clear" w:color="auto" w:fill="E2EEF6"/>
          </w:tcPr>
          <w:p>
            <w:pPr>
              <w:spacing w:after="0"/>
              <w:rPr>
                <w:sz w:val="22"/>
                <w:szCs w:val="22"/>
                <w:color w:val="auto"/>
              </w:rPr>
            </w:pPr>
          </w:p>
        </w:tc>
        <w:tc>
          <w:tcPr>
            <w:tcW w:w="500" w:type="dxa"/>
            <w:vAlign w:val="bottom"/>
            <w:shd w:val="clear" w:color="auto" w:fill="E2EEF6"/>
          </w:tcPr>
          <w:p>
            <w:pPr>
              <w:jc w:val="right"/>
              <w:spacing w:after="0"/>
              <w:rPr>
                <w:sz w:val="20"/>
                <w:szCs w:val="20"/>
                <w:color w:val="auto"/>
              </w:rPr>
            </w:pPr>
            <w:r>
              <w:rPr>
                <w:rFonts w:ascii="Arial" w:cs="Arial" w:eastAsia="Arial" w:hAnsi="Arial"/>
                <w:sz w:val="14"/>
                <w:szCs w:val="14"/>
                <w:color w:val="auto"/>
                <w:w w:val="98"/>
              </w:rPr>
              <w:t>$ 7,910</w:t>
            </w:r>
          </w:p>
        </w:tc>
        <w:tc>
          <w:tcPr>
            <w:tcW w:w="40" w:type="dxa"/>
            <w:vAlign w:val="bottom"/>
            <w:shd w:val="clear" w:color="auto" w:fill="E2EEF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E2EEF6"/>
            </w:tcBorders>
            <w:shd w:val="clear" w:color="auto" w:fill="E2EEF6"/>
          </w:tcPr>
          <w:p>
            <w:pPr>
              <w:spacing w:after="0" w:line="20" w:lineRule="exact"/>
              <w:rPr>
                <w:sz w:val="1"/>
                <w:szCs w:val="1"/>
                <w:color w:val="auto"/>
              </w:rPr>
            </w:pPr>
          </w:p>
        </w:tc>
        <w:tc>
          <w:tcPr>
            <w:tcW w:w="140" w:type="dxa"/>
            <w:vAlign w:val="bottom"/>
            <w:tcBorders>
              <w:top w:val="single" w:sz="8" w:color="E2EEF6"/>
              <w:right w:val="single" w:sz="8" w:color="auto"/>
            </w:tcBorders>
            <w:shd w:val="clear" w:color="auto" w:fill="E2EEF6"/>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2EEF6"/>
              <w:left w:val="single" w:sz="8" w:color="E2EEF6"/>
            </w:tcBorders>
            <w:shd w:val="clear" w:color="auto" w:fill="E2EEF6"/>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2EEF6"/>
              <w:left w:val="single" w:sz="8" w:color="E2EEF6"/>
            </w:tcBorders>
            <w:shd w:val="clear" w:color="auto" w:fill="E2EEF6"/>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2EEF6"/>
              <w:left w:val="single" w:sz="8" w:color="E2EEF6"/>
            </w:tcBorders>
            <w:shd w:val="clear" w:color="auto" w:fill="E2EEF6"/>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2EEF6"/>
              <w:left w:val="single" w:sz="8" w:color="E2EEF6"/>
              <w:right w:val="single" w:sz="8" w:color="auto"/>
            </w:tcBorders>
            <w:shd w:val="clear" w:color="auto" w:fill="E2EEF6"/>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2EEF6"/>
              <w:left w:val="single" w:sz="8" w:color="E2EEF6"/>
            </w:tcBorders>
            <w:shd w:val="clear" w:color="auto" w:fill="E2EEF6"/>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2EEF6"/>
              <w:left w:val="single" w:sz="8" w:color="E2EEF6"/>
            </w:tcBorders>
            <w:shd w:val="clear" w:color="auto" w:fill="E2EEF6"/>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2EEF6"/>
              <w:left w:val="single" w:sz="8" w:color="E2EEF6"/>
            </w:tcBorders>
            <w:shd w:val="clear" w:color="auto" w:fill="E2EEF6"/>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2EEF6"/>
              <w:left w:val="single" w:sz="8" w:color="E2EEF6"/>
            </w:tcBorders>
            <w:shd w:val="clear" w:color="auto" w:fill="E2EEF6"/>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2EEF6"/>
              <w:left w:val="single" w:sz="8" w:color="E2EEF6"/>
            </w:tcBorders>
            <w:shd w:val="clear" w:color="auto" w:fill="E2EEF6"/>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2EEF6"/>
              <w:left w:val="single" w:sz="8" w:color="E2EEF6"/>
            </w:tcBorders>
            <w:shd w:val="clear" w:color="auto" w:fill="E2EEF6"/>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E2EEF6"/>
            </w:tcBorders>
            <w:shd w:val="clear" w:color="auto" w:fill="E2EEF6"/>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E2EEF6"/>
            </w:tcBorders>
            <w:shd w:val="clear" w:color="auto" w:fill="E2EE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6153785</wp:posOffset>
            </wp:positionH>
            <wp:positionV relativeFrom="paragraph">
              <wp:posOffset>-1774825</wp:posOffset>
            </wp:positionV>
            <wp:extent cx="342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-1774825</wp:posOffset>
            </wp:positionV>
            <wp:extent cx="342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6153785</wp:posOffset>
            </wp:positionH>
            <wp:positionV relativeFrom="paragraph">
              <wp:posOffset>-1388745</wp:posOffset>
            </wp:positionV>
            <wp:extent cx="342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-1388745</wp:posOffset>
            </wp:positionV>
            <wp:extent cx="342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6153785</wp:posOffset>
            </wp:positionH>
            <wp:positionV relativeFrom="paragraph">
              <wp:posOffset>-1062990</wp:posOffset>
            </wp:positionV>
            <wp:extent cx="342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-1062990</wp:posOffset>
            </wp:positionV>
            <wp:extent cx="342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6153785</wp:posOffset>
            </wp:positionH>
            <wp:positionV relativeFrom="paragraph">
              <wp:posOffset>-676910</wp:posOffset>
            </wp:positionV>
            <wp:extent cx="342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-676910</wp:posOffset>
            </wp:positionV>
            <wp:extent cx="342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6153785</wp:posOffset>
            </wp:positionH>
            <wp:positionV relativeFrom="paragraph">
              <wp:posOffset>-351155</wp:posOffset>
            </wp:positionV>
            <wp:extent cx="342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-351155</wp:posOffset>
            </wp:positionV>
            <wp:extent cx="342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6153785</wp:posOffset>
            </wp:positionH>
            <wp:positionV relativeFrom="paragraph">
              <wp:posOffset>-25400</wp:posOffset>
            </wp:positionV>
            <wp:extent cx="3429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2603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-25400</wp:posOffset>
            </wp:positionV>
            <wp:extent cx="3429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pacing w:after="0" w:line="2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Overall sales increased $17.3 million, or 6%, due to price increases from the pass through to customers of raw material price changes of $11.4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new market share and volume gains of $4.6 million and favorable foreign currency exchange of $1.3 million. Sales increased in the Domestic Ball and Roller Segment due to price increases related to the pass through to customers of raw material price changes of $5.5 million and new market share and volume gains of $2.2 million. The increases in the NN Europe Segment were due to the pass through to customers of raw material price changes of $4.4 million and favorable foreign currency exchange of $1.3 million offset by lower volume of $2.2 million. Sales at the Plastic and Rubber Components Segment increased $4.7 million due to market share gains and volume gains from existing business and $1.5 million due to price increases in the second half of 2005.</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Cost of Products Sold (exclusive of depreciation reported separately below)</w:t>
      </w:r>
      <w:r>
        <w:rPr>
          <w:rFonts w:ascii="Arial" w:cs="Arial" w:eastAsia="Arial" w:hAnsi="Arial"/>
          <w:sz w:val="18"/>
          <w:szCs w:val="18"/>
          <w:color w:val="auto"/>
        </w:rPr>
        <w:t>. Cost of Products Sold increased by $8.3 million, or 3%, due to the sales volume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offset by improvements in manufacturing efficiency. The cost reductions from the Level 3 program (the Company’s cost reduction and quality improvement initiative) and other cost reduction projects account for this difference. The increase in cost of goods sold in the Domestic Ball and Roller Segment is due to higher material cost, labor inflation, transport and energy inflation of $4.8 million and higher volume of $0.7 million, offset by Level 3 and other cost reduction initiatives of $0.9 million. The increase in the NN Europe Segment is due to higher material costs of $4.8 million and unfavorable foreign currency exchange of $1.2 million, offset by reduced variable costs due to lower volume of $1.7 million, and Level 3, savings from Eltmann restructuring, and other cost reduction initiatives of $4.8 million. The increase in the Plastic and Rubber Components Segment is due to $2.7 million in raw material increases and $3.2 million in higher variable costs due to volume, partially offset by decreases of $1.7 million due to savings from Level 3 and other cost reduction initiatives.</w:t>
      </w: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decreased by $0.7 million, or 2%. Overall SG&amp;A cost are down</w:t>
      </w:r>
      <w:r>
        <w:rPr>
          <w:rFonts w:ascii="Arial" w:cs="Arial" w:eastAsia="Arial" w:hAnsi="Arial"/>
          <w:sz w:val="18"/>
          <w:szCs w:val="18"/>
          <w:i w:val="1"/>
          <w:iCs w:val="1"/>
          <w:color w:val="auto"/>
        </w:rPr>
        <w:t xml:space="preserve"> </w:t>
      </w:r>
      <w:r>
        <w:rPr>
          <w:rFonts w:ascii="Arial" w:cs="Arial" w:eastAsia="Arial" w:hAnsi="Arial"/>
          <w:sz w:val="18"/>
          <w:szCs w:val="18"/>
          <w:color w:val="auto"/>
        </w:rPr>
        <w:t>due to lower spending on Sarbanes-Oxley cost (SOX 404), severance cost, legal, consulting and computer maintenance cost, partially offset by an increase in the Asia startup costs. The Domestic Ball and Roller Segment’s costs were up due to higher startup cost in Asia of $0.6 million, the impact of a reserve for potentially uncollectible receivables of Delphi Corporation due to bankruptcy filing of $0.2 million, and foreign exchange transaction losses of $0.3 million, partially offset by savings on SOX 404 cost of $0.6 million. The NN Europe Segment’s costs are down due to reductions in consulting costs of $0.4 million and computer maintenance cost of $0.4 million. The costs for the Plastic and Rubber Components Segment were down due to severance costs spent in 2004 which were not incurred in 2005.</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Overall depreciation increased $0.2 million, or 1%, due primarily to higher depreciation cost resulting from the investment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fixed assets in Slovakia in late 2004 and 2005.</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(Gain) loss on disposal of assets. </w:t>
      </w:r>
      <w:r>
        <w:rPr>
          <w:rFonts w:ascii="Arial" w:cs="Arial" w:eastAsia="Arial" w:hAnsi="Arial"/>
          <w:sz w:val="18"/>
          <w:szCs w:val="18"/>
          <w:color w:val="auto"/>
        </w:rPr>
        <w:t>In 2005, the NN Europe segment had a gain of $0.4 million principally from the sale of excess land at our Veenendaal</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facility. In 2004, the Domestic Ball and Roller Segment had a loss of $0.8 million related to the sale of the idle Walterboro, South Carolina land and building assets.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Restructuring and impairment costs. </w:t>
      </w:r>
      <w:r>
        <w:rPr>
          <w:rFonts w:ascii="Arial" w:cs="Arial" w:eastAsia="Arial" w:hAnsi="Arial"/>
          <w:sz w:val="18"/>
          <w:szCs w:val="18"/>
          <w:color w:val="auto"/>
        </w:rPr>
        <w:t>In 2004, the NN Europe Segment incurred $2.3 million of restructuring costs related to severance cost for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83 employees at our Eltmann, Germany ball production facility. In 2005, we determined that a portion of the Eltmann restructuring charges would not be incurred as expected, creating a benefit of $0.3 million.</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due to a reduction of debt of our NN Europe Segment of approximately $16.4 million dollars. This reduction was</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increased interest cost in our Ball and Roller Segment due to higher borrowings in addition to increased interest rates on our variable-rate debt.</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increased $7.9 million or 111% in 2005 compared with 2004 due primarily to higher revenue resulting from price increases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pass through to customers of raw material price changes, growth with existing customers and new customers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2004 Compared to the Year ended December 31, 2003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 (in thousands)</w:t>
      </w:r>
    </w:p>
    <w:p>
      <w:pPr>
        <w:spacing w:after="0" w:line="292" w:lineRule="exact"/>
        <w:rPr>
          <w:sz w:val="20"/>
          <w:szCs w:val="20"/>
          <w:color w:val="auto"/>
        </w:rPr>
      </w:pPr>
    </w:p>
    <w:tbl>
      <w:tblPr>
        <w:tblLayout w:type="fixed"/>
        <w:tblInd w:w="1440" w:type="dxa"/>
        <w:tblCellMar>
          <w:top w:w="0" w:type="dxa"/>
          <w:left w:w="0" w:type="dxa"/>
          <w:bottom w:w="0" w:type="dxa"/>
          <w:right w:w="0" w:type="dxa"/>
        </w:tblCellMar>
      </w:tblPr>
      <w:tr>
        <w:trPr>
          <w:trHeight w:val="176"/>
        </w:trPr>
        <w:tc>
          <w:tcPr>
            <w:tcW w:w="1520" w:type="dxa"/>
            <w:vAlign w:val="bottom"/>
          </w:tcPr>
          <w:p>
            <w:pPr>
              <w:spacing w:after="0"/>
              <w:rPr>
                <w:sz w:val="15"/>
                <w:szCs w:val="15"/>
                <w:color w:val="auto"/>
              </w:rPr>
            </w:pPr>
          </w:p>
        </w:tc>
        <w:tc>
          <w:tcPr>
            <w:tcW w:w="1680" w:type="dxa"/>
            <w:vAlign w:val="bottom"/>
            <w:gridSpan w:val="7"/>
          </w:tcPr>
          <w:p>
            <w:pPr>
              <w:jc w:val="center"/>
              <w:ind w:right="80"/>
              <w:spacing w:after="0"/>
              <w:rPr>
                <w:sz w:val="20"/>
                <w:szCs w:val="20"/>
                <w:color w:val="auto"/>
              </w:rPr>
            </w:pPr>
            <w:r>
              <w:rPr>
                <w:rFonts w:ascii="Arial" w:cs="Arial" w:eastAsia="Arial" w:hAnsi="Arial"/>
                <w:sz w:val="14"/>
                <w:szCs w:val="14"/>
                <w:color w:val="auto"/>
                <w:w w:val="96"/>
              </w:rPr>
              <w:t>Domestic Ball and Roller</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7"/>
          </w:tcPr>
          <w:p>
            <w:pPr>
              <w:jc w:val="right"/>
              <w:ind w:right="228"/>
              <w:spacing w:after="0"/>
              <w:rPr>
                <w:sz w:val="20"/>
                <w:szCs w:val="20"/>
                <w:color w:val="auto"/>
              </w:rPr>
            </w:pPr>
            <w:r>
              <w:rPr>
                <w:rFonts w:ascii="Arial" w:cs="Arial" w:eastAsia="Arial" w:hAnsi="Arial"/>
                <w:sz w:val="14"/>
                <w:szCs w:val="14"/>
                <w:color w:val="auto"/>
              </w:rPr>
              <w:t>Plastic and Rubber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1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4"/>
          </w:tcPr>
          <w:p>
            <w:pPr>
              <w:jc w:val="center"/>
              <w:spacing w:after="0"/>
              <w:rPr>
                <w:sz w:val="20"/>
                <w:szCs w:val="20"/>
                <w:color w:val="auto"/>
              </w:rPr>
            </w:pPr>
            <w:r>
              <w:rPr>
                <w:rFonts w:ascii="Arial" w:cs="Arial" w:eastAsia="Arial" w:hAnsi="Arial"/>
                <w:sz w:val="14"/>
                <w:szCs w:val="14"/>
                <w:color w:val="auto"/>
                <w:w w:val="89"/>
              </w:rPr>
              <w:t>Segment</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7"/>
          </w:tcPr>
          <w:p>
            <w:pPr>
              <w:jc w:val="right"/>
              <w:ind w:right="360"/>
              <w:spacing w:after="0"/>
              <w:rPr>
                <w:sz w:val="20"/>
                <w:szCs w:val="20"/>
                <w:color w:val="auto"/>
              </w:rPr>
            </w:pPr>
            <w:r>
              <w:rPr>
                <w:rFonts w:ascii="Arial" w:cs="Arial" w:eastAsia="Arial" w:hAnsi="Arial"/>
                <w:sz w:val="14"/>
                <w:szCs w:val="14"/>
                <w:color w:val="auto"/>
              </w:rPr>
              <w:t>NN Europe Segment</w:t>
            </w:r>
          </w:p>
        </w:tc>
        <w:tc>
          <w:tcPr>
            <w:tcW w:w="1680" w:type="dxa"/>
            <w:vAlign w:val="bottom"/>
            <w:gridSpan w:val="7"/>
          </w:tcPr>
          <w:p>
            <w:pPr>
              <w:jc w:val="right"/>
              <w:ind w:right="148"/>
              <w:spacing w:after="0"/>
              <w:rPr>
                <w:sz w:val="20"/>
                <w:szCs w:val="20"/>
                <w:color w:val="auto"/>
              </w:rPr>
            </w:pPr>
            <w:r>
              <w:rPr>
                <w:rFonts w:ascii="Arial" w:cs="Arial" w:eastAsia="Arial" w:hAnsi="Arial"/>
                <w:sz w:val="14"/>
                <w:szCs w:val="14"/>
                <w:color w:val="auto"/>
              </w:rPr>
              <w:t>Components Segment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4"/>
                <w:szCs w:val="14"/>
                <w:color w:val="auto"/>
              </w:rPr>
              <w:t>NN, Inc.</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4"/>
        </w:trPr>
        <w:tc>
          <w:tcPr>
            <w:tcW w:w="15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9"/>
              </w:rPr>
              <w:t>Change</w:t>
            </w: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Change</w:t>
            </w: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w w:val="89"/>
              </w:rPr>
              <w:t>Change</w:t>
            </w: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Change</w:t>
            </w:r>
          </w:p>
        </w:tc>
        <w:tc>
          <w:tcPr>
            <w:tcW w:w="40" w:type="dxa"/>
            <w:vAlign w:val="bottom"/>
          </w:tcPr>
          <w:p>
            <w:pPr>
              <w:spacing w:after="0"/>
              <w:rPr>
                <w:sz w:val="14"/>
                <w:szCs w:val="14"/>
                <w:color w:val="auto"/>
              </w:rPr>
            </w:pPr>
          </w:p>
        </w:tc>
      </w:tr>
      <w:tr>
        <w:trPr>
          <w:trHeight w:val="181"/>
        </w:trPr>
        <w:tc>
          <w:tcPr>
            <w:tcW w:w="1520" w:type="dxa"/>
            <w:vAlign w:val="bottom"/>
          </w:tcPr>
          <w:p>
            <w:pPr>
              <w:spacing w:after="0"/>
              <w:rPr>
                <w:sz w:val="15"/>
                <w:szCs w:val="15"/>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2004</w:t>
            </w: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6"/>
              </w:rPr>
              <w:t>2003</w:t>
            </w:r>
          </w:p>
        </w:tc>
        <w:tc>
          <w:tcPr>
            <w:tcW w:w="60" w:type="dxa"/>
            <w:vAlign w:val="bottom"/>
          </w:tcPr>
          <w:p>
            <w:pPr>
              <w:spacing w:after="0"/>
              <w:rPr>
                <w:sz w:val="15"/>
                <w:szCs w:val="15"/>
                <w:color w:val="auto"/>
              </w:rPr>
            </w:pPr>
          </w:p>
        </w:tc>
        <w:tc>
          <w:tcPr>
            <w:tcW w:w="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2004</w:t>
            </w: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2003</w:t>
            </w:r>
          </w:p>
        </w:tc>
        <w:tc>
          <w:tcPr>
            <w:tcW w:w="60" w:type="dxa"/>
            <w:vAlign w:val="bottom"/>
          </w:tcPr>
          <w:p>
            <w:pPr>
              <w:spacing w:after="0"/>
              <w:rPr>
                <w:sz w:val="15"/>
                <w:szCs w:val="15"/>
                <w:color w:val="auto"/>
              </w:rPr>
            </w:pPr>
          </w:p>
        </w:tc>
        <w:tc>
          <w:tcPr>
            <w:tcW w:w="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2004</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2003</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2004</w:t>
            </w:r>
          </w:p>
        </w:tc>
        <w:tc>
          <w:tcPr>
            <w:tcW w:w="60" w:type="dxa"/>
            <w:vAlign w:val="bottom"/>
          </w:tcPr>
          <w:p>
            <w:pPr>
              <w:spacing w:after="0"/>
              <w:rPr>
                <w:sz w:val="15"/>
                <w:szCs w:val="15"/>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2003</w:t>
            </w:r>
          </w:p>
        </w:tc>
        <w:tc>
          <w:tcPr>
            <w:tcW w:w="40" w:type="dxa"/>
            <w:vAlign w:val="bottom"/>
          </w:tcPr>
          <w:p>
            <w:pPr>
              <w:spacing w:after="0"/>
              <w:rPr>
                <w:sz w:val="15"/>
                <w:szCs w:val="15"/>
                <w:color w:val="auto"/>
              </w:rPr>
            </w:pPr>
          </w:p>
        </w:tc>
        <w:tc>
          <w:tcPr>
            <w:tcW w:w="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r>
      <w:tr>
        <w:trPr>
          <w:trHeight w:val="237"/>
        </w:trPr>
        <w:tc>
          <w:tcPr>
            <w:tcW w:w="1520" w:type="dxa"/>
            <w:vAlign w:val="bottom"/>
            <w:shd w:val="clear" w:color="auto" w:fill="E2EEF6"/>
          </w:tcPr>
          <w:p>
            <w:pPr>
              <w:spacing w:after="0"/>
              <w:rPr>
                <w:sz w:val="20"/>
                <w:szCs w:val="20"/>
                <w:color w:val="auto"/>
              </w:rPr>
            </w:pPr>
            <w:r>
              <w:rPr>
                <w:rFonts w:ascii="Arial" w:cs="Arial" w:eastAsia="Arial" w:hAnsi="Arial"/>
                <w:sz w:val="14"/>
                <w:szCs w:val="14"/>
                <w:color w:val="auto"/>
              </w:rPr>
              <w:t>Net sales</w:t>
            </w:r>
          </w:p>
        </w:tc>
        <w:tc>
          <w:tcPr>
            <w:tcW w:w="500" w:type="dxa"/>
            <w:vAlign w:val="bottom"/>
            <w:shd w:val="clear" w:color="auto" w:fill="E2EEF6"/>
          </w:tcPr>
          <w:p>
            <w:pPr>
              <w:jc w:val="right"/>
              <w:spacing w:after="0"/>
              <w:rPr>
                <w:sz w:val="20"/>
                <w:szCs w:val="20"/>
                <w:color w:val="auto"/>
              </w:rPr>
            </w:pPr>
            <w:r>
              <w:rPr>
                <w:rFonts w:ascii="Arial" w:cs="Arial" w:eastAsia="Arial" w:hAnsi="Arial"/>
                <w:sz w:val="14"/>
                <w:szCs w:val="14"/>
                <w:color w:val="auto"/>
                <w:w w:val="88"/>
              </w:rPr>
              <w:t>$ 58,435</w:t>
            </w:r>
          </w:p>
        </w:tc>
        <w:tc>
          <w:tcPr>
            <w:tcW w:w="14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E2EEF6"/>
          </w:tcPr>
          <w:p>
            <w:pPr>
              <w:jc w:val="right"/>
              <w:ind w:right="60"/>
              <w:spacing w:after="0"/>
              <w:rPr>
                <w:sz w:val="20"/>
                <w:szCs w:val="20"/>
                <w:color w:val="auto"/>
              </w:rPr>
            </w:pPr>
            <w:r>
              <w:rPr>
                <w:rFonts w:ascii="Arial" w:cs="Arial" w:eastAsia="Arial" w:hAnsi="Arial"/>
                <w:sz w:val="14"/>
                <w:szCs w:val="14"/>
                <w:color w:val="auto"/>
                <w:w w:val="93"/>
              </w:rPr>
              <w:t>55,437</w:t>
            </w:r>
          </w:p>
        </w:tc>
        <w:tc>
          <w:tcPr>
            <w:tcW w:w="560" w:type="dxa"/>
            <w:vAlign w:val="bottom"/>
            <w:gridSpan w:val="2"/>
            <w:shd w:val="clear" w:color="auto" w:fill="E2EEF6"/>
          </w:tcPr>
          <w:p>
            <w:pPr>
              <w:jc w:val="right"/>
              <w:ind w:right="60"/>
              <w:spacing w:after="0"/>
              <w:rPr>
                <w:sz w:val="20"/>
                <w:szCs w:val="20"/>
                <w:color w:val="auto"/>
              </w:rPr>
            </w:pPr>
            <w:r>
              <w:rPr>
                <w:rFonts w:ascii="Arial" w:cs="Arial" w:eastAsia="Arial" w:hAnsi="Arial"/>
                <w:sz w:val="14"/>
                <w:szCs w:val="14"/>
                <w:color w:val="auto"/>
              </w:rPr>
              <w:t>$ 2,998</w:t>
            </w:r>
          </w:p>
        </w:tc>
        <w:tc>
          <w:tcPr>
            <w:tcW w:w="620" w:type="dxa"/>
            <w:vAlign w:val="bottom"/>
            <w:gridSpan w:val="3"/>
            <w:shd w:val="clear" w:color="auto" w:fill="E2EEF6"/>
          </w:tcPr>
          <w:p>
            <w:pPr>
              <w:jc w:val="right"/>
              <w:ind w:right="60"/>
              <w:spacing w:after="0"/>
              <w:rPr>
                <w:sz w:val="20"/>
                <w:szCs w:val="20"/>
                <w:color w:val="auto"/>
              </w:rPr>
            </w:pPr>
            <w:r>
              <w:rPr>
                <w:rFonts w:ascii="Arial" w:cs="Arial" w:eastAsia="Arial" w:hAnsi="Arial"/>
                <w:sz w:val="14"/>
                <w:szCs w:val="14"/>
                <w:color w:val="auto"/>
                <w:w w:val="92"/>
              </w:rPr>
              <w:t>$193,930</w:t>
            </w:r>
          </w:p>
        </w:tc>
        <w:tc>
          <w:tcPr>
            <w:tcW w:w="80" w:type="dxa"/>
            <w:vAlign w:val="bottom"/>
            <w:shd w:val="clear" w:color="auto" w:fill="E2EEF6"/>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E2EEF6"/>
          </w:tcPr>
          <w:p>
            <w:pPr>
              <w:jc w:val="right"/>
              <w:ind w:right="60"/>
              <w:spacing w:after="0"/>
              <w:rPr>
                <w:sz w:val="20"/>
                <w:szCs w:val="20"/>
                <w:color w:val="auto"/>
              </w:rPr>
            </w:pPr>
            <w:r>
              <w:rPr>
                <w:rFonts w:ascii="Arial" w:cs="Arial" w:eastAsia="Arial" w:hAnsi="Arial"/>
                <w:sz w:val="14"/>
                <w:szCs w:val="14"/>
                <w:color w:val="auto"/>
                <w:w w:val="90"/>
              </w:rPr>
              <w:t>147,127</w:t>
            </w:r>
          </w:p>
        </w:tc>
        <w:tc>
          <w:tcPr>
            <w:tcW w:w="60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w w:val="88"/>
              </w:rPr>
              <w:t>$ 46,803</w:t>
            </w: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w w:val="91"/>
              </w:rPr>
              <w:t>$ 51,724</w:t>
            </w:r>
          </w:p>
        </w:tc>
        <w:tc>
          <w:tcPr>
            <w:tcW w:w="660" w:type="dxa"/>
            <w:vAlign w:val="bottom"/>
            <w:tcBorders>
              <w:left w:val="single" w:sz="8" w:color="E2EEF6"/>
            </w:tcBorders>
            <w:gridSpan w:val="4"/>
            <w:shd w:val="clear" w:color="auto" w:fill="E2EEF6"/>
          </w:tcPr>
          <w:p>
            <w:pPr>
              <w:jc w:val="right"/>
              <w:ind w:right="60"/>
              <w:spacing w:after="0"/>
              <w:rPr>
                <w:sz w:val="20"/>
                <w:szCs w:val="20"/>
                <w:color w:val="auto"/>
              </w:rPr>
            </w:pPr>
            <w:r>
              <w:rPr>
                <w:rFonts w:ascii="Arial" w:cs="Arial" w:eastAsia="Arial" w:hAnsi="Arial"/>
                <w:sz w:val="14"/>
                <w:szCs w:val="14"/>
                <w:color w:val="auto"/>
              </w:rPr>
              <w:t>$ 50,898</w:t>
            </w:r>
          </w:p>
        </w:tc>
        <w:tc>
          <w:tcPr>
            <w:tcW w:w="100" w:type="dxa"/>
            <w:vAlign w:val="bottom"/>
            <w:shd w:val="clear" w:color="auto" w:fill="E2EEF6"/>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E2EEF6"/>
          </w:tcPr>
          <w:p>
            <w:pPr>
              <w:jc w:val="right"/>
              <w:spacing w:after="0"/>
              <w:rPr>
                <w:sz w:val="20"/>
                <w:szCs w:val="20"/>
                <w:color w:val="auto"/>
              </w:rPr>
            </w:pPr>
            <w:r>
              <w:rPr>
                <w:rFonts w:ascii="Arial" w:cs="Arial" w:eastAsia="Arial" w:hAnsi="Arial"/>
                <w:sz w:val="14"/>
                <w:szCs w:val="14"/>
                <w:color w:val="auto"/>
              </w:rPr>
              <w:t>826</w:t>
            </w:r>
          </w:p>
        </w:tc>
        <w:tc>
          <w:tcPr>
            <w:tcW w:w="14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E2EEF6"/>
          </w:tcPr>
          <w:p>
            <w:pPr>
              <w:jc w:val="right"/>
              <w:spacing w:after="0"/>
              <w:rPr>
                <w:sz w:val="20"/>
                <w:szCs w:val="20"/>
                <w:color w:val="auto"/>
              </w:rPr>
            </w:pPr>
            <w:r>
              <w:rPr>
                <w:rFonts w:ascii="Arial" w:cs="Arial" w:eastAsia="Arial" w:hAnsi="Arial"/>
                <w:sz w:val="14"/>
                <w:szCs w:val="14"/>
                <w:color w:val="auto"/>
                <w:w w:val="90"/>
              </w:rPr>
              <w:t>304,089</w:t>
            </w:r>
          </w:p>
        </w:tc>
        <w:tc>
          <w:tcPr>
            <w:tcW w:w="660" w:type="dxa"/>
            <w:vAlign w:val="bottom"/>
            <w:tcBorders>
              <w:left w:val="single" w:sz="8" w:color="E2EEF6"/>
            </w:tcBorders>
            <w:gridSpan w:val="3"/>
            <w:shd w:val="clear" w:color="auto" w:fill="E2EEF6"/>
          </w:tcPr>
          <w:p>
            <w:pPr>
              <w:jc w:val="right"/>
              <w:ind w:right="40"/>
              <w:spacing w:after="0"/>
              <w:rPr>
                <w:sz w:val="20"/>
                <w:szCs w:val="20"/>
                <w:color w:val="auto"/>
              </w:rPr>
            </w:pPr>
            <w:r>
              <w:rPr>
                <w:rFonts w:ascii="Arial" w:cs="Arial" w:eastAsia="Arial" w:hAnsi="Arial"/>
                <w:sz w:val="14"/>
                <w:szCs w:val="14"/>
                <w:color w:val="auto"/>
              </w:rPr>
              <w:t>$253,462</w:t>
            </w:r>
          </w:p>
        </w:tc>
        <w:tc>
          <w:tcPr>
            <w:tcW w:w="540" w:type="dxa"/>
            <w:vAlign w:val="bottom"/>
            <w:gridSpan w:val="2"/>
            <w:shd w:val="clear" w:color="auto" w:fill="E2EEF6"/>
          </w:tcPr>
          <w:p>
            <w:pPr>
              <w:jc w:val="right"/>
              <w:ind w:right="40"/>
              <w:spacing w:after="0"/>
              <w:rPr>
                <w:sz w:val="20"/>
                <w:szCs w:val="20"/>
                <w:color w:val="auto"/>
              </w:rPr>
            </w:pPr>
            <w:r>
              <w:rPr>
                <w:rFonts w:ascii="Arial" w:cs="Arial" w:eastAsia="Arial" w:hAnsi="Arial"/>
                <w:sz w:val="14"/>
                <w:szCs w:val="14"/>
                <w:color w:val="auto"/>
                <w:w w:val="88"/>
              </w:rPr>
              <w:t>$ 50,627</w:t>
            </w:r>
          </w:p>
        </w:tc>
      </w:tr>
      <w:tr>
        <w:trPr>
          <w:trHeight w:val="243"/>
        </w:trPr>
        <w:tc>
          <w:tcPr>
            <w:tcW w:w="1520" w:type="dxa"/>
            <w:vAlign w:val="bottom"/>
          </w:tcPr>
          <w:p>
            <w:pPr>
              <w:spacing w:after="0"/>
              <w:rPr>
                <w:sz w:val="20"/>
                <w:szCs w:val="20"/>
                <w:color w:val="auto"/>
              </w:rPr>
            </w:pPr>
            <w:r>
              <w:rPr>
                <w:rFonts w:ascii="Arial" w:cs="Arial" w:eastAsia="Arial" w:hAnsi="Arial"/>
                <w:sz w:val="14"/>
                <w:szCs w:val="14"/>
                <w:color w:val="auto"/>
              </w:rPr>
              <w:t>Cost of products sold</w:t>
            </w:r>
          </w:p>
        </w:tc>
        <w:tc>
          <w:tcPr>
            <w:tcW w:w="500" w:type="dxa"/>
            <w:vAlign w:val="bottom"/>
          </w:tcPr>
          <w:p>
            <w:pPr>
              <w:jc w:val="right"/>
              <w:spacing w:after="0"/>
              <w:rPr>
                <w:sz w:val="20"/>
                <w:szCs w:val="20"/>
                <w:color w:val="auto"/>
              </w:rPr>
            </w:pPr>
            <w:r>
              <w:rPr>
                <w:rFonts w:ascii="Arial" w:cs="Arial" w:eastAsia="Arial" w:hAnsi="Arial"/>
                <w:sz w:val="14"/>
                <w:szCs w:val="14"/>
                <w:color w:val="auto"/>
              </w:rPr>
              <w:t>42,268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39,162</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3,106</w:t>
            </w:r>
          </w:p>
        </w:tc>
        <w:tc>
          <w:tcPr>
            <w:tcW w:w="8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154,174</w:t>
            </w:r>
          </w:p>
        </w:tc>
        <w:tc>
          <w:tcPr>
            <w:tcW w:w="8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114,312</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39,862</w:t>
            </w:r>
          </w:p>
        </w:tc>
        <w:tc>
          <w:tcPr>
            <w:tcW w:w="520" w:type="dxa"/>
            <w:vAlign w:val="bottom"/>
          </w:tcPr>
          <w:p>
            <w:pPr>
              <w:jc w:val="right"/>
              <w:spacing w:after="0"/>
              <w:rPr>
                <w:sz w:val="20"/>
                <w:szCs w:val="20"/>
                <w:color w:val="auto"/>
              </w:rPr>
            </w:pPr>
            <w:r>
              <w:rPr>
                <w:rFonts w:ascii="Arial" w:cs="Arial" w:eastAsia="Arial" w:hAnsi="Arial"/>
                <w:sz w:val="14"/>
                <w:szCs w:val="14"/>
                <w:color w:val="auto"/>
              </w:rPr>
              <w:t>44,138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w w:val="97"/>
              </w:rPr>
              <w:t>42,184</w:t>
            </w: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1,954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240,580</w:t>
            </w:r>
          </w:p>
        </w:tc>
        <w:tc>
          <w:tcPr>
            <w:tcW w:w="660" w:type="dxa"/>
            <w:vAlign w:val="bottom"/>
            <w:gridSpan w:val="3"/>
          </w:tcPr>
          <w:p>
            <w:pPr>
              <w:jc w:val="right"/>
              <w:ind w:right="40"/>
              <w:spacing w:after="0"/>
              <w:rPr>
                <w:sz w:val="20"/>
                <w:szCs w:val="20"/>
                <w:color w:val="auto"/>
              </w:rPr>
            </w:pPr>
            <w:r>
              <w:rPr>
                <w:rFonts w:ascii="Arial" w:cs="Arial" w:eastAsia="Arial" w:hAnsi="Arial"/>
                <w:sz w:val="14"/>
                <w:szCs w:val="14"/>
                <w:color w:val="auto"/>
              </w:rPr>
              <w:t>195,658</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44,922</w:t>
            </w:r>
          </w:p>
        </w:tc>
      </w:tr>
      <w:tr>
        <w:trPr>
          <w:trHeight w:val="170"/>
        </w:trPr>
        <w:tc>
          <w:tcPr>
            <w:tcW w:w="1520" w:type="dxa"/>
            <w:vAlign w:val="bottom"/>
            <w:shd w:val="clear" w:color="auto" w:fill="E2EEF6"/>
          </w:tcPr>
          <w:p>
            <w:pPr>
              <w:spacing w:after="0"/>
              <w:rPr>
                <w:sz w:val="20"/>
                <w:szCs w:val="20"/>
                <w:color w:val="auto"/>
              </w:rPr>
            </w:pPr>
            <w:r>
              <w:rPr>
                <w:rFonts w:ascii="Arial" w:cs="Arial" w:eastAsia="Arial" w:hAnsi="Arial"/>
                <w:sz w:val="14"/>
                <w:szCs w:val="14"/>
                <w:color w:val="auto"/>
              </w:rPr>
              <w:t>Selling, general and</w:t>
            </w:r>
          </w:p>
        </w:tc>
        <w:tc>
          <w:tcPr>
            <w:tcW w:w="500" w:type="dxa"/>
            <w:vAlign w:val="bottom"/>
            <w:shd w:val="clear" w:color="auto" w:fill="E2EEF6"/>
          </w:tcPr>
          <w:p>
            <w:pPr>
              <w:spacing w:after="0"/>
              <w:rPr>
                <w:sz w:val="14"/>
                <w:szCs w:val="14"/>
                <w:color w:val="auto"/>
              </w:rPr>
            </w:pPr>
          </w:p>
        </w:tc>
        <w:tc>
          <w:tcPr>
            <w:tcW w:w="60" w:type="dxa"/>
            <w:vAlign w:val="bottom"/>
            <w:tcBorders>
              <w:left w:val="single" w:sz="8" w:color="E2EEF6"/>
            </w:tcBorders>
            <w:shd w:val="clear" w:color="auto" w:fill="E2EEF6"/>
          </w:tcPr>
          <w:p>
            <w:pPr>
              <w:spacing w:after="0"/>
              <w:rPr>
                <w:sz w:val="14"/>
                <w:szCs w:val="14"/>
                <w:color w:val="auto"/>
              </w:rPr>
            </w:pPr>
          </w:p>
        </w:tc>
        <w:tc>
          <w:tcPr>
            <w:tcW w:w="80" w:type="dxa"/>
            <w:vAlign w:val="bottom"/>
            <w:shd w:val="clear" w:color="auto" w:fill="E2EEF6"/>
          </w:tcPr>
          <w:p>
            <w:pPr>
              <w:spacing w:after="0"/>
              <w:rPr>
                <w:sz w:val="14"/>
                <w:szCs w:val="14"/>
                <w:color w:val="auto"/>
              </w:rPr>
            </w:pPr>
          </w:p>
        </w:tc>
        <w:tc>
          <w:tcPr>
            <w:tcW w:w="420" w:type="dxa"/>
            <w:vAlign w:val="bottom"/>
            <w:shd w:val="clear" w:color="auto" w:fill="E2EEF6"/>
          </w:tcPr>
          <w:p>
            <w:pPr>
              <w:spacing w:after="0"/>
              <w:rPr>
                <w:sz w:val="14"/>
                <w:szCs w:val="14"/>
                <w:color w:val="auto"/>
              </w:rPr>
            </w:pPr>
          </w:p>
        </w:tc>
        <w:tc>
          <w:tcPr>
            <w:tcW w:w="60" w:type="dxa"/>
            <w:vAlign w:val="bottom"/>
            <w:shd w:val="clear" w:color="auto" w:fill="E2EEF6"/>
          </w:tcPr>
          <w:p>
            <w:pPr>
              <w:spacing w:after="0"/>
              <w:rPr>
                <w:sz w:val="14"/>
                <w:szCs w:val="14"/>
                <w:color w:val="auto"/>
              </w:rPr>
            </w:pPr>
          </w:p>
        </w:tc>
        <w:tc>
          <w:tcPr>
            <w:tcW w:w="500" w:type="dxa"/>
            <w:vAlign w:val="bottom"/>
            <w:shd w:val="clear" w:color="auto" w:fill="E2EEF6"/>
          </w:tcPr>
          <w:p>
            <w:pPr>
              <w:spacing w:after="0"/>
              <w:rPr>
                <w:sz w:val="14"/>
                <w:szCs w:val="14"/>
                <w:color w:val="auto"/>
              </w:rPr>
            </w:pPr>
          </w:p>
        </w:tc>
        <w:tc>
          <w:tcPr>
            <w:tcW w:w="60" w:type="dxa"/>
            <w:vAlign w:val="bottom"/>
            <w:shd w:val="clear" w:color="auto" w:fill="E2EEF6"/>
          </w:tcPr>
          <w:p>
            <w:pPr>
              <w:spacing w:after="0"/>
              <w:rPr>
                <w:sz w:val="14"/>
                <w:szCs w:val="14"/>
                <w:color w:val="auto"/>
              </w:rPr>
            </w:pPr>
          </w:p>
        </w:tc>
        <w:tc>
          <w:tcPr>
            <w:tcW w:w="80" w:type="dxa"/>
            <w:vAlign w:val="bottom"/>
            <w:shd w:val="clear" w:color="auto" w:fill="E2EEF6"/>
          </w:tcPr>
          <w:p>
            <w:pPr>
              <w:spacing w:after="0"/>
              <w:rPr>
                <w:sz w:val="14"/>
                <w:szCs w:val="14"/>
                <w:color w:val="auto"/>
              </w:rPr>
            </w:pPr>
          </w:p>
        </w:tc>
        <w:tc>
          <w:tcPr>
            <w:tcW w:w="480" w:type="dxa"/>
            <w:vAlign w:val="bottom"/>
            <w:shd w:val="clear" w:color="auto" w:fill="E2EEF6"/>
          </w:tcPr>
          <w:p>
            <w:pPr>
              <w:spacing w:after="0"/>
              <w:rPr>
                <w:sz w:val="14"/>
                <w:szCs w:val="14"/>
                <w:color w:val="auto"/>
              </w:rPr>
            </w:pPr>
          </w:p>
        </w:tc>
        <w:tc>
          <w:tcPr>
            <w:tcW w:w="60" w:type="dxa"/>
            <w:vAlign w:val="bottom"/>
            <w:shd w:val="clear" w:color="auto" w:fill="E2EEF6"/>
          </w:tcPr>
          <w:p>
            <w:pPr>
              <w:spacing w:after="0"/>
              <w:rPr>
                <w:sz w:val="14"/>
                <w:szCs w:val="14"/>
                <w:color w:val="auto"/>
              </w:rPr>
            </w:pPr>
          </w:p>
        </w:tc>
        <w:tc>
          <w:tcPr>
            <w:tcW w:w="80" w:type="dxa"/>
            <w:vAlign w:val="bottom"/>
            <w:shd w:val="clear" w:color="auto" w:fill="E2EEF6"/>
          </w:tcPr>
          <w:p>
            <w:pPr>
              <w:spacing w:after="0"/>
              <w:rPr>
                <w:sz w:val="14"/>
                <w:szCs w:val="14"/>
                <w:color w:val="auto"/>
              </w:rPr>
            </w:pPr>
          </w:p>
        </w:tc>
        <w:tc>
          <w:tcPr>
            <w:tcW w:w="480" w:type="dxa"/>
            <w:vAlign w:val="bottom"/>
            <w:shd w:val="clear" w:color="auto" w:fill="E2EEF6"/>
          </w:tcPr>
          <w:p>
            <w:pPr>
              <w:spacing w:after="0"/>
              <w:rPr>
                <w:sz w:val="14"/>
                <w:szCs w:val="14"/>
                <w:color w:val="auto"/>
              </w:rPr>
            </w:pPr>
          </w:p>
        </w:tc>
        <w:tc>
          <w:tcPr>
            <w:tcW w:w="60" w:type="dxa"/>
            <w:vAlign w:val="bottom"/>
            <w:shd w:val="clear" w:color="auto" w:fill="E2EEF6"/>
          </w:tcPr>
          <w:p>
            <w:pPr>
              <w:spacing w:after="0"/>
              <w:rPr>
                <w:sz w:val="14"/>
                <w:szCs w:val="14"/>
                <w:color w:val="auto"/>
              </w:rPr>
            </w:pPr>
          </w:p>
        </w:tc>
        <w:tc>
          <w:tcPr>
            <w:tcW w:w="500" w:type="dxa"/>
            <w:vAlign w:val="bottom"/>
            <w:shd w:val="clear" w:color="auto" w:fill="E2EEF6"/>
          </w:tcPr>
          <w:p>
            <w:pPr>
              <w:spacing w:after="0"/>
              <w:rPr>
                <w:sz w:val="14"/>
                <w:szCs w:val="14"/>
                <w:color w:val="auto"/>
              </w:rPr>
            </w:pPr>
          </w:p>
        </w:tc>
        <w:tc>
          <w:tcPr>
            <w:tcW w:w="100" w:type="dxa"/>
            <w:vAlign w:val="bottom"/>
            <w:shd w:val="clear" w:color="auto" w:fill="E2EEF6"/>
          </w:tcPr>
          <w:p>
            <w:pPr>
              <w:spacing w:after="0"/>
              <w:rPr>
                <w:sz w:val="14"/>
                <w:szCs w:val="14"/>
                <w:color w:val="auto"/>
              </w:rPr>
            </w:pPr>
          </w:p>
        </w:tc>
        <w:tc>
          <w:tcPr>
            <w:tcW w:w="520" w:type="dxa"/>
            <w:vAlign w:val="bottom"/>
            <w:shd w:val="clear" w:color="auto" w:fill="E2EEF6"/>
          </w:tcPr>
          <w:p>
            <w:pPr>
              <w:spacing w:after="0"/>
              <w:rPr>
                <w:sz w:val="14"/>
                <w:szCs w:val="14"/>
                <w:color w:val="auto"/>
              </w:rPr>
            </w:pPr>
          </w:p>
        </w:tc>
        <w:tc>
          <w:tcPr>
            <w:tcW w:w="80" w:type="dxa"/>
            <w:vAlign w:val="bottom"/>
            <w:tcBorders>
              <w:left w:val="single" w:sz="8" w:color="E2EEF6"/>
            </w:tcBorders>
            <w:shd w:val="clear" w:color="auto" w:fill="E2EEF6"/>
          </w:tcPr>
          <w:p>
            <w:pPr>
              <w:spacing w:after="0"/>
              <w:rPr>
                <w:sz w:val="14"/>
                <w:szCs w:val="14"/>
                <w:color w:val="auto"/>
              </w:rPr>
            </w:pPr>
          </w:p>
        </w:tc>
        <w:tc>
          <w:tcPr>
            <w:tcW w:w="80" w:type="dxa"/>
            <w:vAlign w:val="bottom"/>
            <w:shd w:val="clear" w:color="auto" w:fill="E2EEF6"/>
          </w:tcPr>
          <w:p>
            <w:pPr>
              <w:spacing w:after="0"/>
              <w:rPr>
                <w:sz w:val="14"/>
                <w:szCs w:val="14"/>
                <w:color w:val="auto"/>
              </w:rPr>
            </w:pPr>
          </w:p>
        </w:tc>
        <w:tc>
          <w:tcPr>
            <w:tcW w:w="440" w:type="dxa"/>
            <w:vAlign w:val="bottom"/>
            <w:shd w:val="clear" w:color="auto" w:fill="E2EEF6"/>
          </w:tcPr>
          <w:p>
            <w:pPr>
              <w:spacing w:after="0"/>
              <w:rPr>
                <w:sz w:val="14"/>
                <w:szCs w:val="14"/>
                <w:color w:val="auto"/>
              </w:rPr>
            </w:pPr>
          </w:p>
        </w:tc>
        <w:tc>
          <w:tcPr>
            <w:tcW w:w="60" w:type="dxa"/>
            <w:vAlign w:val="bottom"/>
            <w:shd w:val="clear" w:color="auto" w:fill="E2EEF6"/>
          </w:tcPr>
          <w:p>
            <w:pPr>
              <w:spacing w:after="0"/>
              <w:rPr>
                <w:sz w:val="14"/>
                <w:szCs w:val="14"/>
                <w:color w:val="auto"/>
              </w:rPr>
            </w:pPr>
          </w:p>
        </w:tc>
        <w:tc>
          <w:tcPr>
            <w:tcW w:w="100" w:type="dxa"/>
            <w:vAlign w:val="bottom"/>
            <w:shd w:val="clear" w:color="auto" w:fill="E2EEF6"/>
          </w:tcPr>
          <w:p>
            <w:pPr>
              <w:spacing w:after="0"/>
              <w:rPr>
                <w:sz w:val="14"/>
                <w:szCs w:val="14"/>
                <w:color w:val="auto"/>
              </w:rPr>
            </w:pPr>
          </w:p>
        </w:tc>
        <w:tc>
          <w:tcPr>
            <w:tcW w:w="400" w:type="dxa"/>
            <w:vAlign w:val="bottom"/>
            <w:shd w:val="clear" w:color="auto" w:fill="E2EEF6"/>
          </w:tcPr>
          <w:p>
            <w:pPr>
              <w:spacing w:after="0"/>
              <w:rPr>
                <w:sz w:val="14"/>
                <w:szCs w:val="14"/>
                <w:color w:val="auto"/>
              </w:rPr>
            </w:pPr>
          </w:p>
        </w:tc>
        <w:tc>
          <w:tcPr>
            <w:tcW w:w="60" w:type="dxa"/>
            <w:vAlign w:val="bottom"/>
            <w:tcBorders>
              <w:left w:val="single" w:sz="8" w:color="E2EEF6"/>
            </w:tcBorders>
            <w:shd w:val="clear" w:color="auto" w:fill="E2EEF6"/>
          </w:tcPr>
          <w:p>
            <w:pPr>
              <w:spacing w:after="0"/>
              <w:rPr>
                <w:sz w:val="14"/>
                <w:szCs w:val="14"/>
                <w:color w:val="auto"/>
              </w:rPr>
            </w:pPr>
          </w:p>
        </w:tc>
        <w:tc>
          <w:tcPr>
            <w:tcW w:w="80" w:type="dxa"/>
            <w:vAlign w:val="bottom"/>
            <w:shd w:val="clear" w:color="auto" w:fill="E2EEF6"/>
          </w:tcPr>
          <w:p>
            <w:pPr>
              <w:spacing w:after="0"/>
              <w:rPr>
                <w:sz w:val="14"/>
                <w:szCs w:val="14"/>
                <w:color w:val="auto"/>
              </w:rPr>
            </w:pPr>
          </w:p>
        </w:tc>
        <w:tc>
          <w:tcPr>
            <w:tcW w:w="480" w:type="dxa"/>
            <w:vAlign w:val="bottom"/>
            <w:shd w:val="clear" w:color="auto" w:fill="E2EEF6"/>
          </w:tcPr>
          <w:p>
            <w:pPr>
              <w:spacing w:after="0"/>
              <w:rPr>
                <w:sz w:val="14"/>
                <w:szCs w:val="14"/>
                <w:color w:val="auto"/>
              </w:rPr>
            </w:pPr>
          </w:p>
        </w:tc>
        <w:tc>
          <w:tcPr>
            <w:tcW w:w="60" w:type="dxa"/>
            <w:vAlign w:val="bottom"/>
            <w:tcBorders>
              <w:left w:val="single" w:sz="8" w:color="E2EEF6"/>
            </w:tcBorders>
            <w:shd w:val="clear" w:color="auto" w:fill="E2EEF6"/>
          </w:tcPr>
          <w:p>
            <w:pPr>
              <w:spacing w:after="0"/>
              <w:rPr>
                <w:sz w:val="14"/>
                <w:szCs w:val="14"/>
                <w:color w:val="auto"/>
              </w:rPr>
            </w:pPr>
          </w:p>
        </w:tc>
        <w:tc>
          <w:tcPr>
            <w:tcW w:w="560" w:type="dxa"/>
            <w:vAlign w:val="bottom"/>
            <w:shd w:val="clear" w:color="auto" w:fill="E2EEF6"/>
          </w:tcPr>
          <w:p>
            <w:pPr>
              <w:spacing w:after="0"/>
              <w:rPr>
                <w:sz w:val="14"/>
                <w:szCs w:val="14"/>
                <w:color w:val="auto"/>
              </w:rPr>
            </w:pPr>
          </w:p>
        </w:tc>
        <w:tc>
          <w:tcPr>
            <w:tcW w:w="40" w:type="dxa"/>
            <w:vAlign w:val="bottom"/>
            <w:shd w:val="clear" w:color="auto" w:fill="E2EEF6"/>
          </w:tcPr>
          <w:p>
            <w:pPr>
              <w:spacing w:after="0"/>
              <w:rPr>
                <w:sz w:val="14"/>
                <w:szCs w:val="14"/>
                <w:color w:val="auto"/>
              </w:rPr>
            </w:pPr>
          </w:p>
        </w:tc>
        <w:tc>
          <w:tcPr>
            <w:tcW w:w="500" w:type="dxa"/>
            <w:vAlign w:val="bottom"/>
            <w:shd w:val="clear" w:color="auto" w:fill="E2EEF6"/>
          </w:tcPr>
          <w:p>
            <w:pPr>
              <w:spacing w:after="0"/>
              <w:rPr>
                <w:sz w:val="14"/>
                <w:szCs w:val="14"/>
                <w:color w:val="auto"/>
              </w:rPr>
            </w:pPr>
          </w:p>
        </w:tc>
        <w:tc>
          <w:tcPr>
            <w:tcW w:w="40" w:type="dxa"/>
            <w:vAlign w:val="bottom"/>
            <w:shd w:val="clear" w:color="auto" w:fill="E2EEF6"/>
          </w:tcPr>
          <w:p>
            <w:pPr>
              <w:spacing w:after="0"/>
              <w:rPr>
                <w:sz w:val="14"/>
                <w:szCs w:val="14"/>
                <w:color w:val="auto"/>
              </w:rPr>
            </w:pPr>
          </w:p>
        </w:tc>
      </w:tr>
      <w:tr>
        <w:trPr>
          <w:trHeight w:val="181"/>
        </w:trPr>
        <w:tc>
          <w:tcPr>
            <w:tcW w:w="1520" w:type="dxa"/>
            <w:vAlign w:val="bottom"/>
            <w:shd w:val="clear" w:color="auto" w:fill="E2EEF6"/>
          </w:tcPr>
          <w:p>
            <w:pPr>
              <w:spacing w:after="0"/>
              <w:rPr>
                <w:sz w:val="20"/>
                <w:szCs w:val="20"/>
                <w:color w:val="auto"/>
              </w:rPr>
            </w:pPr>
            <w:r>
              <w:rPr>
                <w:rFonts w:ascii="Arial" w:cs="Arial" w:eastAsia="Arial" w:hAnsi="Arial"/>
                <w:sz w:val="14"/>
                <w:szCs w:val="14"/>
                <w:color w:val="auto"/>
              </w:rPr>
              <w:t>administrative expense</w:t>
            </w:r>
          </w:p>
        </w:tc>
        <w:tc>
          <w:tcPr>
            <w:tcW w:w="500" w:type="dxa"/>
            <w:vAlign w:val="bottom"/>
            <w:shd w:val="clear" w:color="auto" w:fill="E2EEF6"/>
          </w:tcPr>
          <w:p>
            <w:pPr>
              <w:jc w:val="right"/>
              <w:spacing w:after="0"/>
              <w:rPr>
                <w:sz w:val="20"/>
                <w:szCs w:val="20"/>
                <w:color w:val="auto"/>
              </w:rPr>
            </w:pPr>
            <w:r>
              <w:rPr>
                <w:rFonts w:ascii="Arial" w:cs="Arial" w:eastAsia="Arial" w:hAnsi="Arial"/>
                <w:sz w:val="14"/>
                <w:szCs w:val="14"/>
                <w:color w:val="auto"/>
              </w:rPr>
              <w:t>10,619</w:t>
            </w:r>
          </w:p>
        </w:tc>
        <w:tc>
          <w:tcPr>
            <w:tcW w:w="60" w:type="dxa"/>
            <w:vAlign w:val="bottom"/>
            <w:tcBorders>
              <w:left w:val="single" w:sz="8" w:color="E2EEF6"/>
            </w:tcBorders>
            <w:shd w:val="clear" w:color="auto" w:fill="E2EEF6"/>
          </w:tcPr>
          <w:p>
            <w:pPr>
              <w:spacing w:after="0"/>
              <w:rPr>
                <w:sz w:val="15"/>
                <w:szCs w:val="15"/>
                <w:color w:val="auto"/>
              </w:rPr>
            </w:pPr>
          </w:p>
        </w:tc>
        <w:tc>
          <w:tcPr>
            <w:tcW w:w="80" w:type="dxa"/>
            <w:vAlign w:val="bottom"/>
            <w:shd w:val="clear" w:color="auto" w:fill="E2EEF6"/>
          </w:tcPr>
          <w:p>
            <w:pPr>
              <w:spacing w:after="0"/>
              <w:rPr>
                <w:sz w:val="15"/>
                <w:szCs w:val="15"/>
                <w:color w:val="auto"/>
              </w:rPr>
            </w:pPr>
          </w:p>
        </w:tc>
        <w:tc>
          <w:tcPr>
            <w:tcW w:w="480" w:type="dxa"/>
            <w:vAlign w:val="bottom"/>
            <w:gridSpan w:val="2"/>
            <w:shd w:val="clear" w:color="auto" w:fill="E2EEF6"/>
          </w:tcPr>
          <w:p>
            <w:pPr>
              <w:jc w:val="right"/>
              <w:ind w:right="60"/>
              <w:spacing w:after="0"/>
              <w:rPr>
                <w:sz w:val="20"/>
                <w:szCs w:val="20"/>
                <w:color w:val="auto"/>
              </w:rPr>
            </w:pPr>
            <w:r>
              <w:rPr>
                <w:rFonts w:ascii="Arial" w:cs="Arial" w:eastAsia="Arial" w:hAnsi="Arial"/>
                <w:sz w:val="14"/>
                <w:szCs w:val="14"/>
                <w:color w:val="auto"/>
              </w:rPr>
              <w:t>7,307</w:t>
            </w:r>
          </w:p>
        </w:tc>
        <w:tc>
          <w:tcPr>
            <w:tcW w:w="560" w:type="dxa"/>
            <w:vAlign w:val="bottom"/>
            <w:gridSpan w:val="2"/>
            <w:shd w:val="clear" w:color="auto" w:fill="E2EEF6"/>
          </w:tcPr>
          <w:p>
            <w:pPr>
              <w:jc w:val="right"/>
              <w:ind w:right="60"/>
              <w:spacing w:after="0"/>
              <w:rPr>
                <w:sz w:val="20"/>
                <w:szCs w:val="20"/>
                <w:color w:val="auto"/>
              </w:rPr>
            </w:pPr>
            <w:r>
              <w:rPr>
                <w:rFonts w:ascii="Arial" w:cs="Arial" w:eastAsia="Arial" w:hAnsi="Arial"/>
                <w:sz w:val="14"/>
                <w:szCs w:val="14"/>
                <w:color w:val="auto"/>
              </w:rPr>
              <w:t>3,312</w:t>
            </w:r>
          </w:p>
        </w:tc>
        <w:tc>
          <w:tcPr>
            <w:tcW w:w="80" w:type="dxa"/>
            <w:vAlign w:val="bottom"/>
            <w:shd w:val="clear" w:color="auto" w:fill="E2EEF6"/>
          </w:tcPr>
          <w:p>
            <w:pPr>
              <w:spacing w:after="0"/>
              <w:rPr>
                <w:sz w:val="15"/>
                <w:szCs w:val="15"/>
                <w:color w:val="auto"/>
              </w:rPr>
            </w:pPr>
          </w:p>
        </w:tc>
        <w:tc>
          <w:tcPr>
            <w:tcW w:w="540" w:type="dxa"/>
            <w:vAlign w:val="bottom"/>
            <w:gridSpan w:val="2"/>
            <w:shd w:val="clear" w:color="auto" w:fill="E2EEF6"/>
          </w:tcPr>
          <w:p>
            <w:pPr>
              <w:jc w:val="right"/>
              <w:ind w:right="60"/>
              <w:spacing w:after="0"/>
              <w:rPr>
                <w:sz w:val="20"/>
                <w:szCs w:val="20"/>
                <w:color w:val="auto"/>
              </w:rPr>
            </w:pPr>
            <w:r>
              <w:rPr>
                <w:rFonts w:ascii="Arial" w:cs="Arial" w:eastAsia="Arial" w:hAnsi="Arial"/>
                <w:sz w:val="14"/>
                <w:szCs w:val="14"/>
                <w:color w:val="auto"/>
              </w:rPr>
              <w:t>15,204</w:t>
            </w:r>
          </w:p>
        </w:tc>
        <w:tc>
          <w:tcPr>
            <w:tcW w:w="80" w:type="dxa"/>
            <w:vAlign w:val="bottom"/>
            <w:shd w:val="clear" w:color="auto" w:fill="E2EEF6"/>
          </w:tcPr>
          <w:p>
            <w:pPr>
              <w:spacing w:after="0"/>
              <w:rPr>
                <w:sz w:val="15"/>
                <w:szCs w:val="15"/>
                <w:color w:val="auto"/>
              </w:rPr>
            </w:pPr>
          </w:p>
        </w:tc>
        <w:tc>
          <w:tcPr>
            <w:tcW w:w="540" w:type="dxa"/>
            <w:vAlign w:val="bottom"/>
            <w:gridSpan w:val="2"/>
            <w:shd w:val="clear" w:color="auto" w:fill="E2EEF6"/>
          </w:tcPr>
          <w:p>
            <w:pPr>
              <w:jc w:val="right"/>
              <w:ind w:right="60"/>
              <w:spacing w:after="0"/>
              <w:rPr>
                <w:sz w:val="20"/>
                <w:szCs w:val="20"/>
                <w:color w:val="auto"/>
              </w:rPr>
            </w:pPr>
            <w:r>
              <w:rPr>
                <w:rFonts w:ascii="Arial" w:cs="Arial" w:eastAsia="Arial" w:hAnsi="Arial"/>
                <w:sz w:val="14"/>
                <w:szCs w:val="14"/>
                <w:color w:val="auto"/>
              </w:rPr>
              <w:t>10,933</w:t>
            </w:r>
          </w:p>
        </w:tc>
        <w:tc>
          <w:tcPr>
            <w:tcW w:w="60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4,271</w:t>
            </w: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3,932</w:t>
            </w:r>
          </w:p>
        </w:tc>
        <w:tc>
          <w:tcPr>
            <w:tcW w:w="80" w:type="dxa"/>
            <w:vAlign w:val="bottom"/>
            <w:tcBorders>
              <w:left w:val="single" w:sz="8" w:color="E2EEF6"/>
            </w:tcBorders>
            <w:shd w:val="clear" w:color="auto" w:fill="E2EEF6"/>
          </w:tcPr>
          <w:p>
            <w:pPr>
              <w:spacing w:after="0"/>
              <w:rPr>
                <w:sz w:val="15"/>
                <w:szCs w:val="15"/>
                <w:color w:val="auto"/>
              </w:rPr>
            </w:pPr>
          </w:p>
        </w:tc>
        <w:tc>
          <w:tcPr>
            <w:tcW w:w="80" w:type="dxa"/>
            <w:vAlign w:val="bottom"/>
            <w:shd w:val="clear" w:color="auto" w:fill="E2EEF6"/>
          </w:tcPr>
          <w:p>
            <w:pPr>
              <w:spacing w:after="0"/>
              <w:rPr>
                <w:sz w:val="15"/>
                <w:szCs w:val="15"/>
                <w:color w:val="auto"/>
              </w:rPr>
            </w:pPr>
          </w:p>
        </w:tc>
        <w:tc>
          <w:tcPr>
            <w:tcW w:w="500" w:type="dxa"/>
            <w:vAlign w:val="bottom"/>
            <w:gridSpan w:val="2"/>
            <w:shd w:val="clear" w:color="auto" w:fill="E2EEF6"/>
          </w:tcPr>
          <w:p>
            <w:pPr>
              <w:jc w:val="right"/>
              <w:ind w:right="60"/>
              <w:spacing w:after="0"/>
              <w:rPr>
                <w:sz w:val="20"/>
                <w:szCs w:val="20"/>
                <w:color w:val="auto"/>
              </w:rPr>
            </w:pPr>
            <w:r>
              <w:rPr>
                <w:rFonts w:ascii="Arial" w:cs="Arial" w:eastAsia="Arial" w:hAnsi="Arial"/>
                <w:sz w:val="14"/>
                <w:szCs w:val="14"/>
                <w:color w:val="auto"/>
              </w:rPr>
              <w:t>3,460</w:t>
            </w:r>
          </w:p>
        </w:tc>
        <w:tc>
          <w:tcPr>
            <w:tcW w:w="100" w:type="dxa"/>
            <w:vAlign w:val="bottom"/>
            <w:shd w:val="clear" w:color="auto" w:fill="E2EEF6"/>
          </w:tcPr>
          <w:p>
            <w:pPr>
              <w:spacing w:after="0"/>
              <w:rPr>
                <w:sz w:val="15"/>
                <w:szCs w:val="15"/>
                <w:color w:val="auto"/>
              </w:rPr>
            </w:pPr>
          </w:p>
        </w:tc>
        <w:tc>
          <w:tcPr>
            <w:tcW w:w="400" w:type="dxa"/>
            <w:vAlign w:val="bottom"/>
            <w:shd w:val="clear" w:color="auto" w:fill="E2EEF6"/>
          </w:tcPr>
          <w:p>
            <w:pPr>
              <w:jc w:val="right"/>
              <w:spacing w:after="0"/>
              <w:rPr>
                <w:sz w:val="20"/>
                <w:szCs w:val="20"/>
                <w:color w:val="auto"/>
              </w:rPr>
            </w:pPr>
            <w:r>
              <w:rPr>
                <w:rFonts w:ascii="Arial" w:cs="Arial" w:eastAsia="Arial" w:hAnsi="Arial"/>
                <w:sz w:val="14"/>
                <w:szCs w:val="14"/>
                <w:color w:val="auto"/>
              </w:rPr>
              <w:t>472</w:t>
            </w:r>
          </w:p>
        </w:tc>
        <w:tc>
          <w:tcPr>
            <w:tcW w:w="60" w:type="dxa"/>
            <w:vAlign w:val="bottom"/>
            <w:tcBorders>
              <w:left w:val="single" w:sz="8" w:color="E2EEF6"/>
            </w:tcBorders>
            <w:shd w:val="clear" w:color="auto" w:fill="E2EEF6"/>
          </w:tcPr>
          <w:p>
            <w:pPr>
              <w:spacing w:after="0"/>
              <w:rPr>
                <w:sz w:val="15"/>
                <w:szCs w:val="15"/>
                <w:color w:val="auto"/>
              </w:rPr>
            </w:pPr>
          </w:p>
        </w:tc>
        <w:tc>
          <w:tcPr>
            <w:tcW w:w="80" w:type="dxa"/>
            <w:vAlign w:val="bottom"/>
            <w:shd w:val="clear" w:color="auto" w:fill="E2EEF6"/>
          </w:tcPr>
          <w:p>
            <w:pPr>
              <w:spacing w:after="0"/>
              <w:rPr>
                <w:sz w:val="15"/>
                <w:szCs w:val="15"/>
                <w:color w:val="auto"/>
              </w:rPr>
            </w:pPr>
          </w:p>
        </w:tc>
        <w:tc>
          <w:tcPr>
            <w:tcW w:w="480" w:type="dxa"/>
            <w:vAlign w:val="bottom"/>
            <w:shd w:val="clear" w:color="auto" w:fill="E2EEF6"/>
          </w:tcPr>
          <w:p>
            <w:pPr>
              <w:jc w:val="right"/>
              <w:spacing w:after="0"/>
              <w:rPr>
                <w:sz w:val="20"/>
                <w:szCs w:val="20"/>
                <w:color w:val="auto"/>
              </w:rPr>
            </w:pPr>
            <w:r>
              <w:rPr>
                <w:rFonts w:ascii="Arial" w:cs="Arial" w:eastAsia="Arial" w:hAnsi="Arial"/>
                <w:sz w:val="14"/>
                <w:szCs w:val="14"/>
                <w:color w:val="auto"/>
              </w:rPr>
              <w:t>29,755</w:t>
            </w:r>
          </w:p>
        </w:tc>
        <w:tc>
          <w:tcPr>
            <w:tcW w:w="660" w:type="dxa"/>
            <w:vAlign w:val="bottom"/>
            <w:tcBorders>
              <w:left w:val="single" w:sz="8" w:color="E2EEF6"/>
            </w:tcBorders>
            <w:gridSpan w:val="3"/>
            <w:shd w:val="clear" w:color="auto" w:fill="E2EEF6"/>
          </w:tcPr>
          <w:p>
            <w:pPr>
              <w:jc w:val="right"/>
              <w:ind w:right="40"/>
              <w:spacing w:after="0"/>
              <w:rPr>
                <w:sz w:val="20"/>
                <w:szCs w:val="20"/>
                <w:color w:val="auto"/>
              </w:rPr>
            </w:pPr>
            <w:r>
              <w:rPr>
                <w:rFonts w:ascii="Arial" w:cs="Arial" w:eastAsia="Arial" w:hAnsi="Arial"/>
                <w:sz w:val="14"/>
                <w:szCs w:val="14"/>
                <w:color w:val="auto"/>
              </w:rPr>
              <w:t>21,700</w:t>
            </w:r>
          </w:p>
        </w:tc>
        <w:tc>
          <w:tcPr>
            <w:tcW w:w="540" w:type="dxa"/>
            <w:vAlign w:val="bottom"/>
            <w:gridSpan w:val="2"/>
            <w:shd w:val="clear" w:color="auto" w:fill="E2EEF6"/>
          </w:tcPr>
          <w:p>
            <w:pPr>
              <w:jc w:val="right"/>
              <w:ind w:right="40"/>
              <w:spacing w:after="0"/>
              <w:rPr>
                <w:sz w:val="20"/>
                <w:szCs w:val="20"/>
                <w:color w:val="auto"/>
              </w:rPr>
            </w:pPr>
            <w:r>
              <w:rPr>
                <w:rFonts w:ascii="Arial" w:cs="Arial" w:eastAsia="Arial" w:hAnsi="Arial"/>
                <w:sz w:val="14"/>
                <w:szCs w:val="14"/>
                <w:color w:val="auto"/>
              </w:rPr>
              <w:t>8,055</w:t>
            </w:r>
          </w:p>
        </w:tc>
      </w:tr>
      <w:tr>
        <w:trPr>
          <w:trHeight w:val="170"/>
        </w:trPr>
        <w:tc>
          <w:tcPr>
            <w:tcW w:w="1520" w:type="dxa"/>
            <w:vAlign w:val="bottom"/>
          </w:tcPr>
          <w:p>
            <w:pPr>
              <w:spacing w:after="0"/>
              <w:rPr>
                <w:sz w:val="20"/>
                <w:szCs w:val="20"/>
                <w:color w:val="auto"/>
              </w:rPr>
            </w:pPr>
            <w:r>
              <w:rPr>
                <w:rFonts w:ascii="Arial" w:cs="Arial" w:eastAsia="Arial" w:hAnsi="Arial"/>
                <w:sz w:val="14"/>
                <w:szCs w:val="14"/>
                <w:color w:val="auto"/>
              </w:rPr>
              <w:t>Depreciation and</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1"/>
        </w:trPr>
        <w:tc>
          <w:tcPr>
            <w:tcW w:w="1520" w:type="dxa"/>
            <w:vAlign w:val="bottom"/>
          </w:tcPr>
          <w:p>
            <w:pPr>
              <w:spacing w:after="0"/>
              <w:rPr>
                <w:sz w:val="20"/>
                <w:szCs w:val="20"/>
                <w:color w:val="auto"/>
              </w:rPr>
            </w:pPr>
            <w:r>
              <w:rPr>
                <w:rFonts w:ascii="Arial" w:cs="Arial" w:eastAsia="Arial" w:hAnsi="Arial"/>
                <w:sz w:val="14"/>
                <w:szCs w:val="14"/>
                <w:color w:val="auto"/>
              </w:rPr>
              <w:t>amortization</w:t>
            </w:r>
          </w:p>
        </w:tc>
        <w:tc>
          <w:tcPr>
            <w:tcW w:w="500" w:type="dxa"/>
            <w:vAlign w:val="bottom"/>
          </w:tcPr>
          <w:p>
            <w:pPr>
              <w:jc w:val="right"/>
              <w:spacing w:after="0"/>
              <w:rPr>
                <w:sz w:val="20"/>
                <w:szCs w:val="20"/>
                <w:color w:val="auto"/>
              </w:rPr>
            </w:pPr>
            <w:r>
              <w:rPr>
                <w:rFonts w:ascii="Arial" w:cs="Arial" w:eastAsia="Arial" w:hAnsi="Arial"/>
                <w:sz w:val="14"/>
                <w:szCs w:val="14"/>
                <w:color w:val="auto"/>
              </w:rPr>
              <w:t>3,662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3,610</w:t>
            </w:r>
          </w:p>
        </w:tc>
        <w:tc>
          <w:tcPr>
            <w:tcW w:w="500" w:type="dxa"/>
            <w:vAlign w:val="bottom"/>
          </w:tcPr>
          <w:p>
            <w:pPr>
              <w:jc w:val="right"/>
              <w:spacing w:after="0"/>
              <w:rPr>
                <w:sz w:val="20"/>
                <w:szCs w:val="20"/>
                <w:color w:val="auto"/>
              </w:rPr>
            </w:pPr>
            <w:r>
              <w:rPr>
                <w:rFonts w:ascii="Arial" w:cs="Arial" w:eastAsia="Arial" w:hAnsi="Arial"/>
                <w:sz w:val="14"/>
                <w:szCs w:val="14"/>
                <w:color w:val="auto"/>
              </w:rPr>
              <w:t>52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9,893</w:t>
            </w:r>
          </w:p>
        </w:tc>
        <w:tc>
          <w:tcPr>
            <w:tcW w:w="8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7,546</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2,347</w:t>
            </w:r>
          </w:p>
        </w:tc>
        <w:tc>
          <w:tcPr>
            <w:tcW w:w="520" w:type="dxa"/>
            <w:vAlign w:val="bottom"/>
          </w:tcPr>
          <w:p>
            <w:pPr>
              <w:jc w:val="right"/>
              <w:spacing w:after="0"/>
              <w:rPr>
                <w:sz w:val="20"/>
                <w:szCs w:val="20"/>
                <w:color w:val="auto"/>
              </w:rPr>
            </w:pPr>
            <w:r>
              <w:rPr>
                <w:rFonts w:ascii="Arial" w:cs="Arial" w:eastAsia="Arial" w:hAnsi="Arial"/>
                <w:sz w:val="14"/>
                <w:szCs w:val="14"/>
                <w:color w:val="auto"/>
              </w:rPr>
              <w:t>2,578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2,535</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16,133</w:t>
            </w:r>
          </w:p>
        </w:tc>
        <w:tc>
          <w:tcPr>
            <w:tcW w:w="660" w:type="dxa"/>
            <w:vAlign w:val="bottom"/>
            <w:gridSpan w:val="3"/>
          </w:tcPr>
          <w:p>
            <w:pPr>
              <w:jc w:val="right"/>
              <w:ind w:right="40"/>
              <w:spacing w:after="0"/>
              <w:rPr>
                <w:sz w:val="20"/>
                <w:szCs w:val="20"/>
                <w:color w:val="auto"/>
              </w:rPr>
            </w:pPr>
            <w:r>
              <w:rPr>
                <w:rFonts w:ascii="Arial" w:cs="Arial" w:eastAsia="Arial" w:hAnsi="Arial"/>
                <w:sz w:val="14"/>
                <w:szCs w:val="14"/>
                <w:color w:val="auto"/>
              </w:rPr>
              <w:t>13,691</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2,442</w:t>
            </w:r>
          </w:p>
        </w:tc>
      </w:tr>
      <w:tr>
        <w:trPr>
          <w:trHeight w:val="170"/>
        </w:trPr>
        <w:tc>
          <w:tcPr>
            <w:tcW w:w="1520" w:type="dxa"/>
            <w:vAlign w:val="bottom"/>
            <w:shd w:val="clear" w:color="auto" w:fill="E2EEF6"/>
          </w:tcPr>
          <w:p>
            <w:pPr>
              <w:spacing w:after="0"/>
              <w:rPr>
                <w:sz w:val="20"/>
                <w:szCs w:val="20"/>
                <w:color w:val="auto"/>
              </w:rPr>
            </w:pPr>
            <w:r>
              <w:rPr>
                <w:rFonts w:ascii="Arial" w:cs="Arial" w:eastAsia="Arial" w:hAnsi="Arial"/>
                <w:sz w:val="14"/>
                <w:szCs w:val="14"/>
                <w:color w:val="auto"/>
              </w:rPr>
              <w:t>Restructuring and</w:t>
            </w:r>
          </w:p>
        </w:tc>
        <w:tc>
          <w:tcPr>
            <w:tcW w:w="500" w:type="dxa"/>
            <w:vAlign w:val="bottom"/>
            <w:shd w:val="clear" w:color="auto" w:fill="E2EEF6"/>
          </w:tcPr>
          <w:p>
            <w:pPr>
              <w:spacing w:after="0"/>
              <w:rPr>
                <w:sz w:val="14"/>
                <w:szCs w:val="14"/>
                <w:color w:val="auto"/>
              </w:rPr>
            </w:pPr>
          </w:p>
        </w:tc>
        <w:tc>
          <w:tcPr>
            <w:tcW w:w="60" w:type="dxa"/>
            <w:vAlign w:val="bottom"/>
            <w:tcBorders>
              <w:left w:val="single" w:sz="8" w:color="E2EEF6"/>
            </w:tcBorders>
            <w:shd w:val="clear" w:color="auto" w:fill="E2EEF6"/>
          </w:tcPr>
          <w:p>
            <w:pPr>
              <w:spacing w:after="0"/>
              <w:rPr>
                <w:sz w:val="14"/>
                <w:szCs w:val="14"/>
                <w:color w:val="auto"/>
              </w:rPr>
            </w:pPr>
          </w:p>
        </w:tc>
        <w:tc>
          <w:tcPr>
            <w:tcW w:w="80" w:type="dxa"/>
            <w:vAlign w:val="bottom"/>
            <w:shd w:val="clear" w:color="auto" w:fill="E2EEF6"/>
          </w:tcPr>
          <w:p>
            <w:pPr>
              <w:spacing w:after="0"/>
              <w:rPr>
                <w:sz w:val="14"/>
                <w:szCs w:val="14"/>
                <w:color w:val="auto"/>
              </w:rPr>
            </w:pPr>
          </w:p>
        </w:tc>
        <w:tc>
          <w:tcPr>
            <w:tcW w:w="420" w:type="dxa"/>
            <w:vAlign w:val="bottom"/>
            <w:shd w:val="clear" w:color="auto" w:fill="E2EEF6"/>
          </w:tcPr>
          <w:p>
            <w:pPr>
              <w:spacing w:after="0"/>
              <w:rPr>
                <w:sz w:val="14"/>
                <w:szCs w:val="14"/>
                <w:color w:val="auto"/>
              </w:rPr>
            </w:pPr>
          </w:p>
        </w:tc>
        <w:tc>
          <w:tcPr>
            <w:tcW w:w="60" w:type="dxa"/>
            <w:vAlign w:val="bottom"/>
            <w:shd w:val="clear" w:color="auto" w:fill="E2EEF6"/>
          </w:tcPr>
          <w:p>
            <w:pPr>
              <w:spacing w:after="0"/>
              <w:rPr>
                <w:sz w:val="14"/>
                <w:szCs w:val="14"/>
                <w:color w:val="auto"/>
              </w:rPr>
            </w:pPr>
          </w:p>
        </w:tc>
        <w:tc>
          <w:tcPr>
            <w:tcW w:w="500" w:type="dxa"/>
            <w:vAlign w:val="bottom"/>
            <w:shd w:val="clear" w:color="auto" w:fill="E2EEF6"/>
          </w:tcPr>
          <w:p>
            <w:pPr>
              <w:spacing w:after="0"/>
              <w:rPr>
                <w:sz w:val="14"/>
                <w:szCs w:val="14"/>
                <w:color w:val="auto"/>
              </w:rPr>
            </w:pPr>
          </w:p>
        </w:tc>
        <w:tc>
          <w:tcPr>
            <w:tcW w:w="60" w:type="dxa"/>
            <w:vAlign w:val="bottom"/>
            <w:shd w:val="clear" w:color="auto" w:fill="E2EEF6"/>
          </w:tcPr>
          <w:p>
            <w:pPr>
              <w:spacing w:after="0"/>
              <w:rPr>
                <w:sz w:val="14"/>
                <w:szCs w:val="14"/>
                <w:color w:val="auto"/>
              </w:rPr>
            </w:pPr>
          </w:p>
        </w:tc>
        <w:tc>
          <w:tcPr>
            <w:tcW w:w="80" w:type="dxa"/>
            <w:vAlign w:val="bottom"/>
            <w:shd w:val="clear" w:color="auto" w:fill="E2EEF6"/>
          </w:tcPr>
          <w:p>
            <w:pPr>
              <w:spacing w:after="0"/>
              <w:rPr>
                <w:sz w:val="14"/>
                <w:szCs w:val="14"/>
                <w:color w:val="auto"/>
              </w:rPr>
            </w:pPr>
          </w:p>
        </w:tc>
        <w:tc>
          <w:tcPr>
            <w:tcW w:w="480" w:type="dxa"/>
            <w:vAlign w:val="bottom"/>
            <w:shd w:val="clear" w:color="auto" w:fill="E2EEF6"/>
          </w:tcPr>
          <w:p>
            <w:pPr>
              <w:spacing w:after="0"/>
              <w:rPr>
                <w:sz w:val="14"/>
                <w:szCs w:val="14"/>
                <w:color w:val="auto"/>
              </w:rPr>
            </w:pPr>
          </w:p>
        </w:tc>
        <w:tc>
          <w:tcPr>
            <w:tcW w:w="60" w:type="dxa"/>
            <w:vAlign w:val="bottom"/>
            <w:shd w:val="clear" w:color="auto" w:fill="E2EEF6"/>
          </w:tcPr>
          <w:p>
            <w:pPr>
              <w:spacing w:after="0"/>
              <w:rPr>
                <w:sz w:val="14"/>
                <w:szCs w:val="14"/>
                <w:color w:val="auto"/>
              </w:rPr>
            </w:pPr>
          </w:p>
        </w:tc>
        <w:tc>
          <w:tcPr>
            <w:tcW w:w="80" w:type="dxa"/>
            <w:vAlign w:val="bottom"/>
            <w:shd w:val="clear" w:color="auto" w:fill="E2EEF6"/>
          </w:tcPr>
          <w:p>
            <w:pPr>
              <w:spacing w:after="0"/>
              <w:rPr>
                <w:sz w:val="14"/>
                <w:szCs w:val="14"/>
                <w:color w:val="auto"/>
              </w:rPr>
            </w:pPr>
          </w:p>
        </w:tc>
        <w:tc>
          <w:tcPr>
            <w:tcW w:w="480" w:type="dxa"/>
            <w:vAlign w:val="bottom"/>
            <w:shd w:val="clear" w:color="auto" w:fill="E2EEF6"/>
          </w:tcPr>
          <w:p>
            <w:pPr>
              <w:spacing w:after="0"/>
              <w:rPr>
                <w:sz w:val="14"/>
                <w:szCs w:val="14"/>
                <w:color w:val="auto"/>
              </w:rPr>
            </w:pPr>
          </w:p>
        </w:tc>
        <w:tc>
          <w:tcPr>
            <w:tcW w:w="60" w:type="dxa"/>
            <w:vAlign w:val="bottom"/>
            <w:shd w:val="clear" w:color="auto" w:fill="E2EEF6"/>
          </w:tcPr>
          <w:p>
            <w:pPr>
              <w:spacing w:after="0"/>
              <w:rPr>
                <w:sz w:val="14"/>
                <w:szCs w:val="14"/>
                <w:color w:val="auto"/>
              </w:rPr>
            </w:pPr>
          </w:p>
        </w:tc>
        <w:tc>
          <w:tcPr>
            <w:tcW w:w="500" w:type="dxa"/>
            <w:vAlign w:val="bottom"/>
            <w:shd w:val="clear" w:color="auto" w:fill="E2EEF6"/>
          </w:tcPr>
          <w:p>
            <w:pPr>
              <w:spacing w:after="0"/>
              <w:rPr>
                <w:sz w:val="14"/>
                <w:szCs w:val="14"/>
                <w:color w:val="auto"/>
              </w:rPr>
            </w:pPr>
          </w:p>
        </w:tc>
        <w:tc>
          <w:tcPr>
            <w:tcW w:w="100" w:type="dxa"/>
            <w:vAlign w:val="bottom"/>
            <w:shd w:val="clear" w:color="auto" w:fill="E2EEF6"/>
          </w:tcPr>
          <w:p>
            <w:pPr>
              <w:spacing w:after="0"/>
              <w:rPr>
                <w:sz w:val="14"/>
                <w:szCs w:val="14"/>
                <w:color w:val="auto"/>
              </w:rPr>
            </w:pPr>
          </w:p>
        </w:tc>
        <w:tc>
          <w:tcPr>
            <w:tcW w:w="520" w:type="dxa"/>
            <w:vAlign w:val="bottom"/>
            <w:shd w:val="clear" w:color="auto" w:fill="E2EEF6"/>
          </w:tcPr>
          <w:p>
            <w:pPr>
              <w:spacing w:after="0"/>
              <w:rPr>
                <w:sz w:val="14"/>
                <w:szCs w:val="14"/>
                <w:color w:val="auto"/>
              </w:rPr>
            </w:pPr>
          </w:p>
        </w:tc>
        <w:tc>
          <w:tcPr>
            <w:tcW w:w="80" w:type="dxa"/>
            <w:vAlign w:val="bottom"/>
            <w:tcBorders>
              <w:left w:val="single" w:sz="8" w:color="E2EEF6"/>
            </w:tcBorders>
            <w:shd w:val="clear" w:color="auto" w:fill="E2EEF6"/>
          </w:tcPr>
          <w:p>
            <w:pPr>
              <w:spacing w:after="0"/>
              <w:rPr>
                <w:sz w:val="14"/>
                <w:szCs w:val="14"/>
                <w:color w:val="auto"/>
              </w:rPr>
            </w:pPr>
          </w:p>
        </w:tc>
        <w:tc>
          <w:tcPr>
            <w:tcW w:w="80" w:type="dxa"/>
            <w:vAlign w:val="bottom"/>
            <w:shd w:val="clear" w:color="auto" w:fill="E2EEF6"/>
          </w:tcPr>
          <w:p>
            <w:pPr>
              <w:spacing w:after="0"/>
              <w:rPr>
                <w:sz w:val="14"/>
                <w:szCs w:val="14"/>
                <w:color w:val="auto"/>
              </w:rPr>
            </w:pPr>
          </w:p>
        </w:tc>
        <w:tc>
          <w:tcPr>
            <w:tcW w:w="440" w:type="dxa"/>
            <w:vAlign w:val="bottom"/>
            <w:shd w:val="clear" w:color="auto" w:fill="E2EEF6"/>
          </w:tcPr>
          <w:p>
            <w:pPr>
              <w:spacing w:after="0"/>
              <w:rPr>
                <w:sz w:val="14"/>
                <w:szCs w:val="14"/>
                <w:color w:val="auto"/>
              </w:rPr>
            </w:pPr>
          </w:p>
        </w:tc>
        <w:tc>
          <w:tcPr>
            <w:tcW w:w="60" w:type="dxa"/>
            <w:vAlign w:val="bottom"/>
            <w:shd w:val="clear" w:color="auto" w:fill="E2EEF6"/>
          </w:tcPr>
          <w:p>
            <w:pPr>
              <w:spacing w:after="0"/>
              <w:rPr>
                <w:sz w:val="14"/>
                <w:szCs w:val="14"/>
                <w:color w:val="auto"/>
              </w:rPr>
            </w:pPr>
          </w:p>
        </w:tc>
        <w:tc>
          <w:tcPr>
            <w:tcW w:w="100" w:type="dxa"/>
            <w:vAlign w:val="bottom"/>
            <w:shd w:val="clear" w:color="auto" w:fill="E2EEF6"/>
          </w:tcPr>
          <w:p>
            <w:pPr>
              <w:spacing w:after="0"/>
              <w:rPr>
                <w:sz w:val="14"/>
                <w:szCs w:val="14"/>
                <w:color w:val="auto"/>
              </w:rPr>
            </w:pPr>
          </w:p>
        </w:tc>
        <w:tc>
          <w:tcPr>
            <w:tcW w:w="400" w:type="dxa"/>
            <w:vAlign w:val="bottom"/>
            <w:shd w:val="clear" w:color="auto" w:fill="E2EEF6"/>
          </w:tcPr>
          <w:p>
            <w:pPr>
              <w:spacing w:after="0"/>
              <w:rPr>
                <w:sz w:val="14"/>
                <w:szCs w:val="14"/>
                <w:color w:val="auto"/>
              </w:rPr>
            </w:pPr>
          </w:p>
        </w:tc>
        <w:tc>
          <w:tcPr>
            <w:tcW w:w="60" w:type="dxa"/>
            <w:vAlign w:val="bottom"/>
            <w:tcBorders>
              <w:left w:val="single" w:sz="8" w:color="E2EEF6"/>
            </w:tcBorders>
            <w:shd w:val="clear" w:color="auto" w:fill="E2EEF6"/>
          </w:tcPr>
          <w:p>
            <w:pPr>
              <w:spacing w:after="0"/>
              <w:rPr>
                <w:sz w:val="14"/>
                <w:szCs w:val="14"/>
                <w:color w:val="auto"/>
              </w:rPr>
            </w:pPr>
          </w:p>
        </w:tc>
        <w:tc>
          <w:tcPr>
            <w:tcW w:w="80" w:type="dxa"/>
            <w:vAlign w:val="bottom"/>
            <w:shd w:val="clear" w:color="auto" w:fill="E2EEF6"/>
          </w:tcPr>
          <w:p>
            <w:pPr>
              <w:spacing w:after="0"/>
              <w:rPr>
                <w:sz w:val="14"/>
                <w:szCs w:val="14"/>
                <w:color w:val="auto"/>
              </w:rPr>
            </w:pPr>
          </w:p>
        </w:tc>
        <w:tc>
          <w:tcPr>
            <w:tcW w:w="480" w:type="dxa"/>
            <w:vAlign w:val="bottom"/>
            <w:shd w:val="clear" w:color="auto" w:fill="E2EEF6"/>
          </w:tcPr>
          <w:p>
            <w:pPr>
              <w:spacing w:after="0"/>
              <w:rPr>
                <w:sz w:val="14"/>
                <w:szCs w:val="14"/>
                <w:color w:val="auto"/>
              </w:rPr>
            </w:pPr>
          </w:p>
        </w:tc>
        <w:tc>
          <w:tcPr>
            <w:tcW w:w="60" w:type="dxa"/>
            <w:vAlign w:val="bottom"/>
            <w:tcBorders>
              <w:left w:val="single" w:sz="8" w:color="E2EEF6"/>
            </w:tcBorders>
            <w:shd w:val="clear" w:color="auto" w:fill="E2EEF6"/>
          </w:tcPr>
          <w:p>
            <w:pPr>
              <w:spacing w:after="0"/>
              <w:rPr>
                <w:sz w:val="14"/>
                <w:szCs w:val="14"/>
                <w:color w:val="auto"/>
              </w:rPr>
            </w:pPr>
          </w:p>
        </w:tc>
        <w:tc>
          <w:tcPr>
            <w:tcW w:w="560" w:type="dxa"/>
            <w:vAlign w:val="bottom"/>
            <w:shd w:val="clear" w:color="auto" w:fill="E2EEF6"/>
          </w:tcPr>
          <w:p>
            <w:pPr>
              <w:spacing w:after="0"/>
              <w:rPr>
                <w:sz w:val="14"/>
                <w:szCs w:val="14"/>
                <w:color w:val="auto"/>
              </w:rPr>
            </w:pPr>
          </w:p>
        </w:tc>
        <w:tc>
          <w:tcPr>
            <w:tcW w:w="40" w:type="dxa"/>
            <w:vAlign w:val="bottom"/>
            <w:shd w:val="clear" w:color="auto" w:fill="E2EEF6"/>
          </w:tcPr>
          <w:p>
            <w:pPr>
              <w:spacing w:after="0"/>
              <w:rPr>
                <w:sz w:val="14"/>
                <w:szCs w:val="14"/>
                <w:color w:val="auto"/>
              </w:rPr>
            </w:pPr>
          </w:p>
        </w:tc>
        <w:tc>
          <w:tcPr>
            <w:tcW w:w="500" w:type="dxa"/>
            <w:vAlign w:val="bottom"/>
            <w:shd w:val="clear" w:color="auto" w:fill="E2EEF6"/>
          </w:tcPr>
          <w:p>
            <w:pPr>
              <w:spacing w:after="0"/>
              <w:rPr>
                <w:sz w:val="14"/>
                <w:szCs w:val="14"/>
                <w:color w:val="auto"/>
              </w:rPr>
            </w:pPr>
          </w:p>
        </w:tc>
        <w:tc>
          <w:tcPr>
            <w:tcW w:w="40" w:type="dxa"/>
            <w:vAlign w:val="bottom"/>
            <w:shd w:val="clear" w:color="auto" w:fill="E2EEF6"/>
          </w:tcPr>
          <w:p>
            <w:pPr>
              <w:spacing w:after="0"/>
              <w:rPr>
                <w:sz w:val="14"/>
                <w:szCs w:val="14"/>
                <w:color w:val="auto"/>
              </w:rPr>
            </w:pPr>
          </w:p>
        </w:tc>
      </w:tr>
      <w:tr>
        <w:trPr>
          <w:trHeight w:val="181"/>
        </w:trPr>
        <w:tc>
          <w:tcPr>
            <w:tcW w:w="1520" w:type="dxa"/>
            <w:vAlign w:val="bottom"/>
            <w:shd w:val="clear" w:color="auto" w:fill="E2EEF6"/>
          </w:tcPr>
          <w:p>
            <w:pPr>
              <w:spacing w:after="0"/>
              <w:rPr>
                <w:sz w:val="20"/>
                <w:szCs w:val="20"/>
                <w:color w:val="auto"/>
              </w:rPr>
            </w:pPr>
            <w:r>
              <w:rPr>
                <w:rFonts w:ascii="Arial" w:cs="Arial" w:eastAsia="Arial" w:hAnsi="Arial"/>
                <w:sz w:val="14"/>
                <w:szCs w:val="14"/>
                <w:color w:val="auto"/>
              </w:rPr>
              <w:t>Impairment</w:t>
            </w:r>
          </w:p>
        </w:tc>
        <w:tc>
          <w:tcPr>
            <w:tcW w:w="500" w:type="dxa"/>
            <w:vAlign w:val="bottom"/>
            <w:shd w:val="clear" w:color="auto" w:fill="E2EEF6"/>
          </w:tcPr>
          <w:p>
            <w:pPr>
              <w:jc w:val="right"/>
              <w:spacing w:after="0"/>
              <w:rPr>
                <w:sz w:val="20"/>
                <w:szCs w:val="20"/>
                <w:color w:val="auto"/>
              </w:rPr>
            </w:pPr>
            <w:r>
              <w:rPr>
                <w:rFonts w:ascii="Arial" w:cs="Arial" w:eastAsia="Arial" w:hAnsi="Arial"/>
                <w:sz w:val="14"/>
                <w:szCs w:val="14"/>
                <w:color w:val="auto"/>
              </w:rPr>
              <w:t>108</w:t>
            </w:r>
          </w:p>
        </w:tc>
        <w:tc>
          <w:tcPr>
            <w:tcW w:w="60" w:type="dxa"/>
            <w:vAlign w:val="bottom"/>
            <w:tcBorders>
              <w:left w:val="single" w:sz="8" w:color="E2EEF6"/>
            </w:tcBorders>
            <w:shd w:val="clear" w:color="auto" w:fill="E2EEF6"/>
          </w:tcPr>
          <w:p>
            <w:pPr>
              <w:spacing w:after="0"/>
              <w:rPr>
                <w:sz w:val="15"/>
                <w:szCs w:val="15"/>
                <w:color w:val="auto"/>
              </w:rPr>
            </w:pPr>
          </w:p>
        </w:tc>
        <w:tc>
          <w:tcPr>
            <w:tcW w:w="80" w:type="dxa"/>
            <w:vAlign w:val="bottom"/>
            <w:shd w:val="clear" w:color="auto" w:fill="E2EEF6"/>
          </w:tcPr>
          <w:p>
            <w:pPr>
              <w:spacing w:after="0"/>
              <w:rPr>
                <w:sz w:val="15"/>
                <w:szCs w:val="15"/>
                <w:color w:val="auto"/>
              </w:rPr>
            </w:pPr>
          </w:p>
        </w:tc>
        <w:tc>
          <w:tcPr>
            <w:tcW w:w="480" w:type="dxa"/>
            <w:vAlign w:val="bottom"/>
            <w:gridSpan w:val="2"/>
            <w:shd w:val="clear" w:color="auto" w:fill="E2EEF6"/>
          </w:tcPr>
          <w:p>
            <w:pPr>
              <w:jc w:val="right"/>
              <w:ind w:right="60"/>
              <w:spacing w:after="0"/>
              <w:rPr>
                <w:sz w:val="20"/>
                <w:szCs w:val="20"/>
                <w:color w:val="auto"/>
              </w:rPr>
            </w:pPr>
            <w:r>
              <w:rPr>
                <w:rFonts w:ascii="Arial" w:cs="Arial" w:eastAsia="Arial" w:hAnsi="Arial"/>
                <w:sz w:val="14"/>
                <w:szCs w:val="14"/>
                <w:color w:val="auto"/>
              </w:rPr>
              <w:t>105</w:t>
            </w:r>
          </w:p>
        </w:tc>
        <w:tc>
          <w:tcPr>
            <w:tcW w:w="500" w:type="dxa"/>
            <w:vAlign w:val="bottom"/>
            <w:shd w:val="clear" w:color="auto" w:fill="E2EEF6"/>
          </w:tcPr>
          <w:p>
            <w:pPr>
              <w:jc w:val="right"/>
              <w:spacing w:after="0"/>
              <w:rPr>
                <w:sz w:val="20"/>
                <w:szCs w:val="20"/>
                <w:color w:val="auto"/>
              </w:rPr>
            </w:pPr>
            <w:r>
              <w:rPr>
                <w:rFonts w:ascii="Arial" w:cs="Arial" w:eastAsia="Arial" w:hAnsi="Arial"/>
                <w:sz w:val="14"/>
                <w:szCs w:val="14"/>
                <w:color w:val="auto"/>
              </w:rPr>
              <w:t>3</w:t>
            </w:r>
          </w:p>
        </w:tc>
        <w:tc>
          <w:tcPr>
            <w:tcW w:w="60" w:type="dxa"/>
            <w:vAlign w:val="bottom"/>
            <w:shd w:val="clear" w:color="auto" w:fill="E2EEF6"/>
          </w:tcPr>
          <w:p>
            <w:pPr>
              <w:spacing w:after="0"/>
              <w:rPr>
                <w:sz w:val="15"/>
                <w:szCs w:val="15"/>
                <w:color w:val="auto"/>
              </w:rPr>
            </w:pPr>
          </w:p>
        </w:tc>
        <w:tc>
          <w:tcPr>
            <w:tcW w:w="80" w:type="dxa"/>
            <w:vAlign w:val="bottom"/>
            <w:shd w:val="clear" w:color="auto" w:fill="E2EEF6"/>
          </w:tcPr>
          <w:p>
            <w:pPr>
              <w:spacing w:after="0"/>
              <w:rPr>
                <w:sz w:val="15"/>
                <w:szCs w:val="15"/>
                <w:color w:val="auto"/>
              </w:rPr>
            </w:pPr>
          </w:p>
        </w:tc>
        <w:tc>
          <w:tcPr>
            <w:tcW w:w="540" w:type="dxa"/>
            <w:vAlign w:val="bottom"/>
            <w:gridSpan w:val="2"/>
            <w:shd w:val="clear" w:color="auto" w:fill="E2EEF6"/>
          </w:tcPr>
          <w:p>
            <w:pPr>
              <w:jc w:val="right"/>
              <w:ind w:right="60"/>
              <w:spacing w:after="0"/>
              <w:rPr>
                <w:sz w:val="20"/>
                <w:szCs w:val="20"/>
                <w:color w:val="auto"/>
              </w:rPr>
            </w:pPr>
            <w:r>
              <w:rPr>
                <w:rFonts w:ascii="Arial" w:cs="Arial" w:eastAsia="Arial" w:hAnsi="Arial"/>
                <w:sz w:val="14"/>
                <w:szCs w:val="14"/>
                <w:color w:val="auto"/>
              </w:rPr>
              <w:t>2,290</w:t>
            </w:r>
          </w:p>
        </w:tc>
        <w:tc>
          <w:tcPr>
            <w:tcW w:w="80" w:type="dxa"/>
            <w:vAlign w:val="bottom"/>
            <w:shd w:val="clear" w:color="auto" w:fill="E2EEF6"/>
          </w:tcPr>
          <w:p>
            <w:pPr>
              <w:spacing w:after="0"/>
              <w:rPr>
                <w:sz w:val="15"/>
                <w:szCs w:val="15"/>
                <w:color w:val="auto"/>
              </w:rPr>
            </w:pPr>
          </w:p>
        </w:tc>
        <w:tc>
          <w:tcPr>
            <w:tcW w:w="540" w:type="dxa"/>
            <w:vAlign w:val="bottom"/>
            <w:gridSpan w:val="2"/>
            <w:shd w:val="clear" w:color="auto" w:fill="E2EEF6"/>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2,290</w:t>
            </w: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E2EEF6"/>
            </w:tcBorders>
            <w:shd w:val="clear" w:color="auto" w:fill="E2EEF6"/>
          </w:tcPr>
          <w:p>
            <w:pPr>
              <w:spacing w:after="0"/>
              <w:rPr>
                <w:sz w:val="15"/>
                <w:szCs w:val="15"/>
                <w:color w:val="auto"/>
              </w:rPr>
            </w:pPr>
          </w:p>
        </w:tc>
        <w:tc>
          <w:tcPr>
            <w:tcW w:w="80" w:type="dxa"/>
            <w:vAlign w:val="bottom"/>
            <w:shd w:val="clear" w:color="auto" w:fill="E2EEF6"/>
          </w:tcPr>
          <w:p>
            <w:pPr>
              <w:spacing w:after="0"/>
              <w:rPr>
                <w:sz w:val="15"/>
                <w:szCs w:val="15"/>
                <w:color w:val="auto"/>
              </w:rPr>
            </w:pPr>
          </w:p>
        </w:tc>
        <w:tc>
          <w:tcPr>
            <w:tcW w:w="500" w:type="dxa"/>
            <w:vAlign w:val="bottom"/>
            <w:gridSpan w:val="2"/>
            <w:shd w:val="clear" w:color="auto" w:fill="E2EEF6"/>
          </w:tcPr>
          <w:p>
            <w:pPr>
              <w:jc w:val="right"/>
              <w:ind w:right="60"/>
              <w:spacing w:after="0"/>
              <w:rPr>
                <w:sz w:val="20"/>
                <w:szCs w:val="20"/>
                <w:color w:val="auto"/>
              </w:rPr>
            </w:pPr>
            <w:r>
              <w:rPr>
                <w:rFonts w:ascii="Arial" w:cs="Arial" w:eastAsia="Arial" w:hAnsi="Arial"/>
                <w:sz w:val="14"/>
                <w:szCs w:val="14"/>
                <w:color w:val="auto"/>
              </w:rPr>
              <w:t>2,385</w:t>
            </w:r>
          </w:p>
        </w:tc>
        <w:tc>
          <w:tcPr>
            <w:tcW w:w="100" w:type="dxa"/>
            <w:vAlign w:val="bottom"/>
            <w:shd w:val="clear" w:color="auto" w:fill="E2EEF6"/>
          </w:tcPr>
          <w:p>
            <w:pPr>
              <w:spacing w:after="0"/>
              <w:rPr>
                <w:sz w:val="15"/>
                <w:szCs w:val="15"/>
                <w:color w:val="auto"/>
              </w:rPr>
            </w:pPr>
          </w:p>
        </w:tc>
        <w:tc>
          <w:tcPr>
            <w:tcW w:w="400" w:type="dxa"/>
            <w:vAlign w:val="bottom"/>
            <w:shd w:val="clear" w:color="auto" w:fill="E2EEF6"/>
          </w:tcPr>
          <w:p>
            <w:pPr>
              <w:jc w:val="right"/>
              <w:spacing w:after="0"/>
              <w:rPr>
                <w:sz w:val="20"/>
                <w:szCs w:val="20"/>
                <w:color w:val="auto"/>
              </w:rPr>
            </w:pPr>
            <w:r>
              <w:rPr>
                <w:rFonts w:ascii="Arial" w:cs="Arial" w:eastAsia="Arial" w:hAnsi="Arial"/>
                <w:sz w:val="14"/>
                <w:szCs w:val="14"/>
                <w:color w:val="auto"/>
                <w:w w:val="94"/>
              </w:rPr>
              <w:t>(2,385)</w:t>
            </w:r>
          </w:p>
        </w:tc>
        <w:tc>
          <w:tcPr>
            <w:tcW w:w="60" w:type="dxa"/>
            <w:vAlign w:val="bottom"/>
            <w:tcBorders>
              <w:left w:val="single" w:sz="8" w:color="E2EEF6"/>
            </w:tcBorders>
            <w:shd w:val="clear" w:color="auto" w:fill="E2EEF6"/>
          </w:tcPr>
          <w:p>
            <w:pPr>
              <w:spacing w:after="0"/>
              <w:rPr>
                <w:sz w:val="15"/>
                <w:szCs w:val="15"/>
                <w:color w:val="auto"/>
              </w:rPr>
            </w:pPr>
          </w:p>
        </w:tc>
        <w:tc>
          <w:tcPr>
            <w:tcW w:w="80" w:type="dxa"/>
            <w:vAlign w:val="bottom"/>
            <w:shd w:val="clear" w:color="auto" w:fill="E2EEF6"/>
          </w:tcPr>
          <w:p>
            <w:pPr>
              <w:spacing w:after="0"/>
              <w:rPr>
                <w:sz w:val="15"/>
                <w:szCs w:val="15"/>
                <w:color w:val="auto"/>
              </w:rPr>
            </w:pPr>
          </w:p>
        </w:tc>
        <w:tc>
          <w:tcPr>
            <w:tcW w:w="480" w:type="dxa"/>
            <w:vAlign w:val="bottom"/>
            <w:shd w:val="clear" w:color="auto" w:fill="E2EEF6"/>
          </w:tcPr>
          <w:p>
            <w:pPr>
              <w:jc w:val="right"/>
              <w:spacing w:after="0"/>
              <w:rPr>
                <w:sz w:val="20"/>
                <w:szCs w:val="20"/>
                <w:color w:val="auto"/>
              </w:rPr>
            </w:pPr>
            <w:r>
              <w:rPr>
                <w:rFonts w:ascii="Arial" w:cs="Arial" w:eastAsia="Arial" w:hAnsi="Arial"/>
                <w:sz w:val="14"/>
                <w:szCs w:val="14"/>
                <w:color w:val="auto"/>
              </w:rPr>
              <w:t>2,398</w:t>
            </w:r>
          </w:p>
        </w:tc>
        <w:tc>
          <w:tcPr>
            <w:tcW w:w="660" w:type="dxa"/>
            <w:vAlign w:val="bottom"/>
            <w:tcBorders>
              <w:left w:val="single" w:sz="8" w:color="E2EEF6"/>
            </w:tcBorders>
            <w:gridSpan w:val="3"/>
            <w:shd w:val="clear" w:color="auto" w:fill="E2EEF6"/>
          </w:tcPr>
          <w:p>
            <w:pPr>
              <w:jc w:val="right"/>
              <w:ind w:right="40"/>
              <w:spacing w:after="0"/>
              <w:rPr>
                <w:sz w:val="20"/>
                <w:szCs w:val="20"/>
                <w:color w:val="auto"/>
              </w:rPr>
            </w:pPr>
            <w:r>
              <w:rPr>
                <w:rFonts w:ascii="Arial" w:cs="Arial" w:eastAsia="Arial" w:hAnsi="Arial"/>
                <w:sz w:val="14"/>
                <w:szCs w:val="14"/>
                <w:color w:val="auto"/>
              </w:rPr>
              <w:t>2,490</w:t>
            </w:r>
          </w:p>
        </w:tc>
        <w:tc>
          <w:tcPr>
            <w:tcW w:w="540" w:type="dxa"/>
            <w:vAlign w:val="bottom"/>
            <w:gridSpan w:val="2"/>
            <w:shd w:val="clear" w:color="auto" w:fill="E2EEF6"/>
          </w:tcPr>
          <w:p>
            <w:pPr>
              <w:jc w:val="right"/>
              <w:spacing w:after="0"/>
              <w:rPr>
                <w:sz w:val="20"/>
                <w:szCs w:val="20"/>
                <w:color w:val="auto"/>
              </w:rPr>
            </w:pPr>
            <w:r>
              <w:rPr>
                <w:rFonts w:ascii="Arial" w:cs="Arial" w:eastAsia="Arial" w:hAnsi="Arial"/>
                <w:sz w:val="14"/>
                <w:szCs w:val="14"/>
                <w:color w:val="auto"/>
              </w:rPr>
              <w:t>(92)</w:t>
            </w:r>
          </w:p>
        </w:tc>
      </w:tr>
      <w:tr>
        <w:trPr>
          <w:trHeight w:val="170"/>
        </w:trPr>
        <w:tc>
          <w:tcPr>
            <w:tcW w:w="1520" w:type="dxa"/>
            <w:vAlign w:val="bottom"/>
          </w:tcPr>
          <w:p>
            <w:pPr>
              <w:spacing w:after="0"/>
              <w:rPr>
                <w:sz w:val="20"/>
                <w:szCs w:val="20"/>
                <w:color w:val="auto"/>
              </w:rPr>
            </w:pPr>
            <w:r>
              <w:rPr>
                <w:rFonts w:ascii="Arial" w:cs="Arial" w:eastAsia="Arial" w:hAnsi="Arial"/>
                <w:sz w:val="14"/>
                <w:szCs w:val="14"/>
                <w:color w:val="auto"/>
              </w:rPr>
              <w:t>Gain (loss) on sale of</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1"/>
        </w:trPr>
        <w:tc>
          <w:tcPr>
            <w:tcW w:w="1520" w:type="dxa"/>
            <w:vAlign w:val="bottom"/>
          </w:tcPr>
          <w:p>
            <w:pPr>
              <w:spacing w:after="0"/>
              <w:rPr>
                <w:sz w:val="20"/>
                <w:szCs w:val="20"/>
                <w:color w:val="auto"/>
              </w:rPr>
            </w:pPr>
            <w:r>
              <w:rPr>
                <w:rFonts w:ascii="Arial" w:cs="Arial" w:eastAsia="Arial" w:hAnsi="Arial"/>
                <w:sz w:val="14"/>
                <w:szCs w:val="14"/>
                <w:color w:val="auto"/>
              </w:rPr>
              <w:t>fixed assets</w:t>
            </w:r>
          </w:p>
        </w:tc>
        <w:tc>
          <w:tcPr>
            <w:tcW w:w="500" w:type="dxa"/>
            <w:vAlign w:val="bottom"/>
          </w:tcPr>
          <w:p>
            <w:pPr>
              <w:jc w:val="right"/>
              <w:spacing w:after="0"/>
              <w:rPr>
                <w:sz w:val="20"/>
                <w:szCs w:val="20"/>
                <w:color w:val="auto"/>
              </w:rPr>
            </w:pPr>
            <w:r>
              <w:rPr>
                <w:rFonts w:ascii="Arial" w:cs="Arial" w:eastAsia="Arial" w:hAnsi="Arial"/>
                <w:sz w:val="14"/>
                <w:szCs w:val="14"/>
                <w:color w:val="auto"/>
              </w:rPr>
              <w:t>755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(147)</w:t>
            </w:r>
          </w:p>
        </w:tc>
        <w:tc>
          <w:tcPr>
            <w:tcW w:w="500" w:type="dxa"/>
            <w:vAlign w:val="bottom"/>
          </w:tcPr>
          <w:p>
            <w:pPr>
              <w:jc w:val="right"/>
              <w:spacing w:after="0"/>
              <w:rPr>
                <w:sz w:val="20"/>
                <w:szCs w:val="20"/>
                <w:color w:val="auto"/>
              </w:rPr>
            </w:pPr>
            <w:r>
              <w:rPr>
                <w:rFonts w:ascii="Arial" w:cs="Arial" w:eastAsia="Arial" w:hAnsi="Arial"/>
                <w:sz w:val="14"/>
                <w:szCs w:val="14"/>
                <w:color w:val="auto"/>
              </w:rPr>
              <w:t>902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101</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856</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(147)</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1,003</w:t>
            </w:r>
          </w:p>
        </w:tc>
      </w:tr>
      <w:tr>
        <w:trPr>
          <w:trHeight w:val="243"/>
        </w:trPr>
        <w:tc>
          <w:tcPr>
            <w:tcW w:w="1520" w:type="dxa"/>
            <w:vAlign w:val="bottom"/>
            <w:shd w:val="clear" w:color="auto" w:fill="E2EEF6"/>
          </w:tcPr>
          <w:p>
            <w:pPr>
              <w:spacing w:after="0"/>
              <w:rPr>
                <w:sz w:val="20"/>
                <w:szCs w:val="20"/>
                <w:color w:val="auto"/>
              </w:rPr>
            </w:pPr>
            <w:r>
              <w:rPr>
                <w:rFonts w:ascii="Arial" w:cs="Arial" w:eastAsia="Arial" w:hAnsi="Arial"/>
                <w:sz w:val="14"/>
                <w:szCs w:val="14"/>
                <w:color w:val="auto"/>
              </w:rPr>
              <w:t>Interest</w:t>
            </w:r>
          </w:p>
        </w:tc>
        <w:tc>
          <w:tcPr>
            <w:tcW w:w="500" w:type="dxa"/>
            <w:vAlign w:val="bottom"/>
            <w:shd w:val="clear" w:color="auto" w:fill="E2EEF6"/>
          </w:tcPr>
          <w:p>
            <w:pPr>
              <w:jc w:val="right"/>
              <w:spacing w:after="0"/>
              <w:rPr>
                <w:sz w:val="20"/>
                <w:szCs w:val="20"/>
                <w:color w:val="auto"/>
              </w:rPr>
            </w:pPr>
            <w:r>
              <w:rPr>
                <w:rFonts w:ascii="Arial" w:cs="Arial" w:eastAsia="Arial" w:hAnsi="Arial"/>
                <w:sz w:val="14"/>
                <w:szCs w:val="14"/>
                <w:color w:val="auto"/>
              </w:rPr>
              <w:t>1,639</w:t>
            </w:r>
          </w:p>
        </w:tc>
        <w:tc>
          <w:tcPr>
            <w:tcW w:w="60" w:type="dxa"/>
            <w:vAlign w:val="bottom"/>
            <w:tcBorders>
              <w:left w:val="single" w:sz="8" w:color="E2EEF6"/>
            </w:tcBorders>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480" w:type="dxa"/>
            <w:vAlign w:val="bottom"/>
            <w:gridSpan w:val="2"/>
            <w:shd w:val="clear" w:color="auto" w:fill="E2EEF6"/>
          </w:tcPr>
          <w:p>
            <w:pPr>
              <w:jc w:val="right"/>
              <w:ind w:right="60"/>
              <w:spacing w:after="0"/>
              <w:rPr>
                <w:sz w:val="20"/>
                <w:szCs w:val="20"/>
                <w:color w:val="auto"/>
              </w:rPr>
            </w:pPr>
            <w:r>
              <w:rPr>
                <w:rFonts w:ascii="Arial" w:cs="Arial" w:eastAsia="Arial" w:hAnsi="Arial"/>
                <w:sz w:val="14"/>
                <w:szCs w:val="14"/>
                <w:color w:val="auto"/>
              </w:rPr>
              <w:t>908</w:t>
            </w:r>
          </w:p>
        </w:tc>
        <w:tc>
          <w:tcPr>
            <w:tcW w:w="500" w:type="dxa"/>
            <w:vAlign w:val="bottom"/>
            <w:shd w:val="clear" w:color="auto" w:fill="E2EEF6"/>
          </w:tcPr>
          <w:p>
            <w:pPr>
              <w:jc w:val="right"/>
              <w:spacing w:after="0"/>
              <w:rPr>
                <w:sz w:val="20"/>
                <w:szCs w:val="20"/>
                <w:color w:val="auto"/>
              </w:rPr>
            </w:pPr>
            <w:r>
              <w:rPr>
                <w:rFonts w:ascii="Arial" w:cs="Arial" w:eastAsia="Arial" w:hAnsi="Arial"/>
                <w:sz w:val="14"/>
                <w:szCs w:val="14"/>
                <w:color w:val="auto"/>
              </w:rPr>
              <w:t>731</w:t>
            </w:r>
          </w:p>
        </w:tc>
        <w:tc>
          <w:tcPr>
            <w:tcW w:w="6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540" w:type="dxa"/>
            <w:vAlign w:val="bottom"/>
            <w:gridSpan w:val="2"/>
            <w:shd w:val="clear" w:color="auto" w:fill="E2EEF6"/>
          </w:tcPr>
          <w:p>
            <w:pPr>
              <w:jc w:val="right"/>
              <w:ind w:right="60"/>
              <w:spacing w:after="0"/>
              <w:rPr>
                <w:sz w:val="20"/>
                <w:szCs w:val="20"/>
                <w:color w:val="auto"/>
              </w:rPr>
            </w:pPr>
            <w:r>
              <w:rPr>
                <w:rFonts w:ascii="Arial" w:cs="Arial" w:eastAsia="Arial" w:hAnsi="Arial"/>
                <w:sz w:val="14"/>
                <w:szCs w:val="14"/>
                <w:color w:val="auto"/>
              </w:rPr>
              <w:t>1,423</w:t>
            </w:r>
          </w:p>
        </w:tc>
        <w:tc>
          <w:tcPr>
            <w:tcW w:w="80" w:type="dxa"/>
            <w:vAlign w:val="bottom"/>
            <w:shd w:val="clear" w:color="auto" w:fill="E2EEF6"/>
          </w:tcPr>
          <w:p>
            <w:pPr>
              <w:spacing w:after="0"/>
              <w:rPr>
                <w:sz w:val="21"/>
                <w:szCs w:val="21"/>
                <w:color w:val="auto"/>
              </w:rPr>
            </w:pPr>
          </w:p>
        </w:tc>
        <w:tc>
          <w:tcPr>
            <w:tcW w:w="540" w:type="dxa"/>
            <w:vAlign w:val="bottom"/>
            <w:gridSpan w:val="2"/>
            <w:shd w:val="clear" w:color="auto" w:fill="E2EEF6"/>
          </w:tcPr>
          <w:p>
            <w:pPr>
              <w:jc w:val="right"/>
              <w:ind w:right="60"/>
              <w:spacing w:after="0"/>
              <w:rPr>
                <w:sz w:val="20"/>
                <w:szCs w:val="20"/>
                <w:color w:val="auto"/>
              </w:rPr>
            </w:pPr>
            <w:r>
              <w:rPr>
                <w:rFonts w:ascii="Arial" w:cs="Arial" w:eastAsia="Arial" w:hAnsi="Arial"/>
                <w:sz w:val="14"/>
                <w:szCs w:val="14"/>
                <w:color w:val="auto"/>
              </w:rPr>
              <w:t>1,401</w:t>
            </w:r>
          </w:p>
        </w:tc>
        <w:tc>
          <w:tcPr>
            <w:tcW w:w="60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22</w:t>
            </w: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967</w:t>
            </w:r>
          </w:p>
        </w:tc>
        <w:tc>
          <w:tcPr>
            <w:tcW w:w="80" w:type="dxa"/>
            <w:vAlign w:val="bottom"/>
            <w:tcBorders>
              <w:left w:val="single" w:sz="8" w:color="E2EEF6"/>
            </w:tcBorders>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500" w:type="dxa"/>
            <w:vAlign w:val="bottom"/>
            <w:gridSpan w:val="2"/>
            <w:shd w:val="clear" w:color="auto" w:fill="E2EEF6"/>
          </w:tcPr>
          <w:p>
            <w:pPr>
              <w:jc w:val="right"/>
              <w:ind w:right="60"/>
              <w:spacing w:after="0"/>
              <w:rPr>
                <w:sz w:val="20"/>
                <w:szCs w:val="20"/>
                <w:color w:val="auto"/>
              </w:rPr>
            </w:pPr>
            <w:r>
              <w:rPr>
                <w:rFonts w:ascii="Arial" w:cs="Arial" w:eastAsia="Arial" w:hAnsi="Arial"/>
                <w:sz w:val="14"/>
                <w:szCs w:val="14"/>
                <w:color w:val="auto"/>
              </w:rPr>
              <w:t>1,083</w:t>
            </w:r>
          </w:p>
        </w:tc>
        <w:tc>
          <w:tcPr>
            <w:tcW w:w="100" w:type="dxa"/>
            <w:vAlign w:val="bottom"/>
            <w:shd w:val="clear" w:color="auto" w:fill="E2EEF6"/>
          </w:tcPr>
          <w:p>
            <w:pPr>
              <w:spacing w:after="0"/>
              <w:rPr>
                <w:sz w:val="21"/>
                <w:szCs w:val="21"/>
                <w:color w:val="auto"/>
              </w:rPr>
            </w:pPr>
          </w:p>
        </w:tc>
        <w:tc>
          <w:tcPr>
            <w:tcW w:w="400" w:type="dxa"/>
            <w:vAlign w:val="bottom"/>
            <w:shd w:val="clear" w:color="auto" w:fill="E2EEF6"/>
          </w:tcPr>
          <w:p>
            <w:pPr>
              <w:jc w:val="right"/>
              <w:spacing w:after="0"/>
              <w:rPr>
                <w:sz w:val="20"/>
                <w:szCs w:val="20"/>
                <w:color w:val="auto"/>
              </w:rPr>
            </w:pPr>
            <w:r>
              <w:rPr>
                <w:rFonts w:ascii="Arial" w:cs="Arial" w:eastAsia="Arial" w:hAnsi="Arial"/>
                <w:sz w:val="14"/>
                <w:szCs w:val="14"/>
                <w:color w:val="auto"/>
              </w:rPr>
              <w:t>(116)</w:t>
            </w:r>
          </w:p>
        </w:tc>
        <w:tc>
          <w:tcPr>
            <w:tcW w:w="60" w:type="dxa"/>
            <w:vAlign w:val="bottom"/>
            <w:tcBorders>
              <w:left w:val="single" w:sz="8" w:color="E2EEF6"/>
            </w:tcBorders>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480" w:type="dxa"/>
            <w:vAlign w:val="bottom"/>
            <w:shd w:val="clear" w:color="auto" w:fill="E2EEF6"/>
          </w:tcPr>
          <w:p>
            <w:pPr>
              <w:jc w:val="right"/>
              <w:spacing w:after="0"/>
              <w:rPr>
                <w:sz w:val="20"/>
                <w:szCs w:val="20"/>
                <w:color w:val="auto"/>
              </w:rPr>
            </w:pPr>
            <w:r>
              <w:rPr>
                <w:rFonts w:ascii="Arial" w:cs="Arial" w:eastAsia="Arial" w:hAnsi="Arial"/>
                <w:sz w:val="14"/>
                <w:szCs w:val="14"/>
                <w:color w:val="auto"/>
              </w:rPr>
              <w:t>4,029</w:t>
            </w:r>
          </w:p>
        </w:tc>
        <w:tc>
          <w:tcPr>
            <w:tcW w:w="660" w:type="dxa"/>
            <w:vAlign w:val="bottom"/>
            <w:tcBorders>
              <w:left w:val="single" w:sz="8" w:color="E2EEF6"/>
            </w:tcBorders>
            <w:gridSpan w:val="3"/>
            <w:shd w:val="clear" w:color="auto" w:fill="E2EEF6"/>
          </w:tcPr>
          <w:p>
            <w:pPr>
              <w:jc w:val="right"/>
              <w:ind w:right="40"/>
              <w:spacing w:after="0"/>
              <w:rPr>
                <w:sz w:val="20"/>
                <w:szCs w:val="20"/>
                <w:color w:val="auto"/>
              </w:rPr>
            </w:pPr>
            <w:r>
              <w:rPr>
                <w:rFonts w:ascii="Arial" w:cs="Arial" w:eastAsia="Arial" w:hAnsi="Arial"/>
                <w:sz w:val="14"/>
                <w:szCs w:val="14"/>
                <w:color w:val="auto"/>
              </w:rPr>
              <w:t>3,392</w:t>
            </w:r>
          </w:p>
        </w:tc>
        <w:tc>
          <w:tcPr>
            <w:tcW w:w="540" w:type="dxa"/>
            <w:vAlign w:val="bottom"/>
            <w:gridSpan w:val="2"/>
            <w:shd w:val="clear" w:color="auto" w:fill="E2EEF6"/>
          </w:tcPr>
          <w:p>
            <w:pPr>
              <w:jc w:val="right"/>
              <w:ind w:right="40"/>
              <w:spacing w:after="0"/>
              <w:rPr>
                <w:sz w:val="20"/>
                <w:szCs w:val="20"/>
                <w:color w:val="auto"/>
              </w:rPr>
            </w:pPr>
            <w:r>
              <w:rPr>
                <w:rFonts w:ascii="Arial" w:cs="Arial" w:eastAsia="Arial" w:hAnsi="Arial"/>
                <w:sz w:val="14"/>
                <w:szCs w:val="14"/>
                <w:color w:val="auto"/>
              </w:rPr>
              <w:t>637</w:t>
            </w:r>
          </w:p>
        </w:tc>
      </w:tr>
      <w:tr>
        <w:trPr>
          <w:trHeight w:val="270"/>
        </w:trPr>
        <w:tc>
          <w:tcPr>
            <w:tcW w:w="1520" w:type="dxa"/>
            <w:vAlign w:val="bottom"/>
          </w:tcPr>
          <w:p>
            <w:pPr>
              <w:spacing w:after="0"/>
              <w:rPr>
                <w:sz w:val="20"/>
                <w:szCs w:val="20"/>
                <w:color w:val="auto"/>
              </w:rPr>
            </w:pPr>
            <w:r>
              <w:rPr>
                <w:rFonts w:ascii="Arial" w:cs="Arial" w:eastAsia="Arial" w:hAnsi="Arial"/>
                <w:sz w:val="14"/>
                <w:szCs w:val="14"/>
                <w:color w:val="auto"/>
              </w:rPr>
              <w:t>Other (income) loss</w:t>
            </w:r>
          </w:p>
        </w:tc>
        <w:tc>
          <w:tcPr>
            <w:tcW w:w="500" w:type="dxa"/>
            <w:vAlign w:val="bottom"/>
          </w:tcPr>
          <w:p>
            <w:pPr>
              <w:jc w:val="right"/>
              <w:spacing w:after="0"/>
              <w:rPr>
                <w:sz w:val="20"/>
                <w:szCs w:val="20"/>
                <w:color w:val="auto"/>
              </w:rPr>
            </w:pPr>
            <w:r>
              <w:rPr>
                <w:rFonts w:ascii="Arial" w:cs="Arial" w:eastAsia="Arial" w:hAnsi="Arial"/>
                <w:sz w:val="14"/>
                <w:szCs w:val="14"/>
                <w:color w:val="auto"/>
              </w:rPr>
              <w:t>171</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372</w:t>
            </w:r>
          </w:p>
        </w:tc>
        <w:tc>
          <w:tcPr>
            <w:tcW w:w="60" w:type="dxa"/>
            <w:vAlign w:val="bottom"/>
          </w:tcPr>
          <w:p>
            <w:pPr>
              <w:spacing w:after="0"/>
              <w:rPr>
                <w:sz w:val="23"/>
                <w:szCs w:val="23"/>
                <w:color w:val="auto"/>
              </w:rPr>
            </w:pPr>
          </w:p>
        </w:tc>
        <w:tc>
          <w:tcPr>
            <w:tcW w:w="560" w:type="dxa"/>
            <w:vAlign w:val="bottom"/>
            <w:gridSpan w:val="2"/>
          </w:tcPr>
          <w:p>
            <w:pPr>
              <w:jc w:val="right"/>
              <w:ind w:right="20"/>
              <w:spacing w:after="0" w:line="270" w:lineRule="exact"/>
              <w:rPr>
                <w:sz w:val="20"/>
                <w:szCs w:val="20"/>
                <w:color w:val="auto"/>
              </w:rPr>
            </w:pPr>
            <w:r>
              <w:rPr>
                <w:rFonts w:ascii="Arial" w:cs="Arial" w:eastAsia="Arial" w:hAnsi="Arial"/>
                <w:sz w:val="14"/>
                <w:szCs w:val="14"/>
                <w:color w:val="auto"/>
              </w:rPr>
              <w:t>(201</w:t>
            </w:r>
            <w:r>
              <w:rPr>
                <w:rFonts w:ascii="Arial" w:cs="Arial" w:eastAsia="Arial" w:hAnsi="Arial"/>
                <w:sz w:val="28"/>
                <w:szCs w:val="28"/>
                <w:color w:val="auto"/>
                <w:vertAlign w:val="superscript"/>
              </w:rPr>
              <w:t>)</w:t>
            </w:r>
          </w:p>
        </w:tc>
        <w:tc>
          <w:tcPr>
            <w:tcW w:w="80" w:type="dxa"/>
            <w:vAlign w:val="bottom"/>
          </w:tcPr>
          <w:p>
            <w:pPr>
              <w:spacing w:after="0"/>
              <w:rPr>
                <w:sz w:val="23"/>
                <w:szCs w:val="23"/>
                <w:color w:val="auto"/>
              </w:rPr>
            </w:pPr>
          </w:p>
        </w:tc>
        <w:tc>
          <w:tcPr>
            <w:tcW w:w="540" w:type="dxa"/>
            <w:vAlign w:val="bottom"/>
            <w:gridSpan w:val="2"/>
          </w:tcPr>
          <w:p>
            <w:pPr>
              <w:jc w:val="right"/>
              <w:ind w:right="20"/>
              <w:spacing w:after="0" w:line="270" w:lineRule="exact"/>
              <w:rPr>
                <w:sz w:val="20"/>
                <w:szCs w:val="20"/>
                <w:color w:val="auto"/>
              </w:rPr>
            </w:pPr>
            <w:r>
              <w:rPr>
                <w:rFonts w:ascii="Arial" w:cs="Arial" w:eastAsia="Arial" w:hAnsi="Arial"/>
                <w:sz w:val="14"/>
                <w:szCs w:val="14"/>
                <w:color w:val="auto"/>
              </w:rPr>
              <w:t>(1,009</w:t>
            </w:r>
            <w:r>
              <w:rPr>
                <w:rFonts w:ascii="Arial" w:cs="Arial" w:eastAsia="Arial" w:hAnsi="Arial"/>
                <w:sz w:val="28"/>
                <w:szCs w:val="28"/>
                <w:color w:val="auto"/>
                <w:vertAlign w:val="superscript"/>
              </w:rPr>
              <w:t>)</w:t>
            </w:r>
          </w:p>
        </w:tc>
        <w:tc>
          <w:tcPr>
            <w:tcW w:w="80" w:type="dxa"/>
            <w:vAlign w:val="bottom"/>
          </w:tcPr>
          <w:p>
            <w:pPr>
              <w:spacing w:after="0"/>
              <w:rPr>
                <w:sz w:val="23"/>
                <w:szCs w:val="23"/>
                <w:color w:val="auto"/>
              </w:rPr>
            </w:pPr>
          </w:p>
        </w:tc>
        <w:tc>
          <w:tcPr>
            <w:tcW w:w="540" w:type="dxa"/>
            <w:vAlign w:val="bottom"/>
            <w:gridSpan w:val="2"/>
          </w:tcPr>
          <w:p>
            <w:pPr>
              <w:jc w:val="right"/>
              <w:ind w:right="20"/>
              <w:spacing w:after="0" w:line="270" w:lineRule="exact"/>
              <w:rPr>
                <w:sz w:val="20"/>
                <w:szCs w:val="20"/>
                <w:color w:val="auto"/>
              </w:rPr>
            </w:pPr>
            <w:r>
              <w:rPr>
                <w:rFonts w:ascii="Arial" w:cs="Arial" w:eastAsia="Arial" w:hAnsi="Arial"/>
                <w:sz w:val="14"/>
                <w:szCs w:val="14"/>
                <w:color w:val="auto"/>
              </w:rPr>
              <w:t>(90</w:t>
            </w:r>
            <w:r>
              <w:rPr>
                <w:rFonts w:ascii="Arial" w:cs="Arial" w:eastAsia="Arial" w:hAnsi="Arial"/>
                <w:sz w:val="28"/>
                <w:szCs w:val="28"/>
                <w:color w:val="auto"/>
                <w:vertAlign w:val="superscript"/>
              </w:rPr>
              <w:t>)</w:t>
            </w:r>
          </w:p>
        </w:tc>
        <w:tc>
          <w:tcPr>
            <w:tcW w:w="600" w:type="dxa"/>
            <w:vAlign w:val="bottom"/>
            <w:gridSpan w:val="2"/>
          </w:tcPr>
          <w:p>
            <w:pPr>
              <w:jc w:val="right"/>
              <w:ind w:right="40"/>
              <w:spacing w:after="0" w:line="270" w:lineRule="exact"/>
              <w:rPr>
                <w:sz w:val="20"/>
                <w:szCs w:val="20"/>
                <w:color w:val="auto"/>
              </w:rPr>
            </w:pPr>
            <w:r>
              <w:rPr>
                <w:rFonts w:ascii="Arial" w:cs="Arial" w:eastAsia="Arial" w:hAnsi="Arial"/>
                <w:sz w:val="14"/>
                <w:szCs w:val="14"/>
                <w:color w:val="auto"/>
              </w:rPr>
              <w:t>(919</w:t>
            </w:r>
            <w:r>
              <w:rPr>
                <w:rFonts w:ascii="Arial" w:cs="Arial" w:eastAsia="Arial" w:hAnsi="Arial"/>
                <w:sz w:val="28"/>
                <w:szCs w:val="28"/>
                <w:color w:val="auto"/>
                <w:vertAlign w:val="superscript"/>
              </w:rPr>
              <w:t>)</w:t>
            </w:r>
          </w:p>
        </w:tc>
        <w:tc>
          <w:tcPr>
            <w:tcW w:w="520" w:type="dxa"/>
            <w:vAlign w:val="bottom"/>
          </w:tcPr>
          <w:p>
            <w:pPr>
              <w:jc w:val="right"/>
              <w:spacing w:after="0" w:line="270" w:lineRule="exact"/>
              <w:rPr>
                <w:sz w:val="20"/>
                <w:szCs w:val="20"/>
                <w:color w:val="auto"/>
              </w:rPr>
            </w:pPr>
            <w:r>
              <w:rPr>
                <w:rFonts w:ascii="Arial" w:cs="Arial" w:eastAsia="Arial" w:hAnsi="Arial"/>
                <w:sz w:val="14"/>
                <w:szCs w:val="14"/>
                <w:color w:val="auto"/>
              </w:rPr>
              <w:t>(15</w:t>
            </w:r>
            <w:r>
              <w:rPr>
                <w:rFonts w:ascii="Arial" w:cs="Arial" w:eastAsia="Arial" w:hAnsi="Arial"/>
                <w:sz w:val="28"/>
                <w:szCs w:val="28"/>
                <w:color w:val="auto"/>
                <w:vertAlign w:val="superscript"/>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gridSpan w:val="2"/>
          </w:tcPr>
          <w:p>
            <w:pPr>
              <w:jc w:val="right"/>
              <w:ind w:right="20"/>
              <w:spacing w:after="0" w:line="270" w:lineRule="exact"/>
              <w:rPr>
                <w:sz w:val="20"/>
                <w:szCs w:val="20"/>
                <w:color w:val="auto"/>
              </w:rPr>
            </w:pPr>
            <w:r>
              <w:rPr>
                <w:rFonts w:ascii="Arial" w:cs="Arial" w:eastAsia="Arial" w:hAnsi="Arial"/>
                <w:sz w:val="14"/>
                <w:szCs w:val="14"/>
                <w:color w:val="auto"/>
              </w:rPr>
              <w:t>(183</w:t>
            </w:r>
            <w:r>
              <w:rPr>
                <w:rFonts w:ascii="Arial" w:cs="Arial" w:eastAsia="Arial" w:hAnsi="Arial"/>
                <w:sz w:val="28"/>
                <w:szCs w:val="28"/>
                <w:color w:val="auto"/>
                <w:vertAlign w:val="superscript"/>
              </w:rPr>
              <w:t>)</w:t>
            </w:r>
          </w:p>
        </w:tc>
        <w:tc>
          <w:tcPr>
            <w:tcW w:w="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168</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jc w:val="right"/>
              <w:spacing w:after="0" w:line="270" w:lineRule="exact"/>
              <w:rPr>
                <w:sz w:val="20"/>
                <w:szCs w:val="20"/>
                <w:color w:val="auto"/>
              </w:rPr>
            </w:pPr>
            <w:r>
              <w:rPr>
                <w:rFonts w:ascii="Arial" w:cs="Arial" w:eastAsia="Arial" w:hAnsi="Arial"/>
                <w:sz w:val="14"/>
                <w:szCs w:val="14"/>
                <w:color w:val="auto"/>
              </w:rPr>
              <w:t>(853</w:t>
            </w:r>
            <w:r>
              <w:rPr>
                <w:rFonts w:ascii="Arial" w:cs="Arial" w:eastAsia="Arial" w:hAnsi="Arial"/>
                <w:sz w:val="28"/>
                <w:szCs w:val="28"/>
                <w:color w:val="auto"/>
                <w:vertAlign w:val="superscript"/>
              </w:rPr>
              <w:t>)</w:t>
            </w:r>
          </w:p>
        </w:tc>
        <w:tc>
          <w:tcPr>
            <w:tcW w:w="660" w:type="dxa"/>
            <w:vAlign w:val="bottom"/>
            <w:gridSpan w:val="3"/>
          </w:tcPr>
          <w:p>
            <w:pPr>
              <w:jc w:val="right"/>
              <w:ind w:right="40"/>
              <w:spacing w:after="0"/>
              <w:rPr>
                <w:sz w:val="20"/>
                <w:szCs w:val="20"/>
                <w:color w:val="auto"/>
              </w:rPr>
            </w:pPr>
            <w:r>
              <w:rPr>
                <w:rFonts w:ascii="Arial" w:cs="Arial" w:eastAsia="Arial" w:hAnsi="Arial"/>
                <w:sz w:val="14"/>
                <w:szCs w:val="14"/>
                <w:color w:val="auto"/>
              </w:rPr>
              <w:t>99</w:t>
            </w:r>
          </w:p>
        </w:tc>
        <w:tc>
          <w:tcPr>
            <w:tcW w:w="540" w:type="dxa"/>
            <w:vAlign w:val="bottom"/>
            <w:gridSpan w:val="2"/>
          </w:tcPr>
          <w:p>
            <w:pPr>
              <w:jc w:val="right"/>
              <w:spacing w:after="0" w:line="270" w:lineRule="exact"/>
              <w:rPr>
                <w:sz w:val="20"/>
                <w:szCs w:val="20"/>
                <w:color w:val="auto"/>
              </w:rPr>
            </w:pPr>
            <w:r>
              <w:rPr>
                <w:rFonts w:ascii="Arial" w:cs="Arial" w:eastAsia="Arial" w:hAnsi="Arial"/>
                <w:sz w:val="14"/>
                <w:szCs w:val="14"/>
                <w:color w:val="auto"/>
              </w:rPr>
              <w:t>(952</w:t>
            </w:r>
            <w:r>
              <w:rPr>
                <w:rFonts w:ascii="Arial" w:cs="Arial" w:eastAsia="Arial" w:hAnsi="Arial"/>
                <w:sz w:val="28"/>
                <w:szCs w:val="28"/>
                <w:color w:val="auto"/>
                <w:vertAlign w:val="superscript"/>
              </w:rPr>
              <w:t>)</w:t>
            </w:r>
          </w:p>
        </w:tc>
      </w:tr>
      <w:tr>
        <w:trPr>
          <w:trHeight w:val="20"/>
        </w:trPr>
        <w:tc>
          <w:tcPr>
            <w:tcW w:w="1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520" w:type="dxa"/>
            <w:vAlign w:val="bottom"/>
            <w:shd w:val="clear" w:color="auto" w:fill="E2EEF6"/>
          </w:tcPr>
          <w:p>
            <w:pPr>
              <w:spacing w:after="0"/>
              <w:rPr>
                <w:sz w:val="20"/>
                <w:szCs w:val="20"/>
                <w:color w:val="auto"/>
              </w:rPr>
            </w:pPr>
            <w:r>
              <w:rPr>
                <w:rFonts w:ascii="Arial" w:cs="Arial" w:eastAsia="Arial" w:hAnsi="Arial"/>
                <w:sz w:val="14"/>
                <w:szCs w:val="14"/>
                <w:color w:val="auto"/>
              </w:rPr>
              <w:t>Pre-tax income</w:t>
            </w:r>
          </w:p>
        </w:tc>
        <w:tc>
          <w:tcPr>
            <w:tcW w:w="500" w:type="dxa"/>
            <w:vAlign w:val="bottom"/>
            <w:shd w:val="clear" w:color="auto" w:fill="E2EEF6"/>
          </w:tcPr>
          <w:p>
            <w:pPr>
              <w:jc w:val="right"/>
              <w:spacing w:after="0"/>
              <w:rPr>
                <w:sz w:val="20"/>
                <w:szCs w:val="20"/>
                <w:color w:val="auto"/>
              </w:rPr>
            </w:pPr>
            <w:r>
              <w:rPr>
                <w:rFonts w:ascii="Arial" w:cs="Arial" w:eastAsia="Arial" w:hAnsi="Arial"/>
                <w:sz w:val="14"/>
                <w:szCs w:val="14"/>
                <w:color w:val="auto"/>
              </w:rPr>
              <w:t>(787)</w:t>
            </w:r>
          </w:p>
        </w:tc>
        <w:tc>
          <w:tcPr>
            <w:tcW w:w="60" w:type="dxa"/>
            <w:vAlign w:val="bottom"/>
            <w:tcBorders>
              <w:left w:val="single" w:sz="8" w:color="E2EEF6"/>
            </w:tcBorders>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480" w:type="dxa"/>
            <w:vAlign w:val="bottom"/>
            <w:gridSpan w:val="2"/>
            <w:shd w:val="clear" w:color="auto" w:fill="E2EEF6"/>
          </w:tcPr>
          <w:p>
            <w:pPr>
              <w:jc w:val="right"/>
              <w:ind w:right="60"/>
              <w:spacing w:after="0"/>
              <w:rPr>
                <w:sz w:val="20"/>
                <w:szCs w:val="20"/>
                <w:color w:val="auto"/>
              </w:rPr>
            </w:pPr>
            <w:r>
              <w:rPr>
                <w:rFonts w:ascii="Arial" w:cs="Arial" w:eastAsia="Arial" w:hAnsi="Arial"/>
                <w:sz w:val="14"/>
                <w:szCs w:val="14"/>
                <w:color w:val="auto"/>
              </w:rPr>
              <w:t>4,120</w:t>
            </w:r>
          </w:p>
        </w:tc>
        <w:tc>
          <w:tcPr>
            <w:tcW w:w="560" w:type="dxa"/>
            <w:vAlign w:val="bottom"/>
            <w:gridSpan w:val="2"/>
            <w:shd w:val="clear" w:color="auto" w:fill="E2EEF6"/>
          </w:tcPr>
          <w:p>
            <w:pPr>
              <w:jc w:val="right"/>
              <w:ind w:right="20"/>
              <w:spacing w:after="0"/>
              <w:rPr>
                <w:sz w:val="20"/>
                <w:szCs w:val="20"/>
                <w:color w:val="auto"/>
              </w:rPr>
            </w:pPr>
            <w:r>
              <w:rPr>
                <w:rFonts w:ascii="Arial" w:cs="Arial" w:eastAsia="Arial" w:hAnsi="Arial"/>
                <w:sz w:val="14"/>
                <w:szCs w:val="14"/>
                <w:color w:val="auto"/>
              </w:rPr>
              <w:t>(4,907)</w:t>
            </w:r>
          </w:p>
        </w:tc>
        <w:tc>
          <w:tcPr>
            <w:tcW w:w="80" w:type="dxa"/>
            <w:vAlign w:val="bottom"/>
            <w:shd w:val="clear" w:color="auto" w:fill="E2EEF6"/>
          </w:tcPr>
          <w:p>
            <w:pPr>
              <w:spacing w:after="0"/>
              <w:rPr>
                <w:sz w:val="20"/>
                <w:szCs w:val="20"/>
                <w:color w:val="auto"/>
              </w:rPr>
            </w:pPr>
          </w:p>
        </w:tc>
        <w:tc>
          <w:tcPr>
            <w:tcW w:w="540" w:type="dxa"/>
            <w:vAlign w:val="bottom"/>
            <w:gridSpan w:val="2"/>
            <w:shd w:val="clear" w:color="auto" w:fill="E2EEF6"/>
          </w:tcPr>
          <w:p>
            <w:pPr>
              <w:jc w:val="right"/>
              <w:ind w:right="60"/>
              <w:spacing w:after="0"/>
              <w:rPr>
                <w:sz w:val="20"/>
                <w:szCs w:val="20"/>
                <w:color w:val="auto"/>
              </w:rPr>
            </w:pPr>
            <w:r>
              <w:rPr>
                <w:rFonts w:ascii="Arial" w:cs="Arial" w:eastAsia="Arial" w:hAnsi="Arial"/>
                <w:sz w:val="14"/>
                <w:szCs w:val="14"/>
                <w:color w:val="auto"/>
              </w:rPr>
              <w:t>11,854</w:t>
            </w:r>
          </w:p>
        </w:tc>
        <w:tc>
          <w:tcPr>
            <w:tcW w:w="80" w:type="dxa"/>
            <w:vAlign w:val="bottom"/>
            <w:shd w:val="clear" w:color="auto" w:fill="E2EEF6"/>
          </w:tcPr>
          <w:p>
            <w:pPr>
              <w:spacing w:after="0"/>
              <w:rPr>
                <w:sz w:val="20"/>
                <w:szCs w:val="20"/>
                <w:color w:val="auto"/>
              </w:rPr>
            </w:pPr>
          </w:p>
        </w:tc>
        <w:tc>
          <w:tcPr>
            <w:tcW w:w="540" w:type="dxa"/>
            <w:vAlign w:val="bottom"/>
            <w:gridSpan w:val="2"/>
            <w:shd w:val="clear" w:color="auto" w:fill="E2EEF6"/>
          </w:tcPr>
          <w:p>
            <w:pPr>
              <w:jc w:val="right"/>
              <w:ind w:right="60"/>
              <w:spacing w:after="0"/>
              <w:rPr>
                <w:sz w:val="20"/>
                <w:szCs w:val="20"/>
                <w:color w:val="auto"/>
              </w:rPr>
            </w:pPr>
            <w:r>
              <w:rPr>
                <w:rFonts w:ascii="Arial" w:cs="Arial" w:eastAsia="Arial" w:hAnsi="Arial"/>
                <w:sz w:val="14"/>
                <w:szCs w:val="14"/>
                <w:color w:val="auto"/>
              </w:rPr>
              <w:t>13,025</w:t>
            </w:r>
          </w:p>
        </w:tc>
        <w:tc>
          <w:tcPr>
            <w:tcW w:w="600" w:type="dxa"/>
            <w:vAlign w:val="bottom"/>
            <w:gridSpan w:val="2"/>
            <w:shd w:val="clear" w:color="auto" w:fill="E2EEF6"/>
          </w:tcPr>
          <w:p>
            <w:pPr>
              <w:jc w:val="right"/>
              <w:ind w:right="20"/>
              <w:spacing w:after="0"/>
              <w:rPr>
                <w:sz w:val="20"/>
                <w:szCs w:val="20"/>
                <w:color w:val="auto"/>
              </w:rPr>
            </w:pPr>
            <w:r>
              <w:rPr>
                <w:rFonts w:ascii="Arial" w:cs="Arial" w:eastAsia="Arial" w:hAnsi="Arial"/>
                <w:sz w:val="14"/>
                <w:szCs w:val="14"/>
                <w:color w:val="auto"/>
              </w:rPr>
              <w:t>(1,171 )</w:t>
            </w: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124</w:t>
            </w:r>
          </w:p>
        </w:tc>
        <w:tc>
          <w:tcPr>
            <w:tcW w:w="80" w:type="dxa"/>
            <w:vAlign w:val="bottom"/>
            <w:tcBorders>
              <w:left w:val="single" w:sz="8" w:color="E2EEF6"/>
            </w:tcBorders>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500" w:type="dxa"/>
            <w:vAlign w:val="bottom"/>
            <w:gridSpan w:val="2"/>
            <w:shd w:val="clear" w:color="auto" w:fill="E2EEF6"/>
          </w:tcPr>
          <w:p>
            <w:pPr>
              <w:jc w:val="right"/>
              <w:ind w:right="20"/>
              <w:spacing w:after="0"/>
              <w:rPr>
                <w:sz w:val="20"/>
                <w:szCs w:val="20"/>
                <w:color w:val="auto"/>
              </w:rPr>
            </w:pPr>
            <w:r>
              <w:rPr>
                <w:rFonts w:ascii="Arial" w:cs="Arial" w:eastAsia="Arial" w:hAnsi="Arial"/>
                <w:sz w:val="14"/>
                <w:szCs w:val="14"/>
                <w:color w:val="auto"/>
              </w:rPr>
              <w:t>(566)</w:t>
            </w:r>
          </w:p>
        </w:tc>
        <w:tc>
          <w:tcPr>
            <w:tcW w:w="100" w:type="dxa"/>
            <w:vAlign w:val="bottom"/>
            <w:shd w:val="clear" w:color="auto" w:fill="E2EEF6"/>
          </w:tcPr>
          <w:p>
            <w:pPr>
              <w:spacing w:after="0"/>
              <w:rPr>
                <w:sz w:val="20"/>
                <w:szCs w:val="20"/>
                <w:color w:val="auto"/>
              </w:rPr>
            </w:pPr>
          </w:p>
        </w:tc>
        <w:tc>
          <w:tcPr>
            <w:tcW w:w="400" w:type="dxa"/>
            <w:vAlign w:val="bottom"/>
            <w:shd w:val="clear" w:color="auto" w:fill="E2EEF6"/>
          </w:tcPr>
          <w:p>
            <w:pPr>
              <w:jc w:val="right"/>
              <w:spacing w:after="0"/>
              <w:rPr>
                <w:sz w:val="20"/>
                <w:szCs w:val="20"/>
                <w:color w:val="auto"/>
              </w:rPr>
            </w:pPr>
            <w:r>
              <w:rPr>
                <w:rFonts w:ascii="Arial" w:cs="Arial" w:eastAsia="Arial" w:hAnsi="Arial"/>
                <w:sz w:val="14"/>
                <w:szCs w:val="14"/>
                <w:color w:val="auto"/>
              </w:rPr>
              <w:t>690</w:t>
            </w:r>
          </w:p>
        </w:tc>
        <w:tc>
          <w:tcPr>
            <w:tcW w:w="60" w:type="dxa"/>
            <w:vAlign w:val="bottom"/>
            <w:tcBorders>
              <w:left w:val="single" w:sz="8" w:color="E2EEF6"/>
            </w:tcBorders>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480" w:type="dxa"/>
            <w:vAlign w:val="bottom"/>
            <w:shd w:val="clear" w:color="auto" w:fill="E2EEF6"/>
          </w:tcPr>
          <w:p>
            <w:pPr>
              <w:jc w:val="right"/>
              <w:spacing w:after="0"/>
              <w:rPr>
                <w:sz w:val="20"/>
                <w:szCs w:val="20"/>
                <w:color w:val="auto"/>
              </w:rPr>
            </w:pPr>
            <w:r>
              <w:rPr>
                <w:rFonts w:ascii="Arial" w:cs="Arial" w:eastAsia="Arial" w:hAnsi="Arial"/>
                <w:sz w:val="14"/>
                <w:szCs w:val="14"/>
                <w:color w:val="auto"/>
              </w:rPr>
              <w:t>11,191</w:t>
            </w:r>
          </w:p>
        </w:tc>
        <w:tc>
          <w:tcPr>
            <w:tcW w:w="660" w:type="dxa"/>
            <w:vAlign w:val="bottom"/>
            <w:tcBorders>
              <w:left w:val="single" w:sz="8" w:color="E2EEF6"/>
            </w:tcBorders>
            <w:gridSpan w:val="3"/>
            <w:shd w:val="clear" w:color="auto" w:fill="E2EEF6"/>
          </w:tcPr>
          <w:p>
            <w:pPr>
              <w:jc w:val="right"/>
              <w:ind w:right="40"/>
              <w:spacing w:after="0"/>
              <w:rPr>
                <w:sz w:val="20"/>
                <w:szCs w:val="20"/>
                <w:color w:val="auto"/>
              </w:rPr>
            </w:pPr>
            <w:r>
              <w:rPr>
                <w:rFonts w:ascii="Arial" w:cs="Arial" w:eastAsia="Arial" w:hAnsi="Arial"/>
                <w:sz w:val="14"/>
                <w:szCs w:val="14"/>
                <w:color w:val="auto"/>
              </w:rPr>
              <w:t>16,579</w:t>
            </w:r>
          </w:p>
        </w:tc>
        <w:tc>
          <w:tcPr>
            <w:tcW w:w="540" w:type="dxa"/>
            <w:vAlign w:val="bottom"/>
            <w:gridSpan w:val="2"/>
            <w:shd w:val="clear" w:color="auto" w:fill="E2EEF6"/>
          </w:tcPr>
          <w:p>
            <w:pPr>
              <w:jc w:val="right"/>
              <w:spacing w:after="0"/>
              <w:rPr>
                <w:sz w:val="20"/>
                <w:szCs w:val="20"/>
                <w:color w:val="auto"/>
              </w:rPr>
            </w:pPr>
            <w:r>
              <w:rPr>
                <w:rFonts w:ascii="Arial" w:cs="Arial" w:eastAsia="Arial" w:hAnsi="Arial"/>
                <w:sz w:val="14"/>
                <w:szCs w:val="14"/>
                <w:color w:val="auto"/>
              </w:rPr>
              <w:t>(5,388)</w:t>
            </w:r>
          </w:p>
        </w:tc>
      </w:tr>
      <w:tr>
        <w:trPr>
          <w:trHeight w:val="243"/>
        </w:trPr>
        <w:tc>
          <w:tcPr>
            <w:tcW w:w="1520" w:type="dxa"/>
            <w:vAlign w:val="bottom"/>
          </w:tcPr>
          <w:p>
            <w:pPr>
              <w:spacing w:after="0"/>
              <w:rPr>
                <w:sz w:val="20"/>
                <w:szCs w:val="20"/>
                <w:color w:val="auto"/>
              </w:rPr>
            </w:pPr>
            <w:r>
              <w:rPr>
                <w:rFonts w:ascii="Arial" w:cs="Arial" w:eastAsia="Arial" w:hAnsi="Arial"/>
                <w:sz w:val="14"/>
                <w:szCs w:val="14"/>
                <w:color w:val="auto"/>
              </w:rPr>
              <w:t>Taxes</w:t>
            </w:r>
          </w:p>
        </w:tc>
        <w:tc>
          <w:tcPr>
            <w:tcW w:w="500" w:type="dxa"/>
            <w:vAlign w:val="bottom"/>
          </w:tcPr>
          <w:p>
            <w:pPr>
              <w:jc w:val="right"/>
              <w:spacing w:after="0"/>
              <w:rPr>
                <w:sz w:val="20"/>
                <w:szCs w:val="20"/>
                <w:color w:val="auto"/>
              </w:rPr>
            </w:pPr>
            <w:r>
              <w:rPr>
                <w:rFonts w:ascii="Arial" w:cs="Arial" w:eastAsia="Arial" w:hAnsi="Arial"/>
                <w:sz w:val="14"/>
                <w:szCs w:val="14"/>
                <w:color w:val="auto"/>
              </w:rPr>
              <w:t>1,143</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2,117</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(974)</w:t>
            </w:r>
          </w:p>
        </w:tc>
        <w:tc>
          <w:tcPr>
            <w:tcW w:w="8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4,546</w:t>
            </w:r>
          </w:p>
        </w:tc>
        <w:tc>
          <w:tcPr>
            <w:tcW w:w="8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4,858</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(312)</w:t>
            </w:r>
          </w:p>
        </w:tc>
        <w:tc>
          <w:tcPr>
            <w:tcW w:w="520" w:type="dxa"/>
            <w:vAlign w:val="bottom"/>
          </w:tcPr>
          <w:p>
            <w:pPr>
              <w:jc w:val="right"/>
              <w:spacing w:after="0"/>
              <w:rPr>
                <w:sz w:val="20"/>
                <w:szCs w:val="20"/>
                <w:color w:val="auto"/>
              </w:rPr>
            </w:pPr>
            <w:r>
              <w:rPr>
                <w:rFonts w:ascii="Arial" w:cs="Arial" w:eastAsia="Arial" w:hAnsi="Arial"/>
                <w:sz w:val="14"/>
                <w:szCs w:val="14"/>
                <w:color w:val="auto"/>
              </w:rPr>
              <w:t>(1,600)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(1,249)</w:t>
            </w: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(351)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4,089</w:t>
            </w:r>
          </w:p>
        </w:tc>
        <w:tc>
          <w:tcPr>
            <w:tcW w:w="660" w:type="dxa"/>
            <w:vAlign w:val="bottom"/>
            <w:gridSpan w:val="3"/>
          </w:tcPr>
          <w:p>
            <w:pPr>
              <w:jc w:val="right"/>
              <w:ind w:right="40"/>
              <w:spacing w:after="0"/>
              <w:rPr>
                <w:sz w:val="20"/>
                <w:szCs w:val="20"/>
                <w:color w:val="auto"/>
              </w:rPr>
            </w:pPr>
            <w:r>
              <w:rPr>
                <w:rFonts w:ascii="Arial" w:cs="Arial" w:eastAsia="Arial" w:hAnsi="Arial"/>
                <w:sz w:val="14"/>
                <w:szCs w:val="14"/>
                <w:color w:val="auto"/>
              </w:rPr>
              <w:t>5,726</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(1,637)</w:t>
            </w:r>
          </w:p>
        </w:tc>
      </w:tr>
      <w:tr>
        <w:trPr>
          <w:trHeight w:val="250"/>
        </w:trPr>
        <w:tc>
          <w:tcPr>
            <w:tcW w:w="15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4"/>
                <w:szCs w:val="14"/>
                <w:color w:val="auto"/>
              </w:rPr>
              <w:t>Minority Interest</w:t>
            </w:r>
          </w:p>
        </w:tc>
        <w:tc>
          <w:tcPr>
            <w:tcW w:w="500" w:type="dxa"/>
            <w:vAlign w:val="bottom"/>
            <w:tcBorders>
              <w:bottom w:val="single" w:sz="8" w:color="E2EEF6"/>
            </w:tcBorders>
            <w:shd w:val="clear" w:color="auto" w:fill="E2EEF6"/>
          </w:tcPr>
          <w:p>
            <w:pPr>
              <w:spacing w:after="0"/>
              <w:rPr>
                <w:sz w:val="21"/>
                <w:szCs w:val="21"/>
                <w:color w:val="auto"/>
              </w:rPr>
            </w:pPr>
          </w:p>
        </w:tc>
        <w:tc>
          <w:tcPr>
            <w:tcW w:w="60" w:type="dxa"/>
            <w:vAlign w:val="bottom"/>
            <w:tcBorders>
              <w:left w:val="single" w:sz="8" w:color="E2EEF6"/>
              <w:bottom w:val="single" w:sz="8" w:color="E2EEF6"/>
            </w:tcBorders>
            <w:shd w:val="clear" w:color="auto" w:fill="E2EEF6"/>
          </w:tcPr>
          <w:p>
            <w:pPr>
              <w:spacing w:after="0"/>
              <w:rPr>
                <w:sz w:val="21"/>
                <w:szCs w:val="21"/>
                <w:color w:val="auto"/>
              </w:rPr>
            </w:pPr>
          </w:p>
        </w:tc>
        <w:tc>
          <w:tcPr>
            <w:tcW w:w="80" w:type="dxa"/>
            <w:vAlign w:val="bottom"/>
            <w:tcBorders>
              <w:bottom w:val="single" w:sz="8" w:color="E2EEF6"/>
            </w:tcBorders>
            <w:shd w:val="clear" w:color="auto" w:fill="E2EEF6"/>
          </w:tcPr>
          <w:p>
            <w:pPr>
              <w:spacing w:after="0"/>
              <w:rPr>
                <w:sz w:val="21"/>
                <w:szCs w:val="21"/>
                <w:color w:val="auto"/>
              </w:rPr>
            </w:pPr>
          </w:p>
        </w:tc>
        <w:tc>
          <w:tcPr>
            <w:tcW w:w="420" w:type="dxa"/>
            <w:vAlign w:val="bottom"/>
            <w:tcBorders>
              <w:bottom w:val="single" w:sz="8" w:color="E2EEF6"/>
            </w:tcBorders>
            <w:shd w:val="clear" w:color="auto" w:fill="E2EEF6"/>
          </w:tcPr>
          <w:p>
            <w:pPr>
              <w:spacing w:after="0"/>
              <w:rPr>
                <w:sz w:val="21"/>
                <w:szCs w:val="21"/>
                <w:color w:val="auto"/>
              </w:rPr>
            </w:pPr>
          </w:p>
        </w:tc>
        <w:tc>
          <w:tcPr>
            <w:tcW w:w="60" w:type="dxa"/>
            <w:vAlign w:val="bottom"/>
            <w:tcBorders>
              <w:bottom w:val="single" w:sz="8" w:color="E2EEF6"/>
            </w:tcBorders>
            <w:shd w:val="clear" w:color="auto" w:fill="E2EEF6"/>
          </w:tcPr>
          <w:p>
            <w:pPr>
              <w:spacing w:after="0"/>
              <w:rPr>
                <w:sz w:val="21"/>
                <w:szCs w:val="21"/>
                <w:color w:val="auto"/>
              </w:rPr>
            </w:pPr>
          </w:p>
        </w:tc>
        <w:tc>
          <w:tcPr>
            <w:tcW w:w="500" w:type="dxa"/>
            <w:vAlign w:val="bottom"/>
            <w:tcBorders>
              <w:bottom w:val="single" w:sz="8" w:color="E2EEF6"/>
            </w:tcBorders>
            <w:shd w:val="clear" w:color="auto" w:fill="E2EEF6"/>
          </w:tcPr>
          <w:p>
            <w:pPr>
              <w:spacing w:after="0"/>
              <w:rPr>
                <w:sz w:val="21"/>
                <w:szCs w:val="21"/>
                <w:color w:val="auto"/>
              </w:rPr>
            </w:pPr>
          </w:p>
        </w:tc>
        <w:tc>
          <w:tcPr>
            <w:tcW w:w="60" w:type="dxa"/>
            <w:vAlign w:val="bottom"/>
            <w:tcBorders>
              <w:bottom w:val="single" w:sz="8" w:color="E2EEF6"/>
            </w:tcBorders>
            <w:shd w:val="clear" w:color="auto" w:fill="E2EEF6"/>
          </w:tcPr>
          <w:p>
            <w:pPr>
              <w:spacing w:after="0"/>
              <w:rPr>
                <w:sz w:val="21"/>
                <w:szCs w:val="21"/>
                <w:color w:val="auto"/>
              </w:rPr>
            </w:pPr>
          </w:p>
        </w:tc>
        <w:tc>
          <w:tcPr>
            <w:tcW w:w="80" w:type="dxa"/>
            <w:vAlign w:val="bottom"/>
            <w:tcBorders>
              <w:bottom w:val="single" w:sz="8" w:color="E2EEF6"/>
            </w:tcBorders>
            <w:shd w:val="clear" w:color="auto" w:fill="E2EEF6"/>
          </w:tcPr>
          <w:p>
            <w:pPr>
              <w:spacing w:after="0"/>
              <w:rPr>
                <w:sz w:val="21"/>
                <w:szCs w:val="21"/>
                <w:color w:val="auto"/>
              </w:rPr>
            </w:pPr>
          </w:p>
        </w:tc>
        <w:tc>
          <w:tcPr>
            <w:tcW w:w="480" w:type="dxa"/>
            <w:vAlign w:val="bottom"/>
            <w:tcBorders>
              <w:bottom w:val="single" w:sz="8" w:color="E2EEF6"/>
            </w:tcBorders>
            <w:shd w:val="clear" w:color="auto" w:fill="E2EEF6"/>
          </w:tcPr>
          <w:p>
            <w:pPr>
              <w:spacing w:after="0"/>
              <w:rPr>
                <w:sz w:val="21"/>
                <w:szCs w:val="21"/>
                <w:color w:val="auto"/>
              </w:rPr>
            </w:pPr>
          </w:p>
        </w:tc>
        <w:tc>
          <w:tcPr>
            <w:tcW w:w="60" w:type="dxa"/>
            <w:vAlign w:val="bottom"/>
            <w:tcBorders>
              <w:bottom w:val="single" w:sz="8" w:color="E2EEF6"/>
            </w:tcBorders>
            <w:shd w:val="clear" w:color="auto" w:fill="E2EEF6"/>
          </w:tcPr>
          <w:p>
            <w:pPr>
              <w:spacing w:after="0"/>
              <w:rPr>
                <w:sz w:val="21"/>
                <w:szCs w:val="21"/>
                <w:color w:val="auto"/>
              </w:rPr>
            </w:pPr>
          </w:p>
        </w:tc>
        <w:tc>
          <w:tcPr>
            <w:tcW w:w="80" w:type="dxa"/>
            <w:vAlign w:val="bottom"/>
            <w:tcBorders>
              <w:bottom w:val="single" w:sz="8" w:color="E2EEF6"/>
            </w:tcBorders>
            <w:shd w:val="clear" w:color="auto" w:fill="E2EEF6"/>
          </w:tcPr>
          <w:p>
            <w:pPr>
              <w:spacing w:after="0"/>
              <w:rPr>
                <w:sz w:val="21"/>
                <w:szCs w:val="21"/>
                <w:color w:val="auto"/>
              </w:rPr>
            </w:pPr>
          </w:p>
        </w:tc>
        <w:tc>
          <w:tcPr>
            <w:tcW w:w="540" w:type="dxa"/>
            <w:vAlign w:val="bottom"/>
            <w:tcBorders>
              <w:bottom w:val="single" w:sz="8" w:color="E2EEF6"/>
            </w:tcBorders>
            <w:gridSpan w:val="2"/>
            <w:shd w:val="clear" w:color="auto" w:fill="E2EEF6"/>
          </w:tcPr>
          <w:p>
            <w:pPr>
              <w:jc w:val="right"/>
              <w:ind w:right="60"/>
              <w:spacing w:after="0"/>
              <w:rPr>
                <w:sz w:val="20"/>
                <w:szCs w:val="20"/>
                <w:color w:val="auto"/>
              </w:rPr>
            </w:pPr>
            <w:r>
              <w:rPr>
                <w:rFonts w:ascii="Arial" w:cs="Arial" w:eastAsia="Arial" w:hAnsi="Arial"/>
                <w:sz w:val="14"/>
                <w:szCs w:val="14"/>
                <w:color w:val="auto"/>
              </w:rPr>
              <w:t>675</w:t>
            </w:r>
          </w:p>
        </w:tc>
        <w:tc>
          <w:tcPr>
            <w:tcW w:w="600" w:type="dxa"/>
            <w:vAlign w:val="bottom"/>
            <w:tcBorders>
              <w:bottom w:val="single" w:sz="8" w:color="E2EEF6"/>
            </w:tcBorders>
            <w:gridSpan w:val="2"/>
            <w:shd w:val="clear" w:color="auto" w:fill="E2EEF6"/>
          </w:tcPr>
          <w:p>
            <w:pPr>
              <w:jc w:val="right"/>
              <w:ind w:right="40"/>
              <w:spacing w:after="0" w:line="243" w:lineRule="exact"/>
              <w:rPr>
                <w:sz w:val="20"/>
                <w:szCs w:val="20"/>
                <w:color w:val="auto"/>
              </w:rPr>
            </w:pPr>
            <w:r>
              <w:rPr>
                <w:rFonts w:ascii="Arial" w:cs="Arial" w:eastAsia="Arial" w:hAnsi="Arial"/>
                <w:sz w:val="14"/>
                <w:szCs w:val="14"/>
                <w:color w:val="auto"/>
              </w:rPr>
              <w:t>(675</w:t>
            </w:r>
            <w:r>
              <w:rPr>
                <w:rFonts w:ascii="Arial" w:cs="Arial" w:eastAsia="Arial" w:hAnsi="Arial"/>
                <w:sz w:val="28"/>
                <w:szCs w:val="28"/>
                <w:color w:val="auto"/>
                <w:vertAlign w:val="superscript"/>
              </w:rPr>
              <w:t>)</w:t>
            </w:r>
          </w:p>
        </w:tc>
        <w:tc>
          <w:tcPr>
            <w:tcW w:w="520" w:type="dxa"/>
            <w:vAlign w:val="bottom"/>
            <w:tcBorders>
              <w:bottom w:val="single" w:sz="8" w:color="E2EEF6"/>
            </w:tcBorders>
            <w:shd w:val="clear" w:color="auto" w:fill="E2EEF6"/>
          </w:tcPr>
          <w:p>
            <w:pPr>
              <w:spacing w:after="0"/>
              <w:rPr>
                <w:sz w:val="21"/>
                <w:szCs w:val="21"/>
                <w:color w:val="auto"/>
              </w:rPr>
            </w:pPr>
          </w:p>
        </w:tc>
        <w:tc>
          <w:tcPr>
            <w:tcW w:w="80" w:type="dxa"/>
            <w:vAlign w:val="bottom"/>
            <w:tcBorders>
              <w:left w:val="single" w:sz="8" w:color="E2EEF6"/>
              <w:bottom w:val="single" w:sz="8" w:color="E2EEF6"/>
            </w:tcBorders>
            <w:shd w:val="clear" w:color="auto" w:fill="E2EEF6"/>
          </w:tcPr>
          <w:p>
            <w:pPr>
              <w:spacing w:after="0"/>
              <w:rPr>
                <w:sz w:val="21"/>
                <w:szCs w:val="21"/>
                <w:color w:val="auto"/>
              </w:rPr>
            </w:pPr>
          </w:p>
        </w:tc>
        <w:tc>
          <w:tcPr>
            <w:tcW w:w="80" w:type="dxa"/>
            <w:vAlign w:val="bottom"/>
            <w:tcBorders>
              <w:bottom w:val="single" w:sz="8" w:color="E2EEF6"/>
            </w:tcBorders>
            <w:shd w:val="clear" w:color="auto" w:fill="E2EEF6"/>
          </w:tcPr>
          <w:p>
            <w:pPr>
              <w:spacing w:after="0"/>
              <w:rPr>
                <w:sz w:val="21"/>
                <w:szCs w:val="21"/>
                <w:color w:val="auto"/>
              </w:rPr>
            </w:pPr>
          </w:p>
        </w:tc>
        <w:tc>
          <w:tcPr>
            <w:tcW w:w="440" w:type="dxa"/>
            <w:vAlign w:val="bottom"/>
            <w:tcBorders>
              <w:bottom w:val="single" w:sz="8" w:color="E2EEF6"/>
            </w:tcBorders>
            <w:shd w:val="clear" w:color="auto" w:fill="E2EEF6"/>
          </w:tcPr>
          <w:p>
            <w:pPr>
              <w:spacing w:after="0"/>
              <w:rPr>
                <w:sz w:val="21"/>
                <w:szCs w:val="21"/>
                <w:color w:val="auto"/>
              </w:rPr>
            </w:pPr>
          </w:p>
        </w:tc>
        <w:tc>
          <w:tcPr>
            <w:tcW w:w="60" w:type="dxa"/>
            <w:vAlign w:val="bottom"/>
            <w:tcBorders>
              <w:bottom w:val="single" w:sz="8" w:color="E2EEF6"/>
            </w:tcBorders>
            <w:shd w:val="clear" w:color="auto" w:fill="E2EEF6"/>
          </w:tcPr>
          <w:p>
            <w:pPr>
              <w:spacing w:after="0"/>
              <w:rPr>
                <w:sz w:val="21"/>
                <w:szCs w:val="21"/>
                <w:color w:val="auto"/>
              </w:rPr>
            </w:pPr>
          </w:p>
        </w:tc>
        <w:tc>
          <w:tcPr>
            <w:tcW w:w="100" w:type="dxa"/>
            <w:vAlign w:val="bottom"/>
            <w:tcBorders>
              <w:bottom w:val="single" w:sz="8" w:color="E2EEF6"/>
            </w:tcBorders>
            <w:shd w:val="clear" w:color="auto" w:fill="E2EEF6"/>
          </w:tcPr>
          <w:p>
            <w:pPr>
              <w:spacing w:after="0"/>
              <w:rPr>
                <w:sz w:val="21"/>
                <w:szCs w:val="21"/>
                <w:color w:val="auto"/>
              </w:rPr>
            </w:pPr>
          </w:p>
        </w:tc>
        <w:tc>
          <w:tcPr>
            <w:tcW w:w="400" w:type="dxa"/>
            <w:vAlign w:val="bottom"/>
            <w:tcBorders>
              <w:bottom w:val="single" w:sz="8" w:color="E2EEF6"/>
            </w:tcBorders>
            <w:shd w:val="clear" w:color="auto" w:fill="E2EEF6"/>
          </w:tcPr>
          <w:p>
            <w:pPr>
              <w:spacing w:after="0"/>
              <w:rPr>
                <w:sz w:val="21"/>
                <w:szCs w:val="21"/>
                <w:color w:val="auto"/>
              </w:rPr>
            </w:pPr>
          </w:p>
        </w:tc>
        <w:tc>
          <w:tcPr>
            <w:tcW w:w="60" w:type="dxa"/>
            <w:vAlign w:val="bottom"/>
            <w:tcBorders>
              <w:left w:val="single" w:sz="8" w:color="E2EEF6"/>
              <w:bottom w:val="single" w:sz="8" w:color="E2EEF6"/>
            </w:tcBorders>
            <w:shd w:val="clear" w:color="auto" w:fill="E2EEF6"/>
          </w:tcPr>
          <w:p>
            <w:pPr>
              <w:spacing w:after="0"/>
              <w:rPr>
                <w:sz w:val="21"/>
                <w:szCs w:val="21"/>
                <w:color w:val="auto"/>
              </w:rPr>
            </w:pPr>
          </w:p>
        </w:tc>
        <w:tc>
          <w:tcPr>
            <w:tcW w:w="80" w:type="dxa"/>
            <w:vAlign w:val="bottom"/>
            <w:tcBorders>
              <w:bottom w:val="single" w:sz="8" w:color="E2EEF6"/>
            </w:tcBorders>
            <w:shd w:val="clear" w:color="auto" w:fill="E2EEF6"/>
          </w:tcPr>
          <w:p>
            <w:pPr>
              <w:spacing w:after="0"/>
              <w:rPr>
                <w:sz w:val="21"/>
                <w:szCs w:val="21"/>
                <w:color w:val="auto"/>
              </w:rPr>
            </w:pPr>
          </w:p>
        </w:tc>
        <w:tc>
          <w:tcPr>
            <w:tcW w:w="480" w:type="dxa"/>
            <w:vAlign w:val="bottom"/>
            <w:tcBorders>
              <w:bottom w:val="single" w:sz="8" w:color="E2EEF6"/>
            </w:tcBorders>
            <w:shd w:val="clear" w:color="auto" w:fill="E2EEF6"/>
          </w:tcPr>
          <w:p>
            <w:pPr>
              <w:spacing w:after="0"/>
              <w:rPr>
                <w:sz w:val="21"/>
                <w:szCs w:val="21"/>
                <w:color w:val="auto"/>
              </w:rPr>
            </w:pPr>
          </w:p>
        </w:tc>
        <w:tc>
          <w:tcPr>
            <w:tcW w:w="660" w:type="dxa"/>
            <w:vAlign w:val="bottom"/>
            <w:tcBorders>
              <w:left w:val="single" w:sz="8" w:color="E2EEF6"/>
              <w:bottom w:val="single" w:sz="8" w:color="E2EEF6"/>
            </w:tcBorders>
            <w:gridSpan w:val="3"/>
            <w:shd w:val="clear" w:color="auto" w:fill="E2EEF6"/>
          </w:tcPr>
          <w:p>
            <w:pPr>
              <w:jc w:val="right"/>
              <w:ind w:right="40"/>
              <w:spacing w:after="0"/>
              <w:rPr>
                <w:sz w:val="20"/>
                <w:szCs w:val="20"/>
                <w:color w:val="auto"/>
              </w:rPr>
            </w:pPr>
            <w:r>
              <w:rPr>
                <w:rFonts w:ascii="Arial" w:cs="Arial" w:eastAsia="Arial" w:hAnsi="Arial"/>
                <w:sz w:val="14"/>
                <w:szCs w:val="14"/>
                <w:color w:val="auto"/>
              </w:rPr>
              <w:t>675</w:t>
            </w:r>
          </w:p>
        </w:tc>
        <w:tc>
          <w:tcPr>
            <w:tcW w:w="540" w:type="dxa"/>
            <w:vAlign w:val="bottom"/>
            <w:tcBorders>
              <w:bottom w:val="single" w:sz="8" w:color="E2EEF6"/>
            </w:tcBorders>
            <w:gridSpan w:val="2"/>
            <w:shd w:val="clear" w:color="auto" w:fill="E2EEF6"/>
          </w:tcPr>
          <w:p>
            <w:pPr>
              <w:jc w:val="right"/>
              <w:spacing w:after="0" w:line="243" w:lineRule="exact"/>
              <w:rPr>
                <w:sz w:val="20"/>
                <w:szCs w:val="20"/>
                <w:color w:val="auto"/>
              </w:rPr>
            </w:pPr>
            <w:r>
              <w:rPr>
                <w:rFonts w:ascii="Arial" w:cs="Arial" w:eastAsia="Arial" w:hAnsi="Arial"/>
                <w:sz w:val="14"/>
                <w:szCs w:val="14"/>
                <w:color w:val="auto"/>
              </w:rPr>
              <w:t>(675</w:t>
            </w:r>
            <w:r>
              <w:rPr>
                <w:rFonts w:ascii="Arial" w:cs="Arial" w:eastAsia="Arial" w:hAnsi="Arial"/>
                <w:sz w:val="28"/>
                <w:szCs w:val="28"/>
                <w:color w:val="auto"/>
                <w:vertAlign w:val="superscript"/>
              </w:rPr>
              <w:t>)</w:t>
            </w:r>
          </w:p>
        </w:tc>
      </w:tr>
      <w:tr>
        <w:trPr>
          <w:trHeight w:val="20"/>
        </w:trPr>
        <w:tc>
          <w:tcPr>
            <w:tcW w:w="1520" w:type="dxa"/>
            <w:vAlign w:val="bottom"/>
            <w:shd w:val="clear" w:color="auto" w:fill="E2EEF6"/>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Borders>
              <w:left w:val="single" w:sz="8" w:color="E2EEF6"/>
            </w:tcBorders>
            <w:shd w:val="clear" w:color="auto" w:fill="E2EEF6"/>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E2EEF6"/>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E2EEF6"/>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E2EEF6"/>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E2EEF6"/>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E2EEF6"/>
            </w:tcBorders>
            <w:shd w:val="clear" w:color="auto" w:fill="E2EEF6"/>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shd w:val="clear" w:color="auto" w:fill="E2EEF6"/>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Borders>
              <w:left w:val="single" w:sz="8" w:color="E2EEF6"/>
            </w:tcBorders>
            <w:shd w:val="clear" w:color="auto" w:fill="E2EEF6"/>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left w:val="single" w:sz="8" w:color="E2EEF6"/>
            </w:tcBorders>
            <w:shd w:val="clear" w:color="auto" w:fill="E2EEF6"/>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E2EEF6"/>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shd w:val="clear" w:color="auto" w:fill="E2EEF6"/>
          </w:tcPr>
          <w:p>
            <w:pPr>
              <w:spacing w:after="0" w:line="20" w:lineRule="exact"/>
              <w:rPr>
                <w:sz w:val="1"/>
                <w:szCs w:val="1"/>
                <w:color w:val="auto"/>
              </w:rPr>
            </w:pPr>
          </w:p>
        </w:tc>
      </w:tr>
      <w:tr>
        <w:trPr>
          <w:trHeight w:val="237"/>
        </w:trPr>
        <w:tc>
          <w:tcPr>
            <w:tcW w:w="1520" w:type="dxa"/>
            <w:vAlign w:val="bottom"/>
          </w:tcPr>
          <w:p>
            <w:pPr>
              <w:spacing w:after="0"/>
              <w:rPr>
                <w:sz w:val="20"/>
                <w:szCs w:val="20"/>
                <w:color w:val="auto"/>
              </w:rPr>
            </w:pPr>
            <w:r>
              <w:rPr>
                <w:rFonts w:ascii="Arial" w:cs="Arial" w:eastAsia="Arial" w:hAnsi="Arial"/>
                <w:sz w:val="14"/>
                <w:szCs w:val="14"/>
                <w:color w:val="auto"/>
              </w:rPr>
              <w:t>Net income</w:t>
            </w:r>
          </w:p>
        </w:tc>
        <w:tc>
          <w:tcPr>
            <w:tcW w:w="640" w:type="dxa"/>
            <w:vAlign w:val="bottom"/>
            <w:gridSpan w:val="3"/>
          </w:tcPr>
          <w:p>
            <w:pPr>
              <w:jc w:val="right"/>
              <w:spacing w:after="0"/>
              <w:rPr>
                <w:sz w:val="20"/>
                <w:szCs w:val="20"/>
                <w:color w:val="auto"/>
              </w:rPr>
            </w:pPr>
            <w:r>
              <w:rPr>
                <w:rFonts w:ascii="Arial" w:cs="Arial" w:eastAsia="Arial" w:hAnsi="Arial"/>
                <w:sz w:val="14"/>
                <w:szCs w:val="14"/>
                <w:color w:val="auto"/>
                <w:w w:val="91"/>
              </w:rPr>
              <w:t>$ (1,930) $</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2,003</w:t>
            </w:r>
          </w:p>
        </w:tc>
        <w:tc>
          <w:tcPr>
            <w:tcW w:w="640" w:type="dxa"/>
            <w:vAlign w:val="bottom"/>
            <w:gridSpan w:val="3"/>
          </w:tcPr>
          <w:p>
            <w:pPr>
              <w:jc w:val="right"/>
              <w:spacing w:after="0"/>
              <w:rPr>
                <w:sz w:val="20"/>
                <w:szCs w:val="20"/>
                <w:color w:val="auto"/>
              </w:rPr>
            </w:pPr>
            <w:r>
              <w:rPr>
                <w:rFonts w:ascii="Arial" w:cs="Arial" w:eastAsia="Arial" w:hAnsi="Arial"/>
                <w:sz w:val="14"/>
                <w:szCs w:val="14"/>
                <w:color w:val="auto"/>
                <w:w w:val="91"/>
              </w:rPr>
              <w:t>$ (3,933) $</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7,308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7,492</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  (184) $  1,724</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683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1,041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7,102</w:t>
            </w:r>
          </w:p>
        </w:tc>
        <w:tc>
          <w:tcPr>
            <w:tcW w:w="660" w:type="dxa"/>
            <w:vAlign w:val="bottom"/>
            <w:gridSpan w:val="3"/>
          </w:tcPr>
          <w:p>
            <w:pPr>
              <w:jc w:val="right"/>
              <w:ind w:right="40"/>
              <w:spacing w:after="0"/>
              <w:rPr>
                <w:sz w:val="20"/>
                <w:szCs w:val="20"/>
                <w:color w:val="auto"/>
              </w:rPr>
            </w:pPr>
            <w:r>
              <w:rPr>
                <w:rFonts w:ascii="Arial" w:cs="Arial" w:eastAsia="Arial" w:hAnsi="Arial"/>
                <w:sz w:val="14"/>
                <w:szCs w:val="14"/>
                <w:color w:val="auto"/>
              </w:rPr>
              <w:t>$ 10,178</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92"/>
              </w:rPr>
              <w:t>$ (3,076)</w:t>
            </w:r>
          </w:p>
        </w:tc>
      </w:tr>
      <w:tr>
        <w:trPr>
          <w:trHeight w:val="20"/>
        </w:trPr>
        <w:tc>
          <w:tcPr>
            <w:tcW w:w="1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-205105</wp:posOffset>
            </wp:positionV>
            <wp:extent cx="3429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26035"/>
                    </a:xfrm>
                    <a:prstGeom prst="rect">
                      <a:avLst/>
                    </a:prstGeom>
                    <a:noFill/>
                  </pic:spPr>
                </pic:pic>
              </a:graphicData>
            </a:graphic>
          </wp:anchor>
        </w:drawing>
        <w:drawing>
          <wp:anchor simplePos="0" relativeHeight="251657728" behindDoc="1" locked="0" layoutInCell="0" allowOverlap="1">
            <wp:simplePos x="0" y="0"/>
            <wp:positionH relativeFrom="column">
              <wp:posOffset>6308090</wp:posOffset>
            </wp:positionH>
            <wp:positionV relativeFrom="paragraph">
              <wp:posOffset>-205105</wp:posOffset>
            </wp:positionV>
            <wp:extent cx="3429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Our net sales increased by $50.6 million, or 20.0%. Net sales of our NN Europe Segment increased $46.8 million or 31.8%. The impact of a full</w:t>
      </w:r>
      <w:r>
        <w:rPr>
          <w:rFonts w:ascii="Arial" w:cs="Arial" w:eastAsia="Arial" w:hAnsi="Arial"/>
          <w:sz w:val="18"/>
          <w:szCs w:val="18"/>
          <w:i w:val="1"/>
          <w:iCs w:val="1"/>
          <w:color w:val="auto"/>
        </w:rPr>
        <w:t xml:space="preserve"> </w:t>
      </w:r>
      <w:r>
        <w:rPr>
          <w:rFonts w:ascii="Arial" w:cs="Arial" w:eastAsia="Arial" w:hAnsi="Arial"/>
          <w:sz w:val="18"/>
          <w:szCs w:val="18"/>
          <w:color w:val="auto"/>
        </w:rPr>
        <w:t>year’s activity in 2004 from our Veenendaal, The Netherlands tapered roller and metal retainer operation acquired on May 2, 2003 accounted for $17.2 million of the increase. Impacts of foreign currency translation within the NN Europe Segment contributed $15.9 million of the increase. The remaining increase of $13.7 million within the NN Europe Segment is a result of increased product demand. Net sales of our Domestic Ball and Roller Segment increased $3.0 million or 5.4% principally due to increases in product demand. Net sales of our Plastic and Rubber Components Segment increased $0.8 million or 1.6% principally due to increases in product demand.</w:t>
      </w:r>
    </w:p>
    <w:p>
      <w:pPr>
        <w:spacing w:after="0" w:line="2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Cost of Products Sold</w:t>
      </w:r>
      <w:r>
        <w:rPr>
          <w:rFonts w:ascii="Arial" w:cs="Arial" w:eastAsia="Arial" w:hAnsi="Arial"/>
          <w:sz w:val="17"/>
          <w:szCs w:val="17"/>
          <w:color w:val="auto"/>
        </w:rPr>
        <w:t>. Our cost of products sold increased by $44.9 million or 23.0%. Within our NN Europe Segment the impact of a full year’s activity in</w:t>
      </w:r>
      <w:r>
        <w:rPr>
          <w:rFonts w:ascii="Arial" w:cs="Arial" w:eastAsia="Arial" w:hAnsi="Arial"/>
          <w:sz w:val="17"/>
          <w:szCs w:val="17"/>
          <w:i w:val="1"/>
          <w:iCs w:val="1"/>
          <w:color w:val="auto"/>
        </w:rPr>
        <w:t xml:space="preserve"> </w:t>
      </w:r>
      <w:r>
        <w:rPr>
          <w:rFonts w:ascii="Arial" w:cs="Arial" w:eastAsia="Arial" w:hAnsi="Arial"/>
          <w:sz w:val="17"/>
          <w:szCs w:val="17"/>
          <w:color w:val="auto"/>
        </w:rPr>
        <w:t>2004 from our Veenendaal, The Netherlands tapered roller and metal retainer operation acquired on May 2, 2003 accounted for $14.4 million of the increase. Impacts of foreign currency translation within the NN Europe Segment contributed $15.3 million of the increase. The remaining increase of $10.2 million within the NN Europe Segment is a result of increased product demand, increases in material cost and the impact of inventory reductions. Cost of products sold of our Domestic Ball and Roller Segment increased principally due to increases in product demand and increases in raw material steel cost. Cost of products sold of our Plastic and Rubber Components Segment principally due to increases in product demand and the impact of inventory reductions. As a percentage of net sales, cost of products sold increased from 77.2% in 2003 to 79.0% in 2004.</w:t>
      </w:r>
    </w:p>
    <w:p>
      <w:pPr>
        <w:sectPr>
          <w:pgSz w:w="11900" w:h="16838" w:orient="portrait"/>
          <w:cols w:equalWidth="0" w:num="1">
            <w:col w:w="11420"/>
          </w:cols>
          <w:pgMar w:left="240" w:top="125" w:right="239" w:bottom="1440" w:gutter="0" w:footer="0" w:header="0"/>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2" w:name="page23"/>
    <w:bookmarkEnd w:id="22"/>
    <w:p>
      <w:pPr>
        <w:jc w:val="both"/>
        <w:spacing w:after="0" w:line="273" w:lineRule="auto"/>
        <w:rPr>
          <w:sz w:val="20"/>
          <w:szCs w:val="20"/>
          <w:color w:val="auto"/>
        </w:rPr>
      </w:pPr>
      <w:r>
        <w:rPr>
          <w:rFonts w:ascii="Arial" w:cs="Arial" w:eastAsia="Arial" w:hAnsi="Arial"/>
          <w:sz w:val="17"/>
          <w:szCs w:val="17"/>
          <w:color w:val="auto"/>
        </w:rPr>
        <w:t>The price of steel has risen over the last twelve to eighteen months with the potential for 2005 prices to reflect even greater increases. The increase is principally due to general increases in global demand and, more recently, due to China’s increased consumption of steel. This has had the impact of increasing scrap surcharges we pay in procuring our steel in the form of higher unit prices and scrap surcharges and could adversely impact the availability of steel. Our contracts with key customers allow us to pass a majority of the steel price increases on to those customers. However, by contract, material price changes in any given year are typically passed along with price adjustments in January of the following year. Until the current increases can be passed through to our customers, income from operations, net income and cash flow from operations will be adversely affected.</w:t>
      </w:r>
    </w:p>
    <w:p>
      <w:pPr>
        <w:spacing w:after="0" w:line="2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by $8.1 million or 37.1%. Within our NN Europe</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the impact of a full year’s activity in 2004 from our Veenendaal, The Netherlands tapered roller and metal retainer operation acquired on May 2, 2003 accounted for $1.5 million of the increase. Impacts of foreign currency translation within the NN Europe Segment contributed $1.4 million of the increase. The remaining increase of $1.4 million within the NN Europe Segment is related to the start-up of our previously announced Level 3 program which integrates the principles of Lean Enterprise, Six Sigma and Total Productive Maintenance (the “Level 3 Program”), expenses associated with our Slovakia ball production facility and severance costs. Selling, general and administrative expenses of our Domestic Ball and Roller Segment increased $3.3 million principally related to Sarbanes-Oxley compliance efforts in the area of internal controls, the Level 3 program and costs associated with the start-up of NN Asia. Selling, general and administrative expenses of our Plastic and Rubber Components Segment increased $0.5 million principally related to the Level 3 program and costs associated with employee severance. As a percentage of net sales, selling, general and administrative expenses increased from 8.6% in 2003 to 9.8% in 2004.</w:t>
      </w:r>
    </w:p>
    <w:p>
      <w:pPr>
        <w:spacing w:after="0" w:line="2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 increased $2.4 million or 17.8% all within the NN Europe Segment.. Of this amount,</w:t>
      </w:r>
      <w:r>
        <w:rPr>
          <w:rFonts w:ascii="Arial" w:cs="Arial" w:eastAsia="Arial" w:hAnsi="Arial"/>
          <w:sz w:val="17"/>
          <w:szCs w:val="17"/>
          <w:i w:val="1"/>
          <w:iCs w:val="1"/>
          <w:color w:val="auto"/>
        </w:rPr>
        <w:t xml:space="preserve"> </w:t>
      </w:r>
      <w:r>
        <w:rPr>
          <w:rFonts w:ascii="Arial" w:cs="Arial" w:eastAsia="Arial" w:hAnsi="Arial"/>
          <w:sz w:val="17"/>
          <w:szCs w:val="17"/>
          <w:color w:val="auto"/>
        </w:rPr>
        <w:t>the impact of a full year’s activity in 2004 from our Veenendaal, The Netherlands tapered roller and metal retainer operation acquired on May 2, 2003 accounted for $1.0 million of the increase. Impacts of foreign currency translation within the NN Europe Segment contributed $0.9 million of the increase. The remaining increase of $0.5 million within the NN Europe Segment is related to our Slovakia ball production facility and capital spending increases. There was no change to depreciation and amortization expense within the Domestic Ball and Roller Segment and the Plastic and Rubber Components Segment. As a percentage of net sales, depreciation and amortization expenses decreased from 5.4% in 2003 to 5.3% in 2004.</w:t>
      </w:r>
    </w:p>
    <w:p>
      <w:pPr>
        <w:spacing w:after="0" w:line="2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(Gain) loss on disposal of assets. </w:t>
      </w:r>
      <w:r>
        <w:rPr>
          <w:rFonts w:ascii="Arial" w:cs="Arial" w:eastAsia="Arial" w:hAnsi="Arial"/>
          <w:sz w:val="17"/>
          <w:szCs w:val="17"/>
          <w:color w:val="auto"/>
        </w:rPr>
        <w:t>Within the Domestic Ball and Roller Segment, the loss recorded in 2004 is principally associated with the December 2004</w:t>
      </w:r>
      <w:r>
        <w:rPr>
          <w:rFonts w:ascii="Arial" w:cs="Arial" w:eastAsia="Arial" w:hAnsi="Arial"/>
          <w:sz w:val="17"/>
          <w:szCs w:val="17"/>
          <w:i w:val="1"/>
          <w:iCs w:val="1"/>
          <w:color w:val="auto"/>
        </w:rPr>
        <w:t xml:space="preserve"> </w:t>
      </w:r>
      <w:r>
        <w:rPr>
          <w:rFonts w:ascii="Arial" w:cs="Arial" w:eastAsia="Arial" w:hAnsi="Arial"/>
          <w:sz w:val="17"/>
          <w:szCs w:val="17"/>
          <w:color w:val="auto"/>
        </w:rPr>
        <w:t>sale of our idle Walterboro, South Carolina land and building assets. This ball production facility was closed in 2001 as a part of our ongoing strategy to locate manufacturing capacity in closer proximity to our customers. The loss on disposal of assets was 0.3% of net sales in 2004.</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Restructuring and impairment costs. </w:t>
      </w:r>
      <w:r>
        <w:rPr>
          <w:rFonts w:ascii="Arial" w:cs="Arial" w:eastAsia="Arial" w:hAnsi="Arial"/>
          <w:sz w:val="16"/>
          <w:szCs w:val="16"/>
          <w:color w:val="auto"/>
        </w:rPr>
        <w:t>Restructuring and impairment costs decreased by $0.1 million. In 2004, the $2.3 million of restructuring and impairment</w:t>
      </w:r>
      <w:r>
        <w:rPr>
          <w:rFonts w:ascii="Arial" w:cs="Arial" w:eastAsia="Arial" w:hAnsi="Arial"/>
          <w:sz w:val="16"/>
          <w:szCs w:val="16"/>
          <w:i w:val="1"/>
          <w:iCs w:val="1"/>
          <w:color w:val="auto"/>
        </w:rPr>
        <w:t xml:space="preserve"> </w:t>
      </w:r>
      <w:r>
        <w:rPr>
          <w:rFonts w:ascii="Arial" w:cs="Arial" w:eastAsia="Arial" w:hAnsi="Arial"/>
          <w:sz w:val="16"/>
          <w:szCs w:val="16"/>
          <w:color w:val="auto"/>
        </w:rPr>
        <w:t>costs is related to severance costs and related charges for approximately 86 employees at our Eltmann, Germany ball production facility, a component of the</w:t>
      </w:r>
    </w:p>
    <w:p>
      <w:pPr>
        <w:jc w:val="both"/>
        <w:ind w:firstLine="8"/>
        <w:spacing w:after="0" w:line="255" w:lineRule="auto"/>
        <w:tabs>
          <w:tab w:leader="none" w:pos="314" w:val="left"/>
        </w:tabs>
        <w:numPr>
          <w:ilvl w:val="0"/>
          <w:numId w:val="7"/>
        </w:numPr>
        <w:rPr>
          <w:rFonts w:ascii="Arial" w:cs="Arial" w:eastAsia="Arial" w:hAnsi="Arial"/>
          <w:sz w:val="18"/>
          <w:szCs w:val="18"/>
          <w:color w:val="auto"/>
        </w:rPr>
      </w:pPr>
      <w:r>
        <w:rPr>
          <w:rFonts w:ascii="Arial" w:cs="Arial" w:eastAsia="Arial" w:hAnsi="Arial"/>
          <w:sz w:val="18"/>
          <w:szCs w:val="18"/>
          <w:color w:val="auto"/>
        </w:rPr>
        <w:t>Europe Segment. In 2003, the $2.4 million of restructuring and impairment costs are related to asset impairments, severance and lease exit costs due to the closing of our Guadalajara, Mexico plastic injection molding facility. As a percentage of net sales, restructuring and impairment costs decreased from 1.0% in 2003 to 0.8% in 2004.</w:t>
      </w:r>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$0.6 million, or 18.8%. Of this amount, approximately $0.4 million is related to the April 26, 2004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$40.0 million aggregate principal amount of senior notes in a private placement. These notes bear interest at a fixed rate of 4.89%. See “Liquidity and Capital Resources.” Within our NN Europe Segment, $0.1 million is related the impacts of foreign currency translation. As a percentage of net sales, interest expense was unchanged at 1.3% in 2003 and 2004.</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decreased $3.1 million or 30.2%. As a percentage of net sales, net income decreased from 4.0% in 2003 to 2.3% in 2004.</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May 1, 2003 in connection with the purchase of SKF’s Veenendaal component manufacturing operations and SKF’s 23 percent interest in NN Europe, we entered into a $90 million syndicated credit facility with AmSouth Bank (“AmSouth”) as the administrative agent and SunTrust Bank as the Euro loan agent for the lenders under which we borrowed $60.4 million and 26.3 million Euros ($29.6 million) (the “$90 million credit facility”). This financing arrangement replaced our prior credit facility with AmSouth and Hypo Vereinsbank Luxembourg, S.A. The credit facility as originally entered into consisted of a $30.0 million revolver (“$30.0 million revolver”) originally expiring on March 15, 2005, and subsequently extended to June 30, 2007 bearing interest at a floating rate equal to LIBOR (4.54% at December 31, 2005) plus an applicable margin of 1.25% to 2.0%, a $30.4 million term loan expiring on May 1, 2008, bearing interest at a floating rate equal to LIBOR (4.54% at December 31, 2005) plus an applicable margin of 1.25% to 2.0% and a 26.3 million Euro ($29.6 million) term loan (“26.3 million Euro term loan”) expiring on May 1, 2008 which bears interest at a floating rate equal to Euro LIBOR (2.49% at December 31, 2005) plus an applicable margin of 1.25% to 2.0%. All amounts owed under the $30.4 million term loan were paid during the second quarter of 2004 with the proceeds from our issuance of $40 million aggregate principal amount of senior notes in a private placement and we no longer have borrowing capacity under that portion of the $90 million credit facility. The terms of the $30.0 million revolver and the 26.3 million Euro term loan remain unchanged except for the maturity date of the $30.0 million revolver has been extended to June 30, 2007. The loan agreement contains customary financial and non-financial covenants. Such covenants specify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the Company’s business. The credit agreement is un-collateralized except for the pledge of stock of certain foreign subsidiaries. We were in compliance with all such covenants as of December 31, 2005.</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acquisition of KLF’s operations in Slovakia, on September 23, 2003 we entered into a $2.0 million short-term unsecured promissory note (the “$2.0 million note”) with AmSouth as the lender. This note bore interest at the prime rate. All amounts owed under this note were paid during the second quarter of 2004 with the proceeds from our $40 million notes.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23, 2004 we entered into a $2.7 million short-term promissory note (the “$2.7 million note”) with AmSouth Bank (“AmSouth”) as the lender. This note bore interest at the prime rate. This agreement was entered into to fund short term operating capital requirements. All amounts owed under this note were paid during the second quarter of 2004 with the proceeds from our $40 million notes.</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April 26, 2004 we issued $40.0 million aggregate principal amount of senior notes in a private placement (the “$40 million notes”). These notes bear interest at a fixed rate of 4.89% and mature on April 26, 2014. Interest is paid semi-annually. As of December 31, 2005, $40.0 million remained outstanding. Annual principal payments of approximately $5.7 million begin on April 26, 2008 and extend through the date of maturity. Proceeds from this credit facility were used to repay our existing US dollar denominated term loan, $24 million, and repay a portion, of our borrowings under our US dollar denominated revolving credit facility, $13 million, which are both components of our $90 million credit facility, and to repay borrowings remaining under our $2.0 million note and our $2.7 million note of $2 million and $1 million, respectively. The agreement contains customary financial and non-financial covenants. Such covenants specify that we must maintain certain liquidity measures. The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No event of default had occurred as of December 31, 2005. The notes are not collateralized except for the pledge of stock of certain foreign subsidiaries. We incurred $0.8 million of related costs as a result of issuing these notes which have been recorded as a component of other non-current assets and are being amortized over the term of the notes. In connection with the issuance of the $40 million notes, capitalized costs in the amount of approximately $0.3 million associated with structuring of the $90 million credit facility were written off during the twelve months ended December 31, 2004 and are included as a component of other (income) expense.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May 2003, we completed a public offering of 3.6 million shares of our stock by a group of selling shareholders. We did not receive any proceeds from the sale of the shares previously held by the group of selling shareholders; however, the underwriters did exercise their over-allotment option of 533,600 shares, which were offered by us. Net proceeds received by us in connection with the exercise of the over-allotment option were approximately $5.1 million, net of issue costs. Per the terms of our credit facility, we repaid a portion of our credit facility with these proceeds.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both"/>
        <w:ind w:right="20"/>
        <w:spacing w:after="0" w:line="279" w:lineRule="auto"/>
        <w:rPr>
          <w:sz w:val="20"/>
          <w:szCs w:val="20"/>
          <w:color w:val="auto"/>
        </w:rPr>
      </w:pPr>
      <w:r>
        <w:rPr>
          <w:rFonts w:ascii="Arial" w:cs="Arial" w:eastAsia="Arial" w:hAnsi="Arial"/>
          <w:sz w:val="17"/>
          <w:szCs w:val="17"/>
          <w:color w:val="auto"/>
        </w:rPr>
        <w:t>On October 27, 2004 we completed the sale of our idle warehouse in Kilkenny, Ireland for approximately 1.6 million Euro ($2.0 million), net of selling costs incurred. As a result of this transaction, we recorded a loss on disposal of assets of approximately 0.1 million Euro ($0.1 million) during the fourth quarter of 2004 which was recorded as a component of loss on disposal of assets. Prior to the sale this asset was classified as a component of property, plant and equipment, net. Proceeds received from the sale of this asset were used to repay a portion of our $90 million credit facility.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2005, we generated approximately $0.8 million in proceeds from sale of excess land at our Veenendaal, The Netherlands facility. This transaction resulted in a gain of approximately $0.4 million.</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date, cash generated by NN Europe and its subsidiaries has been used exclusively for general, NN Europe-specific purposes including investments in property, plant and equipment and prepayment of the Euro term loan, which is secured by NN Europe and its subsidiaries. Accordingly, no dividends have been declared or paid by NN Europe that may have been used by the Company to permanently pay down our domestic credit facilities.</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arrangements with its domestic customers typically provide that payments are due within 30 days following the date of the Company’s shipment of goods, while arrangements with foreign customers of our domestic business (other than foreign customers that have entered into an inventory management program with the Company) generally provide that payments are due within 90 or 120 days following the date of shipment. Under the Domestic Ball and Roller Segments inventory management program with certain European customers, payments typically are due within 30 days after the customer uses the product. The Company’s arrangement with its NN Europe Segment customers regarding due dates vary from 30 to 90 days following date of sale with an average of approximately 50 days outstanding. The Company’s sales and receivables can be influenced by seasonality due to the Company’s relative percentage of European business coupled with many foreign customers ceasing production during the month of August. For information concerning the Company's quarterly results of operations for the years ended December 31, 2005 and 2004, see Note 16 of the Notes to Consolidated Financial Statements.</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bills and receives payment from some of its foreign customers in Euro as well as other currencies. In 2005, the fluctuation of the Euro against the U.S. dollar negatively impacted assets, revenue and income. As a result of these sales, the Company’s foreign exchange transaction and translation risk has increased. Various strategies to manage this risk are available to management including producing and selling in local currencies and hedging programs. As of December 31, 2005, no currency hedges were in place. In addition, a strengthening of the U.S. dollar and/or Euro against foreign currencies could impair the ability of the Company to compete with international competitors for foreign as well as domestic sales.</w:t>
      </w:r>
    </w:p>
    <w:p>
      <w:pPr>
        <w:spacing w:after="0" w:line="2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Working capital, which consists principally of accounts receivable and inventories offset by accounts payable, was $41.1 million at December 31, 2005 as compared to $34.0 million at December 31, 2004. The movement in working capital is due to the decrease in accounts receivable of $4.3 million, offset by increases in inventory of $2.5 million, decrease in accounts payable of $3.6 million, the decrease in the Eltmann restructuring of $2.3 million, and the reclassification of a $2.5 million note receivable from non-current assets to current assets. The ratio of current assets to current liabilities increased from 1.46:1 at December 31, 2004 to 1.63:1 at December 31, 2005. Cash flow from operations totaled $30.0 million in 2005, compared with $31.6 million in 2004 and $19.5 million in 2003. Higher net income and accounts receivable collections were offset by an increase in inventory during 2005.</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2006, we plan to spend approximately $19.2 million on capital expenditures. Of this amount, $7.6 million will be related primarily to equipment and process upgrades and replacements, approximately $8.9 million will be principally related to geographic expansion of our manufacturing base, and $2.7 million will be related to the completion of the SNR transaction (see Note 2 to the Consolidated Financial Statements, Acquisitions, Purchase of Minority Interest and New Businesses). We intend to finance these activities with cash generated from operations and funds available under our credit facilities. The Company believes that funds generated from operations and borrowings will be sufficient to finance the Company’s working capital needs, projected capital expenditure requirements, and dividend payments through December 2006.</w:t>
      </w:r>
    </w:p>
    <w:p>
      <w:pPr>
        <w:spacing w:after="0" w:line="23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Subsequent to year-end, the Company’s Board of Directors authorized a new stock repurchase plan. Under this plan the Company is authorized to repurchase during the next 18 months in the open market or in private transactions, in accordance with applicable laws and regulations, up to $10 million in common stock of the Company. This amount represents approximately 5% of the Company’s outstanding stock.</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The table below sets forth certain of the Company’s contractual obligations and commercial commitments as of December 31, 2005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352425</wp:posOffset>
            </wp:positionV>
            <wp:extent cx="6182995" cy="1191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82995" cy="119189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tbl>
      <w:tblPr>
        <w:tblLayout w:type="fixed"/>
        <w:tblInd w:w="900" w:type="dxa"/>
        <w:tblCellMar>
          <w:top w:w="0" w:type="dxa"/>
          <w:left w:w="0" w:type="dxa"/>
          <w:bottom w:w="0" w:type="dxa"/>
          <w:right w:w="0" w:type="dxa"/>
        </w:tblCellMar>
      </w:tblPr>
      <w:tr>
        <w:trPr>
          <w:trHeight w:val="186"/>
        </w:trPr>
        <w:tc>
          <w:tcPr>
            <w:tcW w:w="26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4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Payments Due by Period</w:t>
            </w:r>
          </w:p>
        </w:tc>
        <w:tc>
          <w:tcPr>
            <w:tcW w:w="1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640" w:type="dxa"/>
            <w:vAlign w:val="bottom"/>
          </w:tcPr>
          <w:p>
            <w:pPr>
              <w:ind w:left="880"/>
              <w:spacing w:after="0"/>
              <w:rPr>
                <w:sz w:val="20"/>
                <w:szCs w:val="20"/>
                <w:color w:val="auto"/>
              </w:rPr>
            </w:pPr>
            <w:r>
              <w:rPr>
                <w:rFonts w:ascii="Arial" w:cs="Arial" w:eastAsia="Arial" w:hAnsi="Arial"/>
                <w:sz w:val="14"/>
                <w:szCs w:val="14"/>
                <w:b w:val="1"/>
                <w:bCs w:val="1"/>
                <w:color w:val="auto"/>
              </w:rPr>
              <w:t>Certain</w:t>
            </w:r>
          </w:p>
        </w:tc>
        <w:tc>
          <w:tcPr>
            <w:tcW w:w="1940" w:type="dxa"/>
            <w:vAlign w:val="bottom"/>
          </w:tcPr>
          <w:p>
            <w:pPr>
              <w:jc w:val="right"/>
              <w:ind w:right="948"/>
              <w:spacing w:after="0"/>
              <w:rPr>
                <w:sz w:val="20"/>
                <w:szCs w:val="20"/>
                <w:color w:val="auto"/>
              </w:rPr>
            </w:pPr>
            <w:r>
              <w:rPr>
                <w:rFonts w:ascii="Arial" w:cs="Arial" w:eastAsia="Arial" w:hAnsi="Arial"/>
                <w:sz w:val="14"/>
                <w:szCs w:val="14"/>
                <w:b w:val="1"/>
                <w:bCs w:val="1"/>
                <w:color w:val="auto"/>
              </w:rPr>
              <w:t>Total</w:t>
            </w:r>
          </w:p>
        </w:tc>
        <w:tc>
          <w:tcPr>
            <w:tcW w:w="1300" w:type="dxa"/>
            <w:vAlign w:val="bottom"/>
          </w:tcPr>
          <w:p>
            <w:pPr>
              <w:jc w:val="right"/>
              <w:ind w:right="188"/>
              <w:spacing w:after="0"/>
              <w:rPr>
                <w:sz w:val="20"/>
                <w:szCs w:val="20"/>
                <w:color w:val="auto"/>
              </w:rPr>
            </w:pPr>
            <w:r>
              <w:rPr>
                <w:rFonts w:ascii="Arial" w:cs="Arial" w:eastAsia="Arial" w:hAnsi="Arial"/>
                <w:sz w:val="14"/>
                <w:szCs w:val="14"/>
                <w:b w:val="1"/>
                <w:bCs w:val="1"/>
                <w:color w:val="auto"/>
                <w:w w:val="92"/>
              </w:rPr>
              <w:t>Less than 1 year</w:t>
            </w:r>
          </w:p>
        </w:tc>
        <w:tc>
          <w:tcPr>
            <w:tcW w:w="1340" w:type="dxa"/>
            <w:vAlign w:val="bottom"/>
          </w:tcPr>
          <w:p>
            <w:pPr>
              <w:jc w:val="right"/>
              <w:ind w:right="508"/>
              <w:spacing w:after="0"/>
              <w:rPr>
                <w:sz w:val="20"/>
                <w:szCs w:val="20"/>
                <w:color w:val="auto"/>
              </w:rPr>
            </w:pPr>
            <w:r>
              <w:rPr>
                <w:rFonts w:ascii="Arial" w:cs="Arial" w:eastAsia="Arial" w:hAnsi="Arial"/>
                <w:sz w:val="14"/>
                <w:szCs w:val="14"/>
                <w:b w:val="1"/>
                <w:bCs w:val="1"/>
                <w:color w:val="auto"/>
              </w:rPr>
              <w:t>1-3 years</w:t>
            </w:r>
          </w:p>
        </w:tc>
        <w:tc>
          <w:tcPr>
            <w:tcW w:w="1280" w:type="dxa"/>
            <w:vAlign w:val="bottom"/>
          </w:tcPr>
          <w:p>
            <w:pPr>
              <w:jc w:val="right"/>
              <w:ind w:right="448"/>
              <w:spacing w:after="0"/>
              <w:rPr>
                <w:sz w:val="20"/>
                <w:szCs w:val="20"/>
                <w:color w:val="auto"/>
              </w:rPr>
            </w:pPr>
            <w:r>
              <w:rPr>
                <w:rFonts w:ascii="Arial" w:cs="Arial" w:eastAsia="Arial" w:hAnsi="Arial"/>
                <w:sz w:val="14"/>
                <w:szCs w:val="14"/>
                <w:b w:val="1"/>
                <w:bCs w:val="1"/>
                <w:color w:val="auto"/>
              </w:rPr>
              <w:t>3-5 years</w:t>
            </w:r>
          </w:p>
        </w:tc>
        <w:tc>
          <w:tcPr>
            <w:tcW w:w="1140" w:type="dxa"/>
            <w:vAlign w:val="bottom"/>
          </w:tcPr>
          <w:p>
            <w:pPr>
              <w:jc w:val="right"/>
              <w:ind w:right="148"/>
              <w:spacing w:after="0"/>
              <w:rPr>
                <w:sz w:val="20"/>
                <w:szCs w:val="20"/>
                <w:color w:val="auto"/>
              </w:rPr>
            </w:pPr>
            <w:r>
              <w:rPr>
                <w:rFonts w:ascii="Arial" w:cs="Arial" w:eastAsia="Arial" w:hAnsi="Arial"/>
                <w:sz w:val="14"/>
                <w:szCs w:val="14"/>
                <w:b w:val="1"/>
                <w:bCs w:val="1"/>
                <w:color w:val="auto"/>
              </w:rPr>
              <w:t>After 5 years</w:t>
            </w:r>
          </w:p>
        </w:tc>
        <w:tc>
          <w:tcPr>
            <w:tcW w:w="0" w:type="dxa"/>
            <w:vAlign w:val="bottom"/>
          </w:tcPr>
          <w:p>
            <w:pPr>
              <w:spacing w:after="0"/>
              <w:rPr>
                <w:sz w:val="1"/>
                <w:szCs w:val="1"/>
                <w:color w:val="auto"/>
              </w:rPr>
            </w:pPr>
          </w:p>
        </w:tc>
      </w:tr>
      <w:tr>
        <w:trPr>
          <w:trHeight w:val="116"/>
        </w:trPr>
        <w:tc>
          <w:tcPr>
            <w:tcW w:w="2640" w:type="dxa"/>
            <w:vAlign w:val="bottom"/>
          </w:tcPr>
          <w:p>
            <w:pPr>
              <w:ind w:left="380"/>
              <w:spacing w:after="0" w:line="116" w:lineRule="exact"/>
              <w:rPr>
                <w:sz w:val="20"/>
                <w:szCs w:val="20"/>
                <w:color w:val="auto"/>
              </w:rPr>
            </w:pPr>
            <w:r>
              <w:rPr>
                <w:rFonts w:ascii="Arial" w:cs="Arial" w:eastAsia="Arial" w:hAnsi="Arial"/>
                <w:sz w:val="13"/>
                <w:szCs w:val="13"/>
                <w:b w:val="1"/>
                <w:bCs w:val="1"/>
                <w:color w:val="auto"/>
              </w:rPr>
              <w:t>Contractual Obligations</w:t>
            </w:r>
          </w:p>
        </w:tc>
        <w:tc>
          <w:tcPr>
            <w:tcW w:w="19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Long-term debt</w:t>
            </w:r>
          </w:p>
        </w:tc>
        <w:tc>
          <w:tcPr>
            <w:tcW w:w="1940" w:type="dxa"/>
            <w:vAlign w:val="bottom"/>
          </w:tcPr>
          <w:p>
            <w:pPr>
              <w:jc w:val="right"/>
              <w:spacing w:after="0"/>
              <w:rPr>
                <w:sz w:val="20"/>
                <w:szCs w:val="20"/>
                <w:color w:val="auto"/>
              </w:rPr>
            </w:pPr>
            <w:r>
              <w:rPr>
                <w:rFonts w:ascii="Arial" w:cs="Arial" w:eastAsia="Arial" w:hAnsi="Arial"/>
                <w:sz w:val="14"/>
                <w:szCs w:val="14"/>
                <w:color w:val="auto"/>
              </w:rPr>
              <w:t>$ 62,568</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$ 4,668</w:t>
            </w: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$ 23,614</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$ 11,428</w:t>
            </w:r>
          </w:p>
        </w:tc>
        <w:tc>
          <w:tcPr>
            <w:tcW w:w="1140" w:type="dxa"/>
            <w:vAlign w:val="bottom"/>
          </w:tcPr>
          <w:p>
            <w:pPr>
              <w:jc w:val="right"/>
              <w:spacing w:after="0"/>
              <w:rPr>
                <w:sz w:val="20"/>
                <w:szCs w:val="20"/>
                <w:color w:val="auto"/>
              </w:rPr>
            </w:pPr>
            <w:r>
              <w:rPr>
                <w:rFonts w:ascii="Arial" w:cs="Arial" w:eastAsia="Arial" w:hAnsi="Arial"/>
                <w:sz w:val="14"/>
                <w:szCs w:val="14"/>
                <w:color w:val="auto"/>
              </w:rPr>
              <w:t>$ 22,858</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Expected interest payments</w:t>
            </w:r>
          </w:p>
        </w:tc>
        <w:tc>
          <w:tcPr>
            <w:tcW w:w="1940" w:type="dxa"/>
            <w:vAlign w:val="bottom"/>
          </w:tcPr>
          <w:p>
            <w:pPr>
              <w:jc w:val="right"/>
              <w:spacing w:after="0"/>
              <w:rPr>
                <w:sz w:val="20"/>
                <w:szCs w:val="20"/>
                <w:color w:val="auto"/>
              </w:rPr>
            </w:pPr>
            <w:r>
              <w:rPr>
                <w:rFonts w:ascii="Arial" w:cs="Arial" w:eastAsia="Arial" w:hAnsi="Arial"/>
                <w:sz w:val="14"/>
                <w:szCs w:val="14"/>
                <w:color w:val="auto"/>
              </w:rPr>
              <w:t>$ 12,275</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3,217</w:t>
            </w: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4,307</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2,701</w:t>
            </w:r>
          </w:p>
        </w:tc>
        <w:tc>
          <w:tcPr>
            <w:tcW w:w="1140" w:type="dxa"/>
            <w:vAlign w:val="bottom"/>
          </w:tcPr>
          <w:p>
            <w:pPr>
              <w:jc w:val="right"/>
              <w:spacing w:after="0"/>
              <w:rPr>
                <w:sz w:val="20"/>
                <w:szCs w:val="20"/>
                <w:color w:val="auto"/>
              </w:rPr>
            </w:pPr>
            <w:r>
              <w:rPr>
                <w:rFonts w:ascii="Arial" w:cs="Arial" w:eastAsia="Arial" w:hAnsi="Arial"/>
                <w:sz w:val="14"/>
                <w:szCs w:val="14"/>
                <w:color w:val="auto"/>
              </w:rPr>
              <w:t>2,050</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Operating leases</w:t>
            </w:r>
          </w:p>
        </w:tc>
        <w:tc>
          <w:tcPr>
            <w:tcW w:w="1940" w:type="dxa"/>
            <w:vAlign w:val="bottom"/>
          </w:tcPr>
          <w:p>
            <w:pPr>
              <w:jc w:val="right"/>
              <w:spacing w:after="0"/>
              <w:rPr>
                <w:sz w:val="20"/>
                <w:szCs w:val="20"/>
                <w:color w:val="auto"/>
              </w:rPr>
            </w:pPr>
            <w:r>
              <w:rPr>
                <w:rFonts w:ascii="Arial" w:cs="Arial" w:eastAsia="Arial" w:hAnsi="Arial"/>
                <w:sz w:val="14"/>
                <w:szCs w:val="14"/>
                <w:color w:val="auto"/>
              </w:rPr>
              <w:t>20,124</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2,093</w:t>
            </w: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3,394</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2,889</w:t>
            </w:r>
          </w:p>
        </w:tc>
        <w:tc>
          <w:tcPr>
            <w:tcW w:w="1140" w:type="dxa"/>
            <w:vAlign w:val="bottom"/>
          </w:tcPr>
          <w:p>
            <w:pPr>
              <w:jc w:val="right"/>
              <w:spacing w:after="0"/>
              <w:rPr>
                <w:sz w:val="20"/>
                <w:szCs w:val="20"/>
                <w:color w:val="auto"/>
              </w:rPr>
            </w:pPr>
            <w:r>
              <w:rPr>
                <w:rFonts w:ascii="Arial" w:cs="Arial" w:eastAsia="Arial" w:hAnsi="Arial"/>
                <w:sz w:val="14"/>
                <w:szCs w:val="14"/>
                <w:color w:val="auto"/>
              </w:rPr>
              <w:t>11,748</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Capital leases (1)</w:t>
            </w:r>
          </w:p>
        </w:tc>
        <w:tc>
          <w:tcPr>
            <w:tcW w:w="1940" w:type="dxa"/>
            <w:vAlign w:val="bottom"/>
          </w:tcPr>
          <w:p>
            <w:pPr>
              <w:jc w:val="right"/>
              <w:spacing w:after="0"/>
              <w:rPr>
                <w:sz w:val="20"/>
                <w:szCs w:val="20"/>
                <w:color w:val="auto"/>
              </w:rPr>
            </w:pPr>
            <w:r>
              <w:rPr>
                <w:rFonts w:ascii="Arial" w:cs="Arial" w:eastAsia="Arial" w:hAnsi="Arial"/>
                <w:sz w:val="14"/>
                <w:szCs w:val="14"/>
                <w:color w:val="auto"/>
              </w:rPr>
              <w:t>4,425</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224</w:t>
            </w: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448</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448</w:t>
            </w:r>
          </w:p>
        </w:tc>
        <w:tc>
          <w:tcPr>
            <w:tcW w:w="1140" w:type="dxa"/>
            <w:vAlign w:val="bottom"/>
          </w:tcPr>
          <w:p>
            <w:pPr>
              <w:jc w:val="right"/>
              <w:spacing w:after="0"/>
              <w:rPr>
                <w:sz w:val="20"/>
                <w:szCs w:val="20"/>
                <w:color w:val="auto"/>
              </w:rPr>
            </w:pPr>
            <w:r>
              <w:rPr>
                <w:rFonts w:ascii="Arial" w:cs="Arial" w:eastAsia="Arial" w:hAnsi="Arial"/>
                <w:sz w:val="14"/>
                <w:szCs w:val="14"/>
                <w:color w:val="auto"/>
              </w:rPr>
              <w:t>3,305</w:t>
            </w:r>
          </w:p>
        </w:tc>
        <w:tc>
          <w:tcPr>
            <w:tcW w:w="0" w:type="dxa"/>
            <w:vAlign w:val="bottom"/>
          </w:tcPr>
          <w:p>
            <w:pPr>
              <w:spacing w:after="0"/>
              <w:rPr>
                <w:sz w:val="1"/>
                <w:szCs w:val="1"/>
                <w:color w:val="auto"/>
              </w:rPr>
            </w:pPr>
          </w:p>
        </w:tc>
      </w:tr>
      <w:tr>
        <w:trPr>
          <w:trHeight w:val="140"/>
        </w:trPr>
        <w:tc>
          <w:tcPr>
            <w:tcW w:w="2640" w:type="dxa"/>
            <w:vAlign w:val="bottom"/>
          </w:tcPr>
          <w:p>
            <w:pPr>
              <w:spacing w:after="0" w:line="141" w:lineRule="exact"/>
              <w:rPr>
                <w:sz w:val="20"/>
                <w:szCs w:val="20"/>
                <w:color w:val="auto"/>
              </w:rPr>
            </w:pPr>
            <w:r>
              <w:rPr>
                <w:rFonts w:ascii="Arial" w:cs="Arial" w:eastAsia="Arial" w:hAnsi="Arial"/>
                <w:sz w:val="14"/>
                <w:szCs w:val="14"/>
                <w:color w:val="auto"/>
              </w:rPr>
              <w:t>Expected pension contributions and</w:t>
            </w:r>
          </w:p>
        </w:tc>
        <w:tc>
          <w:tcPr>
            <w:tcW w:w="1940" w:type="dxa"/>
            <w:vAlign w:val="bottom"/>
            <w:vMerge w:val="restart"/>
          </w:tcPr>
          <w:p>
            <w:pPr>
              <w:jc w:val="right"/>
              <w:spacing w:after="0"/>
              <w:rPr>
                <w:sz w:val="20"/>
                <w:szCs w:val="20"/>
                <w:color w:val="auto"/>
              </w:rPr>
            </w:pPr>
            <w:r>
              <w:rPr>
                <w:rFonts w:ascii="Arial" w:cs="Arial" w:eastAsia="Arial" w:hAnsi="Arial"/>
                <w:sz w:val="14"/>
                <w:szCs w:val="14"/>
                <w:color w:val="auto"/>
              </w:rPr>
              <w:t>1,950</w:t>
            </w:r>
          </w:p>
        </w:tc>
        <w:tc>
          <w:tcPr>
            <w:tcW w:w="1300" w:type="dxa"/>
            <w:vAlign w:val="bottom"/>
            <w:vMerge w:val="restart"/>
          </w:tcPr>
          <w:p>
            <w:pPr>
              <w:jc w:val="right"/>
              <w:ind w:right="148"/>
              <w:spacing w:after="0"/>
              <w:rPr>
                <w:sz w:val="20"/>
                <w:szCs w:val="20"/>
                <w:color w:val="auto"/>
              </w:rPr>
            </w:pPr>
            <w:r>
              <w:rPr>
                <w:rFonts w:ascii="Arial" w:cs="Arial" w:eastAsia="Arial" w:hAnsi="Arial"/>
                <w:sz w:val="14"/>
                <w:szCs w:val="14"/>
                <w:color w:val="auto"/>
              </w:rPr>
              <w:t>61</w:t>
            </w:r>
          </w:p>
        </w:tc>
        <w:tc>
          <w:tcPr>
            <w:tcW w:w="1340" w:type="dxa"/>
            <w:vAlign w:val="bottom"/>
            <w:vMerge w:val="restart"/>
          </w:tcPr>
          <w:p>
            <w:pPr>
              <w:jc w:val="right"/>
              <w:ind w:right="128"/>
              <w:spacing w:after="0"/>
              <w:rPr>
                <w:sz w:val="20"/>
                <w:szCs w:val="20"/>
                <w:color w:val="auto"/>
              </w:rPr>
            </w:pPr>
            <w:r>
              <w:rPr>
                <w:rFonts w:ascii="Arial" w:cs="Arial" w:eastAsia="Arial" w:hAnsi="Arial"/>
                <w:sz w:val="14"/>
                <w:szCs w:val="14"/>
                <w:color w:val="auto"/>
              </w:rPr>
              <w:t>279</w:t>
            </w: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351</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1,259</w:t>
            </w:r>
          </w:p>
        </w:tc>
        <w:tc>
          <w:tcPr>
            <w:tcW w:w="0" w:type="dxa"/>
            <w:vAlign w:val="bottom"/>
          </w:tcPr>
          <w:p>
            <w:pPr>
              <w:spacing w:after="0"/>
              <w:rPr>
                <w:sz w:val="1"/>
                <w:szCs w:val="1"/>
                <w:color w:val="auto"/>
              </w:rPr>
            </w:pPr>
          </w:p>
        </w:tc>
      </w:tr>
      <w:tr>
        <w:trPr>
          <w:trHeight w:val="157"/>
        </w:trPr>
        <w:tc>
          <w:tcPr>
            <w:tcW w:w="2640" w:type="dxa"/>
            <w:vAlign w:val="bottom"/>
          </w:tcPr>
          <w:p>
            <w:pPr>
              <w:spacing w:after="0" w:line="157" w:lineRule="exact"/>
              <w:rPr>
                <w:sz w:val="20"/>
                <w:szCs w:val="20"/>
                <w:color w:val="auto"/>
              </w:rPr>
            </w:pPr>
            <w:r>
              <w:rPr>
                <w:rFonts w:ascii="Arial" w:cs="Arial" w:eastAsia="Arial" w:hAnsi="Arial"/>
                <w:sz w:val="14"/>
                <w:szCs w:val="14"/>
                <w:color w:val="auto"/>
              </w:rPr>
              <w:t>benefit payments</w:t>
            </w:r>
          </w:p>
        </w:tc>
        <w:tc>
          <w:tcPr>
            <w:tcW w:w="194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Other long-term obligations (2)</w:t>
            </w:r>
          </w:p>
        </w:tc>
        <w:tc>
          <w:tcPr>
            <w:tcW w:w="1940" w:type="dxa"/>
            <w:vAlign w:val="bottom"/>
          </w:tcPr>
          <w:p>
            <w:pPr>
              <w:jc w:val="right"/>
              <w:spacing w:after="0"/>
              <w:rPr>
                <w:sz w:val="20"/>
                <w:szCs w:val="20"/>
                <w:color w:val="auto"/>
              </w:rPr>
            </w:pPr>
            <w:r>
              <w:rPr>
                <w:rFonts w:ascii="Arial" w:cs="Arial" w:eastAsia="Arial" w:hAnsi="Arial"/>
                <w:sz w:val="14"/>
                <w:szCs w:val="14"/>
                <w:color w:val="auto"/>
              </w:rPr>
              <w:t>36,661</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36,661</w:t>
            </w: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640" w:type="dxa"/>
            <w:vAlign w:val="bottom"/>
          </w:tcPr>
          <w:p>
            <w:pPr>
              <w:spacing w:after="0"/>
              <w:rPr>
                <w:sz w:val="20"/>
                <w:szCs w:val="20"/>
                <w:color w:val="auto"/>
              </w:rPr>
            </w:pPr>
            <w:r>
              <w:rPr>
                <w:rFonts w:ascii="Arial" w:cs="Arial" w:eastAsia="Arial" w:hAnsi="Arial"/>
                <w:sz w:val="14"/>
                <w:szCs w:val="14"/>
                <w:color w:val="auto"/>
              </w:rPr>
              <w:t>Total contractual cash obligations</w:t>
            </w:r>
          </w:p>
        </w:tc>
        <w:tc>
          <w:tcPr>
            <w:tcW w:w="1940" w:type="dxa"/>
            <w:vAlign w:val="bottom"/>
          </w:tcPr>
          <w:p>
            <w:pPr>
              <w:jc w:val="right"/>
              <w:spacing w:after="0"/>
              <w:rPr>
                <w:sz w:val="20"/>
                <w:szCs w:val="20"/>
                <w:color w:val="auto"/>
              </w:rPr>
            </w:pPr>
            <w:r>
              <w:rPr>
                <w:rFonts w:ascii="Arial" w:cs="Arial" w:eastAsia="Arial" w:hAnsi="Arial"/>
                <w:sz w:val="14"/>
                <w:szCs w:val="14"/>
                <w:color w:val="auto"/>
              </w:rPr>
              <w:t>$138,003</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$ 46,924</w:t>
            </w: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$ 32,042</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$ 17,817</w:t>
            </w:r>
          </w:p>
        </w:tc>
        <w:tc>
          <w:tcPr>
            <w:tcW w:w="1140" w:type="dxa"/>
            <w:vAlign w:val="bottom"/>
          </w:tcPr>
          <w:p>
            <w:pPr>
              <w:jc w:val="right"/>
              <w:spacing w:after="0"/>
              <w:rPr>
                <w:sz w:val="20"/>
                <w:szCs w:val="20"/>
                <w:color w:val="auto"/>
              </w:rPr>
            </w:pPr>
            <w:r>
              <w:rPr>
                <w:rFonts w:ascii="Arial" w:cs="Arial" w:eastAsia="Arial" w:hAnsi="Arial"/>
                <w:sz w:val="14"/>
                <w:szCs w:val="14"/>
                <w:color w:val="auto"/>
              </w:rPr>
              <w:t>$ 41,220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8"/>
        <w:spacing w:after="0" w:line="272" w:lineRule="auto"/>
        <w:tabs>
          <w:tab w:leader="none" w:pos="255"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June 1, 2004, our wholly owned subsidiary, NN Precision Bearing Products Company Ltd, entered into a twenty year lease agreement with Kunshan Tian Li Steel Structure Co. LTD for the lease of land and building (approximately 110,000 square feet) in the Kunshan Economic and Technology Development Zone, Jiangsu, The People’s Republic of China. The lease is cancelable by the Company in the fifth, ninth, and fourteenth year. The building was newly constructed and we began usage of the leased property during the fourth quarter of 2005. The agreement satisfied the requirements of a capital lease at June 1, 2004 and we recorded the lease as a capital lease in our consolidated financial statements in the fourth quarter of 2005. The Capital leases line in the table above reflects the undiscounted future minimum lease payments given that the lease was recorded as of October 1, 2005, the date the Company began to use the property. No other amounts are included in Capital leases above.</w:t>
      </w:r>
    </w:p>
    <w:p>
      <w:pPr>
        <w:spacing w:after="0" w:line="231" w:lineRule="exact"/>
        <w:rPr>
          <w:rFonts w:ascii="Arial" w:cs="Arial" w:eastAsia="Arial" w:hAnsi="Arial"/>
          <w:sz w:val="17"/>
          <w:szCs w:val="17"/>
          <w:color w:val="auto"/>
        </w:rPr>
      </w:pPr>
    </w:p>
    <w:p>
      <w:pPr>
        <w:ind w:firstLine="8"/>
        <w:spacing w:after="0" w:line="277" w:lineRule="auto"/>
        <w:tabs>
          <w:tab w:leader="none" w:pos="268"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Long-Term Obligations consist of steel purchase commitments at the NN Europe Segment (See Note 15 of the Notes to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Euro</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currently has operations in Ireland, Germany, Italy and The Netherlands, all of which are Euro participating countries, and in Slovakia which joined the European Union in May 2004 and is expected to adopt the Euro as its functional currency within several years. Each of the Company’s European facilities sell product to customers in many of the Euro participating countries. The Euro has been adopted as the functional currency at all locations in the NN Europe Segment, except Slovakia whose functional currency is the Slovak Koruna.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net sales historically have been seasonal in nature, due to a significant portion of the Company’s sales being to European customers that cease or significantly slow production during the month of August. For information concerning the Company's quarterly results of operations for the years ended December 31, 2005 and 2004, see Note 16 of the Notes to Consolidated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Changes in Prices</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While the Company's operations have not been materially affected by inflation during recent years, prices for 52100 Steel, engineered resins and other raw materials purchased by the Company are subject to material change. For the Domestic Ball and Roller and NN Europe Segments, the average price of 52100 steel increased approximately 36% and 10% in 2005, respectively. For both segments, the price of 52100 steel increased by 9.8% in 2004, and increased approximately 3.5% in 2003. In our Plastic and Rubber Components Segment we experienced price increases for engineered resins of approximately 10.3% in 2005, 5.3% in 2004, and price decreases of approximately 1.0% in 2003 and increases for proprietary rubber compounds and metal stampings of approximately 7% in 2005, 10.2% in 2004, and price decreases of 2.5% in 2003. Our typical pricing arrangements with steel suppliers are subject to adjustment every six months. The Company’s NN Europe Segment long term agreement with its primary steel supplier expired at the end of 2005. A new yearly agreement has been entered into by NN Europe with the same terms and conditions and is based on a yearly base price and quarterly scrap surcharge adjustments. The Company typically reserves the right to increase product prices periodically in the event of increases in its raw material costs. In the past, the Company has been able to minimize the impact on its operations resulting from the 52100 Steel price fluctuations by taking such measures. However, in the NN Europe Segment, by contract, material price changes in any given year are passed along with price adjustments in January of the following year. Certain sales agreements are in effect with SKF and Schaeffler Group (INA), which provide for minimum purchase quantities and specified, annual sales price adjustments that may be modified up or down for changes in material costs. These agreements expire during 2006 and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2004, the FASB issued SFAS No. 123R, “Share-Based Payment,” which requires companies to expense the value of employee stock options and similar awards and establishes standards for the accounting for transactions in which an entity exchanges its equity instruments for goods and services. SFAS No. 123R is effective for interim and annual periods beginning after June 15, 2005 (the SEC delayed the effective date for public companies to annual periods beginning after June 15, 2005) and applies to all outstanding and unvested share-based payment awards. This Statement requires a public entity to measure the cost of employee services received in exchange for an award of equity instruments based on the grant-date fair value of the award (with limited exceptions). That cost will be recognized over the period during which an employee is required to provide service in exchange for the award (usually the vesting period). From January 1, 2006 onward the Company will account for outstanding and new restricted stock awards and new and modified stock options as compensation expense based on the grant date fair value. In December 2005, all unvested options became vested under an accelerated vesting program adopted by the Company. The reason for the accelerated vesting was to avoid approximately $0.7 million of after-tax compensation expense in 2006 that would otherwise have been reported. Compensation expense for stock options going forward will depend on the number of options granted and the calculated value of such options.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2004, the FASB issued SFAS No. 151, “Inventory Costs”. SFAS No. 151 clarifies the accounting for abnormal amounts of idle facility expense, freight, handling costs and wasted material (spoilage). SFAS No. 151 requires these items be recognized as current-period charges. In addition, SFAS No. 151 requires the allocation of fixed production overheads to the costs of conversion be based on the normal capacity of the production facilities. This statement is effective for fiscal years beginning after June 15, 2005. Currently, we anticipate this statement will not have a material effect on our consolidated financial statements as we do not have idle facilities.</w:t>
      </w:r>
    </w:p>
    <w:p>
      <w:pPr>
        <w:spacing w:after="0" w:line="24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December 2004, the FASB issued SFAS No. 153, “Exchanges of Nonmonetary Assets an amendment of APB Opinion No. 29”. SFAS No. 153 eliminates the exception from fair value measurement for nonmonetary exchanges of similar productive assets in paragraph 21(b) of APB Opinion No. 29, </w:t>
      </w:r>
      <w:r>
        <w:rPr>
          <w:rFonts w:ascii="Arial" w:cs="Arial" w:eastAsia="Arial" w:hAnsi="Arial"/>
          <w:sz w:val="17"/>
          <w:szCs w:val="17"/>
          <w:i w:val="1"/>
          <w:iCs w:val="1"/>
          <w:color w:val="auto"/>
        </w:rPr>
        <w:t>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for Nonmonetary Transactions</w:t>
      </w:r>
      <w:r>
        <w:rPr>
          <w:rFonts w:ascii="Arial" w:cs="Arial" w:eastAsia="Arial" w:hAnsi="Arial"/>
          <w:sz w:val="17"/>
          <w:szCs w:val="17"/>
          <w:color w:val="auto"/>
        </w:rPr>
        <w:t>, and replaces it with an exception for exchanges that do not have commercial substance. This Statement specifies that a</w:t>
      </w:r>
      <w:r>
        <w:rPr>
          <w:rFonts w:ascii="Arial" w:cs="Arial" w:eastAsia="Arial" w:hAnsi="Arial"/>
          <w:sz w:val="17"/>
          <w:szCs w:val="17"/>
          <w:i w:val="1"/>
          <w:iCs w:val="1"/>
          <w:color w:val="auto"/>
        </w:rPr>
        <w:t xml:space="preserve"> </w:t>
      </w:r>
      <w:r>
        <w:rPr>
          <w:rFonts w:ascii="Arial" w:cs="Arial" w:eastAsia="Arial" w:hAnsi="Arial"/>
          <w:sz w:val="17"/>
          <w:szCs w:val="17"/>
          <w:color w:val="auto"/>
        </w:rPr>
        <w:t>nonmonetary exchange has commercial substance if the future cash flows of the entity are expected to change significantly as a result of the exchange. The provisions of this Statement are effective for nonmonetary asset exchanges occurring in fiscal periods beginning after June 15, 2005. We do not anticipate any impact from this statement at present as we have not and do not plan to enter into any non-monetary transactions.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Deduction for Qualified Domestic Production Activities and Repatriation of Earnings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October 2004, the President signed the American Jobs Creation Act of 2004 (the “Act”). The Act provides a deduction for income from qualified domestic production activities, which will be phased in from 2005 through 2010. The Act also provides for a two-year phase out of the existing extra-territorial income exclusion (ETI) for foreign sales that was viewed to be inconsistent with international trade protocols by the European Union. Based on an analysis of 2005 production cost, we believe the impact from the phase out of the ETI will be principally offset by the phase in of the Act. Thus, based on 2005 production levels the ACT will not have a material impact in the tax expense or net income of the Company.</w:t>
      </w:r>
    </w:p>
    <w:p>
      <w:pPr>
        <w:spacing w:after="0" w:line="2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Act creates a temporary incentive for U.S. corporations to repatriate accumulated income earned abroad by providing an 85 percent dividends received deduction for certain dividends from controlled foreign corporations. The deduction is subject to a number of limitations and uncertainty remains as to how to interpret numerous provisions in the Act. At this time, the Company does not expect to repatriate earnings under the provisions of the Act.</w:t>
      </w:r>
    </w:p>
    <w:p>
      <w:pPr>
        <w:spacing w:after="0" w:line="23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exposed to changes in financial market conditions in the normal course of our business due to our use of certain financial instruments as well as transacting in various foreign currencies. To mitigate our exposure to these market risks, we have established policies, procedures and internal processes governing our management of financial market risks. We are exposed to changes in interest rates primarily as a result of our borrowing activities. At December 31, 2005, these borrowings included $40.0 million aggregate principal amount of senior notes, a $30 million revolving credit facility, and a 26.3 million Euro term loan ($29.6 million) which was used to maintain liquidity and fund our business operations. At December 31, 2005, we had $40.0 million outstanding of senior notes; $17.9 million outstanding under the revolving credit facilities and 3.9 million Euro ($4.7 million) outstanding under the Euro term loan. At December 31, 2005, a one-percent increase in the interest rate charged on our outstanding variable rate borrowings under both credit facilities would result in interest expense increasing annually by approximately $0.2 million. In connection with a variable Euribor rate debt financing in July 2000 our majority owned subsidiary, NN Europe, entered into an interest rate swap with a notional amount of Euro 12.5 million for the purpose of fixing the interest rate on a portion of their debt financing. The interest rate swap provides for us to receive variable Euribor interest payments and pay 5.51% fixed interest. The interest rate swap agreement expires in July 2006 and the notional amount amortizes in relation to principal payments on the underlying debt over the life of the swap. This original debt was repaid in May 2003; however, the swap remains pursuant to its original terms. On May 1, 2003, we entered into a new $90 million syndicated credit facility. This new financing arrangement replaces our prior credit facility with AmSouth and NN Europe’s credit facility with Hypo Vereinsbank Luxembourg, S.A.; see “Management’s Discussion and Analysis of Financial Condition and Results of Operations - Liquidity and Capital Resources.” The nature and amount of our borrowings may vary as a result of future business requirements, market conditions and other factors.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both"/>
        <w:spacing w:after="0" w:line="255" w:lineRule="auto"/>
        <w:rPr>
          <w:sz w:val="20"/>
          <w:szCs w:val="20"/>
          <w:color w:val="auto"/>
        </w:rPr>
      </w:pPr>
      <w:r>
        <w:rPr>
          <w:rFonts w:ascii="Arial" w:cs="Arial" w:eastAsia="Arial" w:hAnsi="Arial"/>
          <w:sz w:val="18"/>
          <w:szCs w:val="18"/>
          <w:color w:val="auto"/>
        </w:rPr>
        <w:t>Translation of the Company's operating cash flows denominated in foreign currencies is impacted by changes in foreign exchange rates. Our Domestic Ball and Roller Segment and NN Europe Segment bill and receive payment from some of its foreign customers in their own currency. In 2005, the fluctuation of the Euro against the U.S. dollar negatively impacted assets, revenue and income. To help reduce exposure to foreign currency fluctuation, management has incurred debt in Euros and has, from time to time, used foreign currency hedges to hedge currency exposures when these exposures meet certain discretionary levels. The Company did not use any significant currency hedges in 2005, nor did it hold a position in any foreign currency hedging instruments as of December 31, 2005.</w:t>
      </w:r>
    </w:p>
    <w:p>
      <w:pPr>
        <w:spacing w:after="0" w:line="284"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23495</wp:posOffset>
            </wp:positionV>
            <wp:extent cx="6157595" cy="291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57595" cy="291465"/>
                    </a:xfrm>
                    <a:prstGeom prst="rect">
                      <a:avLst/>
                    </a:prstGeom>
                    <a:noFill/>
                  </pic:spPr>
                </pic:pic>
              </a:graphicData>
            </a:graphic>
          </wp:anchor>
        </w:drawing>
      </w:r>
    </w:p>
    <w:p>
      <w:pPr>
        <w:spacing w:after="0" w:line="36" w:lineRule="exact"/>
        <w:rPr>
          <w:sz w:val="20"/>
          <w:szCs w:val="20"/>
          <w:color w:val="auto"/>
        </w:rPr>
      </w:pPr>
    </w:p>
    <w:p>
      <w:pPr>
        <w:ind w:left="860" w:right="1600" w:firstLine="54"/>
        <w:spacing w:after="0" w:line="254" w:lineRule="auto"/>
        <w:rPr>
          <w:sz w:val="20"/>
          <w:szCs w:val="20"/>
          <w:color w:val="auto"/>
        </w:rPr>
      </w:pPr>
      <w:r>
        <w:rPr>
          <w:rFonts w:ascii="Arial" w:cs="Arial" w:eastAsia="Arial" w:hAnsi="Arial"/>
          <w:sz w:val="18"/>
          <w:szCs w:val="18"/>
          <w:color w:val="auto"/>
        </w:rPr>
        <w:t>Report of Independent Registered Public Accounting Firm for the years ended December 31, 2005, 2004, and 2003</w:t>
      </w:r>
    </w:p>
    <w:p>
      <w:pPr>
        <w:ind w:left="920"/>
        <w:spacing w:after="0"/>
        <w:rPr>
          <w:sz w:val="20"/>
          <w:szCs w:val="20"/>
          <w:color w:val="auto"/>
        </w:rPr>
      </w:pPr>
      <w:r>
        <w:rPr>
          <w:rFonts w:ascii="Arial" w:cs="Arial" w:eastAsia="Arial" w:hAnsi="Arial"/>
          <w:sz w:val="18"/>
          <w:szCs w:val="18"/>
          <w:color w:val="auto"/>
        </w:rPr>
        <w:t>Consolidated Balance Sheets at December 31, 2005 and 2004</w:t>
      </w:r>
    </w:p>
    <w:p>
      <w:pPr>
        <w:spacing w:after="0" w:line="11" w:lineRule="exact"/>
        <w:rPr>
          <w:sz w:val="20"/>
          <w:szCs w:val="20"/>
          <w:color w:val="auto"/>
        </w:rPr>
      </w:pPr>
    </w:p>
    <w:p>
      <w:pPr>
        <w:ind w:left="860" w:right="1460" w:firstLine="45"/>
        <w:spacing w:after="0" w:line="258" w:lineRule="auto"/>
        <w:rPr>
          <w:sz w:val="20"/>
          <w:szCs w:val="20"/>
          <w:color w:val="auto"/>
        </w:rPr>
      </w:pPr>
      <w:r>
        <w:rPr>
          <w:rFonts w:ascii="Arial" w:cs="Arial" w:eastAsia="Arial" w:hAnsi="Arial"/>
          <w:sz w:val="18"/>
          <w:szCs w:val="18"/>
          <w:color w:val="auto"/>
        </w:rPr>
        <w:t>Consolidated Statements of Income and Comprehensive Income for the years ended December 31, 2005,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-281940</wp:posOffset>
            </wp:positionV>
            <wp:extent cx="6157595" cy="291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57595" cy="291465"/>
                    </a:xfrm>
                    <a:prstGeom prst="rect">
                      <a:avLst/>
                    </a:prstGeom>
                    <a:noFill/>
                  </pic:spPr>
                </pic:pic>
              </a:graphicData>
            </a:graphic>
          </wp:anchor>
        </w:drawing>
      </w:r>
    </w:p>
    <w:p>
      <w:pPr>
        <w:ind w:left="860" w:right="1740"/>
        <w:spacing w:after="0" w:line="258" w:lineRule="auto"/>
        <w:rPr>
          <w:sz w:val="20"/>
          <w:szCs w:val="20"/>
          <w:color w:val="auto"/>
        </w:rPr>
      </w:pPr>
      <w:r>
        <w:rPr>
          <w:rFonts w:ascii="Arial" w:cs="Arial" w:eastAsia="Arial" w:hAnsi="Arial"/>
          <w:sz w:val="18"/>
          <w:szCs w:val="18"/>
          <w:color w:val="auto"/>
        </w:rPr>
        <w:t>Consolidated Statements of Changes in Stockholders’ Equity for the years ended December 31, 2005, 2004 and 2003</w:t>
      </w:r>
    </w:p>
    <w:p>
      <w:pPr>
        <w:spacing w:after="0" w:line="1" w:lineRule="exact"/>
        <w:rPr>
          <w:sz w:val="20"/>
          <w:szCs w:val="20"/>
          <w:color w:val="auto"/>
        </w:rPr>
      </w:pPr>
    </w:p>
    <w:p>
      <w:pPr>
        <w:ind w:left="920" w:right="1700" w:hanging="44"/>
        <w:spacing w:after="0" w:line="261" w:lineRule="auto"/>
        <w:rPr>
          <w:sz w:val="20"/>
          <w:szCs w:val="20"/>
          <w:color w:val="auto"/>
        </w:rPr>
      </w:pPr>
      <w:r>
        <w:rPr>
          <w:rFonts w:ascii="Arial" w:cs="Arial" w:eastAsia="Arial" w:hAnsi="Arial"/>
          <w:sz w:val="18"/>
          <w:szCs w:val="18"/>
          <w:color w:val="auto"/>
        </w:rPr>
        <w:t>Consolidated Statements of Cash Flows for the years ended December 31, 2005, 2004 and 2003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-285115</wp:posOffset>
            </wp:positionV>
            <wp:extent cx="615759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Page</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30</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32</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33</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34</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35</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36</w:t>
      </w:r>
    </w:p>
    <w:p>
      <w:pPr>
        <w:spacing w:after="0" w:line="250" w:lineRule="exact"/>
        <w:rPr>
          <w:sz w:val="20"/>
          <w:szCs w:val="20"/>
          <w:color w:val="auto"/>
        </w:rPr>
      </w:pPr>
    </w:p>
    <w:p>
      <w:pPr>
        <w:sectPr>
          <w:pgSz w:w="11900" w:h="16838" w:orient="portrait"/>
          <w:cols w:equalWidth="0" w:num="2">
            <w:col w:w="9480" w:space="720"/>
            <w:col w:w="1220"/>
          </w:cols>
          <w:pgMar w:left="240" w:top="125" w:right="239" w:bottom="1440" w:gutter="0" w:footer="0" w:header="0"/>
          <w:type w:val="continuous"/>
        </w:sectPr>
      </w:pPr>
    </w:p>
    <w:p>
      <w:pPr>
        <w:spacing w:after="0" w:line="65" w:lineRule="exact"/>
        <w:rPr>
          <w:sz w:val="20"/>
          <w:szCs w:val="20"/>
          <w:color w:val="auto"/>
        </w:rPr>
      </w:pPr>
    </w:p>
    <w:p>
      <w:pPr>
        <w:jc w:val="right"/>
        <w:ind w:right="380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NN, Inc.:</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completed integrated audits of NN, Inc.’s 2005 and 2004 consolidated financial statements and of its internal control over financial reporting as of December 31, 2005 and 2004, and an audit of its 2003 consolidated financial statements in accordance with the standards of the Public Company Accounting Oversight Board (United States). Our opinions, based on our audits, are presented below.</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financial statements</w:t>
      </w:r>
    </w:p>
    <w:p>
      <w:pPr>
        <w:spacing w:after="0" w:line="2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our opinion, the consolidated financial statements listed in the accompanying index present fairly, in all material respects, the financial position of NN, Inc. and its subsidiaries at December 31, 2005 and 2004, and the results of their operations and their cash flows for each of the three years in the period ended December 31, 2005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Internal control over financial reporting</w:t>
      </w:r>
    </w:p>
    <w:p>
      <w:pPr>
        <w:spacing w:after="0" w:line="279" w:lineRule="exact"/>
        <w:rPr>
          <w:sz w:val="20"/>
          <w:szCs w:val="20"/>
          <w:color w:val="auto"/>
        </w:rPr>
      </w:pPr>
    </w:p>
    <w:p>
      <w:pPr>
        <w:jc w:val="both"/>
        <w:ind w:right="80"/>
        <w:spacing w:after="0" w:line="268" w:lineRule="auto"/>
        <w:rPr>
          <w:sz w:val="20"/>
          <w:szCs w:val="20"/>
          <w:color w:val="auto"/>
        </w:rPr>
      </w:pPr>
      <w:r>
        <w:rPr>
          <w:rFonts w:ascii="Arial" w:cs="Arial" w:eastAsia="Arial" w:hAnsi="Arial"/>
          <w:sz w:val="17"/>
          <w:szCs w:val="17"/>
          <w:color w:val="auto"/>
        </w:rPr>
        <w:t xml:space="preserve">Also, in our opinion, management’s assessment, included in Management's Report on Internal Control Over Financial Reporting appearing under Item 9A, that the Company maintained effective internal control over financial reporting as of December 31, 2005 and 2004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w:t>
      </w:r>
      <w:r>
        <w:rPr>
          <w:rFonts w:ascii="Arial" w:cs="Arial" w:eastAsia="Arial" w:hAnsi="Arial"/>
          <w:sz w:val="17"/>
          <w:szCs w:val="17"/>
          <w:color w:val="auto"/>
        </w:rPr>
        <w:t>issued by the Committee of Sponsoring Organizations of the Treadway Commission (COSO), is fairly stated, in all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respects, based on those criteria. Furthermore, in our opinion, the Company maintained, in all material respects, effective internal control over financial reporting as of December 31, 2005 and 2004,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9" w:name="page30"/>
    <w:bookmarkEnd w:id="29"/>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2006</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December 31, 2005 and 2004</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0"/>
                <w:szCs w:val="20"/>
                <w:color w:val="auto"/>
              </w:rPr>
            </w:pPr>
          </w:p>
        </w:tc>
      </w:tr>
      <w:tr>
        <w:trPr>
          <w:trHeight w:val="243"/>
        </w:trPr>
        <w:tc>
          <w:tcPr>
            <w:tcW w:w="7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80" w:type="dxa"/>
            <w:vAlign w:val="bottom"/>
          </w:tcPr>
          <w:p>
            <w:pPr>
              <w:ind w:left="64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10,856</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10,772</w:t>
            </w:r>
          </w:p>
        </w:tc>
        <w:tc>
          <w:tcPr>
            <w:tcW w:w="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80" w:type="dxa"/>
            <w:vAlign w:val="bottom"/>
            <w:shd w:val="clear" w:color="auto" w:fill="E2EEF6"/>
          </w:tcPr>
          <w:p>
            <w:pPr>
              <w:ind w:left="64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47,297</w:t>
            </w:r>
          </w:p>
        </w:tc>
        <w:tc>
          <w:tcPr>
            <w:tcW w:w="2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51,597</w:t>
            </w:r>
          </w:p>
        </w:tc>
        <w:tc>
          <w:tcPr>
            <w:tcW w:w="120" w:type="dxa"/>
            <w:vAlign w:val="bottom"/>
            <w:shd w:val="clear" w:color="auto" w:fill="E2EEF6"/>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80" w:type="dxa"/>
            <w:vAlign w:val="bottom"/>
          </w:tcPr>
          <w:p>
            <w:pPr>
              <w:ind w:left="640"/>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38,096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35,629</w:t>
            </w:r>
          </w:p>
        </w:tc>
        <w:tc>
          <w:tcPr>
            <w:tcW w:w="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80" w:type="dxa"/>
            <w:vAlign w:val="bottom"/>
            <w:shd w:val="clear" w:color="auto" w:fill="E2EEF6"/>
          </w:tcPr>
          <w:p>
            <w:pPr>
              <w:ind w:left="640"/>
              <w:spacing w:after="0"/>
              <w:rPr>
                <w:sz w:val="20"/>
                <w:szCs w:val="20"/>
                <w:color w:val="auto"/>
              </w:rPr>
            </w:pPr>
            <w:r>
              <w:rPr>
                <w:rFonts w:ascii="Arial" w:cs="Arial" w:eastAsia="Arial" w:hAnsi="Arial"/>
                <w:sz w:val="18"/>
                <w:szCs w:val="18"/>
                <w:color w:val="auto"/>
              </w:rPr>
              <w:t>Income tax receivable</w:t>
            </w:r>
          </w:p>
        </w:tc>
        <w:tc>
          <w:tcPr>
            <w:tcW w:w="20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1,237</w:t>
            </w:r>
          </w:p>
        </w:tc>
        <w:tc>
          <w:tcPr>
            <w:tcW w:w="2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4,401</w:t>
            </w:r>
          </w:p>
        </w:tc>
        <w:tc>
          <w:tcPr>
            <w:tcW w:w="120" w:type="dxa"/>
            <w:vAlign w:val="bottom"/>
            <w:shd w:val="clear" w:color="auto" w:fill="E2EEF6"/>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80" w:type="dxa"/>
            <w:vAlign w:val="bottom"/>
          </w:tcPr>
          <w:p>
            <w:pPr>
              <w:ind w:left="6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7,655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4,787</w:t>
            </w:r>
          </w:p>
        </w:tc>
        <w:tc>
          <w:tcPr>
            <w:tcW w:w="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80" w:type="dxa"/>
            <w:vAlign w:val="bottom"/>
            <w:tcBorders>
              <w:bottom w:val="single" w:sz="8" w:color="E2EEF6"/>
            </w:tcBorders>
            <w:shd w:val="clear" w:color="auto" w:fill="E2EEF6"/>
          </w:tcPr>
          <w:p>
            <w:pPr>
              <w:ind w:left="640"/>
              <w:spacing w:after="0"/>
              <w:rPr>
                <w:sz w:val="20"/>
                <w:szCs w:val="20"/>
                <w:color w:val="auto"/>
              </w:rPr>
            </w:pPr>
            <w:r>
              <w:rPr>
                <w:rFonts w:ascii="Arial" w:cs="Arial" w:eastAsia="Arial" w:hAnsi="Arial"/>
                <w:sz w:val="18"/>
                <w:szCs w:val="18"/>
                <w:color w:val="auto"/>
              </w:rPr>
              <w:t>Current deferred tax asset</w:t>
            </w:r>
          </w:p>
        </w:tc>
        <w:tc>
          <w:tcPr>
            <w:tcW w:w="200" w:type="dxa"/>
            <w:vAlign w:val="bottom"/>
            <w:tcBorders>
              <w:bottom w:val="single" w:sz="8" w:color="E2EEF6"/>
            </w:tcBorders>
            <w:shd w:val="clear" w:color="auto" w:fill="E2EEF6"/>
          </w:tcPr>
          <w:p>
            <w:pPr>
              <w:spacing w:after="0"/>
              <w:rPr>
                <w:sz w:val="21"/>
                <w:szCs w:val="21"/>
                <w:color w:val="auto"/>
              </w:rPr>
            </w:pPr>
          </w:p>
        </w:tc>
        <w:tc>
          <w:tcPr>
            <w:tcW w:w="300" w:type="dxa"/>
            <w:vAlign w:val="bottom"/>
            <w:tcBorders>
              <w:bottom w:val="single" w:sz="8" w:color="auto"/>
            </w:tcBorders>
            <w:shd w:val="clear" w:color="auto" w:fill="E2EEF6"/>
          </w:tcPr>
          <w:p>
            <w:pPr>
              <w:spacing w:after="0"/>
              <w:rPr>
                <w:sz w:val="21"/>
                <w:szCs w:val="21"/>
                <w:color w:val="auto"/>
              </w:rPr>
            </w:pPr>
          </w:p>
        </w:tc>
        <w:tc>
          <w:tcPr>
            <w:tcW w:w="10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809</w:t>
            </w:r>
          </w:p>
        </w:tc>
        <w:tc>
          <w:tcPr>
            <w:tcW w:w="220" w:type="dxa"/>
            <w:vAlign w:val="bottom"/>
            <w:tcBorders>
              <w:bottom w:val="single" w:sz="8" w:color="E2EEF6"/>
            </w:tcBorders>
            <w:shd w:val="clear" w:color="auto" w:fill="E2EEF6"/>
          </w:tcPr>
          <w:p>
            <w:pPr>
              <w:spacing w:after="0"/>
              <w:rPr>
                <w:sz w:val="21"/>
                <w:szCs w:val="21"/>
                <w:color w:val="auto"/>
              </w:rPr>
            </w:pPr>
          </w:p>
        </w:tc>
        <w:tc>
          <w:tcPr>
            <w:tcW w:w="300" w:type="dxa"/>
            <w:vAlign w:val="bottom"/>
            <w:tcBorders>
              <w:bottom w:val="single" w:sz="8" w:color="auto"/>
            </w:tcBorders>
            <w:shd w:val="clear" w:color="auto" w:fill="E2EEF6"/>
          </w:tcPr>
          <w:p>
            <w:pPr>
              <w:spacing w:after="0"/>
              <w:rPr>
                <w:sz w:val="21"/>
                <w:szCs w:val="21"/>
                <w:color w:val="auto"/>
              </w:rPr>
            </w:pPr>
          </w:p>
        </w:tc>
        <w:tc>
          <w:tcPr>
            <w:tcW w:w="10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1,254</w:t>
            </w:r>
          </w:p>
        </w:tc>
        <w:tc>
          <w:tcPr>
            <w:tcW w:w="120" w:type="dxa"/>
            <w:vAlign w:val="bottom"/>
            <w:tcBorders>
              <w:bottom w:val="single" w:sz="8" w:color="E2EEF6"/>
            </w:tcBorders>
            <w:shd w:val="clear" w:color="auto" w:fill="E2EEF6"/>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980" w:type="dxa"/>
            <w:vAlign w:val="bottom"/>
          </w:tcPr>
          <w:p>
            <w:pPr>
              <w:ind w:left="128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105,950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108,440</w:t>
            </w:r>
          </w:p>
        </w:tc>
        <w:tc>
          <w:tcPr>
            <w:tcW w:w="1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98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6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r>
      <w:tr>
        <w:trPr>
          <w:trHeight w:val="243"/>
        </w:trPr>
        <w:tc>
          <w:tcPr>
            <w:tcW w:w="70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118,829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131,169</w:t>
            </w:r>
          </w:p>
        </w:tc>
        <w:tc>
          <w:tcPr>
            <w:tcW w:w="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80" w:type="dxa"/>
            <w:vAlign w:val="bottom"/>
            <w:shd w:val="clear" w:color="auto" w:fill="E2EEF6"/>
          </w:tcPr>
          <w:p>
            <w:pPr>
              <w:spacing w:after="0"/>
              <w:rPr>
                <w:sz w:val="20"/>
                <w:szCs w:val="20"/>
                <w:color w:val="auto"/>
              </w:rPr>
            </w:pPr>
            <w:r>
              <w:rPr>
                <w:rFonts w:ascii="Arial" w:cs="Arial" w:eastAsia="Arial" w:hAnsi="Arial"/>
                <w:sz w:val="18"/>
                <w:szCs w:val="18"/>
                <w:color w:val="auto"/>
              </w:rPr>
              <w:t>Assets held for sale</w:t>
            </w:r>
          </w:p>
        </w:tc>
        <w:tc>
          <w:tcPr>
            <w:tcW w:w="20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1,072</w:t>
            </w:r>
          </w:p>
        </w:tc>
        <w:tc>
          <w:tcPr>
            <w:tcW w:w="2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2EEF6"/>
          </w:tcPr>
          <w:p>
            <w:pPr>
              <w:spacing w:after="0"/>
              <w:rPr>
                <w:sz w:val="21"/>
                <w:szCs w:val="21"/>
                <w:color w:val="auto"/>
              </w:rPr>
            </w:pPr>
          </w:p>
        </w:tc>
      </w:tr>
      <w:tr>
        <w:trPr>
          <w:trHeight w:val="243"/>
        </w:trPr>
        <w:tc>
          <w:tcPr>
            <w:tcW w:w="70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41,648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44,457</w:t>
            </w:r>
          </w:p>
        </w:tc>
        <w:tc>
          <w:tcPr>
            <w:tcW w:w="1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98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E2EEF6"/>
            </w:tcBorders>
            <w:shd w:val="clear" w:color="auto" w:fill="E2EEF6"/>
          </w:tcPr>
          <w:p>
            <w:pPr>
              <w:spacing w:after="0"/>
              <w:rPr>
                <w:sz w:val="21"/>
                <w:szCs w:val="21"/>
                <w:color w:val="auto"/>
              </w:rPr>
            </w:pPr>
          </w:p>
        </w:tc>
        <w:tc>
          <w:tcPr>
            <w:tcW w:w="300" w:type="dxa"/>
            <w:vAlign w:val="bottom"/>
            <w:tcBorders>
              <w:bottom w:val="single" w:sz="8" w:color="E2EEF6"/>
            </w:tcBorders>
            <w:shd w:val="clear" w:color="auto" w:fill="E2EEF6"/>
          </w:tcPr>
          <w:p>
            <w:pPr>
              <w:spacing w:after="0"/>
              <w:rPr>
                <w:sz w:val="21"/>
                <w:szCs w:val="21"/>
                <w:color w:val="auto"/>
              </w:rPr>
            </w:pPr>
          </w:p>
        </w:tc>
        <w:tc>
          <w:tcPr>
            <w:tcW w:w="106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2,156</w:t>
            </w:r>
          </w:p>
        </w:tc>
        <w:tc>
          <w:tcPr>
            <w:tcW w:w="220" w:type="dxa"/>
            <w:vAlign w:val="bottom"/>
            <w:tcBorders>
              <w:bottom w:val="single" w:sz="8" w:color="E2EEF6"/>
            </w:tcBorders>
            <w:shd w:val="clear" w:color="auto" w:fill="E2EEF6"/>
          </w:tcPr>
          <w:p>
            <w:pPr>
              <w:spacing w:after="0"/>
              <w:rPr>
                <w:sz w:val="21"/>
                <w:szCs w:val="21"/>
                <w:color w:val="auto"/>
              </w:rPr>
            </w:pPr>
          </w:p>
        </w:tc>
        <w:tc>
          <w:tcPr>
            <w:tcW w:w="300" w:type="dxa"/>
            <w:vAlign w:val="bottom"/>
            <w:tcBorders>
              <w:bottom w:val="single" w:sz="8" w:color="E2EEF6"/>
            </w:tcBorders>
            <w:shd w:val="clear" w:color="auto" w:fill="E2EEF6"/>
          </w:tcPr>
          <w:p>
            <w:pPr>
              <w:spacing w:after="0"/>
              <w:rPr>
                <w:sz w:val="21"/>
                <w:szCs w:val="21"/>
                <w:color w:val="auto"/>
              </w:rPr>
            </w:pPr>
          </w:p>
        </w:tc>
        <w:tc>
          <w:tcPr>
            <w:tcW w:w="108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4,276</w:t>
            </w:r>
          </w:p>
        </w:tc>
        <w:tc>
          <w:tcPr>
            <w:tcW w:w="120" w:type="dxa"/>
            <w:vAlign w:val="bottom"/>
            <w:tcBorders>
              <w:bottom w:val="single" w:sz="8" w:color="E2EEF6"/>
            </w:tcBorders>
            <w:shd w:val="clear" w:color="auto" w:fill="E2EEF6"/>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shd w:val="clear" w:color="auto" w:fill="E2EEF6"/>
          </w:tcPr>
          <w:p>
            <w:pPr>
              <w:spacing w:after="0" w:line="20" w:lineRule="exact"/>
              <w:rPr>
                <w:sz w:val="1"/>
                <w:szCs w:val="1"/>
                <w:color w:val="auto"/>
              </w:rPr>
            </w:pPr>
          </w:p>
        </w:tc>
        <w:tc>
          <w:tcPr>
            <w:tcW w:w="200" w:type="dxa"/>
            <w:vAlign w:val="bottom"/>
            <w:shd w:val="clear" w:color="auto" w:fill="E2EEF6"/>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E2EEF6"/>
          </w:tcPr>
          <w:p>
            <w:pPr>
              <w:spacing w:after="0" w:line="20" w:lineRule="exact"/>
              <w:rPr>
                <w:sz w:val="1"/>
                <w:szCs w:val="1"/>
                <w:color w:val="auto"/>
              </w:rPr>
            </w:pPr>
          </w:p>
        </w:tc>
      </w:tr>
      <w:tr>
        <w:trPr>
          <w:trHeight w:val="237"/>
        </w:trPr>
        <w:tc>
          <w:tcPr>
            <w:tcW w:w="70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269,655</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288,342</w:t>
            </w:r>
          </w:p>
        </w:tc>
        <w:tc>
          <w:tcPr>
            <w:tcW w:w="1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980" w:type="dxa"/>
            <w:vAlign w:val="bottom"/>
            <w:shd w:val="clear" w:color="auto" w:fill="E2EEF6"/>
          </w:tcPr>
          <w:p>
            <w:pPr>
              <w:spacing w:after="0"/>
              <w:rPr>
                <w:sz w:val="19"/>
                <w:szCs w:val="19"/>
                <w:color w:val="auto"/>
              </w:rPr>
            </w:pPr>
          </w:p>
        </w:tc>
        <w:tc>
          <w:tcPr>
            <w:tcW w:w="20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06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08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r>
      <w:tr>
        <w:trPr>
          <w:trHeight w:val="243"/>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80" w:type="dxa"/>
            <w:vAlign w:val="bottom"/>
            <w:shd w:val="clear" w:color="auto" w:fill="E2EEF6"/>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6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80" w:type="dxa"/>
            <w:vAlign w:val="bottom"/>
          </w:tcPr>
          <w:p>
            <w:pPr>
              <w:ind w:left="64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41,660</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45,217</w:t>
            </w:r>
          </w:p>
        </w:tc>
        <w:tc>
          <w:tcPr>
            <w:tcW w:w="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80" w:type="dxa"/>
            <w:vAlign w:val="bottom"/>
            <w:shd w:val="clear" w:color="auto" w:fill="E2EEF6"/>
          </w:tcPr>
          <w:p>
            <w:pPr>
              <w:ind w:left="640"/>
              <w:spacing w:after="0"/>
              <w:rPr>
                <w:sz w:val="20"/>
                <w:szCs w:val="20"/>
                <w:color w:val="auto"/>
              </w:rPr>
            </w:pPr>
            <w:r>
              <w:rPr>
                <w:rFonts w:ascii="Arial" w:cs="Arial" w:eastAsia="Arial" w:hAnsi="Arial"/>
                <w:sz w:val="18"/>
                <w:szCs w:val="18"/>
                <w:color w:val="auto"/>
              </w:rPr>
              <w:t>Accrued salaries, wages and benefits</w:t>
            </w:r>
          </w:p>
        </w:tc>
        <w:tc>
          <w:tcPr>
            <w:tcW w:w="20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12,407</w:t>
            </w:r>
          </w:p>
        </w:tc>
        <w:tc>
          <w:tcPr>
            <w:tcW w:w="2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16,332</w:t>
            </w:r>
          </w:p>
        </w:tc>
        <w:tc>
          <w:tcPr>
            <w:tcW w:w="120" w:type="dxa"/>
            <w:vAlign w:val="bottom"/>
            <w:shd w:val="clear" w:color="auto" w:fill="E2EEF6"/>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80" w:type="dxa"/>
            <w:vAlign w:val="bottom"/>
          </w:tcPr>
          <w:p>
            <w:pPr>
              <w:ind w:left="64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1,599</w:t>
            </w:r>
          </w:p>
        </w:tc>
        <w:tc>
          <w:tcPr>
            <w:tcW w:w="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80" w:type="dxa"/>
            <w:vAlign w:val="bottom"/>
            <w:shd w:val="clear" w:color="auto" w:fill="E2EEF6"/>
          </w:tcPr>
          <w:p>
            <w:pPr>
              <w:ind w:left="640"/>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4,668</w:t>
            </w:r>
          </w:p>
        </w:tc>
        <w:tc>
          <w:tcPr>
            <w:tcW w:w="2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7,160</w:t>
            </w:r>
          </w:p>
        </w:tc>
        <w:tc>
          <w:tcPr>
            <w:tcW w:w="120" w:type="dxa"/>
            <w:vAlign w:val="bottom"/>
            <w:shd w:val="clear" w:color="auto" w:fill="E2EEF6"/>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80" w:type="dxa"/>
            <w:vAlign w:val="bottom"/>
          </w:tcPr>
          <w:p>
            <w:pPr>
              <w:ind w:left="640"/>
              <w:spacing w:after="0"/>
              <w:rPr>
                <w:sz w:val="20"/>
                <w:szCs w:val="20"/>
                <w:color w:val="auto"/>
              </w:rPr>
            </w:pPr>
            <w:r>
              <w:rPr>
                <w:rFonts w:ascii="Arial" w:cs="Arial" w:eastAsia="Arial" w:hAnsi="Arial"/>
                <w:sz w:val="18"/>
                <w:szCs w:val="18"/>
                <w:color w:val="auto"/>
              </w:rPr>
              <w:t>Current portion of obligation under capital lease</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80" w:type="dxa"/>
            <w:vAlign w:val="bottom"/>
            <w:shd w:val="clear" w:color="auto" w:fill="E2EEF6"/>
          </w:tcPr>
          <w:p>
            <w:pPr>
              <w:ind w:left="64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3,704</w:t>
            </w:r>
          </w:p>
        </w:tc>
        <w:tc>
          <w:tcPr>
            <w:tcW w:w="2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4,123</w:t>
            </w:r>
          </w:p>
        </w:tc>
        <w:tc>
          <w:tcPr>
            <w:tcW w:w="120" w:type="dxa"/>
            <w:vAlign w:val="bottom"/>
            <w:shd w:val="clear" w:color="auto" w:fill="E2EEF6"/>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6980" w:type="dxa"/>
            <w:vAlign w:val="bottom"/>
          </w:tcPr>
          <w:p>
            <w:pPr>
              <w:ind w:left="640"/>
              <w:spacing w:after="0"/>
              <w:rPr>
                <w:sz w:val="20"/>
                <w:szCs w:val="20"/>
                <w:color w:val="auto"/>
              </w:rPr>
            </w:pPr>
            <w:r>
              <w:rPr>
                <w:rFonts w:ascii="Arial" w:cs="Arial" w:eastAsia="Arial" w:hAnsi="Arial"/>
                <w:sz w:val="18"/>
                <w:szCs w:val="18"/>
                <w:color w:val="auto"/>
              </w:rPr>
              <w:t>Current deferred tax liabilities</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6980" w:type="dxa"/>
            <w:vAlign w:val="bottom"/>
            <w:shd w:val="clear" w:color="auto" w:fill="E2EEF6"/>
          </w:tcPr>
          <w:p>
            <w:pPr>
              <w:ind w:left="128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64,839</w:t>
            </w:r>
          </w:p>
        </w:tc>
        <w:tc>
          <w:tcPr>
            <w:tcW w:w="22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74,431</w:t>
            </w:r>
          </w:p>
        </w:tc>
        <w:tc>
          <w:tcPr>
            <w:tcW w:w="120" w:type="dxa"/>
            <w:vAlign w:val="bottom"/>
            <w:shd w:val="clear" w:color="auto" w:fill="E2EEF6"/>
          </w:tcPr>
          <w:p>
            <w:pPr>
              <w:spacing w:after="0"/>
              <w:rPr>
                <w:sz w:val="20"/>
                <w:szCs w:val="20"/>
                <w:color w:val="auto"/>
              </w:rPr>
            </w:pPr>
          </w:p>
        </w:tc>
      </w:tr>
      <w:tr>
        <w:trPr>
          <w:trHeight w:val="243"/>
        </w:trPr>
        <w:tc>
          <w:tcPr>
            <w:tcW w:w="700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80" w:type="dxa"/>
            <w:vAlign w:val="bottom"/>
            <w:shd w:val="clear" w:color="auto" w:fill="E2EEF6"/>
          </w:tcPr>
          <w:p>
            <w:pPr>
              <w:spacing w:after="0"/>
              <w:rPr>
                <w:sz w:val="20"/>
                <w:szCs w:val="20"/>
                <w:color w:val="auto"/>
              </w:rPr>
            </w:pPr>
            <w:r>
              <w:rPr>
                <w:rFonts w:ascii="Arial" w:cs="Arial" w:eastAsia="Arial" w:hAnsi="Arial"/>
                <w:sz w:val="18"/>
                <w:szCs w:val="18"/>
                <w:color w:val="auto"/>
              </w:rPr>
              <w:t>Non-current deferred tax liability</w:t>
            </w:r>
          </w:p>
        </w:tc>
        <w:tc>
          <w:tcPr>
            <w:tcW w:w="20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15,128</w:t>
            </w:r>
          </w:p>
        </w:tc>
        <w:tc>
          <w:tcPr>
            <w:tcW w:w="2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16,330</w:t>
            </w:r>
          </w:p>
        </w:tc>
        <w:tc>
          <w:tcPr>
            <w:tcW w:w="120" w:type="dxa"/>
            <w:vAlign w:val="bottom"/>
            <w:shd w:val="clear" w:color="auto" w:fill="E2EEF6"/>
          </w:tcPr>
          <w:p>
            <w:pPr>
              <w:spacing w:after="0"/>
              <w:rPr>
                <w:sz w:val="21"/>
                <w:szCs w:val="21"/>
                <w:color w:val="auto"/>
              </w:rPr>
            </w:pPr>
          </w:p>
        </w:tc>
      </w:tr>
      <w:tr>
        <w:trPr>
          <w:trHeight w:val="243"/>
        </w:trPr>
        <w:tc>
          <w:tcPr>
            <w:tcW w:w="70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57,900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67,510</w:t>
            </w:r>
          </w:p>
        </w:tc>
        <w:tc>
          <w:tcPr>
            <w:tcW w:w="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80" w:type="dxa"/>
            <w:vAlign w:val="bottom"/>
            <w:shd w:val="clear" w:color="auto" w:fill="E2EEF6"/>
          </w:tcPr>
          <w:p>
            <w:pPr>
              <w:spacing w:after="0"/>
              <w:rPr>
                <w:sz w:val="20"/>
                <w:szCs w:val="20"/>
                <w:color w:val="auto"/>
              </w:rPr>
            </w:pPr>
            <w:r>
              <w:rPr>
                <w:rFonts w:ascii="Arial" w:cs="Arial" w:eastAsia="Arial" w:hAnsi="Arial"/>
                <w:sz w:val="18"/>
                <w:szCs w:val="18"/>
                <w:color w:val="auto"/>
              </w:rPr>
              <w:t>Accrued pension</w:t>
            </w:r>
          </w:p>
        </w:tc>
        <w:tc>
          <w:tcPr>
            <w:tcW w:w="20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11,783</w:t>
            </w:r>
          </w:p>
        </w:tc>
        <w:tc>
          <w:tcPr>
            <w:tcW w:w="2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12,036</w:t>
            </w:r>
          </w:p>
        </w:tc>
        <w:tc>
          <w:tcPr>
            <w:tcW w:w="120" w:type="dxa"/>
            <w:vAlign w:val="bottom"/>
            <w:shd w:val="clear" w:color="auto" w:fill="E2EEF6"/>
          </w:tcPr>
          <w:p>
            <w:pPr>
              <w:spacing w:after="0"/>
              <w:rPr>
                <w:sz w:val="21"/>
                <w:szCs w:val="21"/>
                <w:color w:val="auto"/>
              </w:rPr>
            </w:pPr>
          </w:p>
        </w:tc>
      </w:tr>
      <w:tr>
        <w:trPr>
          <w:trHeight w:val="243"/>
        </w:trPr>
        <w:tc>
          <w:tcPr>
            <w:tcW w:w="7000" w:type="dxa"/>
            <w:vAlign w:val="bottom"/>
            <w:gridSpan w:val="2"/>
          </w:tcPr>
          <w:p>
            <w:pPr>
              <w:spacing w:after="0"/>
              <w:rPr>
                <w:sz w:val="20"/>
                <w:szCs w:val="20"/>
                <w:color w:val="auto"/>
              </w:rPr>
            </w:pPr>
            <w:r>
              <w:rPr>
                <w:rFonts w:ascii="Arial" w:cs="Arial" w:eastAsia="Arial" w:hAnsi="Arial"/>
                <w:sz w:val="18"/>
                <w:szCs w:val="18"/>
                <w:color w:val="auto"/>
              </w:rPr>
              <w:t>Obligation under capital lease</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8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E2EEF6"/>
            </w:tcBorders>
            <w:shd w:val="clear" w:color="auto" w:fill="E2EEF6"/>
          </w:tcPr>
          <w:p>
            <w:pPr>
              <w:spacing w:after="0"/>
              <w:rPr>
                <w:sz w:val="21"/>
                <w:szCs w:val="21"/>
                <w:color w:val="auto"/>
              </w:rPr>
            </w:pPr>
          </w:p>
        </w:tc>
        <w:tc>
          <w:tcPr>
            <w:tcW w:w="300" w:type="dxa"/>
            <w:vAlign w:val="bottom"/>
            <w:tcBorders>
              <w:bottom w:val="single" w:sz="8" w:color="auto"/>
            </w:tcBorders>
            <w:shd w:val="clear" w:color="auto" w:fill="E2EEF6"/>
          </w:tcPr>
          <w:p>
            <w:pPr>
              <w:spacing w:after="0"/>
              <w:rPr>
                <w:sz w:val="21"/>
                <w:szCs w:val="21"/>
                <w:color w:val="auto"/>
              </w:rPr>
            </w:pPr>
          </w:p>
        </w:tc>
        <w:tc>
          <w:tcPr>
            <w:tcW w:w="10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2,246</w:t>
            </w:r>
          </w:p>
        </w:tc>
        <w:tc>
          <w:tcPr>
            <w:tcW w:w="220" w:type="dxa"/>
            <w:vAlign w:val="bottom"/>
            <w:tcBorders>
              <w:bottom w:val="single" w:sz="8" w:color="E2EEF6"/>
            </w:tcBorders>
            <w:shd w:val="clear" w:color="auto" w:fill="E2EEF6"/>
          </w:tcPr>
          <w:p>
            <w:pPr>
              <w:spacing w:after="0"/>
              <w:rPr>
                <w:sz w:val="21"/>
                <w:szCs w:val="21"/>
                <w:color w:val="auto"/>
              </w:rPr>
            </w:pPr>
          </w:p>
        </w:tc>
        <w:tc>
          <w:tcPr>
            <w:tcW w:w="300" w:type="dxa"/>
            <w:vAlign w:val="bottom"/>
            <w:tcBorders>
              <w:bottom w:val="single" w:sz="8" w:color="auto"/>
            </w:tcBorders>
            <w:shd w:val="clear" w:color="auto" w:fill="E2EEF6"/>
          </w:tcPr>
          <w:p>
            <w:pPr>
              <w:spacing w:after="0"/>
              <w:rPr>
                <w:sz w:val="21"/>
                <w:szCs w:val="21"/>
                <w:color w:val="auto"/>
              </w:rPr>
            </w:pPr>
          </w:p>
        </w:tc>
        <w:tc>
          <w:tcPr>
            <w:tcW w:w="10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2,895</w:t>
            </w:r>
          </w:p>
        </w:tc>
        <w:tc>
          <w:tcPr>
            <w:tcW w:w="120" w:type="dxa"/>
            <w:vAlign w:val="bottom"/>
            <w:tcBorders>
              <w:bottom w:val="single" w:sz="8" w:color="E2EEF6"/>
            </w:tcBorders>
            <w:shd w:val="clear" w:color="auto" w:fill="E2EEF6"/>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153,581</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173,202</w:t>
            </w:r>
          </w:p>
        </w:tc>
        <w:tc>
          <w:tcPr>
            <w:tcW w:w="1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98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6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8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r>
      <w:tr>
        <w:trPr>
          <w:trHeight w:val="243"/>
        </w:trPr>
        <w:tc>
          <w:tcPr>
            <w:tcW w:w="7000" w:type="dxa"/>
            <w:vAlign w:val="bottom"/>
            <w:gridSpan w:val="2"/>
          </w:tcPr>
          <w:p>
            <w:pPr>
              <w:spacing w:after="0"/>
              <w:rPr>
                <w:sz w:val="20"/>
                <w:szCs w:val="20"/>
                <w:color w:val="auto"/>
              </w:rPr>
            </w:pPr>
            <w:r>
              <w:rPr>
                <w:rFonts w:ascii="Arial" w:cs="Arial" w:eastAsia="Arial" w:hAnsi="Arial"/>
                <w:sz w:val="18"/>
                <w:szCs w:val="18"/>
                <w:color w:val="auto"/>
              </w:rPr>
              <w:t>Commitments and Contingencies (Note 15)</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8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6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r>
      <w:tr>
        <w:trPr>
          <w:trHeight w:val="243"/>
        </w:trPr>
        <w:tc>
          <w:tcPr>
            <w:tcW w:w="70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6980" w:type="dxa"/>
            <w:vAlign w:val="bottom"/>
            <w:shd w:val="clear" w:color="auto" w:fill="E2EEF6"/>
          </w:tcPr>
          <w:p>
            <w:pPr>
              <w:ind w:left="640"/>
              <w:spacing w:after="0" w:line="201" w:lineRule="exact"/>
              <w:rPr>
                <w:sz w:val="20"/>
                <w:szCs w:val="20"/>
                <w:color w:val="auto"/>
              </w:rPr>
            </w:pPr>
            <w:r>
              <w:rPr>
                <w:rFonts w:ascii="Arial" w:cs="Arial" w:eastAsia="Arial" w:hAnsi="Arial"/>
                <w:sz w:val="18"/>
                <w:szCs w:val="18"/>
                <w:color w:val="auto"/>
              </w:rPr>
              <w:t>Common stock - $0.01 par value, authorized 45,000 shares,</w:t>
            </w:r>
          </w:p>
        </w:tc>
        <w:tc>
          <w:tcPr>
            <w:tcW w:w="200" w:type="dxa"/>
            <w:vAlign w:val="bottom"/>
            <w:shd w:val="clear" w:color="auto" w:fill="E2EEF6"/>
          </w:tcPr>
          <w:p>
            <w:pPr>
              <w:spacing w:after="0"/>
              <w:rPr>
                <w:sz w:val="17"/>
                <w:szCs w:val="17"/>
                <w:color w:val="auto"/>
              </w:rPr>
            </w:pPr>
          </w:p>
        </w:tc>
        <w:tc>
          <w:tcPr>
            <w:tcW w:w="300" w:type="dxa"/>
            <w:vAlign w:val="bottom"/>
            <w:shd w:val="clear" w:color="auto" w:fill="E2EEF6"/>
          </w:tcPr>
          <w:p>
            <w:pPr>
              <w:spacing w:after="0"/>
              <w:rPr>
                <w:sz w:val="17"/>
                <w:szCs w:val="17"/>
                <w:color w:val="auto"/>
              </w:rPr>
            </w:pPr>
          </w:p>
        </w:tc>
        <w:tc>
          <w:tcPr>
            <w:tcW w:w="1060" w:type="dxa"/>
            <w:vAlign w:val="bottom"/>
            <w:shd w:val="clear" w:color="auto" w:fill="E2EEF6"/>
          </w:tcPr>
          <w:p>
            <w:pPr>
              <w:spacing w:after="0"/>
              <w:rPr>
                <w:sz w:val="17"/>
                <w:szCs w:val="17"/>
                <w:color w:val="auto"/>
              </w:rPr>
            </w:pPr>
          </w:p>
        </w:tc>
        <w:tc>
          <w:tcPr>
            <w:tcW w:w="220" w:type="dxa"/>
            <w:vAlign w:val="bottom"/>
            <w:shd w:val="clear" w:color="auto" w:fill="E2EEF6"/>
          </w:tcPr>
          <w:p>
            <w:pPr>
              <w:spacing w:after="0"/>
              <w:rPr>
                <w:sz w:val="17"/>
                <w:szCs w:val="17"/>
                <w:color w:val="auto"/>
              </w:rPr>
            </w:pPr>
          </w:p>
        </w:tc>
        <w:tc>
          <w:tcPr>
            <w:tcW w:w="300" w:type="dxa"/>
            <w:vAlign w:val="bottom"/>
            <w:shd w:val="clear" w:color="auto" w:fill="E2EEF6"/>
          </w:tcPr>
          <w:p>
            <w:pPr>
              <w:spacing w:after="0"/>
              <w:rPr>
                <w:sz w:val="17"/>
                <w:szCs w:val="17"/>
                <w:color w:val="auto"/>
              </w:rPr>
            </w:pPr>
          </w:p>
        </w:tc>
        <w:tc>
          <w:tcPr>
            <w:tcW w:w="1080" w:type="dxa"/>
            <w:vAlign w:val="bottom"/>
            <w:shd w:val="clear" w:color="auto" w:fill="E2EEF6"/>
          </w:tcPr>
          <w:p>
            <w:pPr>
              <w:spacing w:after="0"/>
              <w:rPr>
                <w:sz w:val="17"/>
                <w:szCs w:val="17"/>
                <w:color w:val="auto"/>
              </w:rPr>
            </w:pPr>
          </w:p>
        </w:tc>
        <w:tc>
          <w:tcPr>
            <w:tcW w:w="120" w:type="dxa"/>
            <w:vAlign w:val="bottom"/>
            <w:shd w:val="clear" w:color="auto" w:fill="E2EEF6"/>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2EEF6"/>
          </w:tcPr>
          <w:p>
            <w:pPr>
              <w:ind w:left="640"/>
              <w:spacing w:after="0"/>
              <w:rPr>
                <w:sz w:val="20"/>
                <w:szCs w:val="20"/>
                <w:color w:val="auto"/>
              </w:rPr>
            </w:pPr>
            <w:r>
              <w:rPr>
                <w:rFonts w:ascii="Arial" w:cs="Arial" w:eastAsia="Arial" w:hAnsi="Arial"/>
                <w:sz w:val="18"/>
                <w:szCs w:val="18"/>
                <w:color w:val="auto"/>
              </w:rPr>
              <w:t>issued and outstanding 17,206 shares in 2005 and,</w:t>
            </w:r>
          </w:p>
        </w:tc>
        <w:tc>
          <w:tcPr>
            <w:tcW w:w="200" w:type="dxa"/>
            <w:vAlign w:val="bottom"/>
            <w:shd w:val="clear" w:color="auto" w:fill="E2EEF6"/>
          </w:tcPr>
          <w:p>
            <w:pPr>
              <w:spacing w:after="0"/>
              <w:rPr>
                <w:sz w:val="18"/>
                <w:szCs w:val="18"/>
                <w:color w:val="auto"/>
              </w:rPr>
            </w:pPr>
          </w:p>
        </w:tc>
        <w:tc>
          <w:tcPr>
            <w:tcW w:w="300" w:type="dxa"/>
            <w:vAlign w:val="bottom"/>
            <w:shd w:val="clear" w:color="auto" w:fill="E2EEF6"/>
          </w:tcPr>
          <w:p>
            <w:pPr>
              <w:spacing w:after="0"/>
              <w:rPr>
                <w:sz w:val="18"/>
                <w:szCs w:val="18"/>
                <w:color w:val="auto"/>
              </w:rPr>
            </w:pPr>
          </w:p>
        </w:tc>
        <w:tc>
          <w:tcPr>
            <w:tcW w:w="1060" w:type="dxa"/>
            <w:vAlign w:val="bottom"/>
            <w:shd w:val="clear" w:color="auto" w:fill="E2EEF6"/>
          </w:tcPr>
          <w:p>
            <w:pPr>
              <w:spacing w:after="0"/>
              <w:rPr>
                <w:sz w:val="18"/>
                <w:szCs w:val="18"/>
                <w:color w:val="auto"/>
              </w:rPr>
            </w:pPr>
          </w:p>
        </w:tc>
        <w:tc>
          <w:tcPr>
            <w:tcW w:w="220" w:type="dxa"/>
            <w:vAlign w:val="bottom"/>
            <w:shd w:val="clear" w:color="auto" w:fill="E2EEF6"/>
          </w:tcPr>
          <w:p>
            <w:pPr>
              <w:spacing w:after="0"/>
              <w:rPr>
                <w:sz w:val="18"/>
                <w:szCs w:val="18"/>
                <w:color w:val="auto"/>
              </w:rPr>
            </w:pPr>
          </w:p>
        </w:tc>
        <w:tc>
          <w:tcPr>
            <w:tcW w:w="300" w:type="dxa"/>
            <w:vAlign w:val="bottom"/>
            <w:shd w:val="clear" w:color="auto" w:fill="E2EEF6"/>
          </w:tcPr>
          <w:p>
            <w:pPr>
              <w:spacing w:after="0"/>
              <w:rPr>
                <w:sz w:val="18"/>
                <w:szCs w:val="18"/>
                <w:color w:val="auto"/>
              </w:rPr>
            </w:pPr>
          </w:p>
        </w:tc>
        <w:tc>
          <w:tcPr>
            <w:tcW w:w="1080" w:type="dxa"/>
            <w:vAlign w:val="bottom"/>
            <w:shd w:val="clear" w:color="auto" w:fill="E2EEF6"/>
          </w:tcPr>
          <w:p>
            <w:pPr>
              <w:spacing w:after="0"/>
              <w:rPr>
                <w:sz w:val="18"/>
                <w:szCs w:val="18"/>
                <w:color w:val="auto"/>
              </w:rPr>
            </w:pPr>
          </w:p>
        </w:tc>
        <w:tc>
          <w:tcPr>
            <w:tcW w:w="120" w:type="dxa"/>
            <w:vAlign w:val="bottom"/>
            <w:shd w:val="clear" w:color="auto" w:fill="E2EEF6"/>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80" w:type="dxa"/>
            <w:vAlign w:val="bottom"/>
            <w:shd w:val="clear" w:color="auto" w:fill="E2EEF6"/>
          </w:tcPr>
          <w:p>
            <w:pPr>
              <w:ind w:left="640"/>
              <w:spacing w:after="0"/>
              <w:rPr>
                <w:sz w:val="20"/>
                <w:szCs w:val="20"/>
                <w:color w:val="auto"/>
              </w:rPr>
            </w:pPr>
            <w:r>
              <w:rPr>
                <w:rFonts w:ascii="Arial" w:cs="Arial" w:eastAsia="Arial" w:hAnsi="Arial"/>
                <w:sz w:val="18"/>
                <w:szCs w:val="18"/>
                <w:color w:val="auto"/>
              </w:rPr>
              <w:t>16,777 shares in 2004</w:t>
            </w:r>
          </w:p>
        </w:tc>
        <w:tc>
          <w:tcPr>
            <w:tcW w:w="20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E2EEF6"/>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980" w:type="dxa"/>
            <w:vAlign w:val="bottom"/>
          </w:tcPr>
          <w:p>
            <w:pPr>
              <w:ind w:left="6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57,754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53,423</w:t>
            </w:r>
          </w:p>
        </w:tc>
        <w:tc>
          <w:tcPr>
            <w:tcW w:w="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80" w:type="dxa"/>
            <w:vAlign w:val="bottom"/>
          </w:tcPr>
          <w:p>
            <w:pPr>
              <w:ind w:left="660"/>
              <w:spacing w:after="0"/>
              <w:rPr>
                <w:sz w:val="20"/>
                <w:szCs w:val="20"/>
                <w:color w:val="auto"/>
              </w:rPr>
            </w:pPr>
            <w:r>
              <w:rPr>
                <w:rFonts w:ascii="Arial" w:cs="Arial" w:eastAsia="Arial" w:hAnsi="Arial"/>
                <w:sz w:val="18"/>
                <w:szCs w:val="18"/>
                <w:color w:val="auto"/>
              </w:rPr>
              <w:t>Additional paid-in capital - unearned compensation</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80" w:type="dxa"/>
            <w:vAlign w:val="bottom"/>
            <w:shd w:val="clear" w:color="auto" w:fill="E2EEF6"/>
          </w:tcPr>
          <w:p>
            <w:pPr>
              <w:ind w:left="64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55,218</w:t>
            </w:r>
          </w:p>
        </w:tc>
        <w:tc>
          <w:tcPr>
            <w:tcW w:w="2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45,676</w:t>
            </w:r>
          </w:p>
        </w:tc>
        <w:tc>
          <w:tcPr>
            <w:tcW w:w="120" w:type="dxa"/>
            <w:vAlign w:val="bottom"/>
            <w:shd w:val="clear" w:color="auto" w:fill="E2EEF6"/>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80" w:type="dxa"/>
            <w:vAlign w:val="bottom"/>
          </w:tcPr>
          <w:p>
            <w:pPr>
              <w:ind w:left="64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15,873</w:t>
            </w:r>
          </w:p>
        </w:tc>
        <w:tc>
          <w:tcPr>
            <w:tcW w:w="1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980" w:type="dxa"/>
            <w:vAlign w:val="bottom"/>
            <w:tcBorders>
              <w:bottom w:val="single" w:sz="8" w:color="E2EEF6"/>
            </w:tcBorders>
            <w:shd w:val="clear" w:color="auto" w:fill="E2EEF6"/>
          </w:tcPr>
          <w:p>
            <w:pPr>
              <w:ind w:left="12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E2EEF6"/>
            </w:tcBorders>
            <w:shd w:val="clear" w:color="auto" w:fill="E2EEF6"/>
          </w:tcPr>
          <w:p>
            <w:pPr>
              <w:spacing w:after="0"/>
              <w:rPr>
                <w:sz w:val="20"/>
                <w:szCs w:val="20"/>
                <w:color w:val="auto"/>
              </w:rPr>
            </w:pPr>
          </w:p>
        </w:tc>
        <w:tc>
          <w:tcPr>
            <w:tcW w:w="300" w:type="dxa"/>
            <w:vAlign w:val="bottom"/>
            <w:tcBorders>
              <w:bottom w:val="single" w:sz="8" w:color="auto"/>
            </w:tcBorders>
            <w:shd w:val="clear" w:color="auto" w:fill="E2EEF6"/>
          </w:tcPr>
          <w:p>
            <w:pPr>
              <w:spacing w:after="0"/>
              <w:rPr>
                <w:sz w:val="20"/>
                <w:szCs w:val="20"/>
                <w:color w:val="auto"/>
              </w:rPr>
            </w:pPr>
          </w:p>
        </w:tc>
        <w:tc>
          <w:tcPr>
            <w:tcW w:w="10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116,074</w:t>
            </w:r>
          </w:p>
        </w:tc>
        <w:tc>
          <w:tcPr>
            <w:tcW w:w="220" w:type="dxa"/>
            <w:vAlign w:val="bottom"/>
            <w:tcBorders>
              <w:bottom w:val="single" w:sz="8" w:color="E2EEF6"/>
            </w:tcBorders>
            <w:shd w:val="clear" w:color="auto" w:fill="E2EEF6"/>
          </w:tcPr>
          <w:p>
            <w:pPr>
              <w:spacing w:after="0"/>
              <w:rPr>
                <w:sz w:val="20"/>
                <w:szCs w:val="20"/>
                <w:color w:val="auto"/>
              </w:rPr>
            </w:pPr>
          </w:p>
        </w:tc>
        <w:tc>
          <w:tcPr>
            <w:tcW w:w="300" w:type="dxa"/>
            <w:vAlign w:val="bottom"/>
            <w:tcBorders>
              <w:bottom w:val="single" w:sz="8" w:color="auto"/>
            </w:tcBorders>
            <w:shd w:val="clear" w:color="auto" w:fill="E2EEF6"/>
          </w:tcPr>
          <w:p>
            <w:pPr>
              <w:spacing w:after="0"/>
              <w:rPr>
                <w:sz w:val="20"/>
                <w:szCs w:val="20"/>
                <w:color w:val="auto"/>
              </w:rPr>
            </w:pPr>
          </w:p>
        </w:tc>
        <w:tc>
          <w:tcPr>
            <w:tcW w:w="10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115,140</w:t>
            </w:r>
          </w:p>
        </w:tc>
        <w:tc>
          <w:tcPr>
            <w:tcW w:w="120" w:type="dxa"/>
            <w:vAlign w:val="bottom"/>
            <w:tcBorders>
              <w:bottom w:val="single" w:sz="8" w:color="E2EEF6"/>
            </w:tcBorders>
            <w:shd w:val="clear" w:color="auto" w:fill="E2EEF6"/>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980" w:type="dxa"/>
            <w:vAlign w:val="bottom"/>
          </w:tcPr>
          <w:p>
            <w:pPr>
              <w:ind w:left="1280"/>
              <w:spacing w:after="0"/>
              <w:rPr>
                <w:sz w:val="20"/>
                <w:szCs w:val="20"/>
                <w:color w:val="auto"/>
              </w:rPr>
            </w:pPr>
            <w:r>
              <w:rPr>
                <w:rFonts w:ascii="Arial" w:cs="Arial" w:eastAsia="Arial" w:hAnsi="Arial"/>
                <w:sz w:val="18"/>
                <w:szCs w:val="18"/>
                <w:color w:val="auto"/>
              </w:rPr>
              <w:t>Total liabilities and stockholders’ equity</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269,655</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288,342</w:t>
            </w:r>
          </w:p>
        </w:tc>
        <w:tc>
          <w:tcPr>
            <w:tcW w:w="1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70485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391" w:right="79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2005, 2004 and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0"/>
                <w:szCs w:val="20"/>
                <w:color w:val="auto"/>
              </w:rPr>
            </w:pPr>
          </w:p>
        </w:tc>
      </w:tr>
      <w:tr>
        <w:trPr>
          <w:trHeight w:val="237"/>
        </w:trPr>
        <w:tc>
          <w:tcPr>
            <w:tcW w:w="674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8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8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6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Net sales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321,387</w:t>
            </w:r>
          </w:p>
        </w:tc>
        <w:tc>
          <w:tcPr>
            <w:tcW w:w="14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304,089</w:t>
            </w: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253,462</w:t>
            </w: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Cost of products sold (exclusive of depreciation shown separately below)</w:t>
            </w: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248,828</w:t>
            </w: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240,580</w:t>
            </w:r>
          </w:p>
        </w:tc>
        <w:tc>
          <w:tcPr>
            <w:tcW w:w="2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195,658</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29,073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29,755</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21,700</w:t>
            </w: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16,331</w:t>
            </w: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3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16,133</w:t>
            </w:r>
          </w:p>
        </w:tc>
        <w:tc>
          <w:tcPr>
            <w:tcW w:w="300" w:type="dxa"/>
            <w:vAlign w:val="bottom"/>
            <w:shd w:val="clear" w:color="auto" w:fill="E2EEF6"/>
          </w:tcPr>
          <w:p>
            <w:pPr>
              <w:spacing w:after="0"/>
              <w:rPr>
                <w:sz w:val="21"/>
                <w:szCs w:val="21"/>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13,691</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(Gain) loss on disposal of assets</w:t>
            </w:r>
          </w:p>
        </w:tc>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856</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Restructuring and impairment costs (income)</w:t>
            </w:r>
          </w:p>
        </w:tc>
        <w:tc>
          <w:tcPr>
            <w:tcW w:w="300" w:type="dxa"/>
            <w:vAlign w:val="bottom"/>
            <w:shd w:val="clear" w:color="auto" w:fill="E2EEF6"/>
          </w:tcPr>
          <w:p>
            <w:pPr>
              <w:spacing w:after="0"/>
              <w:rPr>
                <w:sz w:val="21"/>
                <w:szCs w:val="21"/>
                <w:color w:val="auto"/>
              </w:rPr>
            </w:pPr>
          </w:p>
        </w:tc>
        <w:tc>
          <w:tcPr>
            <w:tcW w:w="122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2,398</w:t>
            </w:r>
          </w:p>
        </w:tc>
        <w:tc>
          <w:tcPr>
            <w:tcW w:w="2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2,490</w:t>
            </w:r>
          </w:p>
        </w:tc>
      </w:tr>
      <w:tr>
        <w:trPr>
          <w:trHeight w:val="237"/>
        </w:trPr>
        <w:tc>
          <w:tcPr>
            <w:tcW w:w="6740" w:type="dxa"/>
            <w:vAlign w:val="bottom"/>
            <w:tcBorders>
              <w:top w:val="single" w:sz="8" w:color="E2EEF6"/>
            </w:tcBorders>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27,888</w:t>
            </w:r>
          </w:p>
        </w:tc>
        <w:tc>
          <w:tcPr>
            <w:tcW w:w="140" w:type="dxa"/>
            <w:vAlign w:val="bottom"/>
            <w:tcBorders>
              <w:top w:val="single" w:sz="8" w:color="E2EEF6"/>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14,367</w:t>
            </w:r>
          </w:p>
        </w:tc>
        <w:tc>
          <w:tcPr>
            <w:tcW w:w="220" w:type="dxa"/>
            <w:vAlign w:val="bottom"/>
            <w:tcBorders>
              <w:top w:val="single" w:sz="8" w:color="E2EEF6"/>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20,070</w:t>
            </w:r>
          </w:p>
        </w:tc>
        <w:tc>
          <w:tcPr>
            <w:tcW w:w="100" w:type="dxa"/>
            <w:vAlign w:val="bottom"/>
            <w:tcBorders>
              <w:top w:val="single" w:sz="8" w:color="E2EEF6"/>
            </w:tcBorders>
          </w:tcPr>
          <w:p>
            <w:pPr>
              <w:spacing w:after="0"/>
              <w:rPr>
                <w:sz w:val="20"/>
                <w:szCs w:val="20"/>
                <w:color w:val="auto"/>
              </w:rPr>
            </w:pPr>
          </w:p>
        </w:tc>
      </w:tr>
      <w:tr>
        <w:trPr>
          <w:trHeight w:val="243"/>
        </w:trPr>
        <w:tc>
          <w:tcPr>
            <w:tcW w:w="674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4,029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3,392</w:t>
            </w: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E2EEF6"/>
          </w:tcPr>
          <w:p>
            <w:pPr>
              <w:spacing w:after="0"/>
              <w:rPr>
                <w:sz w:val="21"/>
                <w:szCs w:val="21"/>
                <w:color w:val="auto"/>
              </w:rPr>
            </w:pPr>
          </w:p>
        </w:tc>
        <w:tc>
          <w:tcPr>
            <w:tcW w:w="122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3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(853)</w:t>
            </w:r>
          </w:p>
        </w:tc>
        <w:tc>
          <w:tcPr>
            <w:tcW w:w="300" w:type="dxa"/>
            <w:vAlign w:val="bottom"/>
            <w:shd w:val="clear" w:color="auto" w:fill="E2EEF6"/>
          </w:tcPr>
          <w:p>
            <w:pPr>
              <w:spacing w:after="0"/>
              <w:rPr>
                <w:sz w:val="21"/>
                <w:szCs w:val="21"/>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99</w:t>
            </w:r>
          </w:p>
        </w:tc>
      </w:tr>
      <w:tr>
        <w:trPr>
          <w:trHeight w:val="237"/>
        </w:trPr>
        <w:tc>
          <w:tcPr>
            <w:tcW w:w="6740" w:type="dxa"/>
            <w:vAlign w:val="bottom"/>
            <w:tcBorders>
              <w:top w:val="single" w:sz="8" w:color="E2EEF6"/>
            </w:tcBorders>
          </w:tcPr>
          <w:p>
            <w:pPr>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24,764</w:t>
            </w:r>
          </w:p>
        </w:tc>
        <w:tc>
          <w:tcPr>
            <w:tcW w:w="140" w:type="dxa"/>
            <w:vAlign w:val="bottom"/>
            <w:tcBorders>
              <w:top w:val="single" w:sz="8" w:color="E2EEF6"/>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11,191</w:t>
            </w:r>
          </w:p>
        </w:tc>
        <w:tc>
          <w:tcPr>
            <w:tcW w:w="220" w:type="dxa"/>
            <w:vAlign w:val="bottom"/>
            <w:tcBorders>
              <w:top w:val="single" w:sz="8" w:color="E2EEF6"/>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16,579</w:t>
            </w:r>
          </w:p>
        </w:tc>
        <w:tc>
          <w:tcPr>
            <w:tcW w:w="100" w:type="dxa"/>
            <w:vAlign w:val="bottom"/>
            <w:tcBorders>
              <w:top w:val="single" w:sz="8" w:color="E2EEF6"/>
            </w:tcBorders>
          </w:tcPr>
          <w:p>
            <w:pPr>
              <w:spacing w:after="0"/>
              <w:rPr>
                <w:sz w:val="20"/>
                <w:szCs w:val="20"/>
                <w:color w:val="auto"/>
              </w:rPr>
            </w:pP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9,752</w:t>
            </w: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4,089</w:t>
            </w:r>
          </w:p>
        </w:tc>
        <w:tc>
          <w:tcPr>
            <w:tcW w:w="2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5,726</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Minority interest in consolidated subsidiaries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r>
      <w:tr>
        <w:trPr>
          <w:trHeight w:val="237"/>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E2EEF6"/>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15,012</w:t>
            </w:r>
          </w:p>
        </w:tc>
        <w:tc>
          <w:tcPr>
            <w:tcW w:w="140" w:type="dxa"/>
            <w:vAlign w:val="bottom"/>
            <w:shd w:val="clear" w:color="auto" w:fill="E2EEF6"/>
          </w:tcPr>
          <w:p>
            <w:pPr>
              <w:spacing w:after="0"/>
              <w:rPr>
                <w:sz w:val="20"/>
                <w:szCs w:val="20"/>
                <w:color w:val="auto"/>
              </w:rPr>
            </w:pPr>
          </w:p>
        </w:tc>
        <w:tc>
          <w:tcPr>
            <w:tcW w:w="4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7,102</w:t>
            </w:r>
          </w:p>
        </w:tc>
        <w:tc>
          <w:tcPr>
            <w:tcW w:w="220" w:type="dxa"/>
            <w:vAlign w:val="bottom"/>
            <w:shd w:val="clear" w:color="auto" w:fill="E2EEF6"/>
          </w:tcPr>
          <w:p>
            <w:pPr>
              <w:spacing w:after="0"/>
              <w:rPr>
                <w:sz w:val="20"/>
                <w:szCs w:val="20"/>
                <w:color w:val="auto"/>
              </w:rPr>
            </w:pPr>
          </w:p>
        </w:tc>
        <w:tc>
          <w:tcPr>
            <w:tcW w:w="300" w:type="dxa"/>
            <w:vAlign w:val="bottom"/>
            <w:shd w:val="clear" w:color="auto" w:fill="E2EEF6"/>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10,178</w:t>
            </w:r>
          </w:p>
        </w:tc>
      </w:tr>
      <w:tr>
        <w:trPr>
          <w:trHeight w:val="237"/>
        </w:trPr>
        <w:tc>
          <w:tcPr>
            <w:tcW w:w="6740" w:type="dxa"/>
            <w:vAlign w:val="bottom"/>
            <w:tcBorders>
              <w:top w:val="single" w:sz="8" w:color="E2EEF6"/>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40" w:type="dxa"/>
            <w:vAlign w:val="bottom"/>
            <w:tcBorders>
              <w:top w:val="single" w:sz="8" w:color="E2EEF6"/>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20" w:type="dxa"/>
            <w:vAlign w:val="bottom"/>
            <w:tcBorders>
              <w:top w:val="single" w:sz="8" w:color="E2EEF6"/>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Other comprehensive income (loss):</w:t>
            </w: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r>
      <w:tr>
        <w:trPr>
          <w:trHeight w:val="243"/>
        </w:trPr>
        <w:tc>
          <w:tcPr>
            <w:tcW w:w="6740" w:type="dxa"/>
            <w:vAlign w:val="bottom"/>
          </w:tcPr>
          <w:p>
            <w:pPr>
              <w:ind w:left="660"/>
              <w:spacing w:after="0"/>
              <w:rPr>
                <w:sz w:val="20"/>
                <w:szCs w:val="20"/>
                <w:color w:val="auto"/>
              </w:rPr>
            </w:pPr>
            <w:r>
              <w:rPr>
                <w:rFonts w:ascii="Arial" w:cs="Arial" w:eastAsia="Arial" w:hAnsi="Arial"/>
                <w:sz w:val="18"/>
                <w:szCs w:val="18"/>
                <w:color w:val="auto"/>
              </w:rPr>
              <w:t>Additional minimum pension liability, net of tax</w:t>
            </w:r>
          </w:p>
        </w:tc>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r>
      <w:tr>
        <w:trPr>
          <w:trHeight w:val="243"/>
        </w:trPr>
        <w:tc>
          <w:tcPr>
            <w:tcW w:w="6740" w:type="dxa"/>
            <w:vAlign w:val="bottom"/>
            <w:shd w:val="clear" w:color="auto" w:fill="E2EEF6"/>
          </w:tcPr>
          <w:p>
            <w:pPr>
              <w:ind w:left="660"/>
              <w:spacing w:after="0"/>
              <w:rPr>
                <w:sz w:val="20"/>
                <w:szCs w:val="20"/>
                <w:color w:val="auto"/>
              </w:rPr>
            </w:pPr>
            <w:r>
              <w:rPr>
                <w:rFonts w:ascii="Arial" w:cs="Arial" w:eastAsia="Arial" w:hAnsi="Arial"/>
                <w:sz w:val="18"/>
                <w:szCs w:val="18"/>
                <w:color w:val="auto"/>
              </w:rPr>
              <w:t>Unrealized holding gain (loss) on securities, net of tax</w:t>
            </w:r>
          </w:p>
        </w:tc>
        <w:tc>
          <w:tcPr>
            <w:tcW w:w="300" w:type="dxa"/>
            <w:vAlign w:val="bottom"/>
            <w:shd w:val="clear" w:color="auto" w:fill="E2EEF6"/>
          </w:tcPr>
          <w:p>
            <w:pPr>
              <w:spacing w:after="0"/>
              <w:rPr>
                <w:sz w:val="21"/>
                <w:szCs w:val="21"/>
                <w:color w:val="auto"/>
              </w:rPr>
            </w:pPr>
          </w:p>
        </w:tc>
        <w:tc>
          <w:tcPr>
            <w:tcW w:w="122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66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(11,823)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6,591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11,273</w:t>
            </w:r>
          </w:p>
        </w:tc>
      </w:tr>
      <w:tr>
        <w:trPr>
          <w:trHeight w:val="20"/>
        </w:trPr>
        <w:tc>
          <w:tcPr>
            <w:tcW w:w="6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6740" w:type="dxa"/>
            <w:vAlign w:val="bottom"/>
            <w:shd w:val="clear" w:color="auto" w:fill="E2EEF6"/>
          </w:tcPr>
          <w:p>
            <w:pPr>
              <w:ind w:left="1300"/>
              <w:spacing w:after="0"/>
              <w:rPr>
                <w:sz w:val="20"/>
                <w:szCs w:val="20"/>
                <w:color w:val="auto"/>
              </w:rPr>
            </w:pPr>
            <w:r>
              <w:rPr>
                <w:rFonts w:ascii="Arial" w:cs="Arial" w:eastAsia="Arial" w:hAnsi="Arial"/>
                <w:sz w:val="18"/>
                <w:szCs w:val="18"/>
                <w:color w:val="auto"/>
              </w:rPr>
              <w:t>Comprehensive income</w:t>
            </w:r>
          </w:p>
        </w:tc>
        <w:tc>
          <w:tcPr>
            <w:tcW w:w="300" w:type="dxa"/>
            <w:vAlign w:val="bottom"/>
            <w:shd w:val="clear" w:color="auto" w:fill="E2EEF6"/>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2,536</w:t>
            </w:r>
          </w:p>
        </w:tc>
        <w:tc>
          <w:tcPr>
            <w:tcW w:w="140" w:type="dxa"/>
            <w:vAlign w:val="bottom"/>
            <w:shd w:val="clear" w:color="auto" w:fill="E2EEF6"/>
          </w:tcPr>
          <w:p>
            <w:pPr>
              <w:spacing w:after="0"/>
              <w:rPr>
                <w:sz w:val="24"/>
                <w:szCs w:val="24"/>
                <w:color w:val="auto"/>
              </w:rPr>
            </w:pPr>
          </w:p>
        </w:tc>
        <w:tc>
          <w:tcPr>
            <w:tcW w:w="4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13,566</w:t>
            </w:r>
          </w:p>
        </w:tc>
        <w:tc>
          <w:tcPr>
            <w:tcW w:w="300" w:type="dxa"/>
            <w:vAlign w:val="bottom"/>
            <w:shd w:val="clear" w:color="auto" w:fill="E2EEF6"/>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21,274</w:t>
            </w:r>
          </w:p>
        </w:tc>
      </w:tr>
      <w:tr>
        <w:trPr>
          <w:trHeight w:val="224"/>
        </w:trPr>
        <w:tc>
          <w:tcPr>
            <w:tcW w:w="6740" w:type="dxa"/>
            <w:vAlign w:val="bottom"/>
            <w:tcBorders>
              <w:top w:val="single" w:sz="8" w:color="E2EEF6"/>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Borders>
              <w:top w:val="single" w:sz="8" w:color="E2EEF6"/>
            </w:tcBorders>
          </w:tcPr>
          <w:p>
            <w:pPr>
              <w:spacing w:after="0"/>
              <w:rPr>
                <w:sz w:val="19"/>
                <w:szCs w:val="19"/>
                <w:color w:val="auto"/>
              </w:rPr>
            </w:pPr>
          </w:p>
        </w:tc>
        <w:tc>
          <w:tcPr>
            <w:tcW w:w="100" w:type="dxa"/>
            <w:vAlign w:val="bottom"/>
            <w:tcBorders>
              <w:top w:val="single" w:sz="8" w:color="E2EEF6"/>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Borders>
              <w:top w:val="single" w:sz="8" w:color="E2EEF6"/>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E2EEF6"/>
            </w:tcBorders>
          </w:tcPr>
          <w:p>
            <w:pPr>
              <w:spacing w:after="0"/>
              <w:rPr>
                <w:sz w:val="19"/>
                <w:szCs w:val="19"/>
                <w:color w:val="auto"/>
              </w:rPr>
            </w:pP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Basic income per share:</w:t>
            </w: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r>
      <w:tr>
        <w:trPr>
          <w:trHeight w:val="243"/>
        </w:trPr>
        <w:tc>
          <w:tcPr>
            <w:tcW w:w="6740" w:type="dxa"/>
            <w:vAlign w:val="bottom"/>
          </w:tcPr>
          <w:p>
            <w:pPr>
              <w:ind w:left="66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0.88</w:t>
            </w:r>
          </w:p>
        </w:tc>
        <w:tc>
          <w:tcPr>
            <w:tcW w:w="14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0.42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r>
      <w:tr>
        <w:trPr>
          <w:trHeight w:val="20"/>
        </w:trPr>
        <w:tc>
          <w:tcPr>
            <w:tcW w:w="6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740" w:type="dxa"/>
            <w:vAlign w:val="bottom"/>
            <w:shd w:val="clear" w:color="auto" w:fill="E2EEF6"/>
          </w:tcPr>
          <w:p>
            <w:pPr>
              <w:ind w:left="66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shd w:val="clear" w:color="auto" w:fill="E2EEF6"/>
          </w:tcPr>
          <w:p>
            <w:pPr>
              <w:spacing w:after="0"/>
              <w:rPr>
                <w:sz w:val="22"/>
                <w:szCs w:val="22"/>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17,004</w:t>
            </w:r>
          </w:p>
        </w:tc>
        <w:tc>
          <w:tcPr>
            <w:tcW w:w="140" w:type="dxa"/>
            <w:vAlign w:val="bottom"/>
            <w:shd w:val="clear" w:color="auto" w:fill="E2EEF6"/>
          </w:tcPr>
          <w:p>
            <w:pPr>
              <w:spacing w:after="0"/>
              <w:rPr>
                <w:sz w:val="22"/>
                <w:szCs w:val="22"/>
                <w:color w:val="auto"/>
              </w:rPr>
            </w:pPr>
          </w:p>
        </w:tc>
        <w:tc>
          <w:tcPr>
            <w:tcW w:w="100" w:type="dxa"/>
            <w:vAlign w:val="bottom"/>
            <w:shd w:val="clear" w:color="auto" w:fill="E2EEF6"/>
          </w:tcPr>
          <w:p>
            <w:pPr>
              <w:spacing w:after="0"/>
              <w:rPr>
                <w:sz w:val="22"/>
                <w:szCs w:val="22"/>
                <w:color w:val="auto"/>
              </w:rPr>
            </w:pPr>
          </w:p>
        </w:tc>
        <w:tc>
          <w:tcPr>
            <w:tcW w:w="300" w:type="dxa"/>
            <w:vAlign w:val="bottom"/>
            <w:shd w:val="clear" w:color="auto" w:fill="E2EEF6"/>
          </w:tcPr>
          <w:p>
            <w:pPr>
              <w:spacing w:after="0"/>
              <w:rPr>
                <w:sz w:val="22"/>
                <w:szCs w:val="22"/>
                <w:color w:val="auto"/>
              </w:rPr>
            </w:pPr>
          </w:p>
        </w:tc>
        <w:tc>
          <w:tcPr>
            <w:tcW w:w="13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16,728</w:t>
            </w:r>
          </w:p>
        </w:tc>
        <w:tc>
          <w:tcPr>
            <w:tcW w:w="300" w:type="dxa"/>
            <w:vAlign w:val="bottom"/>
            <w:shd w:val="clear" w:color="auto" w:fill="E2EEF6"/>
          </w:tcPr>
          <w:p>
            <w:pPr>
              <w:spacing w:after="0"/>
              <w:rPr>
                <w:sz w:val="22"/>
                <w:szCs w:val="22"/>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15,973</w:t>
            </w:r>
          </w:p>
        </w:tc>
      </w:tr>
      <w:tr>
        <w:trPr>
          <w:trHeight w:val="224"/>
        </w:trPr>
        <w:tc>
          <w:tcPr>
            <w:tcW w:w="6740" w:type="dxa"/>
            <w:vAlign w:val="bottom"/>
            <w:tcBorders>
              <w:top w:val="single" w:sz="8" w:color="E2EEF6"/>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Borders>
              <w:top w:val="single" w:sz="8" w:color="E2EEF6"/>
            </w:tcBorders>
          </w:tcPr>
          <w:p>
            <w:pPr>
              <w:spacing w:after="0"/>
              <w:rPr>
                <w:sz w:val="19"/>
                <w:szCs w:val="19"/>
                <w:color w:val="auto"/>
              </w:rPr>
            </w:pPr>
          </w:p>
        </w:tc>
        <w:tc>
          <w:tcPr>
            <w:tcW w:w="100" w:type="dxa"/>
            <w:vAlign w:val="bottom"/>
            <w:tcBorders>
              <w:top w:val="single" w:sz="8" w:color="E2EEF6"/>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Borders>
              <w:top w:val="single" w:sz="8" w:color="E2EEF6"/>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E2EEF6"/>
            </w:tcBorders>
          </w:tcPr>
          <w:p>
            <w:pPr>
              <w:spacing w:after="0"/>
              <w:rPr>
                <w:sz w:val="19"/>
                <w:szCs w:val="19"/>
                <w:color w:val="auto"/>
              </w:rPr>
            </w:pP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Diluted income per share:</w:t>
            </w: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r>
      <w:tr>
        <w:trPr>
          <w:trHeight w:val="243"/>
        </w:trPr>
        <w:tc>
          <w:tcPr>
            <w:tcW w:w="6740" w:type="dxa"/>
            <w:vAlign w:val="bottom"/>
          </w:tcPr>
          <w:p>
            <w:pPr>
              <w:ind w:left="66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0.87</w:t>
            </w:r>
          </w:p>
        </w:tc>
        <w:tc>
          <w:tcPr>
            <w:tcW w:w="14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0.41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r>
      <w:tr>
        <w:trPr>
          <w:trHeight w:val="20"/>
        </w:trPr>
        <w:tc>
          <w:tcPr>
            <w:tcW w:w="6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740" w:type="dxa"/>
            <w:vAlign w:val="bottom"/>
            <w:tcBorders>
              <w:bottom w:val="single" w:sz="8" w:color="E2EEF6"/>
            </w:tcBorders>
            <w:shd w:val="clear" w:color="auto" w:fill="E2EEF6"/>
          </w:tcPr>
          <w:p>
            <w:pPr>
              <w:ind w:left="66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Borders>
              <w:bottom w:val="single" w:sz="8" w:color="auto"/>
            </w:tcBorders>
            <w:shd w:val="clear" w:color="auto" w:fill="E2EEF6"/>
          </w:tcPr>
          <w:p>
            <w:pPr>
              <w:spacing w:after="0"/>
              <w:rPr>
                <w:sz w:val="22"/>
                <w:szCs w:val="22"/>
                <w:color w:val="auto"/>
              </w:rPr>
            </w:pPr>
          </w:p>
        </w:tc>
        <w:tc>
          <w:tcPr>
            <w:tcW w:w="10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17,193</w:t>
            </w:r>
          </w:p>
        </w:tc>
        <w:tc>
          <w:tcPr>
            <w:tcW w:w="140" w:type="dxa"/>
            <w:vAlign w:val="bottom"/>
            <w:tcBorders>
              <w:bottom w:val="single" w:sz="8" w:color="E2EEF6"/>
            </w:tcBorders>
            <w:shd w:val="clear" w:color="auto" w:fill="E2EEF6"/>
          </w:tcPr>
          <w:p>
            <w:pPr>
              <w:spacing w:after="0"/>
              <w:rPr>
                <w:sz w:val="22"/>
                <w:szCs w:val="22"/>
                <w:color w:val="auto"/>
              </w:rPr>
            </w:pPr>
          </w:p>
        </w:tc>
        <w:tc>
          <w:tcPr>
            <w:tcW w:w="100" w:type="dxa"/>
            <w:vAlign w:val="bottom"/>
            <w:tcBorders>
              <w:bottom w:val="single" w:sz="8" w:color="E2EEF6"/>
            </w:tcBorders>
            <w:shd w:val="clear" w:color="auto" w:fill="E2EEF6"/>
          </w:tcPr>
          <w:p>
            <w:pPr>
              <w:spacing w:after="0"/>
              <w:rPr>
                <w:sz w:val="22"/>
                <w:szCs w:val="22"/>
                <w:color w:val="auto"/>
              </w:rPr>
            </w:pPr>
          </w:p>
        </w:tc>
        <w:tc>
          <w:tcPr>
            <w:tcW w:w="300" w:type="dxa"/>
            <w:vAlign w:val="bottom"/>
            <w:tcBorders>
              <w:bottom w:val="single" w:sz="8" w:color="auto"/>
            </w:tcBorders>
            <w:shd w:val="clear" w:color="auto" w:fill="E2EEF6"/>
          </w:tcPr>
          <w:p>
            <w:pPr>
              <w:spacing w:after="0"/>
              <w:rPr>
                <w:sz w:val="22"/>
                <w:szCs w:val="22"/>
                <w:color w:val="auto"/>
              </w:rPr>
            </w:pPr>
          </w:p>
        </w:tc>
        <w:tc>
          <w:tcPr>
            <w:tcW w:w="10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17,151</w:t>
            </w:r>
          </w:p>
        </w:tc>
        <w:tc>
          <w:tcPr>
            <w:tcW w:w="220" w:type="dxa"/>
            <w:vAlign w:val="bottom"/>
            <w:tcBorders>
              <w:bottom w:val="single" w:sz="8" w:color="E2EEF6"/>
            </w:tcBorders>
            <w:shd w:val="clear" w:color="auto" w:fill="E2EEF6"/>
          </w:tcPr>
          <w:p>
            <w:pPr>
              <w:spacing w:after="0"/>
              <w:rPr>
                <w:sz w:val="22"/>
                <w:szCs w:val="22"/>
                <w:color w:val="auto"/>
              </w:rPr>
            </w:pPr>
          </w:p>
        </w:tc>
        <w:tc>
          <w:tcPr>
            <w:tcW w:w="300" w:type="dxa"/>
            <w:vAlign w:val="bottom"/>
            <w:tcBorders>
              <w:bottom w:val="single" w:sz="8" w:color="auto"/>
            </w:tcBorders>
            <w:shd w:val="clear" w:color="auto" w:fill="E2EEF6"/>
          </w:tcPr>
          <w:p>
            <w:pPr>
              <w:spacing w:after="0"/>
              <w:rPr>
                <w:sz w:val="22"/>
                <w:szCs w:val="22"/>
                <w:color w:val="auto"/>
              </w:rPr>
            </w:pPr>
          </w:p>
        </w:tc>
        <w:tc>
          <w:tcPr>
            <w:tcW w:w="10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16,379</w:t>
            </w:r>
          </w:p>
        </w:tc>
        <w:tc>
          <w:tcPr>
            <w:tcW w:w="100" w:type="dxa"/>
            <w:vAlign w:val="bottom"/>
            <w:tcBorders>
              <w:bottom w:val="single" w:sz="8" w:color="E2EEF6"/>
            </w:tcBorders>
            <w:shd w:val="clear" w:color="auto" w:fill="E2EEF6"/>
          </w:tcPr>
          <w:p>
            <w:pPr>
              <w:spacing w:after="0"/>
              <w:rPr>
                <w:sz w:val="22"/>
                <w:szCs w:val="22"/>
                <w:color w:val="auto"/>
              </w:rPr>
            </w:pPr>
          </w:p>
        </w:tc>
      </w:tr>
      <w:tr>
        <w:trPr>
          <w:trHeight w:val="224"/>
        </w:trPr>
        <w:tc>
          <w:tcPr>
            <w:tcW w:w="6740" w:type="dxa"/>
            <w:vAlign w:val="bottom"/>
          </w:tcPr>
          <w:p>
            <w:pPr>
              <w:spacing w:after="0"/>
              <w:rPr>
                <w:sz w:val="20"/>
                <w:szCs w:val="20"/>
                <w:color w:val="auto"/>
              </w:rPr>
            </w:pPr>
            <w:r>
              <w:rPr>
                <w:rFonts w:ascii="Arial" w:cs="Arial" w:eastAsia="Arial" w:hAnsi="Arial"/>
                <w:sz w:val="18"/>
                <w:szCs w:val="18"/>
                <w:color w:val="auto"/>
              </w:rPr>
              <w:t>Cash dividends per common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0.32</w:t>
            </w:r>
          </w:p>
        </w:tc>
        <w:tc>
          <w:tcPr>
            <w:tcW w:w="14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0.32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r>
      <w:tr>
        <w:trPr>
          <w:trHeight w:val="20"/>
        </w:trPr>
        <w:tc>
          <w:tcPr>
            <w:tcW w:w="6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4"/>
          </w:tcPr>
          <w:p>
            <w:pPr>
              <w:ind w:left="40"/>
              <w:spacing w:after="0"/>
              <w:rPr>
                <w:sz w:val="20"/>
                <w:szCs w:val="20"/>
                <w:color w:val="auto"/>
              </w:rPr>
            </w:pPr>
            <w:r>
              <w:rPr>
                <w:rFonts w:ascii="Arial" w:cs="Arial" w:eastAsia="Arial" w:hAnsi="Arial"/>
                <w:sz w:val="18"/>
                <w:szCs w:val="18"/>
                <w:b w:val="1"/>
                <w:bCs w:val="1"/>
                <w:color w:val="auto"/>
              </w:rPr>
              <w:t>NN, Inc.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5040" w:type="dxa"/>
            <w:vAlign w:val="bottom"/>
            <w:gridSpan w:val="14"/>
          </w:tcPr>
          <w:p>
            <w:pPr>
              <w:jc w:val="center"/>
              <w:ind w:right="340"/>
              <w:spacing w:after="0"/>
              <w:rPr>
                <w:sz w:val="20"/>
                <w:szCs w:val="20"/>
                <w:color w:val="auto"/>
              </w:rPr>
            </w:pPr>
            <w:r>
              <w:rPr>
                <w:rFonts w:ascii="Arial" w:cs="Arial" w:eastAsia="Arial" w:hAnsi="Arial"/>
                <w:sz w:val="18"/>
                <w:szCs w:val="18"/>
                <w:b w:val="1"/>
                <w:bCs w:val="1"/>
                <w:color w:val="auto"/>
                <w:w w:val="89"/>
              </w:rPr>
              <w:t>Consolidated Statements of Changes in Stockholders' Equity</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5040" w:type="dxa"/>
            <w:vAlign w:val="bottom"/>
            <w:gridSpan w:val="14"/>
          </w:tcPr>
          <w:p>
            <w:pPr>
              <w:jc w:val="center"/>
              <w:ind w:right="340"/>
              <w:spacing w:after="0"/>
              <w:rPr>
                <w:sz w:val="20"/>
                <w:szCs w:val="20"/>
                <w:color w:val="auto"/>
              </w:rPr>
            </w:pPr>
            <w:r>
              <w:rPr>
                <w:rFonts w:ascii="Arial" w:cs="Arial" w:eastAsia="Arial" w:hAnsi="Arial"/>
                <w:sz w:val="18"/>
                <w:szCs w:val="18"/>
                <w:b w:val="1"/>
                <w:bCs w:val="1"/>
                <w:color w:val="auto"/>
                <w:w w:val="89"/>
              </w:rPr>
              <w:t>Years ended December 31, 2005, 2004 and 2003</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40" w:type="dxa"/>
            <w:vAlign w:val="bottom"/>
            <w:gridSpan w:val="8"/>
          </w:tcPr>
          <w:p>
            <w:pPr>
              <w:jc w:val="center"/>
              <w:ind w:left="414"/>
              <w:spacing w:after="0"/>
              <w:rPr>
                <w:sz w:val="20"/>
                <w:szCs w:val="20"/>
                <w:color w:val="auto"/>
              </w:rPr>
            </w:pPr>
            <w:r>
              <w:rPr>
                <w:rFonts w:ascii="Arial" w:cs="Arial" w:eastAsia="Arial" w:hAnsi="Arial"/>
                <w:sz w:val="18"/>
                <w:szCs w:val="18"/>
                <w:b w:val="1"/>
                <w:bCs w:val="1"/>
                <w:color w:val="auto"/>
                <w:w w:val="91"/>
              </w:rPr>
              <w:t>(In Thousands)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70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E2EEF6"/>
            </w:tcBorders>
            <w:shd w:val="clear" w:color="auto" w:fill="E2EEF6"/>
          </w:tcPr>
          <w:p>
            <w:pPr>
              <w:spacing w:after="0"/>
              <w:rPr>
                <w:sz w:val="21"/>
                <w:szCs w:val="21"/>
                <w:color w:val="auto"/>
              </w:rPr>
            </w:pPr>
          </w:p>
        </w:tc>
        <w:tc>
          <w:tcPr>
            <w:tcW w:w="1180" w:type="dxa"/>
            <w:vAlign w:val="bottom"/>
            <w:tcBorders>
              <w:bottom w:val="single" w:sz="8" w:color="E2EEF6"/>
            </w:tcBorders>
            <w:shd w:val="clear" w:color="auto" w:fill="E2EEF6"/>
          </w:tcPr>
          <w:p>
            <w:pPr>
              <w:spacing w:after="0"/>
              <w:rPr>
                <w:sz w:val="21"/>
                <w:szCs w:val="21"/>
                <w:color w:val="auto"/>
              </w:rPr>
            </w:pPr>
          </w:p>
        </w:tc>
        <w:tc>
          <w:tcPr>
            <w:tcW w:w="1680" w:type="dxa"/>
            <w:vAlign w:val="bottom"/>
            <w:tcBorders>
              <w:bottom w:val="single" w:sz="8" w:color="auto"/>
            </w:tcBorders>
            <w:gridSpan w:val="6"/>
            <w:shd w:val="clear" w:color="auto" w:fill="E2EEF6"/>
          </w:tcPr>
          <w:p>
            <w:pPr>
              <w:ind w:left="4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Borders>
              <w:bottom w:val="single" w:sz="8" w:color="auto"/>
            </w:tcBorders>
            <w:shd w:val="clear" w:color="auto" w:fill="E2EEF6"/>
          </w:tcPr>
          <w:p>
            <w:pPr>
              <w:spacing w:after="0"/>
              <w:rPr>
                <w:sz w:val="21"/>
                <w:szCs w:val="21"/>
                <w:color w:val="auto"/>
              </w:rPr>
            </w:pPr>
          </w:p>
        </w:tc>
        <w:tc>
          <w:tcPr>
            <w:tcW w:w="100" w:type="dxa"/>
            <w:vAlign w:val="bottom"/>
            <w:tcBorders>
              <w:bottom w:val="single" w:sz="8" w:color="E2EEF6"/>
            </w:tcBorders>
            <w:shd w:val="clear" w:color="auto" w:fill="E2EEF6"/>
          </w:tcPr>
          <w:p>
            <w:pPr>
              <w:spacing w:after="0"/>
              <w:rPr>
                <w:sz w:val="21"/>
                <w:szCs w:val="21"/>
                <w:color w:val="auto"/>
              </w:rPr>
            </w:pPr>
          </w:p>
        </w:tc>
        <w:tc>
          <w:tcPr>
            <w:tcW w:w="720" w:type="dxa"/>
            <w:vAlign w:val="bottom"/>
            <w:tcBorders>
              <w:bottom w:val="single" w:sz="8" w:color="E2EEF6"/>
            </w:tcBorders>
            <w:shd w:val="clear" w:color="auto" w:fill="E2EEF6"/>
          </w:tcPr>
          <w:p>
            <w:pPr>
              <w:spacing w:after="0"/>
              <w:rPr>
                <w:sz w:val="21"/>
                <w:szCs w:val="21"/>
                <w:color w:val="auto"/>
              </w:rPr>
            </w:pPr>
          </w:p>
        </w:tc>
        <w:tc>
          <w:tcPr>
            <w:tcW w:w="100" w:type="dxa"/>
            <w:vAlign w:val="bottom"/>
            <w:tcBorders>
              <w:bottom w:val="single" w:sz="8" w:color="E2EEF6"/>
            </w:tcBorders>
            <w:shd w:val="clear" w:color="auto" w:fill="E2EEF6"/>
          </w:tcPr>
          <w:p>
            <w:pPr>
              <w:spacing w:after="0"/>
              <w:rPr>
                <w:sz w:val="21"/>
                <w:szCs w:val="21"/>
                <w:color w:val="auto"/>
              </w:rPr>
            </w:pPr>
          </w:p>
        </w:tc>
        <w:tc>
          <w:tcPr>
            <w:tcW w:w="140" w:type="dxa"/>
            <w:vAlign w:val="bottom"/>
            <w:tcBorders>
              <w:bottom w:val="single" w:sz="8" w:color="E2EEF6"/>
            </w:tcBorders>
            <w:shd w:val="clear" w:color="auto" w:fill="E2EEF6"/>
          </w:tcPr>
          <w:p>
            <w:pPr>
              <w:spacing w:after="0"/>
              <w:rPr>
                <w:sz w:val="21"/>
                <w:szCs w:val="21"/>
                <w:color w:val="auto"/>
              </w:rPr>
            </w:pPr>
          </w:p>
        </w:tc>
        <w:tc>
          <w:tcPr>
            <w:tcW w:w="940" w:type="dxa"/>
            <w:vAlign w:val="bottom"/>
            <w:tcBorders>
              <w:bottom w:val="single" w:sz="8" w:color="E2EEF6"/>
            </w:tcBorders>
            <w:shd w:val="clear" w:color="auto" w:fill="E2EEF6"/>
          </w:tcPr>
          <w:p>
            <w:pPr>
              <w:spacing w:after="0"/>
              <w:rPr>
                <w:sz w:val="21"/>
                <w:szCs w:val="21"/>
                <w:color w:val="auto"/>
              </w:rPr>
            </w:pPr>
          </w:p>
        </w:tc>
        <w:tc>
          <w:tcPr>
            <w:tcW w:w="120" w:type="dxa"/>
            <w:vAlign w:val="bottom"/>
            <w:tcBorders>
              <w:bottom w:val="single" w:sz="8" w:color="E2EEF6"/>
            </w:tcBorders>
            <w:shd w:val="clear" w:color="auto" w:fill="E2EEF6"/>
          </w:tcPr>
          <w:p>
            <w:pPr>
              <w:spacing w:after="0"/>
              <w:rPr>
                <w:sz w:val="21"/>
                <w:szCs w:val="21"/>
                <w:color w:val="auto"/>
              </w:rPr>
            </w:pPr>
          </w:p>
        </w:tc>
        <w:tc>
          <w:tcPr>
            <w:tcW w:w="120" w:type="dxa"/>
            <w:vAlign w:val="bottom"/>
            <w:tcBorders>
              <w:bottom w:val="single" w:sz="8" w:color="E2EEF6"/>
            </w:tcBorders>
            <w:shd w:val="clear" w:color="auto" w:fill="E2EEF6"/>
          </w:tcPr>
          <w:p>
            <w:pPr>
              <w:spacing w:after="0"/>
              <w:rPr>
                <w:sz w:val="21"/>
                <w:szCs w:val="21"/>
                <w:color w:val="auto"/>
              </w:rPr>
            </w:pPr>
          </w:p>
        </w:tc>
        <w:tc>
          <w:tcPr>
            <w:tcW w:w="640" w:type="dxa"/>
            <w:vAlign w:val="bottom"/>
            <w:tcBorders>
              <w:bottom w:val="single" w:sz="8" w:color="E2EEF6"/>
            </w:tcBorders>
            <w:shd w:val="clear" w:color="auto" w:fill="E2EEF6"/>
          </w:tcPr>
          <w:p>
            <w:pPr>
              <w:spacing w:after="0"/>
              <w:rPr>
                <w:sz w:val="21"/>
                <w:szCs w:val="21"/>
                <w:color w:val="auto"/>
              </w:rPr>
            </w:pPr>
          </w:p>
        </w:tc>
        <w:tc>
          <w:tcPr>
            <w:tcW w:w="80" w:type="dxa"/>
            <w:vAlign w:val="bottom"/>
            <w:tcBorders>
              <w:bottom w:val="single" w:sz="8" w:color="E2EEF6"/>
            </w:tcBorders>
            <w:shd w:val="clear" w:color="auto" w:fill="E2EEF6"/>
          </w:tcPr>
          <w:p>
            <w:pPr>
              <w:spacing w:after="0"/>
              <w:rPr>
                <w:sz w:val="21"/>
                <w:szCs w:val="21"/>
                <w:color w:val="auto"/>
              </w:rPr>
            </w:pPr>
          </w:p>
        </w:tc>
        <w:tc>
          <w:tcPr>
            <w:tcW w:w="40" w:type="dxa"/>
            <w:vAlign w:val="bottom"/>
            <w:tcBorders>
              <w:bottom w:val="single" w:sz="8" w:color="E2EEF6"/>
            </w:tcBorders>
            <w:shd w:val="clear" w:color="auto" w:fill="E2EEF6"/>
          </w:tcPr>
          <w:p>
            <w:pPr>
              <w:spacing w:after="0"/>
              <w:rPr>
                <w:sz w:val="21"/>
                <w:szCs w:val="21"/>
                <w:color w:val="auto"/>
              </w:rPr>
            </w:pPr>
          </w:p>
        </w:tc>
        <w:tc>
          <w:tcPr>
            <w:tcW w:w="120" w:type="dxa"/>
            <w:vAlign w:val="bottom"/>
            <w:tcBorders>
              <w:bottom w:val="single" w:sz="8" w:color="E2EEF6"/>
            </w:tcBorders>
            <w:shd w:val="clear" w:color="auto" w:fill="E2EEF6"/>
          </w:tcPr>
          <w:p>
            <w:pPr>
              <w:spacing w:after="0"/>
              <w:rPr>
                <w:sz w:val="21"/>
                <w:szCs w:val="21"/>
                <w:color w:val="auto"/>
              </w:rPr>
            </w:pPr>
          </w:p>
        </w:tc>
        <w:tc>
          <w:tcPr>
            <w:tcW w:w="1020" w:type="dxa"/>
            <w:vAlign w:val="bottom"/>
            <w:tcBorders>
              <w:bottom w:val="single" w:sz="8" w:color="E2EEF6"/>
            </w:tcBorders>
            <w:shd w:val="clear" w:color="auto" w:fill="E2EEF6"/>
          </w:tcPr>
          <w:p>
            <w:pPr>
              <w:spacing w:after="0"/>
              <w:rPr>
                <w:sz w:val="21"/>
                <w:szCs w:val="21"/>
                <w:color w:val="auto"/>
              </w:rPr>
            </w:pPr>
          </w:p>
        </w:tc>
        <w:tc>
          <w:tcPr>
            <w:tcW w:w="120" w:type="dxa"/>
            <w:vAlign w:val="bottom"/>
            <w:tcBorders>
              <w:bottom w:val="single" w:sz="8" w:color="E2EEF6"/>
            </w:tcBorders>
            <w:shd w:val="clear" w:color="auto" w:fill="E2EEF6"/>
          </w:tcPr>
          <w:p>
            <w:pPr>
              <w:spacing w:after="0"/>
              <w:rPr>
                <w:sz w:val="21"/>
                <w:szCs w:val="21"/>
                <w:color w:val="auto"/>
              </w:rPr>
            </w:pPr>
          </w:p>
        </w:tc>
        <w:tc>
          <w:tcPr>
            <w:tcW w:w="120" w:type="dxa"/>
            <w:vAlign w:val="bottom"/>
            <w:tcBorders>
              <w:bottom w:val="single" w:sz="8" w:color="E2EEF6"/>
            </w:tcBorders>
            <w:shd w:val="clear" w:color="auto" w:fill="E2EEF6"/>
          </w:tcPr>
          <w:p>
            <w:pPr>
              <w:spacing w:after="0"/>
              <w:rPr>
                <w:sz w:val="21"/>
                <w:szCs w:val="21"/>
                <w:color w:val="auto"/>
              </w:rPr>
            </w:pPr>
          </w:p>
        </w:tc>
        <w:tc>
          <w:tcPr>
            <w:tcW w:w="640" w:type="dxa"/>
            <w:vAlign w:val="bottom"/>
            <w:tcBorders>
              <w:bottom w:val="single" w:sz="8" w:color="E2EEF6"/>
            </w:tcBorders>
            <w:shd w:val="clear" w:color="auto" w:fill="E2EEF6"/>
          </w:tcPr>
          <w:p>
            <w:pPr>
              <w:spacing w:after="0"/>
              <w:rPr>
                <w:sz w:val="21"/>
                <w:szCs w:val="21"/>
                <w:color w:val="auto"/>
              </w:rPr>
            </w:pPr>
          </w:p>
        </w:tc>
        <w:tc>
          <w:tcPr>
            <w:tcW w:w="120" w:type="dxa"/>
            <w:vAlign w:val="bottom"/>
            <w:tcBorders>
              <w:bottom w:val="single" w:sz="8" w:color="E2EEF6"/>
            </w:tcBorders>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of</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7"/>
                <w:szCs w:val="7"/>
                <w:color w:val="auto"/>
              </w:rPr>
            </w:pPr>
          </w:p>
        </w:tc>
        <w:tc>
          <w:tcPr>
            <w:tcW w:w="106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rPr>
              <w:t>Paid-In</w:t>
            </w: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Capital-</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4"/>
              </w:rPr>
              <w:t>Retained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 Value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Unearned</w:t>
            </w: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1"/>
                <w:szCs w:val="11"/>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Compensation</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Earnings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(Loss) Income</w:t>
            </w: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E2EEF6"/>
          </w:tcPr>
          <w:p>
            <w:pPr>
              <w:spacing w:after="0"/>
              <w:rPr>
                <w:sz w:val="21"/>
                <w:szCs w:val="21"/>
                <w:color w:val="auto"/>
              </w:rPr>
            </w:pPr>
          </w:p>
        </w:tc>
        <w:tc>
          <w:tcPr>
            <w:tcW w:w="1180" w:type="dxa"/>
            <w:vAlign w:val="bottom"/>
            <w:shd w:val="clear" w:color="auto" w:fill="E2EEF6"/>
          </w:tcPr>
          <w:p>
            <w:pPr>
              <w:spacing w:after="0"/>
              <w:rPr>
                <w:sz w:val="21"/>
                <w:szCs w:val="21"/>
                <w:color w:val="auto"/>
              </w:rPr>
            </w:pPr>
          </w:p>
        </w:tc>
        <w:tc>
          <w:tcPr>
            <w:tcW w:w="800" w:type="dxa"/>
            <w:vAlign w:val="bottom"/>
            <w:shd w:val="clear" w:color="auto" w:fill="E2EEF6"/>
          </w:tcPr>
          <w:p>
            <w:pPr>
              <w:spacing w:after="0"/>
              <w:rPr>
                <w:sz w:val="21"/>
                <w:szCs w:val="21"/>
                <w:color w:val="auto"/>
              </w:rPr>
            </w:pPr>
          </w:p>
        </w:tc>
        <w:tc>
          <w:tcPr>
            <w:tcW w:w="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62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72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94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6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4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64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Arial" w:cs="Arial" w:eastAsia="Arial" w:hAnsi="Arial"/>
                <w:sz w:val="14"/>
                <w:szCs w:val="14"/>
                <w:color w:val="auto"/>
              </w:rPr>
              <w:t>Balance, December 31, 2002</w:t>
            </w:r>
          </w:p>
        </w:tc>
        <w:tc>
          <w:tcPr>
            <w:tcW w:w="2020" w:type="dxa"/>
            <w:vAlign w:val="bottom"/>
            <w:gridSpan w:val="3"/>
          </w:tcPr>
          <w:p>
            <w:pPr>
              <w:jc w:val="right"/>
              <w:ind w:right="40"/>
              <w:spacing w:after="0"/>
              <w:rPr>
                <w:sz w:val="20"/>
                <w:szCs w:val="20"/>
                <w:color w:val="auto"/>
              </w:rPr>
            </w:pPr>
            <w:r>
              <w:rPr>
                <w:rFonts w:ascii="Arial" w:cs="Arial" w:eastAsia="Arial" w:hAnsi="Arial"/>
                <w:sz w:val="14"/>
                <w:szCs w:val="14"/>
                <w:color w:val="auto"/>
              </w:rPr>
              <w:t>15,370</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154</w:t>
            </w:r>
          </w:p>
        </w:tc>
        <w:tc>
          <w:tcPr>
            <w:tcW w:w="6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40,457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38,984</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(1,687)</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77,908</w:t>
            </w:r>
          </w:p>
        </w:tc>
        <w:tc>
          <w:tcPr>
            <w:tcW w:w="0" w:type="dxa"/>
            <w:vAlign w:val="bottom"/>
          </w:tcPr>
          <w:p>
            <w:pPr>
              <w:spacing w:after="0"/>
              <w:rPr>
                <w:sz w:val="1"/>
                <w:szCs w:val="1"/>
                <w:color w:val="auto"/>
              </w:rPr>
            </w:pPr>
          </w:p>
        </w:tc>
      </w:tr>
      <w:tr>
        <w:trPr>
          <w:trHeight w:val="243"/>
        </w:trPr>
        <w:tc>
          <w:tcPr>
            <w:tcW w:w="3360" w:type="dxa"/>
            <w:vAlign w:val="bottom"/>
            <w:shd w:val="clear" w:color="auto" w:fill="E2EEF6"/>
          </w:tcPr>
          <w:p>
            <w:pPr>
              <w:ind w:left="180"/>
              <w:spacing w:after="0"/>
              <w:rPr>
                <w:sz w:val="20"/>
                <w:szCs w:val="20"/>
                <w:color w:val="auto"/>
              </w:rPr>
            </w:pPr>
            <w:r>
              <w:rPr>
                <w:rFonts w:ascii="Arial" w:cs="Arial" w:eastAsia="Arial" w:hAnsi="Arial"/>
                <w:sz w:val="14"/>
                <w:szCs w:val="14"/>
                <w:color w:val="auto"/>
              </w:rPr>
              <w:t>Shares issued</w:t>
            </w:r>
          </w:p>
        </w:tc>
        <w:tc>
          <w:tcPr>
            <w:tcW w:w="2020" w:type="dxa"/>
            <w:vAlign w:val="bottom"/>
            <w:gridSpan w:val="3"/>
            <w:shd w:val="clear" w:color="auto" w:fill="E2EEF6"/>
          </w:tcPr>
          <w:p>
            <w:pPr>
              <w:jc w:val="right"/>
              <w:ind w:right="40"/>
              <w:spacing w:after="0"/>
              <w:rPr>
                <w:sz w:val="20"/>
                <w:szCs w:val="20"/>
                <w:color w:val="auto"/>
              </w:rPr>
            </w:pPr>
            <w:r>
              <w:rPr>
                <w:rFonts w:ascii="Arial" w:cs="Arial" w:eastAsia="Arial" w:hAnsi="Arial"/>
                <w:sz w:val="14"/>
                <w:szCs w:val="14"/>
                <w:color w:val="auto"/>
              </w:rPr>
              <w:t>1,342</w:t>
            </w:r>
          </w:p>
        </w:tc>
        <w:tc>
          <w:tcPr>
            <w:tcW w:w="8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6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14</w:t>
            </w: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12,503</w:t>
            </w:r>
          </w:p>
        </w:tc>
        <w:tc>
          <w:tcPr>
            <w:tcW w:w="140" w:type="dxa"/>
            <w:vAlign w:val="bottom"/>
            <w:shd w:val="clear" w:color="auto" w:fill="E2EEF6"/>
          </w:tcPr>
          <w:p>
            <w:pPr>
              <w:spacing w:after="0"/>
              <w:rPr>
                <w:sz w:val="21"/>
                <w:szCs w:val="21"/>
                <w:color w:val="auto"/>
              </w:rPr>
            </w:pPr>
          </w:p>
        </w:tc>
        <w:tc>
          <w:tcPr>
            <w:tcW w:w="1060" w:type="dxa"/>
            <w:vAlign w:val="bottom"/>
            <w:gridSpan w:val="2"/>
            <w:shd w:val="clear" w:color="auto" w:fill="E2EEF6"/>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2EEF6"/>
          </w:tcPr>
          <w:p>
            <w:pPr>
              <w:spacing w:after="0"/>
              <w:rPr>
                <w:sz w:val="21"/>
                <w:szCs w:val="21"/>
                <w:color w:val="auto"/>
              </w:rPr>
            </w:pPr>
          </w:p>
        </w:tc>
        <w:tc>
          <w:tcPr>
            <w:tcW w:w="720" w:type="dxa"/>
            <w:vAlign w:val="bottom"/>
            <w:gridSpan w:val="2"/>
            <w:shd w:val="clear" w:color="auto" w:fill="E2EEF6"/>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140" w:type="dxa"/>
            <w:vAlign w:val="bottom"/>
            <w:gridSpan w:val="2"/>
            <w:shd w:val="clear" w:color="auto" w:fill="E2EEF6"/>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2EEF6"/>
          </w:tcPr>
          <w:p>
            <w:pPr>
              <w:spacing w:after="0"/>
              <w:rPr>
                <w:sz w:val="21"/>
                <w:szCs w:val="21"/>
                <w:color w:val="auto"/>
              </w:rPr>
            </w:pPr>
          </w:p>
        </w:tc>
        <w:tc>
          <w:tcPr>
            <w:tcW w:w="760" w:type="dxa"/>
            <w:vAlign w:val="bottom"/>
            <w:gridSpan w:val="2"/>
            <w:shd w:val="clear" w:color="auto" w:fill="E2EEF6"/>
          </w:tcPr>
          <w:p>
            <w:pPr>
              <w:jc w:val="right"/>
              <w:ind w:right="120"/>
              <w:spacing w:after="0"/>
              <w:rPr>
                <w:sz w:val="20"/>
                <w:szCs w:val="20"/>
                <w:color w:val="auto"/>
              </w:rPr>
            </w:pPr>
            <w:r>
              <w:rPr>
                <w:rFonts w:ascii="Arial" w:cs="Arial" w:eastAsia="Arial" w:hAnsi="Arial"/>
                <w:sz w:val="14"/>
                <w:szCs w:val="14"/>
                <w:color w:val="auto"/>
              </w:rPr>
              <w:t>12,517</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10,178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10,178</w:t>
            </w:r>
          </w:p>
        </w:tc>
        <w:tc>
          <w:tcPr>
            <w:tcW w:w="0" w:type="dxa"/>
            <w:vAlign w:val="bottom"/>
          </w:tcPr>
          <w:p>
            <w:pPr>
              <w:spacing w:after="0"/>
              <w:rPr>
                <w:sz w:val="1"/>
                <w:szCs w:val="1"/>
                <w:color w:val="auto"/>
              </w:rPr>
            </w:pPr>
          </w:p>
        </w:tc>
      </w:tr>
      <w:tr>
        <w:trPr>
          <w:trHeight w:val="243"/>
        </w:trPr>
        <w:tc>
          <w:tcPr>
            <w:tcW w:w="3360" w:type="dxa"/>
            <w:vAlign w:val="bottom"/>
            <w:shd w:val="clear" w:color="auto" w:fill="E2EEF6"/>
          </w:tcPr>
          <w:p>
            <w:pPr>
              <w:ind w:left="180"/>
              <w:spacing w:after="0"/>
              <w:rPr>
                <w:sz w:val="20"/>
                <w:szCs w:val="20"/>
                <w:color w:val="auto"/>
              </w:rPr>
            </w:pPr>
            <w:r>
              <w:rPr>
                <w:rFonts w:ascii="Arial" w:cs="Arial" w:eastAsia="Arial" w:hAnsi="Arial"/>
                <w:sz w:val="14"/>
                <w:szCs w:val="14"/>
                <w:color w:val="auto"/>
              </w:rPr>
              <w:t>Dividends declared</w:t>
            </w:r>
          </w:p>
        </w:tc>
        <w:tc>
          <w:tcPr>
            <w:tcW w:w="1980" w:type="dxa"/>
            <w:vAlign w:val="bottom"/>
            <w:gridSpan w:val="2"/>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6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2EEF6"/>
          </w:tcPr>
          <w:p>
            <w:pPr>
              <w:spacing w:after="0"/>
              <w:rPr>
                <w:sz w:val="21"/>
                <w:szCs w:val="21"/>
                <w:color w:val="auto"/>
              </w:rPr>
            </w:pPr>
          </w:p>
        </w:tc>
        <w:tc>
          <w:tcPr>
            <w:tcW w:w="1060" w:type="dxa"/>
            <w:vAlign w:val="bottom"/>
            <w:gridSpan w:val="2"/>
            <w:shd w:val="clear" w:color="auto" w:fill="E2EEF6"/>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2EEF6"/>
          </w:tcPr>
          <w:p>
            <w:pPr>
              <w:spacing w:after="0"/>
              <w:rPr>
                <w:sz w:val="21"/>
                <w:szCs w:val="21"/>
                <w:color w:val="auto"/>
              </w:rPr>
            </w:pPr>
          </w:p>
        </w:tc>
        <w:tc>
          <w:tcPr>
            <w:tcW w:w="720" w:type="dxa"/>
            <w:vAlign w:val="bottom"/>
            <w:gridSpan w:val="2"/>
            <w:shd w:val="clear" w:color="auto" w:fill="E2EEF6"/>
          </w:tcPr>
          <w:p>
            <w:pPr>
              <w:jc w:val="right"/>
              <w:ind w:right="40"/>
              <w:spacing w:after="0"/>
              <w:rPr>
                <w:sz w:val="20"/>
                <w:szCs w:val="20"/>
                <w:color w:val="auto"/>
              </w:rPr>
            </w:pPr>
            <w:r>
              <w:rPr>
                <w:rFonts w:ascii="Arial" w:cs="Arial" w:eastAsia="Arial" w:hAnsi="Arial"/>
                <w:sz w:val="14"/>
                <w:szCs w:val="14"/>
                <w:color w:val="auto"/>
              </w:rPr>
              <w:t>(5,231)</w:t>
            </w:r>
          </w:p>
        </w:tc>
        <w:tc>
          <w:tcPr>
            <w:tcW w:w="4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140" w:type="dxa"/>
            <w:vAlign w:val="bottom"/>
            <w:gridSpan w:val="2"/>
            <w:shd w:val="clear" w:color="auto" w:fill="E2EEF6"/>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2EEF6"/>
          </w:tcPr>
          <w:p>
            <w:pPr>
              <w:spacing w:after="0"/>
              <w:rPr>
                <w:sz w:val="21"/>
                <w:szCs w:val="21"/>
                <w:color w:val="auto"/>
              </w:rPr>
            </w:pPr>
          </w:p>
        </w:tc>
        <w:tc>
          <w:tcPr>
            <w:tcW w:w="760" w:type="dxa"/>
            <w:vAlign w:val="bottom"/>
            <w:gridSpan w:val="2"/>
            <w:shd w:val="clear" w:color="auto" w:fill="E2EEF6"/>
          </w:tcPr>
          <w:p>
            <w:pPr>
              <w:jc w:val="right"/>
              <w:ind w:right="80"/>
              <w:spacing w:after="0"/>
              <w:rPr>
                <w:sz w:val="20"/>
                <w:szCs w:val="20"/>
                <w:color w:val="auto"/>
              </w:rPr>
            </w:pPr>
            <w:r>
              <w:rPr>
                <w:rFonts w:ascii="Arial" w:cs="Arial" w:eastAsia="Arial" w:hAnsi="Arial"/>
                <w:sz w:val="14"/>
                <w:szCs w:val="14"/>
                <w:color w:val="auto"/>
              </w:rPr>
              <w:t>(5,231)</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Arial" w:cs="Arial" w:eastAsia="Arial" w:hAnsi="Arial"/>
                <w:sz w:val="14"/>
                <w:szCs w:val="14"/>
                <w:color w:val="auto"/>
                <w:w w:val="96"/>
              </w:rPr>
              <w:t>Additional minimum pension liability (net of tax $108)</w:t>
            </w:r>
          </w:p>
        </w:tc>
        <w:tc>
          <w:tcPr>
            <w:tcW w:w="1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43"/>
        </w:trPr>
        <w:tc>
          <w:tcPr>
            <w:tcW w:w="3360" w:type="dxa"/>
            <w:vAlign w:val="bottom"/>
            <w:shd w:val="clear" w:color="auto" w:fill="E2EEF6"/>
          </w:tcPr>
          <w:p>
            <w:pPr>
              <w:ind w:left="180"/>
              <w:spacing w:after="0"/>
              <w:rPr>
                <w:sz w:val="20"/>
                <w:szCs w:val="20"/>
                <w:color w:val="auto"/>
              </w:rPr>
            </w:pPr>
            <w:r>
              <w:rPr>
                <w:rFonts w:ascii="Arial" w:cs="Arial" w:eastAsia="Arial" w:hAnsi="Arial"/>
                <w:sz w:val="14"/>
                <w:szCs w:val="14"/>
                <w:color w:val="auto"/>
              </w:rPr>
              <w:t>Cumulative translation gain</w:t>
            </w:r>
          </w:p>
        </w:tc>
        <w:tc>
          <w:tcPr>
            <w:tcW w:w="1980" w:type="dxa"/>
            <w:vAlign w:val="bottom"/>
            <w:gridSpan w:val="2"/>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6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2EEF6"/>
          </w:tcPr>
          <w:p>
            <w:pPr>
              <w:spacing w:after="0"/>
              <w:rPr>
                <w:sz w:val="21"/>
                <w:szCs w:val="21"/>
                <w:color w:val="auto"/>
              </w:rPr>
            </w:pPr>
          </w:p>
        </w:tc>
        <w:tc>
          <w:tcPr>
            <w:tcW w:w="1060" w:type="dxa"/>
            <w:vAlign w:val="bottom"/>
            <w:gridSpan w:val="2"/>
            <w:shd w:val="clear" w:color="auto" w:fill="E2EEF6"/>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2EEF6"/>
          </w:tcPr>
          <w:p>
            <w:pPr>
              <w:spacing w:after="0"/>
              <w:rPr>
                <w:sz w:val="21"/>
                <w:szCs w:val="21"/>
                <w:color w:val="auto"/>
              </w:rPr>
            </w:pPr>
          </w:p>
        </w:tc>
        <w:tc>
          <w:tcPr>
            <w:tcW w:w="720" w:type="dxa"/>
            <w:vAlign w:val="bottom"/>
            <w:gridSpan w:val="2"/>
            <w:shd w:val="clear" w:color="auto" w:fill="E2EEF6"/>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140" w:type="dxa"/>
            <w:vAlign w:val="bottom"/>
            <w:gridSpan w:val="2"/>
            <w:shd w:val="clear" w:color="auto" w:fill="E2EEF6"/>
          </w:tcPr>
          <w:p>
            <w:pPr>
              <w:jc w:val="right"/>
              <w:ind w:right="120"/>
              <w:spacing w:after="0"/>
              <w:rPr>
                <w:sz w:val="20"/>
                <w:szCs w:val="20"/>
                <w:color w:val="auto"/>
              </w:rPr>
            </w:pPr>
            <w:r>
              <w:rPr>
                <w:rFonts w:ascii="Arial" w:cs="Arial" w:eastAsia="Arial" w:hAnsi="Arial"/>
                <w:sz w:val="14"/>
                <w:szCs w:val="14"/>
                <w:color w:val="auto"/>
              </w:rPr>
              <w:t>11,273</w:t>
            </w:r>
          </w:p>
        </w:tc>
        <w:tc>
          <w:tcPr>
            <w:tcW w:w="120" w:type="dxa"/>
            <w:vAlign w:val="bottom"/>
            <w:shd w:val="clear" w:color="auto" w:fill="E2EEF6"/>
          </w:tcPr>
          <w:p>
            <w:pPr>
              <w:spacing w:after="0"/>
              <w:rPr>
                <w:sz w:val="21"/>
                <w:szCs w:val="21"/>
                <w:color w:val="auto"/>
              </w:rPr>
            </w:pPr>
          </w:p>
        </w:tc>
        <w:tc>
          <w:tcPr>
            <w:tcW w:w="640" w:type="dxa"/>
            <w:vAlign w:val="bottom"/>
            <w:shd w:val="clear" w:color="auto" w:fill="E2EEF6"/>
          </w:tcPr>
          <w:p>
            <w:pPr>
              <w:jc w:val="right"/>
              <w:spacing w:after="0"/>
              <w:rPr>
                <w:sz w:val="20"/>
                <w:szCs w:val="20"/>
                <w:color w:val="auto"/>
              </w:rPr>
            </w:pPr>
            <w:r>
              <w:rPr>
                <w:rFonts w:ascii="Arial" w:cs="Arial" w:eastAsia="Arial" w:hAnsi="Arial"/>
                <w:sz w:val="14"/>
                <w:szCs w:val="14"/>
                <w:color w:val="auto"/>
              </w:rPr>
              <w:t>11,273</w:t>
            </w:r>
          </w:p>
        </w:tc>
        <w:tc>
          <w:tcPr>
            <w:tcW w:w="12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60" w:type="dxa"/>
            <w:vAlign w:val="bottom"/>
            <w:tcBorders>
              <w:top w:val="single" w:sz="8" w:color="E2EEF6"/>
            </w:tcBorders>
          </w:tcPr>
          <w:p>
            <w:pPr>
              <w:spacing w:after="0"/>
              <w:rPr>
                <w:sz w:val="20"/>
                <w:szCs w:val="20"/>
                <w:color w:val="auto"/>
              </w:rPr>
            </w:pPr>
          </w:p>
        </w:tc>
        <w:tc>
          <w:tcPr>
            <w:tcW w:w="1180" w:type="dxa"/>
            <w:vAlign w:val="bottom"/>
            <w:tcBorders>
              <w:top w:val="single" w:sz="8" w:color="E2EEF6"/>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0" w:type="dxa"/>
            <w:vAlign w:val="bottom"/>
            <w:tcBorders>
              <w:top w:val="single" w:sz="8" w:color="E2EEF6"/>
            </w:tcBorders>
          </w:tcPr>
          <w:p>
            <w:pPr>
              <w:spacing w:after="0"/>
              <w:rPr>
                <w:sz w:val="20"/>
                <w:szCs w:val="20"/>
                <w:color w:val="auto"/>
              </w:rPr>
            </w:pPr>
          </w:p>
        </w:tc>
        <w:tc>
          <w:tcPr>
            <w:tcW w:w="80" w:type="dxa"/>
            <w:vAlign w:val="bottom"/>
            <w:tcBorders>
              <w:top w:val="single" w:sz="8" w:color="E2EEF6"/>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60" w:type="dxa"/>
            <w:vAlign w:val="bottom"/>
            <w:tcBorders>
              <w:top w:val="single" w:sz="8" w:color="E2EEF6"/>
            </w:tcBorders>
          </w:tcPr>
          <w:p>
            <w:pPr>
              <w:spacing w:after="0"/>
              <w:rPr>
                <w:sz w:val="20"/>
                <w:szCs w:val="20"/>
                <w:color w:val="auto"/>
              </w:rPr>
            </w:pPr>
          </w:p>
        </w:tc>
        <w:tc>
          <w:tcPr>
            <w:tcW w:w="60" w:type="dxa"/>
            <w:vAlign w:val="bottom"/>
            <w:tcBorders>
              <w:top w:val="single" w:sz="8" w:color="E2EEF6"/>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Borders>
              <w:top w:val="single" w:sz="8" w:color="E2EEF6"/>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 w:type="dxa"/>
            <w:vAlign w:val="bottom"/>
            <w:tcBorders>
              <w:top w:val="single" w:sz="8" w:color="E2EEF6"/>
            </w:tcBorders>
          </w:tcPr>
          <w:p>
            <w:pPr>
              <w:spacing w:after="0"/>
              <w:rPr>
                <w:sz w:val="20"/>
                <w:szCs w:val="20"/>
                <w:color w:val="auto"/>
              </w:rPr>
            </w:pPr>
          </w:p>
        </w:tc>
        <w:tc>
          <w:tcPr>
            <w:tcW w:w="40" w:type="dxa"/>
            <w:vAlign w:val="bottom"/>
            <w:tcBorders>
              <w:top w:val="single" w:sz="8" w:color="E2EEF6"/>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Borders>
              <w:top w:val="single" w:sz="8" w:color="E2EEF6"/>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E2EEF6"/>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E2EEF6"/>
          </w:tcPr>
          <w:p>
            <w:pPr>
              <w:spacing w:after="0"/>
              <w:rPr>
                <w:sz w:val="20"/>
                <w:szCs w:val="20"/>
                <w:color w:val="auto"/>
              </w:rPr>
            </w:pPr>
            <w:r>
              <w:rPr>
                <w:rFonts w:ascii="Arial" w:cs="Arial" w:eastAsia="Arial" w:hAnsi="Arial"/>
                <w:sz w:val="14"/>
                <w:szCs w:val="14"/>
                <w:color w:val="auto"/>
              </w:rPr>
              <w:t>Balance, December 31, 2003</w:t>
            </w:r>
          </w:p>
        </w:tc>
        <w:tc>
          <w:tcPr>
            <w:tcW w:w="2020" w:type="dxa"/>
            <w:vAlign w:val="bottom"/>
            <w:gridSpan w:val="3"/>
            <w:shd w:val="clear" w:color="auto" w:fill="E2EEF6"/>
          </w:tcPr>
          <w:p>
            <w:pPr>
              <w:jc w:val="right"/>
              <w:ind w:right="40"/>
              <w:spacing w:after="0"/>
              <w:rPr>
                <w:sz w:val="20"/>
                <w:szCs w:val="20"/>
                <w:color w:val="auto"/>
              </w:rPr>
            </w:pPr>
            <w:r>
              <w:rPr>
                <w:rFonts w:ascii="Arial" w:cs="Arial" w:eastAsia="Arial" w:hAnsi="Arial"/>
                <w:sz w:val="14"/>
                <w:szCs w:val="14"/>
                <w:color w:val="auto"/>
              </w:rPr>
              <w:t>16,712</w:t>
            </w:r>
          </w:p>
        </w:tc>
        <w:tc>
          <w:tcPr>
            <w:tcW w:w="160" w:type="dxa"/>
            <w:vAlign w:val="bottom"/>
            <w:gridSpan w:val="2"/>
            <w:shd w:val="clear" w:color="auto" w:fill="E2EEF6"/>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168</w:t>
            </w:r>
          </w:p>
        </w:tc>
        <w:tc>
          <w:tcPr>
            <w:tcW w:w="60" w:type="dxa"/>
            <w:vAlign w:val="bottom"/>
            <w:shd w:val="clear" w:color="auto" w:fill="E2EEF6"/>
          </w:tcPr>
          <w:p>
            <w:pPr>
              <w:spacing w:after="0"/>
              <w:rPr>
                <w:sz w:val="21"/>
                <w:szCs w:val="21"/>
                <w:color w:val="auto"/>
              </w:rPr>
            </w:pPr>
          </w:p>
        </w:tc>
        <w:tc>
          <w:tcPr>
            <w:tcW w:w="160" w:type="dxa"/>
            <w:vAlign w:val="bottom"/>
            <w:gridSpan w:val="2"/>
            <w:shd w:val="clear" w:color="auto" w:fill="E2EEF6"/>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52,960</w:t>
            </w:r>
          </w:p>
        </w:tc>
        <w:tc>
          <w:tcPr>
            <w:tcW w:w="140" w:type="dxa"/>
            <w:vAlign w:val="bottom"/>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E2EEF6"/>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2EEF6"/>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E2EEF6"/>
          </w:tcPr>
          <w:p>
            <w:pPr>
              <w:jc w:val="right"/>
              <w:ind w:right="80"/>
              <w:spacing w:after="0"/>
              <w:rPr>
                <w:sz w:val="20"/>
                <w:szCs w:val="20"/>
                <w:color w:val="auto"/>
              </w:rPr>
            </w:pPr>
            <w:r>
              <w:rPr>
                <w:rFonts w:ascii="Arial" w:cs="Arial" w:eastAsia="Arial" w:hAnsi="Arial"/>
                <w:sz w:val="14"/>
                <w:szCs w:val="14"/>
                <w:color w:val="auto"/>
              </w:rPr>
              <w:t>43,931</w:t>
            </w:r>
          </w:p>
        </w:tc>
        <w:tc>
          <w:tcPr>
            <w:tcW w:w="160" w:type="dxa"/>
            <w:vAlign w:val="bottom"/>
            <w:gridSpan w:val="2"/>
            <w:shd w:val="clear" w:color="auto" w:fill="E2EEF6"/>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E2EEF6"/>
          </w:tcPr>
          <w:p>
            <w:pPr>
              <w:jc w:val="right"/>
              <w:ind w:right="120"/>
              <w:spacing w:after="0"/>
              <w:rPr>
                <w:sz w:val="20"/>
                <w:szCs w:val="20"/>
                <w:color w:val="auto"/>
              </w:rPr>
            </w:pPr>
            <w:r>
              <w:rPr>
                <w:rFonts w:ascii="Arial" w:cs="Arial" w:eastAsia="Arial" w:hAnsi="Arial"/>
                <w:sz w:val="14"/>
                <w:szCs w:val="14"/>
                <w:color w:val="auto"/>
              </w:rPr>
              <w:t>9,409</w:t>
            </w:r>
          </w:p>
        </w:tc>
        <w:tc>
          <w:tcPr>
            <w:tcW w:w="120" w:type="dxa"/>
            <w:vAlign w:val="bottom"/>
            <w:shd w:val="clear" w:color="auto" w:fill="E2EEF6"/>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E2EEF6"/>
          </w:tcPr>
          <w:p>
            <w:pPr>
              <w:jc w:val="right"/>
              <w:ind w:right="120"/>
              <w:spacing w:after="0"/>
              <w:rPr>
                <w:sz w:val="20"/>
                <w:szCs w:val="20"/>
                <w:color w:val="auto"/>
              </w:rPr>
            </w:pPr>
            <w:r>
              <w:rPr>
                <w:rFonts w:ascii="Arial" w:cs="Arial" w:eastAsia="Arial" w:hAnsi="Arial"/>
                <w:sz w:val="14"/>
                <w:szCs w:val="14"/>
                <w:color w:val="auto"/>
              </w:rPr>
              <w:t>106,468</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Arial" w:cs="Arial" w:eastAsia="Arial" w:hAnsi="Arial"/>
                <w:sz w:val="14"/>
                <w:szCs w:val="14"/>
                <w:color w:val="auto"/>
              </w:rPr>
              <w:t>Shares issued</w:t>
            </w:r>
          </w:p>
        </w:tc>
        <w:tc>
          <w:tcPr>
            <w:tcW w:w="1980" w:type="dxa"/>
            <w:vAlign w:val="bottom"/>
            <w:gridSpan w:val="2"/>
          </w:tcPr>
          <w:p>
            <w:pPr>
              <w:jc w:val="right"/>
              <w:spacing w:after="0"/>
              <w:rPr>
                <w:sz w:val="20"/>
                <w:szCs w:val="20"/>
                <w:color w:val="auto"/>
              </w:rPr>
            </w:pPr>
            <w:r>
              <w:rPr>
                <w:rFonts w:ascii="Arial" w:cs="Arial" w:eastAsia="Arial" w:hAnsi="Arial"/>
                <w:sz w:val="14"/>
                <w:szCs w:val="14"/>
                <w:color w:val="auto"/>
              </w:rPr>
              <w:t>65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463</w:t>
            </w:r>
          </w:p>
        </w:tc>
        <w:tc>
          <w:tcPr>
            <w:tcW w:w="14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E2EEF6"/>
          </w:tcPr>
          <w:p>
            <w:pPr>
              <w:ind w:left="180"/>
              <w:spacing w:after="0"/>
              <w:rPr>
                <w:sz w:val="20"/>
                <w:szCs w:val="20"/>
                <w:color w:val="auto"/>
              </w:rPr>
            </w:pPr>
            <w:r>
              <w:rPr>
                <w:rFonts w:ascii="Arial" w:cs="Arial" w:eastAsia="Arial" w:hAnsi="Arial"/>
                <w:sz w:val="14"/>
                <w:szCs w:val="14"/>
                <w:color w:val="auto"/>
              </w:rPr>
              <w:t>Net income</w:t>
            </w:r>
          </w:p>
        </w:tc>
        <w:tc>
          <w:tcPr>
            <w:tcW w:w="1980" w:type="dxa"/>
            <w:vAlign w:val="bottom"/>
            <w:gridSpan w:val="2"/>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6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2EEF6"/>
          </w:tcPr>
          <w:p>
            <w:pPr>
              <w:spacing w:after="0"/>
              <w:rPr>
                <w:sz w:val="21"/>
                <w:szCs w:val="21"/>
                <w:color w:val="auto"/>
              </w:rPr>
            </w:pPr>
          </w:p>
        </w:tc>
        <w:tc>
          <w:tcPr>
            <w:tcW w:w="1060" w:type="dxa"/>
            <w:vAlign w:val="bottom"/>
            <w:gridSpan w:val="2"/>
            <w:shd w:val="clear" w:color="auto" w:fill="E2EEF6"/>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2EEF6"/>
          </w:tcPr>
          <w:p>
            <w:pPr>
              <w:spacing w:after="0"/>
              <w:rPr>
                <w:sz w:val="21"/>
                <w:szCs w:val="21"/>
                <w:color w:val="auto"/>
              </w:rPr>
            </w:pPr>
          </w:p>
        </w:tc>
        <w:tc>
          <w:tcPr>
            <w:tcW w:w="720" w:type="dxa"/>
            <w:vAlign w:val="bottom"/>
            <w:gridSpan w:val="2"/>
            <w:shd w:val="clear" w:color="auto" w:fill="E2EEF6"/>
          </w:tcPr>
          <w:p>
            <w:pPr>
              <w:jc w:val="right"/>
              <w:ind w:right="80"/>
              <w:spacing w:after="0"/>
              <w:rPr>
                <w:sz w:val="20"/>
                <w:szCs w:val="20"/>
                <w:color w:val="auto"/>
              </w:rPr>
            </w:pPr>
            <w:r>
              <w:rPr>
                <w:rFonts w:ascii="Arial" w:cs="Arial" w:eastAsia="Arial" w:hAnsi="Arial"/>
                <w:sz w:val="14"/>
                <w:szCs w:val="14"/>
                <w:color w:val="auto"/>
              </w:rPr>
              <w:t>7,102</w:t>
            </w:r>
          </w:p>
        </w:tc>
        <w:tc>
          <w:tcPr>
            <w:tcW w:w="4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140" w:type="dxa"/>
            <w:vAlign w:val="bottom"/>
            <w:gridSpan w:val="2"/>
            <w:shd w:val="clear" w:color="auto" w:fill="E2EEF6"/>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2EEF6"/>
          </w:tcPr>
          <w:p>
            <w:pPr>
              <w:spacing w:after="0"/>
              <w:rPr>
                <w:sz w:val="21"/>
                <w:szCs w:val="21"/>
                <w:color w:val="auto"/>
              </w:rPr>
            </w:pPr>
          </w:p>
        </w:tc>
        <w:tc>
          <w:tcPr>
            <w:tcW w:w="760" w:type="dxa"/>
            <w:vAlign w:val="bottom"/>
            <w:gridSpan w:val="2"/>
            <w:shd w:val="clear" w:color="auto" w:fill="E2EEF6"/>
          </w:tcPr>
          <w:p>
            <w:pPr>
              <w:jc w:val="right"/>
              <w:ind w:right="120"/>
              <w:spacing w:after="0"/>
              <w:rPr>
                <w:sz w:val="20"/>
                <w:szCs w:val="20"/>
                <w:color w:val="auto"/>
              </w:rPr>
            </w:pPr>
            <w:r>
              <w:rPr>
                <w:rFonts w:ascii="Arial" w:cs="Arial" w:eastAsia="Arial" w:hAnsi="Arial"/>
                <w:sz w:val="14"/>
                <w:szCs w:val="14"/>
                <w:color w:val="auto"/>
              </w:rPr>
              <w:t>7,102</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Arial" w:cs="Arial" w:eastAsia="Arial" w:hAnsi="Arial"/>
                <w:sz w:val="14"/>
                <w:szCs w:val="14"/>
                <w:color w:val="auto"/>
              </w:rPr>
              <w:t>Dividends declared</w:t>
            </w:r>
          </w:p>
        </w:tc>
        <w:tc>
          <w:tcPr>
            <w:tcW w:w="1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(5,357)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(5,357)</w:t>
            </w:r>
          </w:p>
        </w:tc>
        <w:tc>
          <w:tcPr>
            <w:tcW w:w="0" w:type="dxa"/>
            <w:vAlign w:val="bottom"/>
          </w:tcPr>
          <w:p>
            <w:pPr>
              <w:spacing w:after="0"/>
              <w:rPr>
                <w:sz w:val="1"/>
                <w:szCs w:val="1"/>
                <w:color w:val="auto"/>
              </w:rPr>
            </w:pPr>
          </w:p>
        </w:tc>
      </w:tr>
      <w:tr>
        <w:trPr>
          <w:trHeight w:val="243"/>
        </w:trPr>
        <w:tc>
          <w:tcPr>
            <w:tcW w:w="3360" w:type="dxa"/>
            <w:vAlign w:val="bottom"/>
            <w:shd w:val="clear" w:color="auto" w:fill="E2EEF6"/>
          </w:tcPr>
          <w:p>
            <w:pPr>
              <w:ind w:left="180"/>
              <w:spacing w:after="0"/>
              <w:rPr>
                <w:sz w:val="20"/>
                <w:szCs w:val="20"/>
                <w:color w:val="auto"/>
              </w:rPr>
            </w:pPr>
            <w:r>
              <w:rPr>
                <w:rFonts w:ascii="Arial" w:cs="Arial" w:eastAsia="Arial" w:hAnsi="Arial"/>
                <w:sz w:val="14"/>
                <w:szCs w:val="14"/>
                <w:color w:val="auto"/>
                <w:w w:val="96"/>
              </w:rPr>
              <w:t>Additional minimum pension liability (net of tax $120)</w:t>
            </w:r>
          </w:p>
        </w:tc>
        <w:tc>
          <w:tcPr>
            <w:tcW w:w="1980" w:type="dxa"/>
            <w:vAlign w:val="bottom"/>
            <w:gridSpan w:val="2"/>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6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2EEF6"/>
          </w:tcPr>
          <w:p>
            <w:pPr>
              <w:spacing w:after="0"/>
              <w:rPr>
                <w:sz w:val="21"/>
                <w:szCs w:val="21"/>
                <w:color w:val="auto"/>
              </w:rPr>
            </w:pPr>
          </w:p>
        </w:tc>
        <w:tc>
          <w:tcPr>
            <w:tcW w:w="1060" w:type="dxa"/>
            <w:vAlign w:val="bottom"/>
            <w:gridSpan w:val="2"/>
            <w:shd w:val="clear" w:color="auto" w:fill="E2EEF6"/>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2EEF6"/>
          </w:tcPr>
          <w:p>
            <w:pPr>
              <w:spacing w:after="0"/>
              <w:rPr>
                <w:sz w:val="21"/>
                <w:szCs w:val="21"/>
                <w:color w:val="auto"/>
              </w:rPr>
            </w:pPr>
          </w:p>
        </w:tc>
        <w:tc>
          <w:tcPr>
            <w:tcW w:w="720" w:type="dxa"/>
            <w:vAlign w:val="bottom"/>
            <w:gridSpan w:val="2"/>
            <w:shd w:val="clear" w:color="auto" w:fill="E2EEF6"/>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140" w:type="dxa"/>
            <w:vAlign w:val="bottom"/>
            <w:gridSpan w:val="2"/>
            <w:shd w:val="clear" w:color="auto" w:fill="E2EEF6"/>
          </w:tcPr>
          <w:p>
            <w:pPr>
              <w:jc w:val="right"/>
              <w:ind w:right="80"/>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E2EEF6"/>
          </w:tcPr>
          <w:p>
            <w:pPr>
              <w:spacing w:after="0"/>
              <w:rPr>
                <w:sz w:val="21"/>
                <w:szCs w:val="21"/>
                <w:color w:val="auto"/>
              </w:rPr>
            </w:pPr>
          </w:p>
        </w:tc>
        <w:tc>
          <w:tcPr>
            <w:tcW w:w="760" w:type="dxa"/>
            <w:vAlign w:val="bottom"/>
            <w:gridSpan w:val="2"/>
            <w:shd w:val="clear" w:color="auto" w:fill="E2EEF6"/>
          </w:tcPr>
          <w:p>
            <w:pPr>
              <w:jc w:val="right"/>
              <w:ind w:right="80"/>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Arial" w:cs="Arial" w:eastAsia="Arial" w:hAnsi="Arial"/>
                <w:sz w:val="14"/>
                <w:szCs w:val="14"/>
                <w:color w:val="auto"/>
              </w:rPr>
              <w:t>Unrealized holding gain (net of tax $41)</w:t>
            </w:r>
          </w:p>
        </w:tc>
        <w:tc>
          <w:tcPr>
            <w:tcW w:w="1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E2EEF6"/>
          </w:tcPr>
          <w:p>
            <w:pPr>
              <w:ind w:left="180"/>
              <w:spacing w:after="0"/>
              <w:rPr>
                <w:sz w:val="20"/>
                <w:szCs w:val="20"/>
                <w:color w:val="auto"/>
              </w:rPr>
            </w:pPr>
            <w:r>
              <w:rPr>
                <w:rFonts w:ascii="Arial" w:cs="Arial" w:eastAsia="Arial" w:hAnsi="Arial"/>
                <w:sz w:val="14"/>
                <w:szCs w:val="14"/>
                <w:color w:val="auto"/>
              </w:rPr>
              <w:t>Cumulative translation gain</w:t>
            </w:r>
          </w:p>
        </w:tc>
        <w:tc>
          <w:tcPr>
            <w:tcW w:w="1980" w:type="dxa"/>
            <w:vAlign w:val="bottom"/>
            <w:gridSpan w:val="2"/>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6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2EEF6"/>
          </w:tcPr>
          <w:p>
            <w:pPr>
              <w:spacing w:after="0"/>
              <w:rPr>
                <w:sz w:val="21"/>
                <w:szCs w:val="21"/>
                <w:color w:val="auto"/>
              </w:rPr>
            </w:pPr>
          </w:p>
        </w:tc>
        <w:tc>
          <w:tcPr>
            <w:tcW w:w="1060" w:type="dxa"/>
            <w:vAlign w:val="bottom"/>
            <w:gridSpan w:val="2"/>
            <w:shd w:val="clear" w:color="auto" w:fill="E2EEF6"/>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2EEF6"/>
          </w:tcPr>
          <w:p>
            <w:pPr>
              <w:spacing w:after="0"/>
              <w:rPr>
                <w:sz w:val="21"/>
                <w:szCs w:val="21"/>
                <w:color w:val="auto"/>
              </w:rPr>
            </w:pPr>
          </w:p>
        </w:tc>
        <w:tc>
          <w:tcPr>
            <w:tcW w:w="720" w:type="dxa"/>
            <w:vAlign w:val="bottom"/>
            <w:gridSpan w:val="2"/>
            <w:shd w:val="clear" w:color="auto" w:fill="E2EEF6"/>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140" w:type="dxa"/>
            <w:vAlign w:val="bottom"/>
            <w:gridSpan w:val="2"/>
            <w:shd w:val="clear" w:color="auto" w:fill="E2EEF6"/>
          </w:tcPr>
          <w:p>
            <w:pPr>
              <w:jc w:val="right"/>
              <w:ind w:right="120"/>
              <w:spacing w:after="0"/>
              <w:rPr>
                <w:sz w:val="20"/>
                <w:szCs w:val="20"/>
                <w:color w:val="auto"/>
              </w:rPr>
            </w:pPr>
            <w:r>
              <w:rPr>
                <w:rFonts w:ascii="Arial" w:cs="Arial" w:eastAsia="Arial" w:hAnsi="Arial"/>
                <w:sz w:val="14"/>
                <w:szCs w:val="14"/>
                <w:color w:val="auto"/>
              </w:rPr>
              <w:t>6,591</w:t>
            </w:r>
          </w:p>
        </w:tc>
        <w:tc>
          <w:tcPr>
            <w:tcW w:w="120" w:type="dxa"/>
            <w:vAlign w:val="bottom"/>
            <w:shd w:val="clear" w:color="auto" w:fill="E2EEF6"/>
          </w:tcPr>
          <w:p>
            <w:pPr>
              <w:spacing w:after="0"/>
              <w:rPr>
                <w:sz w:val="21"/>
                <w:szCs w:val="21"/>
                <w:color w:val="auto"/>
              </w:rPr>
            </w:pPr>
          </w:p>
        </w:tc>
        <w:tc>
          <w:tcPr>
            <w:tcW w:w="760" w:type="dxa"/>
            <w:vAlign w:val="bottom"/>
            <w:gridSpan w:val="2"/>
            <w:shd w:val="clear" w:color="auto" w:fill="E2EEF6"/>
          </w:tcPr>
          <w:p>
            <w:pPr>
              <w:jc w:val="right"/>
              <w:ind w:right="120"/>
              <w:spacing w:after="0"/>
              <w:rPr>
                <w:sz w:val="20"/>
                <w:szCs w:val="20"/>
                <w:color w:val="auto"/>
              </w:rPr>
            </w:pPr>
            <w:r>
              <w:rPr>
                <w:rFonts w:ascii="Arial" w:cs="Arial" w:eastAsia="Arial" w:hAnsi="Arial"/>
                <w:sz w:val="14"/>
                <w:szCs w:val="14"/>
                <w:color w:val="auto"/>
              </w:rPr>
              <w:t>6,591</w:t>
            </w:r>
          </w:p>
        </w:tc>
        <w:tc>
          <w:tcPr>
            <w:tcW w:w="0" w:type="dxa"/>
            <w:vAlign w:val="bottom"/>
          </w:tcPr>
          <w:p>
            <w:pPr>
              <w:spacing w:after="0"/>
              <w:rPr>
                <w:sz w:val="1"/>
                <w:szCs w:val="1"/>
                <w:color w:val="auto"/>
              </w:rPr>
            </w:pPr>
          </w:p>
        </w:tc>
      </w:tr>
      <w:tr>
        <w:trPr>
          <w:trHeight w:val="237"/>
        </w:trPr>
        <w:tc>
          <w:tcPr>
            <w:tcW w:w="3360" w:type="dxa"/>
            <w:vAlign w:val="bottom"/>
            <w:tcBorders>
              <w:top w:val="single" w:sz="8" w:color="E2EEF6"/>
            </w:tcBorders>
          </w:tcPr>
          <w:p>
            <w:pPr>
              <w:spacing w:after="0"/>
              <w:rPr>
                <w:sz w:val="20"/>
                <w:szCs w:val="20"/>
                <w:color w:val="auto"/>
              </w:rPr>
            </w:pPr>
          </w:p>
        </w:tc>
        <w:tc>
          <w:tcPr>
            <w:tcW w:w="1180" w:type="dxa"/>
            <w:vAlign w:val="bottom"/>
            <w:tcBorders>
              <w:top w:val="single" w:sz="8" w:color="E2EEF6"/>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0" w:type="dxa"/>
            <w:vAlign w:val="bottom"/>
            <w:tcBorders>
              <w:top w:val="single" w:sz="8" w:color="E2EEF6"/>
            </w:tcBorders>
          </w:tcPr>
          <w:p>
            <w:pPr>
              <w:spacing w:after="0"/>
              <w:rPr>
                <w:sz w:val="20"/>
                <w:szCs w:val="20"/>
                <w:color w:val="auto"/>
              </w:rPr>
            </w:pPr>
          </w:p>
        </w:tc>
        <w:tc>
          <w:tcPr>
            <w:tcW w:w="80" w:type="dxa"/>
            <w:vAlign w:val="bottom"/>
            <w:tcBorders>
              <w:top w:val="single" w:sz="8" w:color="E2EEF6"/>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60" w:type="dxa"/>
            <w:vAlign w:val="bottom"/>
            <w:tcBorders>
              <w:top w:val="single" w:sz="8" w:color="E2EEF6"/>
            </w:tcBorders>
          </w:tcPr>
          <w:p>
            <w:pPr>
              <w:spacing w:after="0"/>
              <w:rPr>
                <w:sz w:val="20"/>
                <w:szCs w:val="20"/>
                <w:color w:val="auto"/>
              </w:rPr>
            </w:pPr>
          </w:p>
        </w:tc>
        <w:tc>
          <w:tcPr>
            <w:tcW w:w="60" w:type="dxa"/>
            <w:vAlign w:val="bottom"/>
            <w:tcBorders>
              <w:top w:val="single" w:sz="8" w:color="E2EEF6"/>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Borders>
              <w:top w:val="single" w:sz="8" w:color="E2EEF6"/>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 w:type="dxa"/>
            <w:vAlign w:val="bottom"/>
            <w:tcBorders>
              <w:top w:val="single" w:sz="8" w:color="E2EEF6"/>
            </w:tcBorders>
          </w:tcPr>
          <w:p>
            <w:pPr>
              <w:spacing w:after="0"/>
              <w:rPr>
                <w:sz w:val="20"/>
                <w:szCs w:val="20"/>
                <w:color w:val="auto"/>
              </w:rPr>
            </w:pPr>
          </w:p>
        </w:tc>
        <w:tc>
          <w:tcPr>
            <w:tcW w:w="40" w:type="dxa"/>
            <w:vAlign w:val="bottom"/>
            <w:tcBorders>
              <w:top w:val="single" w:sz="8" w:color="E2EEF6"/>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Borders>
              <w:top w:val="single" w:sz="8" w:color="E2EEF6"/>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E2EEF6"/>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E2EEF6"/>
          </w:tcPr>
          <w:p>
            <w:pPr>
              <w:spacing w:after="0"/>
              <w:rPr>
                <w:sz w:val="21"/>
                <w:szCs w:val="21"/>
                <w:color w:val="auto"/>
              </w:rPr>
            </w:pPr>
          </w:p>
        </w:tc>
        <w:tc>
          <w:tcPr>
            <w:tcW w:w="1180" w:type="dxa"/>
            <w:vAlign w:val="bottom"/>
            <w:shd w:val="clear" w:color="auto" w:fill="E2EEF6"/>
          </w:tcPr>
          <w:p>
            <w:pPr>
              <w:spacing w:after="0"/>
              <w:rPr>
                <w:sz w:val="21"/>
                <w:szCs w:val="21"/>
                <w:color w:val="auto"/>
              </w:rPr>
            </w:pPr>
          </w:p>
        </w:tc>
        <w:tc>
          <w:tcPr>
            <w:tcW w:w="800" w:type="dxa"/>
            <w:vAlign w:val="bottom"/>
            <w:shd w:val="clear" w:color="auto" w:fill="E2EEF6"/>
          </w:tcPr>
          <w:p>
            <w:pPr>
              <w:spacing w:after="0"/>
              <w:rPr>
                <w:sz w:val="21"/>
                <w:szCs w:val="21"/>
                <w:color w:val="auto"/>
              </w:rPr>
            </w:pPr>
          </w:p>
        </w:tc>
        <w:tc>
          <w:tcPr>
            <w:tcW w:w="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62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72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94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6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4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64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Arial" w:cs="Arial" w:eastAsia="Arial" w:hAnsi="Arial"/>
                <w:sz w:val="14"/>
                <w:szCs w:val="14"/>
                <w:color w:val="auto"/>
              </w:rPr>
              <w:t>Balance, December 31, 2004</w:t>
            </w:r>
          </w:p>
        </w:tc>
        <w:tc>
          <w:tcPr>
            <w:tcW w:w="2020" w:type="dxa"/>
            <w:vAlign w:val="bottom"/>
            <w:gridSpan w:val="3"/>
          </w:tcPr>
          <w:p>
            <w:pPr>
              <w:jc w:val="right"/>
              <w:ind w:right="40"/>
              <w:spacing w:after="0"/>
              <w:rPr>
                <w:sz w:val="20"/>
                <w:szCs w:val="20"/>
                <w:color w:val="auto"/>
              </w:rPr>
            </w:pPr>
            <w:r>
              <w:rPr>
                <w:rFonts w:ascii="Arial" w:cs="Arial" w:eastAsia="Arial" w:hAnsi="Arial"/>
                <w:sz w:val="14"/>
                <w:szCs w:val="14"/>
                <w:color w:val="auto"/>
              </w:rPr>
              <w:t>16,777</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168</w:t>
            </w:r>
          </w:p>
        </w:tc>
        <w:tc>
          <w:tcPr>
            <w:tcW w:w="6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53,423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45,676</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15,873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115,140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E2EEF6"/>
          </w:tcPr>
          <w:p>
            <w:pPr>
              <w:ind w:left="180"/>
              <w:spacing w:after="0"/>
              <w:rPr>
                <w:sz w:val="20"/>
                <w:szCs w:val="20"/>
                <w:color w:val="auto"/>
              </w:rPr>
            </w:pPr>
            <w:r>
              <w:rPr>
                <w:rFonts w:ascii="Arial" w:cs="Arial" w:eastAsia="Arial" w:hAnsi="Arial"/>
                <w:sz w:val="14"/>
                <w:szCs w:val="14"/>
                <w:color w:val="auto"/>
              </w:rPr>
              <w:t>Shares issued</w:t>
            </w:r>
          </w:p>
        </w:tc>
        <w:tc>
          <w:tcPr>
            <w:tcW w:w="1980" w:type="dxa"/>
            <w:vAlign w:val="bottom"/>
            <w:gridSpan w:val="2"/>
            <w:shd w:val="clear" w:color="auto" w:fill="E2EEF6"/>
          </w:tcPr>
          <w:p>
            <w:pPr>
              <w:jc w:val="right"/>
              <w:spacing w:after="0"/>
              <w:rPr>
                <w:sz w:val="20"/>
                <w:szCs w:val="20"/>
                <w:color w:val="auto"/>
              </w:rPr>
            </w:pPr>
            <w:r>
              <w:rPr>
                <w:rFonts w:ascii="Arial" w:cs="Arial" w:eastAsia="Arial" w:hAnsi="Arial"/>
                <w:sz w:val="14"/>
                <w:szCs w:val="14"/>
                <w:color w:val="auto"/>
              </w:rPr>
              <w:t>376</w:t>
            </w:r>
          </w:p>
        </w:tc>
        <w:tc>
          <w:tcPr>
            <w:tcW w:w="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6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4</w:t>
            </w: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3,658</w:t>
            </w:r>
          </w:p>
        </w:tc>
        <w:tc>
          <w:tcPr>
            <w:tcW w:w="140" w:type="dxa"/>
            <w:vAlign w:val="bottom"/>
            <w:shd w:val="clear" w:color="auto" w:fill="E2EEF6"/>
          </w:tcPr>
          <w:p>
            <w:pPr>
              <w:spacing w:after="0"/>
              <w:rPr>
                <w:sz w:val="21"/>
                <w:szCs w:val="21"/>
                <w:color w:val="auto"/>
              </w:rPr>
            </w:pPr>
          </w:p>
        </w:tc>
        <w:tc>
          <w:tcPr>
            <w:tcW w:w="1060" w:type="dxa"/>
            <w:vAlign w:val="bottom"/>
            <w:gridSpan w:val="2"/>
            <w:shd w:val="clear" w:color="auto" w:fill="E2EEF6"/>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2EEF6"/>
          </w:tcPr>
          <w:p>
            <w:pPr>
              <w:spacing w:after="0"/>
              <w:rPr>
                <w:sz w:val="21"/>
                <w:szCs w:val="21"/>
                <w:color w:val="auto"/>
              </w:rPr>
            </w:pPr>
          </w:p>
        </w:tc>
        <w:tc>
          <w:tcPr>
            <w:tcW w:w="720" w:type="dxa"/>
            <w:vAlign w:val="bottom"/>
            <w:gridSpan w:val="2"/>
            <w:shd w:val="clear" w:color="auto" w:fill="E2EEF6"/>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140" w:type="dxa"/>
            <w:vAlign w:val="bottom"/>
            <w:gridSpan w:val="2"/>
            <w:shd w:val="clear" w:color="auto" w:fill="E2EEF6"/>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2EEF6"/>
          </w:tcPr>
          <w:p>
            <w:pPr>
              <w:spacing w:after="0"/>
              <w:rPr>
                <w:sz w:val="21"/>
                <w:szCs w:val="21"/>
                <w:color w:val="auto"/>
              </w:rPr>
            </w:pPr>
          </w:p>
        </w:tc>
        <w:tc>
          <w:tcPr>
            <w:tcW w:w="760" w:type="dxa"/>
            <w:vAlign w:val="bottom"/>
            <w:gridSpan w:val="2"/>
            <w:shd w:val="clear" w:color="auto" w:fill="E2EEF6"/>
          </w:tcPr>
          <w:p>
            <w:pPr>
              <w:jc w:val="right"/>
              <w:ind w:right="120"/>
              <w:spacing w:after="0"/>
              <w:rPr>
                <w:sz w:val="20"/>
                <w:szCs w:val="20"/>
                <w:color w:val="auto"/>
              </w:rPr>
            </w:pPr>
            <w:r>
              <w:rPr>
                <w:rFonts w:ascii="Arial" w:cs="Arial" w:eastAsia="Arial" w:hAnsi="Arial"/>
                <w:sz w:val="14"/>
                <w:szCs w:val="14"/>
                <w:color w:val="auto"/>
              </w:rPr>
              <w:t>3,662</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Arial" w:cs="Arial" w:eastAsia="Arial" w:hAnsi="Arial"/>
                <w:sz w:val="14"/>
                <w:szCs w:val="14"/>
                <w:color w:val="auto"/>
              </w:rPr>
              <w:t>Issuance of restricted stock</w:t>
            </w:r>
          </w:p>
        </w:tc>
        <w:tc>
          <w:tcPr>
            <w:tcW w:w="1980" w:type="dxa"/>
            <w:vAlign w:val="bottom"/>
            <w:gridSpan w:val="2"/>
          </w:tcPr>
          <w:p>
            <w:pPr>
              <w:jc w:val="right"/>
              <w:spacing w:after="0"/>
              <w:rPr>
                <w:sz w:val="20"/>
                <w:szCs w:val="20"/>
                <w:color w:val="auto"/>
              </w:rPr>
            </w:pPr>
            <w:r>
              <w:rPr>
                <w:rFonts w:ascii="Arial" w:cs="Arial" w:eastAsia="Arial" w:hAnsi="Arial"/>
                <w:sz w:val="14"/>
                <w:szCs w:val="14"/>
                <w:color w:val="auto"/>
              </w:rPr>
              <w:t>53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673</w:t>
            </w:r>
          </w:p>
        </w:tc>
        <w:tc>
          <w:tcPr>
            <w:tcW w:w="1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(673)</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E2EEF6"/>
          </w:tcPr>
          <w:p>
            <w:pPr>
              <w:ind w:left="180"/>
              <w:spacing w:after="0"/>
              <w:rPr>
                <w:sz w:val="20"/>
                <w:szCs w:val="20"/>
                <w:color w:val="auto"/>
              </w:rPr>
            </w:pPr>
            <w:r>
              <w:rPr>
                <w:rFonts w:ascii="Arial" w:cs="Arial" w:eastAsia="Arial" w:hAnsi="Arial"/>
                <w:sz w:val="14"/>
                <w:szCs w:val="14"/>
                <w:color w:val="auto"/>
              </w:rPr>
              <w:t>Amortization of restricted stock award</w:t>
            </w:r>
          </w:p>
        </w:tc>
        <w:tc>
          <w:tcPr>
            <w:tcW w:w="1980" w:type="dxa"/>
            <w:vAlign w:val="bottom"/>
            <w:gridSpan w:val="2"/>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6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2EEF6"/>
          </w:tcPr>
          <w:p>
            <w:pPr>
              <w:spacing w:after="0"/>
              <w:rPr>
                <w:sz w:val="21"/>
                <w:szCs w:val="21"/>
                <w:color w:val="auto"/>
              </w:rPr>
            </w:pPr>
          </w:p>
        </w:tc>
        <w:tc>
          <w:tcPr>
            <w:tcW w:w="1060" w:type="dxa"/>
            <w:vAlign w:val="bottom"/>
            <w:gridSpan w:val="2"/>
            <w:shd w:val="clear" w:color="auto" w:fill="E2EEF6"/>
          </w:tcPr>
          <w:p>
            <w:pPr>
              <w:jc w:val="right"/>
              <w:ind w:right="120"/>
              <w:spacing w:after="0"/>
              <w:rPr>
                <w:sz w:val="20"/>
                <w:szCs w:val="20"/>
                <w:color w:val="auto"/>
              </w:rPr>
            </w:pPr>
            <w:r>
              <w:rPr>
                <w:rFonts w:ascii="Arial" w:cs="Arial" w:eastAsia="Arial" w:hAnsi="Arial"/>
                <w:sz w:val="14"/>
                <w:szCs w:val="14"/>
                <w:color w:val="auto"/>
              </w:rPr>
              <w:t>206</w:t>
            </w:r>
          </w:p>
        </w:tc>
        <w:tc>
          <w:tcPr>
            <w:tcW w:w="120" w:type="dxa"/>
            <w:vAlign w:val="bottom"/>
            <w:shd w:val="clear" w:color="auto" w:fill="E2EEF6"/>
          </w:tcPr>
          <w:p>
            <w:pPr>
              <w:spacing w:after="0"/>
              <w:rPr>
                <w:sz w:val="21"/>
                <w:szCs w:val="21"/>
                <w:color w:val="auto"/>
              </w:rPr>
            </w:pPr>
          </w:p>
        </w:tc>
        <w:tc>
          <w:tcPr>
            <w:tcW w:w="720" w:type="dxa"/>
            <w:vAlign w:val="bottom"/>
            <w:gridSpan w:val="2"/>
            <w:shd w:val="clear" w:color="auto" w:fill="E2EEF6"/>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140" w:type="dxa"/>
            <w:vAlign w:val="bottom"/>
            <w:gridSpan w:val="2"/>
            <w:shd w:val="clear" w:color="auto" w:fill="E2EEF6"/>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2EEF6"/>
          </w:tcPr>
          <w:p>
            <w:pPr>
              <w:spacing w:after="0"/>
              <w:rPr>
                <w:sz w:val="21"/>
                <w:szCs w:val="21"/>
                <w:color w:val="auto"/>
              </w:rPr>
            </w:pPr>
          </w:p>
        </w:tc>
        <w:tc>
          <w:tcPr>
            <w:tcW w:w="640" w:type="dxa"/>
            <w:vAlign w:val="bottom"/>
            <w:shd w:val="clear" w:color="auto" w:fill="E2EEF6"/>
          </w:tcPr>
          <w:p>
            <w:pPr>
              <w:jc w:val="right"/>
              <w:spacing w:after="0"/>
              <w:rPr>
                <w:sz w:val="20"/>
                <w:szCs w:val="20"/>
                <w:color w:val="auto"/>
              </w:rPr>
            </w:pPr>
            <w:r>
              <w:rPr>
                <w:rFonts w:ascii="Arial" w:cs="Arial" w:eastAsia="Arial" w:hAnsi="Arial"/>
                <w:sz w:val="14"/>
                <w:szCs w:val="14"/>
                <w:color w:val="auto"/>
              </w:rPr>
              <w:t>206</w:t>
            </w:r>
          </w:p>
        </w:tc>
        <w:tc>
          <w:tcPr>
            <w:tcW w:w="12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15,012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15,012</w:t>
            </w:r>
          </w:p>
        </w:tc>
        <w:tc>
          <w:tcPr>
            <w:tcW w:w="0" w:type="dxa"/>
            <w:vAlign w:val="bottom"/>
          </w:tcPr>
          <w:p>
            <w:pPr>
              <w:spacing w:after="0"/>
              <w:rPr>
                <w:sz w:val="1"/>
                <w:szCs w:val="1"/>
                <w:color w:val="auto"/>
              </w:rPr>
            </w:pPr>
          </w:p>
        </w:tc>
      </w:tr>
      <w:tr>
        <w:trPr>
          <w:trHeight w:val="243"/>
        </w:trPr>
        <w:tc>
          <w:tcPr>
            <w:tcW w:w="3360" w:type="dxa"/>
            <w:vAlign w:val="bottom"/>
            <w:shd w:val="clear" w:color="auto" w:fill="E2EEF6"/>
          </w:tcPr>
          <w:p>
            <w:pPr>
              <w:ind w:left="180"/>
              <w:spacing w:after="0"/>
              <w:rPr>
                <w:sz w:val="20"/>
                <w:szCs w:val="20"/>
                <w:color w:val="auto"/>
              </w:rPr>
            </w:pPr>
            <w:r>
              <w:rPr>
                <w:rFonts w:ascii="Arial" w:cs="Arial" w:eastAsia="Arial" w:hAnsi="Arial"/>
                <w:sz w:val="14"/>
                <w:szCs w:val="14"/>
                <w:color w:val="auto"/>
              </w:rPr>
              <w:t>Dividends declared</w:t>
            </w:r>
          </w:p>
        </w:tc>
        <w:tc>
          <w:tcPr>
            <w:tcW w:w="1980" w:type="dxa"/>
            <w:vAlign w:val="bottom"/>
            <w:gridSpan w:val="2"/>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6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2EEF6"/>
          </w:tcPr>
          <w:p>
            <w:pPr>
              <w:spacing w:after="0"/>
              <w:rPr>
                <w:sz w:val="21"/>
                <w:szCs w:val="21"/>
                <w:color w:val="auto"/>
              </w:rPr>
            </w:pPr>
          </w:p>
        </w:tc>
        <w:tc>
          <w:tcPr>
            <w:tcW w:w="1060" w:type="dxa"/>
            <w:vAlign w:val="bottom"/>
            <w:gridSpan w:val="2"/>
            <w:shd w:val="clear" w:color="auto" w:fill="E2EEF6"/>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2EEF6"/>
          </w:tcPr>
          <w:p>
            <w:pPr>
              <w:spacing w:after="0"/>
              <w:rPr>
                <w:sz w:val="21"/>
                <w:szCs w:val="21"/>
                <w:color w:val="auto"/>
              </w:rPr>
            </w:pPr>
          </w:p>
        </w:tc>
        <w:tc>
          <w:tcPr>
            <w:tcW w:w="720" w:type="dxa"/>
            <w:vAlign w:val="bottom"/>
            <w:gridSpan w:val="2"/>
            <w:shd w:val="clear" w:color="auto" w:fill="E2EEF6"/>
          </w:tcPr>
          <w:p>
            <w:pPr>
              <w:jc w:val="right"/>
              <w:ind w:right="40"/>
              <w:spacing w:after="0"/>
              <w:rPr>
                <w:sz w:val="20"/>
                <w:szCs w:val="20"/>
                <w:color w:val="auto"/>
              </w:rPr>
            </w:pPr>
            <w:r>
              <w:rPr>
                <w:rFonts w:ascii="Arial" w:cs="Arial" w:eastAsia="Arial" w:hAnsi="Arial"/>
                <w:sz w:val="14"/>
                <w:szCs w:val="14"/>
                <w:color w:val="auto"/>
              </w:rPr>
              <w:t>(5,470)</w:t>
            </w:r>
          </w:p>
        </w:tc>
        <w:tc>
          <w:tcPr>
            <w:tcW w:w="4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140" w:type="dxa"/>
            <w:vAlign w:val="bottom"/>
            <w:gridSpan w:val="2"/>
            <w:shd w:val="clear" w:color="auto" w:fill="E2EEF6"/>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2EEF6"/>
          </w:tcPr>
          <w:p>
            <w:pPr>
              <w:spacing w:after="0"/>
              <w:rPr>
                <w:sz w:val="21"/>
                <w:szCs w:val="21"/>
                <w:color w:val="auto"/>
              </w:rPr>
            </w:pPr>
          </w:p>
        </w:tc>
        <w:tc>
          <w:tcPr>
            <w:tcW w:w="760" w:type="dxa"/>
            <w:vAlign w:val="bottom"/>
            <w:gridSpan w:val="2"/>
            <w:shd w:val="clear" w:color="auto" w:fill="E2EEF6"/>
          </w:tcPr>
          <w:p>
            <w:pPr>
              <w:jc w:val="right"/>
              <w:ind w:right="80"/>
              <w:spacing w:after="0"/>
              <w:rPr>
                <w:sz w:val="20"/>
                <w:szCs w:val="20"/>
                <w:color w:val="auto"/>
              </w:rPr>
            </w:pPr>
            <w:r>
              <w:rPr>
                <w:rFonts w:ascii="Arial" w:cs="Arial" w:eastAsia="Arial" w:hAnsi="Arial"/>
                <w:sz w:val="14"/>
                <w:szCs w:val="14"/>
                <w:color w:val="auto"/>
              </w:rPr>
              <w:t>(5,470)</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Arial" w:cs="Arial" w:eastAsia="Arial" w:hAnsi="Arial"/>
                <w:sz w:val="14"/>
                <w:szCs w:val="14"/>
                <w:color w:val="auto"/>
                <w:w w:val="96"/>
              </w:rPr>
              <w:t>Additional minimum pension liability (net of tax $326)</w:t>
            </w:r>
          </w:p>
        </w:tc>
        <w:tc>
          <w:tcPr>
            <w:tcW w:w="1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(580)</w:t>
            </w:r>
          </w:p>
        </w:tc>
        <w:tc>
          <w:tcPr>
            <w:tcW w:w="12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243"/>
        </w:trPr>
        <w:tc>
          <w:tcPr>
            <w:tcW w:w="3360" w:type="dxa"/>
            <w:vAlign w:val="bottom"/>
            <w:shd w:val="clear" w:color="auto" w:fill="E2EEF6"/>
          </w:tcPr>
          <w:p>
            <w:pPr>
              <w:ind w:left="180"/>
              <w:spacing w:after="0"/>
              <w:rPr>
                <w:sz w:val="20"/>
                <w:szCs w:val="20"/>
                <w:color w:val="auto"/>
              </w:rPr>
            </w:pPr>
            <w:r>
              <w:rPr>
                <w:rFonts w:ascii="Arial" w:cs="Arial" w:eastAsia="Arial" w:hAnsi="Arial"/>
                <w:sz w:val="14"/>
                <w:szCs w:val="14"/>
                <w:color w:val="auto"/>
              </w:rPr>
              <w:t>Unrealized holding loss (net of tax $41)</w:t>
            </w:r>
          </w:p>
        </w:tc>
        <w:tc>
          <w:tcPr>
            <w:tcW w:w="1980" w:type="dxa"/>
            <w:vAlign w:val="bottom"/>
            <w:gridSpan w:val="2"/>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6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2EEF6"/>
          </w:tcPr>
          <w:p>
            <w:pPr>
              <w:spacing w:after="0"/>
              <w:rPr>
                <w:sz w:val="21"/>
                <w:szCs w:val="21"/>
                <w:color w:val="auto"/>
              </w:rPr>
            </w:pPr>
          </w:p>
        </w:tc>
        <w:tc>
          <w:tcPr>
            <w:tcW w:w="1060" w:type="dxa"/>
            <w:vAlign w:val="bottom"/>
            <w:gridSpan w:val="2"/>
            <w:shd w:val="clear" w:color="auto" w:fill="E2EEF6"/>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2EEF6"/>
          </w:tcPr>
          <w:p>
            <w:pPr>
              <w:spacing w:after="0"/>
              <w:rPr>
                <w:sz w:val="21"/>
                <w:szCs w:val="21"/>
                <w:color w:val="auto"/>
              </w:rPr>
            </w:pPr>
          </w:p>
        </w:tc>
        <w:tc>
          <w:tcPr>
            <w:tcW w:w="720" w:type="dxa"/>
            <w:vAlign w:val="bottom"/>
            <w:gridSpan w:val="2"/>
            <w:shd w:val="clear" w:color="auto" w:fill="E2EEF6"/>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140" w:type="dxa"/>
            <w:vAlign w:val="bottom"/>
            <w:gridSpan w:val="2"/>
            <w:shd w:val="clear" w:color="auto" w:fill="E2EEF6"/>
          </w:tcPr>
          <w:p>
            <w:pPr>
              <w:jc w:val="right"/>
              <w:ind w:right="80"/>
              <w:spacing w:after="0"/>
              <w:rPr>
                <w:sz w:val="20"/>
                <w:szCs w:val="20"/>
                <w:color w:val="auto"/>
              </w:rPr>
            </w:pPr>
            <w:r>
              <w:rPr>
                <w:rFonts w:ascii="Arial" w:cs="Arial" w:eastAsia="Arial" w:hAnsi="Arial"/>
                <w:sz w:val="14"/>
                <w:szCs w:val="14"/>
                <w:color w:val="auto"/>
              </w:rPr>
              <w:t>(73)</w:t>
            </w:r>
          </w:p>
        </w:tc>
        <w:tc>
          <w:tcPr>
            <w:tcW w:w="120" w:type="dxa"/>
            <w:vAlign w:val="bottom"/>
            <w:shd w:val="clear" w:color="auto" w:fill="E2EEF6"/>
          </w:tcPr>
          <w:p>
            <w:pPr>
              <w:spacing w:after="0"/>
              <w:rPr>
                <w:sz w:val="21"/>
                <w:szCs w:val="21"/>
                <w:color w:val="auto"/>
              </w:rPr>
            </w:pPr>
          </w:p>
        </w:tc>
        <w:tc>
          <w:tcPr>
            <w:tcW w:w="760" w:type="dxa"/>
            <w:vAlign w:val="bottom"/>
            <w:gridSpan w:val="2"/>
            <w:shd w:val="clear" w:color="auto" w:fill="E2EEF6"/>
          </w:tcPr>
          <w:p>
            <w:pPr>
              <w:jc w:val="right"/>
              <w:ind w:right="8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Arial" w:cs="Arial" w:eastAsia="Arial" w:hAnsi="Arial"/>
                <w:sz w:val="14"/>
                <w:szCs w:val="14"/>
                <w:color w:val="auto"/>
              </w:rPr>
              <w:t>Cumulative translation loss</w:t>
            </w:r>
          </w:p>
        </w:tc>
        <w:tc>
          <w:tcPr>
            <w:tcW w:w="1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(11,823)</w:t>
            </w:r>
          </w:p>
        </w:tc>
        <w:tc>
          <w:tcPr>
            <w:tcW w:w="12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(11,823)</w:t>
            </w:r>
          </w:p>
        </w:tc>
        <w:tc>
          <w:tcPr>
            <w:tcW w:w="0" w:type="dxa"/>
            <w:vAlign w:val="bottom"/>
          </w:tcPr>
          <w:p>
            <w:pPr>
              <w:spacing w:after="0"/>
              <w:rPr>
                <w:sz w:val="1"/>
                <w:szCs w:val="1"/>
                <w:color w:val="auto"/>
              </w:rPr>
            </w:pPr>
          </w:p>
        </w:tc>
      </w:tr>
      <w:tr>
        <w:trPr>
          <w:trHeight w:val="237"/>
        </w:trPr>
        <w:tc>
          <w:tcPr>
            <w:tcW w:w="3360" w:type="dxa"/>
            <w:vAlign w:val="bottom"/>
            <w:shd w:val="clear" w:color="auto" w:fill="E2EEF6"/>
          </w:tcPr>
          <w:p>
            <w:pPr>
              <w:spacing w:after="0"/>
              <w:rPr>
                <w:sz w:val="20"/>
                <w:szCs w:val="20"/>
                <w:color w:val="auto"/>
              </w:rPr>
            </w:pPr>
          </w:p>
        </w:tc>
        <w:tc>
          <w:tcPr>
            <w:tcW w:w="1180" w:type="dxa"/>
            <w:vAlign w:val="bottom"/>
            <w:shd w:val="clear" w:color="auto" w:fill="E2EEF6"/>
          </w:tcPr>
          <w:p>
            <w:pPr>
              <w:spacing w:after="0"/>
              <w:rPr>
                <w:sz w:val="20"/>
                <w:szCs w:val="20"/>
                <w:color w:val="auto"/>
              </w:rPr>
            </w:pPr>
          </w:p>
        </w:tc>
        <w:tc>
          <w:tcPr>
            <w:tcW w:w="800" w:type="dxa"/>
            <w:vAlign w:val="bottom"/>
            <w:tcBorders>
              <w:top w:val="single" w:sz="8" w:color="auto"/>
            </w:tcBorders>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80" w:type="dxa"/>
            <w:vAlign w:val="bottom"/>
            <w:tcBorders>
              <w:top w:val="single" w:sz="8" w:color="auto"/>
            </w:tcBorders>
            <w:shd w:val="clear" w:color="auto" w:fill="E2EEF6"/>
          </w:tcPr>
          <w:p>
            <w:pPr>
              <w:spacing w:after="0"/>
              <w:rPr>
                <w:sz w:val="20"/>
                <w:szCs w:val="20"/>
                <w:color w:val="auto"/>
              </w:rPr>
            </w:pPr>
          </w:p>
        </w:tc>
        <w:tc>
          <w:tcPr>
            <w:tcW w:w="620" w:type="dxa"/>
            <w:vAlign w:val="bottom"/>
            <w:tcBorders>
              <w:top w:val="single" w:sz="8" w:color="auto"/>
            </w:tcBorders>
            <w:shd w:val="clear" w:color="auto" w:fill="E2EEF6"/>
          </w:tcPr>
          <w:p>
            <w:pPr>
              <w:spacing w:after="0"/>
              <w:rPr>
                <w:sz w:val="20"/>
                <w:szCs w:val="20"/>
                <w:color w:val="auto"/>
              </w:rPr>
            </w:pPr>
          </w:p>
        </w:tc>
        <w:tc>
          <w:tcPr>
            <w:tcW w:w="60" w:type="dxa"/>
            <w:vAlign w:val="bottom"/>
            <w:shd w:val="clear" w:color="auto" w:fill="E2EEF6"/>
          </w:tcPr>
          <w:p>
            <w:pPr>
              <w:spacing w:after="0"/>
              <w:rPr>
                <w:sz w:val="20"/>
                <w:szCs w:val="20"/>
                <w:color w:val="auto"/>
              </w:rPr>
            </w:pPr>
          </w:p>
        </w:tc>
        <w:tc>
          <w:tcPr>
            <w:tcW w:w="60" w:type="dxa"/>
            <w:vAlign w:val="bottom"/>
            <w:shd w:val="clear" w:color="auto" w:fill="E2EEF6"/>
          </w:tcPr>
          <w:p>
            <w:pPr>
              <w:spacing w:after="0"/>
              <w:rPr>
                <w:sz w:val="20"/>
                <w:szCs w:val="20"/>
                <w:color w:val="auto"/>
              </w:rPr>
            </w:pPr>
          </w:p>
        </w:tc>
        <w:tc>
          <w:tcPr>
            <w:tcW w:w="100" w:type="dxa"/>
            <w:vAlign w:val="bottom"/>
            <w:tcBorders>
              <w:top w:val="single" w:sz="8" w:color="auto"/>
            </w:tcBorders>
            <w:shd w:val="clear" w:color="auto" w:fill="E2EEF6"/>
          </w:tcPr>
          <w:p>
            <w:pPr>
              <w:spacing w:after="0"/>
              <w:rPr>
                <w:sz w:val="20"/>
                <w:szCs w:val="20"/>
                <w:color w:val="auto"/>
              </w:rPr>
            </w:pPr>
          </w:p>
        </w:tc>
        <w:tc>
          <w:tcPr>
            <w:tcW w:w="720" w:type="dxa"/>
            <w:vAlign w:val="bottom"/>
            <w:tcBorders>
              <w:top w:val="single" w:sz="8" w:color="auto"/>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140" w:type="dxa"/>
            <w:vAlign w:val="bottom"/>
            <w:tcBorders>
              <w:top w:val="single" w:sz="8" w:color="auto"/>
            </w:tcBorders>
            <w:shd w:val="clear" w:color="auto" w:fill="E2EEF6"/>
          </w:tcPr>
          <w:p>
            <w:pPr>
              <w:spacing w:after="0"/>
              <w:rPr>
                <w:sz w:val="20"/>
                <w:szCs w:val="20"/>
                <w:color w:val="auto"/>
              </w:rPr>
            </w:pPr>
          </w:p>
        </w:tc>
        <w:tc>
          <w:tcPr>
            <w:tcW w:w="940" w:type="dxa"/>
            <w:vAlign w:val="bottom"/>
            <w:tcBorders>
              <w:top w:val="single" w:sz="8" w:color="auto"/>
            </w:tcBorders>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20" w:type="dxa"/>
            <w:vAlign w:val="bottom"/>
            <w:tcBorders>
              <w:top w:val="single" w:sz="8" w:color="auto"/>
            </w:tcBorders>
            <w:shd w:val="clear" w:color="auto" w:fill="E2EEF6"/>
          </w:tcPr>
          <w:p>
            <w:pPr>
              <w:spacing w:after="0"/>
              <w:rPr>
                <w:sz w:val="20"/>
                <w:szCs w:val="20"/>
                <w:color w:val="auto"/>
              </w:rPr>
            </w:pPr>
          </w:p>
        </w:tc>
        <w:tc>
          <w:tcPr>
            <w:tcW w:w="640" w:type="dxa"/>
            <w:vAlign w:val="bottom"/>
            <w:tcBorders>
              <w:top w:val="single" w:sz="8" w:color="auto"/>
            </w:tcBorders>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120" w:type="dxa"/>
            <w:vAlign w:val="bottom"/>
            <w:tcBorders>
              <w:top w:val="single" w:sz="8" w:color="auto"/>
            </w:tcBorders>
            <w:shd w:val="clear" w:color="auto" w:fill="E2EEF6"/>
          </w:tcPr>
          <w:p>
            <w:pPr>
              <w:spacing w:after="0"/>
              <w:rPr>
                <w:sz w:val="20"/>
                <w:szCs w:val="20"/>
                <w:color w:val="auto"/>
              </w:rPr>
            </w:pPr>
          </w:p>
        </w:tc>
        <w:tc>
          <w:tcPr>
            <w:tcW w:w="1020" w:type="dxa"/>
            <w:vAlign w:val="bottom"/>
            <w:tcBorders>
              <w:top w:val="single" w:sz="8" w:color="auto"/>
            </w:tcBorders>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20" w:type="dxa"/>
            <w:vAlign w:val="bottom"/>
            <w:tcBorders>
              <w:top w:val="single" w:sz="8" w:color="auto"/>
            </w:tcBorders>
            <w:shd w:val="clear" w:color="auto" w:fill="E2EEF6"/>
          </w:tcPr>
          <w:p>
            <w:pPr>
              <w:spacing w:after="0"/>
              <w:rPr>
                <w:sz w:val="20"/>
                <w:szCs w:val="20"/>
                <w:color w:val="auto"/>
              </w:rPr>
            </w:pPr>
          </w:p>
        </w:tc>
        <w:tc>
          <w:tcPr>
            <w:tcW w:w="640" w:type="dxa"/>
            <w:vAlign w:val="bottom"/>
            <w:tcBorders>
              <w:top w:val="single" w:sz="8" w:color="auto"/>
            </w:tcBorders>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Arial" w:cs="Arial" w:eastAsia="Arial" w:hAnsi="Arial"/>
                <w:sz w:val="14"/>
                <w:szCs w:val="14"/>
                <w:color w:val="auto"/>
              </w:rPr>
              <w:t>Balance, December 31, 2005</w:t>
            </w:r>
          </w:p>
        </w:tc>
        <w:tc>
          <w:tcPr>
            <w:tcW w:w="2020" w:type="dxa"/>
            <w:vAlign w:val="bottom"/>
            <w:gridSpan w:val="3"/>
          </w:tcPr>
          <w:p>
            <w:pPr>
              <w:jc w:val="right"/>
              <w:ind w:right="40"/>
              <w:spacing w:after="0"/>
              <w:rPr>
                <w:sz w:val="20"/>
                <w:szCs w:val="20"/>
                <w:color w:val="auto"/>
              </w:rPr>
            </w:pPr>
            <w:r>
              <w:rPr>
                <w:rFonts w:ascii="Arial" w:cs="Arial" w:eastAsia="Arial" w:hAnsi="Arial"/>
                <w:sz w:val="14"/>
                <w:szCs w:val="14"/>
                <w:color w:val="auto"/>
              </w:rPr>
              <w:t>17,206</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172</w:t>
            </w:r>
          </w:p>
        </w:tc>
        <w:tc>
          <w:tcPr>
            <w:tcW w:w="6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57,754</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(467)</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55,218</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3,397</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116,074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60" w:type="dxa"/>
            <w:vAlign w:val="bottom"/>
            <w:shd w:val="clear" w:color="auto" w:fill="E2EEF6"/>
          </w:tcPr>
          <w:p>
            <w:pPr>
              <w:spacing w:after="0"/>
              <w:rPr>
                <w:sz w:val="19"/>
                <w:szCs w:val="19"/>
                <w:color w:val="auto"/>
              </w:rPr>
            </w:pPr>
          </w:p>
        </w:tc>
        <w:tc>
          <w:tcPr>
            <w:tcW w:w="1180" w:type="dxa"/>
            <w:vAlign w:val="bottom"/>
            <w:shd w:val="clear" w:color="auto" w:fill="E2EEF6"/>
          </w:tcPr>
          <w:p>
            <w:pPr>
              <w:spacing w:after="0"/>
              <w:rPr>
                <w:sz w:val="19"/>
                <w:szCs w:val="19"/>
                <w:color w:val="auto"/>
              </w:rPr>
            </w:pPr>
          </w:p>
        </w:tc>
        <w:tc>
          <w:tcPr>
            <w:tcW w:w="800" w:type="dxa"/>
            <w:vAlign w:val="bottom"/>
            <w:shd w:val="clear" w:color="auto" w:fill="E2EEF6"/>
          </w:tcPr>
          <w:p>
            <w:pPr>
              <w:spacing w:after="0"/>
              <w:rPr>
                <w:sz w:val="19"/>
                <w:szCs w:val="19"/>
                <w:color w:val="auto"/>
              </w:rPr>
            </w:pPr>
          </w:p>
        </w:tc>
        <w:tc>
          <w:tcPr>
            <w:tcW w:w="40" w:type="dxa"/>
            <w:vAlign w:val="bottom"/>
            <w:shd w:val="clear" w:color="auto" w:fill="E2EEF6"/>
          </w:tcPr>
          <w:p>
            <w:pPr>
              <w:spacing w:after="0"/>
              <w:rPr>
                <w:sz w:val="19"/>
                <w:szCs w:val="19"/>
                <w:color w:val="auto"/>
              </w:rPr>
            </w:pPr>
          </w:p>
        </w:tc>
        <w:tc>
          <w:tcPr>
            <w:tcW w:w="80" w:type="dxa"/>
            <w:vAlign w:val="bottom"/>
            <w:shd w:val="clear" w:color="auto" w:fill="E2EEF6"/>
          </w:tcPr>
          <w:p>
            <w:pPr>
              <w:spacing w:after="0"/>
              <w:rPr>
                <w:sz w:val="19"/>
                <w:szCs w:val="19"/>
                <w:color w:val="auto"/>
              </w:rPr>
            </w:pPr>
          </w:p>
        </w:tc>
        <w:tc>
          <w:tcPr>
            <w:tcW w:w="80" w:type="dxa"/>
            <w:vAlign w:val="bottom"/>
            <w:shd w:val="clear" w:color="auto" w:fill="E2EEF6"/>
          </w:tcPr>
          <w:p>
            <w:pPr>
              <w:spacing w:after="0"/>
              <w:rPr>
                <w:sz w:val="19"/>
                <w:szCs w:val="19"/>
                <w:color w:val="auto"/>
              </w:rPr>
            </w:pPr>
          </w:p>
        </w:tc>
        <w:tc>
          <w:tcPr>
            <w:tcW w:w="620" w:type="dxa"/>
            <w:vAlign w:val="bottom"/>
            <w:shd w:val="clear" w:color="auto" w:fill="E2EEF6"/>
          </w:tcPr>
          <w:p>
            <w:pPr>
              <w:spacing w:after="0"/>
              <w:rPr>
                <w:sz w:val="19"/>
                <w:szCs w:val="19"/>
                <w:color w:val="auto"/>
              </w:rPr>
            </w:pPr>
          </w:p>
        </w:tc>
        <w:tc>
          <w:tcPr>
            <w:tcW w:w="60" w:type="dxa"/>
            <w:vAlign w:val="bottom"/>
            <w:shd w:val="clear" w:color="auto" w:fill="E2EEF6"/>
          </w:tcPr>
          <w:p>
            <w:pPr>
              <w:spacing w:after="0"/>
              <w:rPr>
                <w:sz w:val="19"/>
                <w:szCs w:val="19"/>
                <w:color w:val="auto"/>
              </w:rPr>
            </w:pPr>
          </w:p>
        </w:tc>
        <w:tc>
          <w:tcPr>
            <w:tcW w:w="6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72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94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640" w:type="dxa"/>
            <w:vAlign w:val="bottom"/>
            <w:shd w:val="clear" w:color="auto" w:fill="E2EEF6"/>
          </w:tcPr>
          <w:p>
            <w:pPr>
              <w:spacing w:after="0"/>
              <w:rPr>
                <w:sz w:val="19"/>
                <w:szCs w:val="19"/>
                <w:color w:val="auto"/>
              </w:rPr>
            </w:pPr>
          </w:p>
        </w:tc>
        <w:tc>
          <w:tcPr>
            <w:tcW w:w="80" w:type="dxa"/>
            <w:vAlign w:val="bottom"/>
            <w:shd w:val="clear" w:color="auto" w:fill="E2EEF6"/>
          </w:tcPr>
          <w:p>
            <w:pPr>
              <w:spacing w:after="0"/>
              <w:rPr>
                <w:sz w:val="19"/>
                <w:szCs w:val="19"/>
                <w:color w:val="auto"/>
              </w:rPr>
            </w:pPr>
          </w:p>
        </w:tc>
        <w:tc>
          <w:tcPr>
            <w:tcW w:w="4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102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64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3" w:name="page34"/>
    <w:bookmarkEnd w:id="33"/>
    <w:p>
      <w:pPr>
        <w:spacing w:after="0" w:line="62"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NN, Inc.</w:t>
      </w:r>
    </w:p>
    <w:p>
      <w:pPr>
        <w:spacing w:after="0" w:line="82"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82"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Years Ended December 31, 2005, 2004 and 2003</w:t>
      </w:r>
    </w:p>
    <w:p>
      <w:pPr>
        <w:spacing w:after="0" w:line="82"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20" w:type="dxa"/>
            <w:vAlign w:val="bottom"/>
            <w:shd w:val="clear" w:color="auto" w:fill="E2EEF6"/>
          </w:tcPr>
          <w:p>
            <w:pPr>
              <w:spacing w:after="0"/>
              <w:rPr>
                <w:sz w:val="23"/>
                <w:szCs w:val="23"/>
                <w:color w:val="auto"/>
              </w:rPr>
            </w:pPr>
          </w:p>
        </w:tc>
        <w:tc>
          <w:tcPr>
            <w:tcW w:w="1080" w:type="dxa"/>
            <w:vAlign w:val="bottom"/>
            <w:gridSpan w:val="2"/>
            <w:shd w:val="clear" w:color="auto" w:fill="E2EEF6"/>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520" w:type="dxa"/>
            <w:vAlign w:val="bottom"/>
            <w:shd w:val="clear" w:color="auto" w:fill="E2EEF6"/>
          </w:tcPr>
          <w:p>
            <w:pPr>
              <w:spacing w:after="0"/>
              <w:rPr>
                <w:sz w:val="23"/>
                <w:szCs w:val="23"/>
                <w:color w:val="auto"/>
              </w:rPr>
            </w:pPr>
          </w:p>
        </w:tc>
        <w:tc>
          <w:tcPr>
            <w:tcW w:w="1100" w:type="dxa"/>
            <w:vAlign w:val="bottom"/>
            <w:gridSpan w:val="2"/>
            <w:shd w:val="clear" w:color="auto" w:fill="E2EEF6"/>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520" w:type="dxa"/>
            <w:vAlign w:val="bottom"/>
            <w:shd w:val="clear" w:color="auto" w:fill="E2EEF6"/>
          </w:tcPr>
          <w:p>
            <w:pPr>
              <w:spacing w:after="0"/>
              <w:rPr>
                <w:sz w:val="23"/>
                <w:szCs w:val="23"/>
                <w:color w:val="auto"/>
              </w:rPr>
            </w:pPr>
          </w:p>
        </w:tc>
        <w:tc>
          <w:tcPr>
            <w:tcW w:w="220" w:type="dxa"/>
            <w:vAlign w:val="bottom"/>
            <w:shd w:val="clear" w:color="auto" w:fill="E2EEF6"/>
          </w:tcPr>
          <w:p>
            <w:pPr>
              <w:spacing w:after="0"/>
              <w:rPr>
                <w:sz w:val="23"/>
                <w:szCs w:val="23"/>
                <w:color w:val="auto"/>
              </w:rPr>
            </w:pPr>
          </w:p>
        </w:tc>
        <w:tc>
          <w:tcPr>
            <w:tcW w:w="300" w:type="dxa"/>
            <w:vAlign w:val="bottom"/>
            <w:shd w:val="clear" w:color="auto" w:fill="E2EEF6"/>
          </w:tcPr>
          <w:p>
            <w:pPr>
              <w:spacing w:after="0"/>
              <w:rPr>
                <w:sz w:val="23"/>
                <w:szCs w:val="23"/>
                <w:color w:val="auto"/>
              </w:rPr>
            </w:pPr>
          </w:p>
        </w:tc>
        <w:tc>
          <w:tcPr>
            <w:tcW w:w="1060" w:type="dxa"/>
            <w:vAlign w:val="bottom"/>
            <w:shd w:val="clear" w:color="auto" w:fill="E2EEF6"/>
          </w:tcPr>
          <w:p>
            <w:pPr>
              <w:jc w:val="right"/>
              <w:ind w:right="468"/>
              <w:spacing w:after="0"/>
              <w:rPr>
                <w:sz w:val="20"/>
                <w:szCs w:val="20"/>
                <w:color w:val="auto"/>
              </w:rPr>
            </w:pPr>
            <w:r>
              <w:rPr>
                <w:rFonts w:ascii="Arial" w:cs="Arial" w:eastAsia="Arial" w:hAnsi="Arial"/>
                <w:sz w:val="14"/>
                <w:szCs w:val="14"/>
                <w:b w:val="1"/>
                <w:bCs w:val="1"/>
                <w:color w:val="auto"/>
              </w:rPr>
              <w:t>2003</w:t>
            </w:r>
          </w:p>
        </w:tc>
        <w:tc>
          <w:tcPr>
            <w:tcW w:w="100" w:type="dxa"/>
            <w:vAlign w:val="bottom"/>
            <w:shd w:val="clear" w:color="auto" w:fill="E2EEF6"/>
          </w:tcPr>
          <w:p>
            <w:pPr>
              <w:spacing w:after="0"/>
              <w:rPr>
                <w:sz w:val="23"/>
                <w:szCs w:val="23"/>
                <w:color w:val="auto"/>
              </w:rPr>
            </w:pPr>
          </w:p>
        </w:tc>
      </w:tr>
      <w:tr>
        <w:trPr>
          <w:trHeight w:val="250"/>
        </w:trPr>
        <w:tc>
          <w:tcPr>
            <w:tcW w:w="6520" w:type="dxa"/>
            <w:vAlign w:val="bottom"/>
            <w:tcBorders>
              <w:top w:val="single" w:sz="8" w:color="E2EEF6"/>
            </w:tcBorders>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20" w:type="dxa"/>
            <w:vAlign w:val="bottom"/>
            <w:tcBorders>
              <w:top w:val="single" w:sz="8" w:color="E2EEF6"/>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40" w:type="dxa"/>
            <w:vAlign w:val="bottom"/>
            <w:tcBorders>
              <w:top w:val="single" w:sz="8" w:color="E2EEF6"/>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20" w:type="dxa"/>
            <w:vAlign w:val="bottom"/>
            <w:tcBorders>
              <w:top w:val="single" w:sz="8" w:color="E2EEF6"/>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E2EEF6"/>
            </w:tcBorders>
          </w:tcPr>
          <w:p>
            <w:pPr>
              <w:spacing w:after="0"/>
              <w:rPr>
                <w:sz w:val="21"/>
                <w:szCs w:val="21"/>
                <w:color w:val="auto"/>
              </w:rPr>
            </w:pPr>
          </w:p>
        </w:tc>
      </w:tr>
      <w:tr>
        <w:trPr>
          <w:trHeight w:val="257"/>
        </w:trPr>
        <w:tc>
          <w:tcPr>
            <w:tcW w:w="6520" w:type="dxa"/>
            <w:vAlign w:val="bottom"/>
            <w:shd w:val="clear" w:color="auto" w:fill="E2EEF6"/>
          </w:tcPr>
          <w:p>
            <w:pPr>
              <w:ind w:left="18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w w:val="91"/>
              </w:rPr>
              <w:t>$ 15,012</w:t>
            </w:r>
          </w:p>
        </w:tc>
        <w:tc>
          <w:tcPr>
            <w:tcW w:w="24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740" w:type="dxa"/>
            <w:vAlign w:val="bottom"/>
            <w:gridSpan w:val="2"/>
            <w:shd w:val="clear" w:color="auto" w:fill="E2EEF6"/>
          </w:tcPr>
          <w:p>
            <w:pPr>
              <w:jc w:val="right"/>
              <w:ind w:right="220"/>
              <w:spacing w:after="0"/>
              <w:rPr>
                <w:sz w:val="20"/>
                <w:szCs w:val="20"/>
                <w:color w:val="auto"/>
              </w:rPr>
            </w:pPr>
            <w:r>
              <w:rPr>
                <w:rFonts w:ascii="Arial" w:cs="Arial" w:eastAsia="Arial" w:hAnsi="Arial"/>
                <w:sz w:val="14"/>
                <w:szCs w:val="14"/>
                <w:color w:val="auto"/>
              </w:rPr>
              <w:t>$ 7,102</w:t>
            </w:r>
          </w:p>
        </w:tc>
        <w:tc>
          <w:tcPr>
            <w:tcW w:w="300" w:type="dxa"/>
            <w:vAlign w:val="bottom"/>
            <w:shd w:val="clear" w:color="auto" w:fill="E2EEF6"/>
          </w:tcPr>
          <w:p>
            <w:pPr>
              <w:spacing w:after="0"/>
              <w:rPr>
                <w:sz w:val="22"/>
                <w:szCs w:val="22"/>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$ 10,178</w:t>
            </w:r>
          </w:p>
        </w:tc>
      </w:tr>
      <w:tr>
        <w:trPr>
          <w:trHeight w:val="257"/>
        </w:trPr>
        <w:tc>
          <w:tcPr>
            <w:tcW w:w="6520" w:type="dxa"/>
            <w:vAlign w:val="bottom"/>
          </w:tcPr>
          <w:p>
            <w:pPr>
              <w:ind w:left="1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6520" w:type="dxa"/>
            <w:vAlign w:val="bottom"/>
            <w:shd w:val="clear" w:color="auto" w:fill="E2EEF6"/>
          </w:tcPr>
          <w:p>
            <w:pPr>
              <w:ind w:left="18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16,331</w:t>
            </w:r>
          </w:p>
        </w:tc>
        <w:tc>
          <w:tcPr>
            <w:tcW w:w="24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740" w:type="dxa"/>
            <w:vAlign w:val="bottom"/>
            <w:gridSpan w:val="2"/>
            <w:shd w:val="clear" w:color="auto" w:fill="E2EEF6"/>
          </w:tcPr>
          <w:p>
            <w:pPr>
              <w:jc w:val="right"/>
              <w:ind w:right="220"/>
              <w:spacing w:after="0"/>
              <w:rPr>
                <w:sz w:val="20"/>
                <w:szCs w:val="20"/>
                <w:color w:val="auto"/>
              </w:rPr>
            </w:pPr>
            <w:r>
              <w:rPr>
                <w:rFonts w:ascii="Arial" w:cs="Arial" w:eastAsia="Arial" w:hAnsi="Arial"/>
                <w:sz w:val="14"/>
                <w:szCs w:val="14"/>
                <w:color w:val="auto"/>
              </w:rPr>
              <w:t>16,133</w:t>
            </w:r>
          </w:p>
        </w:tc>
        <w:tc>
          <w:tcPr>
            <w:tcW w:w="300" w:type="dxa"/>
            <w:vAlign w:val="bottom"/>
            <w:shd w:val="clear" w:color="auto" w:fill="E2EEF6"/>
          </w:tcPr>
          <w:p>
            <w:pPr>
              <w:spacing w:after="0"/>
              <w:rPr>
                <w:sz w:val="22"/>
                <w:szCs w:val="22"/>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13,691</w:t>
            </w:r>
          </w:p>
        </w:tc>
      </w:tr>
      <w:tr>
        <w:trPr>
          <w:trHeight w:val="257"/>
        </w:trPr>
        <w:tc>
          <w:tcPr>
            <w:tcW w:w="6520" w:type="dxa"/>
            <w:vAlign w:val="bottom"/>
          </w:tcPr>
          <w:p>
            <w:pPr>
              <w:ind w:left="180"/>
              <w:spacing w:after="0"/>
              <w:rPr>
                <w:sz w:val="20"/>
                <w:szCs w:val="20"/>
                <w:color w:val="auto"/>
              </w:rPr>
            </w:pPr>
            <w:r>
              <w:rPr>
                <w:rFonts w:ascii="Arial" w:cs="Arial" w:eastAsia="Arial" w:hAnsi="Arial"/>
                <w:sz w:val="14"/>
                <w:szCs w:val="14"/>
                <w:color w:val="auto"/>
              </w:rPr>
              <w:t>Amortization of debt issue costs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246</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220</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212</w:t>
            </w:r>
          </w:p>
        </w:tc>
      </w:tr>
      <w:tr>
        <w:trPr>
          <w:trHeight w:val="257"/>
        </w:trPr>
        <w:tc>
          <w:tcPr>
            <w:tcW w:w="6520" w:type="dxa"/>
            <w:vAlign w:val="bottom"/>
            <w:shd w:val="clear" w:color="auto" w:fill="E2EEF6"/>
          </w:tcPr>
          <w:p>
            <w:pPr>
              <w:ind w:left="180"/>
              <w:spacing w:after="0"/>
              <w:rPr>
                <w:sz w:val="20"/>
                <w:szCs w:val="20"/>
                <w:color w:val="auto"/>
              </w:rPr>
            </w:pPr>
            <w:r>
              <w:rPr>
                <w:rFonts w:ascii="Arial" w:cs="Arial" w:eastAsia="Arial" w:hAnsi="Arial"/>
                <w:sz w:val="14"/>
                <w:szCs w:val="14"/>
                <w:color w:val="auto"/>
              </w:rPr>
              <w:t>(Gain) loss on disposals of property, plant and equipment</w:t>
            </w:r>
          </w:p>
        </w:tc>
        <w:tc>
          <w:tcPr>
            <w:tcW w:w="22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(391)</w:t>
            </w:r>
          </w:p>
        </w:tc>
        <w:tc>
          <w:tcPr>
            <w:tcW w:w="24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856</w:t>
            </w:r>
          </w:p>
        </w:tc>
        <w:tc>
          <w:tcPr>
            <w:tcW w:w="220" w:type="dxa"/>
            <w:vAlign w:val="bottom"/>
            <w:shd w:val="clear" w:color="auto" w:fill="E2EEF6"/>
          </w:tcPr>
          <w:p>
            <w:pPr>
              <w:spacing w:after="0"/>
              <w:rPr>
                <w:sz w:val="22"/>
                <w:szCs w:val="22"/>
                <w:color w:val="auto"/>
              </w:rPr>
            </w:pPr>
          </w:p>
        </w:tc>
        <w:tc>
          <w:tcPr>
            <w:tcW w:w="300" w:type="dxa"/>
            <w:vAlign w:val="bottom"/>
            <w:shd w:val="clear" w:color="auto" w:fill="E2EEF6"/>
          </w:tcPr>
          <w:p>
            <w:pPr>
              <w:spacing w:after="0"/>
              <w:rPr>
                <w:sz w:val="22"/>
                <w:szCs w:val="22"/>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(147)</w:t>
            </w:r>
          </w:p>
        </w:tc>
      </w:tr>
      <w:tr>
        <w:trPr>
          <w:trHeight w:val="257"/>
        </w:trPr>
        <w:tc>
          <w:tcPr>
            <w:tcW w:w="6520" w:type="dxa"/>
            <w:vAlign w:val="bottom"/>
          </w:tcPr>
          <w:p>
            <w:pPr>
              <w:ind w:left="180"/>
              <w:spacing w:after="0"/>
              <w:rPr>
                <w:sz w:val="20"/>
                <w:szCs w:val="20"/>
                <w:color w:val="auto"/>
              </w:rPr>
            </w:pPr>
            <w:r>
              <w:rPr>
                <w:rFonts w:ascii="Arial" w:cs="Arial" w:eastAsia="Arial" w:hAnsi="Arial"/>
                <w:sz w:val="14"/>
                <w:szCs w:val="14"/>
                <w:color w:val="auto"/>
              </w:rPr>
              <w:t>Allowance for doubtful accounts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287</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158</w:t>
            </w:r>
          </w:p>
        </w:tc>
      </w:tr>
      <w:tr>
        <w:trPr>
          <w:trHeight w:val="257"/>
        </w:trPr>
        <w:tc>
          <w:tcPr>
            <w:tcW w:w="6520" w:type="dxa"/>
            <w:vAlign w:val="bottom"/>
            <w:shd w:val="clear" w:color="auto" w:fill="E2EEF6"/>
          </w:tcPr>
          <w:p>
            <w:pPr>
              <w:ind w:left="180"/>
              <w:spacing w:after="0"/>
              <w:rPr>
                <w:sz w:val="20"/>
                <w:szCs w:val="20"/>
                <w:color w:val="auto"/>
              </w:rPr>
            </w:pPr>
            <w:r>
              <w:rPr>
                <w:rFonts w:ascii="Arial" w:cs="Arial" w:eastAsia="Arial" w:hAnsi="Arial"/>
                <w:sz w:val="14"/>
                <w:szCs w:val="14"/>
                <w:color w:val="auto"/>
              </w:rPr>
              <w:t>Write-off of unamortized debt issue costs</w:t>
            </w:r>
          </w:p>
        </w:tc>
        <w:tc>
          <w:tcPr>
            <w:tcW w:w="22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260</w:t>
            </w:r>
          </w:p>
        </w:tc>
        <w:tc>
          <w:tcPr>
            <w:tcW w:w="220" w:type="dxa"/>
            <w:vAlign w:val="bottom"/>
            <w:shd w:val="clear" w:color="auto" w:fill="E2EEF6"/>
          </w:tcPr>
          <w:p>
            <w:pPr>
              <w:spacing w:after="0"/>
              <w:rPr>
                <w:sz w:val="22"/>
                <w:szCs w:val="22"/>
                <w:color w:val="auto"/>
              </w:rPr>
            </w:pPr>
          </w:p>
        </w:tc>
        <w:tc>
          <w:tcPr>
            <w:tcW w:w="300" w:type="dxa"/>
            <w:vAlign w:val="bottom"/>
            <w:shd w:val="clear" w:color="auto" w:fill="E2EEF6"/>
          </w:tcPr>
          <w:p>
            <w:pPr>
              <w:spacing w:after="0"/>
              <w:rPr>
                <w:sz w:val="22"/>
                <w:szCs w:val="22"/>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455</w:t>
            </w:r>
          </w:p>
        </w:tc>
      </w:tr>
      <w:tr>
        <w:trPr>
          <w:trHeight w:val="257"/>
        </w:trPr>
        <w:tc>
          <w:tcPr>
            <w:tcW w:w="6520" w:type="dxa"/>
            <w:vAlign w:val="bottom"/>
          </w:tcPr>
          <w:p>
            <w:pPr>
              <w:ind w:left="180"/>
              <w:spacing w:after="0"/>
              <w:rPr>
                <w:sz w:val="20"/>
                <w:szCs w:val="20"/>
                <w:color w:val="auto"/>
              </w:rPr>
            </w:pPr>
            <w:r>
              <w:rPr>
                <w:rFonts w:ascii="Arial" w:cs="Arial" w:eastAsia="Arial" w:hAnsi="Arial"/>
                <w:sz w:val="14"/>
                <w:szCs w:val="14"/>
                <w:color w:val="auto"/>
              </w:rPr>
              <w:t>Amortization of restricted stock</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206</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57"/>
        </w:trPr>
        <w:tc>
          <w:tcPr>
            <w:tcW w:w="6520" w:type="dxa"/>
            <w:vAlign w:val="bottom"/>
            <w:shd w:val="clear" w:color="auto" w:fill="E2EEF6"/>
          </w:tcPr>
          <w:p>
            <w:pPr>
              <w:ind w:left="180"/>
              <w:spacing w:after="0"/>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(674)</w:t>
            </w:r>
          </w:p>
        </w:tc>
        <w:tc>
          <w:tcPr>
            <w:tcW w:w="24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740" w:type="dxa"/>
            <w:vAlign w:val="bottom"/>
            <w:gridSpan w:val="2"/>
            <w:shd w:val="clear" w:color="auto" w:fill="E2EEF6"/>
          </w:tcPr>
          <w:p>
            <w:pPr>
              <w:jc w:val="right"/>
              <w:ind w:right="220"/>
              <w:spacing w:after="0"/>
              <w:rPr>
                <w:sz w:val="20"/>
                <w:szCs w:val="20"/>
                <w:color w:val="auto"/>
              </w:rPr>
            </w:pPr>
            <w:r>
              <w:rPr>
                <w:rFonts w:ascii="Arial" w:cs="Arial" w:eastAsia="Arial" w:hAnsi="Arial"/>
                <w:sz w:val="14"/>
                <w:szCs w:val="14"/>
                <w:color w:val="auto"/>
              </w:rPr>
              <w:t>3,254</w:t>
            </w:r>
          </w:p>
        </w:tc>
        <w:tc>
          <w:tcPr>
            <w:tcW w:w="300" w:type="dxa"/>
            <w:vAlign w:val="bottom"/>
            <w:shd w:val="clear" w:color="auto" w:fill="E2EEF6"/>
          </w:tcPr>
          <w:p>
            <w:pPr>
              <w:spacing w:after="0"/>
              <w:rPr>
                <w:sz w:val="22"/>
                <w:szCs w:val="22"/>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3,888</w:t>
            </w:r>
          </w:p>
        </w:tc>
      </w:tr>
      <w:tr>
        <w:trPr>
          <w:trHeight w:val="257"/>
        </w:trPr>
        <w:tc>
          <w:tcPr>
            <w:tcW w:w="6520" w:type="dxa"/>
            <w:vAlign w:val="bottom"/>
          </w:tcPr>
          <w:p>
            <w:pPr>
              <w:ind w:left="180"/>
              <w:spacing w:after="0"/>
              <w:rPr>
                <w:sz w:val="20"/>
                <w:szCs w:val="20"/>
                <w:color w:val="auto"/>
              </w:rPr>
            </w:pPr>
            <w:r>
              <w:rPr>
                <w:rFonts w:ascii="Arial" w:cs="Arial" w:eastAsia="Arial" w:hAnsi="Arial"/>
                <w:sz w:val="14"/>
                <w:szCs w:val="14"/>
                <w:color w:val="auto"/>
              </w:rPr>
              <w:t>Minority interest in consolidated subsidiary</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675</w:t>
            </w:r>
          </w:p>
        </w:tc>
      </w:tr>
      <w:tr>
        <w:trPr>
          <w:trHeight w:val="257"/>
        </w:trPr>
        <w:tc>
          <w:tcPr>
            <w:tcW w:w="6520" w:type="dxa"/>
            <w:vAlign w:val="bottom"/>
            <w:shd w:val="clear" w:color="auto" w:fill="E2EEF6"/>
          </w:tcPr>
          <w:p>
            <w:pPr>
              <w:ind w:left="180"/>
              <w:spacing w:after="0"/>
              <w:rPr>
                <w:sz w:val="20"/>
                <w:szCs w:val="20"/>
                <w:color w:val="auto"/>
              </w:rPr>
            </w:pPr>
            <w:r>
              <w:rPr>
                <w:rFonts w:ascii="Arial" w:cs="Arial" w:eastAsia="Arial" w:hAnsi="Arial"/>
                <w:sz w:val="14"/>
                <w:szCs w:val="14"/>
                <w:color w:val="auto"/>
              </w:rPr>
              <w:t>(Gain) of sale of stock investment</w:t>
            </w:r>
          </w:p>
        </w:tc>
        <w:tc>
          <w:tcPr>
            <w:tcW w:w="22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(73)</w:t>
            </w:r>
          </w:p>
        </w:tc>
        <w:tc>
          <w:tcPr>
            <w:tcW w:w="24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2EEF6"/>
          </w:tcPr>
          <w:p>
            <w:pPr>
              <w:spacing w:after="0"/>
              <w:rPr>
                <w:sz w:val="22"/>
                <w:szCs w:val="22"/>
                <w:color w:val="auto"/>
              </w:rPr>
            </w:pPr>
          </w:p>
        </w:tc>
        <w:tc>
          <w:tcPr>
            <w:tcW w:w="300" w:type="dxa"/>
            <w:vAlign w:val="bottom"/>
            <w:shd w:val="clear" w:color="auto" w:fill="E2EEF6"/>
          </w:tcPr>
          <w:p>
            <w:pPr>
              <w:spacing w:after="0"/>
              <w:rPr>
                <w:sz w:val="22"/>
                <w:szCs w:val="22"/>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w:t>
            </w:r>
          </w:p>
        </w:tc>
      </w:tr>
      <w:tr>
        <w:trPr>
          <w:trHeight w:val="257"/>
        </w:trPr>
        <w:tc>
          <w:tcPr>
            <w:tcW w:w="6520" w:type="dxa"/>
            <w:vAlign w:val="bottom"/>
          </w:tcPr>
          <w:p>
            <w:pPr>
              <w:ind w:left="180"/>
              <w:spacing w:after="0"/>
              <w:rPr>
                <w:sz w:val="20"/>
                <w:szCs w:val="20"/>
                <w:color w:val="auto"/>
              </w:rPr>
            </w:pPr>
            <w:r>
              <w:rPr>
                <w:rFonts w:ascii="Arial" w:cs="Arial" w:eastAsia="Arial" w:hAnsi="Arial"/>
                <w:sz w:val="14"/>
                <w:szCs w:val="14"/>
                <w:color w:val="auto"/>
              </w:rPr>
              <w:t>Restructuring and impairment costs (income)</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(342)</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2,398</w:t>
            </w:r>
          </w:p>
        </w:tc>
        <w:tc>
          <w:tcPr>
            <w:tcW w:w="3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2,328</w:t>
            </w:r>
          </w:p>
        </w:tc>
      </w:tr>
      <w:tr>
        <w:trPr>
          <w:trHeight w:val="257"/>
        </w:trPr>
        <w:tc>
          <w:tcPr>
            <w:tcW w:w="6520" w:type="dxa"/>
            <w:vAlign w:val="bottom"/>
            <w:shd w:val="clear" w:color="auto" w:fill="E2EEF6"/>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spacing w:after="0"/>
              <w:rPr>
                <w:sz w:val="22"/>
                <w:szCs w:val="22"/>
                <w:color w:val="auto"/>
              </w:rPr>
            </w:pPr>
          </w:p>
        </w:tc>
        <w:tc>
          <w:tcPr>
            <w:tcW w:w="24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spacing w:after="0"/>
              <w:rPr>
                <w:sz w:val="22"/>
                <w:szCs w:val="22"/>
                <w:color w:val="auto"/>
              </w:rPr>
            </w:pPr>
          </w:p>
        </w:tc>
        <w:tc>
          <w:tcPr>
            <w:tcW w:w="220" w:type="dxa"/>
            <w:vAlign w:val="bottom"/>
            <w:shd w:val="clear" w:color="auto" w:fill="E2EEF6"/>
          </w:tcPr>
          <w:p>
            <w:pPr>
              <w:spacing w:after="0"/>
              <w:rPr>
                <w:sz w:val="22"/>
                <w:szCs w:val="22"/>
                <w:color w:val="auto"/>
              </w:rPr>
            </w:pPr>
          </w:p>
        </w:tc>
        <w:tc>
          <w:tcPr>
            <w:tcW w:w="300" w:type="dxa"/>
            <w:vAlign w:val="bottom"/>
            <w:shd w:val="clear" w:color="auto" w:fill="E2EEF6"/>
          </w:tcPr>
          <w:p>
            <w:pPr>
              <w:spacing w:after="0"/>
              <w:rPr>
                <w:sz w:val="22"/>
                <w:szCs w:val="22"/>
                <w:color w:val="auto"/>
              </w:rPr>
            </w:pPr>
          </w:p>
        </w:tc>
        <w:tc>
          <w:tcPr>
            <w:tcW w:w="1060" w:type="dxa"/>
            <w:vAlign w:val="bottom"/>
            <w:shd w:val="clear" w:color="auto" w:fill="E2EEF6"/>
          </w:tcPr>
          <w:p>
            <w:pPr>
              <w:spacing w:after="0"/>
              <w:rPr>
                <w:sz w:val="22"/>
                <w:szCs w:val="22"/>
                <w:color w:val="auto"/>
              </w:rPr>
            </w:pPr>
          </w:p>
        </w:tc>
        <w:tc>
          <w:tcPr>
            <w:tcW w:w="100" w:type="dxa"/>
            <w:vAlign w:val="bottom"/>
            <w:shd w:val="clear" w:color="auto" w:fill="E2EEF6"/>
          </w:tcPr>
          <w:p>
            <w:pPr>
              <w:spacing w:after="0"/>
              <w:rPr>
                <w:sz w:val="22"/>
                <w:szCs w:val="22"/>
                <w:color w:val="auto"/>
              </w:rPr>
            </w:pPr>
          </w:p>
        </w:tc>
      </w:tr>
      <w:tr>
        <w:trPr>
          <w:trHeight w:val="257"/>
        </w:trPr>
        <w:tc>
          <w:tcPr>
            <w:tcW w:w="6520" w:type="dxa"/>
            <w:vAlign w:val="bottom"/>
          </w:tcPr>
          <w:p>
            <w:pPr>
              <w:ind w:left="500"/>
              <w:spacing w:after="0"/>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216</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(8,123)</w:t>
            </w:r>
          </w:p>
        </w:tc>
        <w:tc>
          <w:tcPr>
            <w:tcW w:w="3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(9,242)</w:t>
            </w:r>
          </w:p>
        </w:tc>
      </w:tr>
      <w:tr>
        <w:trPr>
          <w:trHeight w:val="257"/>
        </w:trPr>
        <w:tc>
          <w:tcPr>
            <w:tcW w:w="6520" w:type="dxa"/>
            <w:vAlign w:val="bottom"/>
            <w:shd w:val="clear" w:color="auto" w:fill="E2EEF6"/>
          </w:tcPr>
          <w:p>
            <w:pPr>
              <w:ind w:left="500"/>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(5,134)</w:t>
            </w:r>
          </w:p>
        </w:tc>
        <w:tc>
          <w:tcPr>
            <w:tcW w:w="24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740" w:type="dxa"/>
            <w:vAlign w:val="bottom"/>
            <w:gridSpan w:val="2"/>
            <w:shd w:val="clear" w:color="auto" w:fill="E2EEF6"/>
          </w:tcPr>
          <w:p>
            <w:pPr>
              <w:jc w:val="right"/>
              <w:ind w:right="220"/>
              <w:spacing w:after="0"/>
              <w:rPr>
                <w:sz w:val="20"/>
                <w:szCs w:val="20"/>
                <w:color w:val="auto"/>
              </w:rPr>
            </w:pPr>
            <w:r>
              <w:rPr>
                <w:rFonts w:ascii="Arial" w:cs="Arial" w:eastAsia="Arial" w:hAnsi="Arial"/>
                <w:sz w:val="14"/>
                <w:szCs w:val="14"/>
                <w:color w:val="auto"/>
              </w:rPr>
              <w:t>2,059</w:t>
            </w:r>
          </w:p>
        </w:tc>
        <w:tc>
          <w:tcPr>
            <w:tcW w:w="300" w:type="dxa"/>
            <w:vAlign w:val="bottom"/>
            <w:shd w:val="clear" w:color="auto" w:fill="E2EEF6"/>
          </w:tcPr>
          <w:p>
            <w:pPr>
              <w:spacing w:after="0"/>
              <w:rPr>
                <w:sz w:val="22"/>
                <w:szCs w:val="22"/>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(3,711)</w:t>
            </w:r>
          </w:p>
        </w:tc>
      </w:tr>
      <w:tr>
        <w:trPr>
          <w:trHeight w:val="257"/>
        </w:trPr>
        <w:tc>
          <w:tcPr>
            <w:tcW w:w="6520" w:type="dxa"/>
            <w:vAlign w:val="bottom"/>
          </w:tcPr>
          <w:p>
            <w:pPr>
              <w:ind w:left="500"/>
              <w:spacing w:after="0"/>
              <w:rPr>
                <w:sz w:val="20"/>
                <w:szCs w:val="20"/>
                <w:color w:val="auto"/>
              </w:rPr>
            </w:pPr>
            <w:r>
              <w:rPr>
                <w:rFonts w:ascii="Arial" w:cs="Arial" w:eastAsia="Arial" w:hAnsi="Arial"/>
                <w:sz w:val="14"/>
                <w:szCs w:val="14"/>
                <w:color w:val="auto"/>
              </w:rPr>
              <w:t>Income tax receivable</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1,465</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(2,878)</w:t>
            </w:r>
          </w:p>
        </w:tc>
        <w:tc>
          <w:tcPr>
            <w:tcW w:w="3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(458)</w:t>
            </w:r>
          </w:p>
        </w:tc>
      </w:tr>
      <w:tr>
        <w:trPr>
          <w:trHeight w:val="257"/>
        </w:trPr>
        <w:tc>
          <w:tcPr>
            <w:tcW w:w="6520" w:type="dxa"/>
            <w:vAlign w:val="bottom"/>
            <w:shd w:val="clear" w:color="auto" w:fill="E2EEF6"/>
          </w:tcPr>
          <w:p>
            <w:pPr>
              <w:ind w:left="500"/>
              <w:spacing w:after="0"/>
              <w:rPr>
                <w:sz w:val="20"/>
                <w:szCs w:val="20"/>
                <w:color w:val="auto"/>
              </w:rPr>
            </w:pPr>
            <w:r>
              <w:rPr>
                <w:rFonts w:ascii="Arial" w:cs="Arial" w:eastAsia="Arial" w:hAnsi="Arial"/>
                <w:sz w:val="14"/>
                <w:szCs w:val="14"/>
                <w:color w:val="auto"/>
              </w:rPr>
              <w:t>Other current assets</w:t>
            </w:r>
          </w:p>
        </w:tc>
        <w:tc>
          <w:tcPr>
            <w:tcW w:w="22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(1,033)</w:t>
            </w:r>
          </w:p>
        </w:tc>
        <w:tc>
          <w:tcPr>
            <w:tcW w:w="24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740" w:type="dxa"/>
            <w:vAlign w:val="bottom"/>
            <w:gridSpan w:val="2"/>
            <w:shd w:val="clear" w:color="auto" w:fill="E2EEF6"/>
          </w:tcPr>
          <w:p>
            <w:pPr>
              <w:jc w:val="right"/>
              <w:ind w:right="220"/>
              <w:spacing w:after="0"/>
              <w:rPr>
                <w:sz w:val="20"/>
                <w:szCs w:val="20"/>
                <w:color w:val="auto"/>
              </w:rPr>
            </w:pPr>
            <w:r>
              <w:rPr>
                <w:rFonts w:ascii="Arial" w:cs="Arial" w:eastAsia="Arial" w:hAnsi="Arial"/>
                <w:sz w:val="14"/>
                <w:szCs w:val="14"/>
                <w:color w:val="auto"/>
              </w:rPr>
              <w:t>111</w:t>
            </w:r>
          </w:p>
        </w:tc>
        <w:tc>
          <w:tcPr>
            <w:tcW w:w="300" w:type="dxa"/>
            <w:vAlign w:val="bottom"/>
            <w:shd w:val="clear" w:color="auto" w:fill="E2EEF6"/>
          </w:tcPr>
          <w:p>
            <w:pPr>
              <w:spacing w:after="0"/>
              <w:rPr>
                <w:sz w:val="22"/>
                <w:szCs w:val="22"/>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(1,047)</w:t>
            </w:r>
          </w:p>
        </w:tc>
      </w:tr>
      <w:tr>
        <w:trPr>
          <w:trHeight w:val="257"/>
        </w:trPr>
        <w:tc>
          <w:tcPr>
            <w:tcW w:w="6520" w:type="dxa"/>
            <w:vAlign w:val="bottom"/>
          </w:tcPr>
          <w:p>
            <w:pPr>
              <w:ind w:left="500"/>
              <w:spacing w:after="0"/>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105</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(799)</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(1,578)</w:t>
            </w:r>
          </w:p>
        </w:tc>
      </w:tr>
      <w:tr>
        <w:trPr>
          <w:trHeight w:val="257"/>
        </w:trPr>
        <w:tc>
          <w:tcPr>
            <w:tcW w:w="6520" w:type="dxa"/>
            <w:vAlign w:val="bottom"/>
            <w:shd w:val="clear" w:color="auto" w:fill="E2EEF6"/>
          </w:tcPr>
          <w:p>
            <w:pPr>
              <w:ind w:left="50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1,176</w:t>
            </w:r>
          </w:p>
        </w:tc>
        <w:tc>
          <w:tcPr>
            <w:tcW w:w="24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740" w:type="dxa"/>
            <w:vAlign w:val="bottom"/>
            <w:gridSpan w:val="2"/>
            <w:shd w:val="clear" w:color="auto" w:fill="E2EEF6"/>
          </w:tcPr>
          <w:p>
            <w:pPr>
              <w:jc w:val="right"/>
              <w:ind w:right="220"/>
              <w:spacing w:after="0"/>
              <w:rPr>
                <w:sz w:val="20"/>
                <w:szCs w:val="20"/>
                <w:color w:val="auto"/>
              </w:rPr>
            </w:pPr>
            <w:r>
              <w:rPr>
                <w:rFonts w:ascii="Arial" w:cs="Arial" w:eastAsia="Arial" w:hAnsi="Arial"/>
                <w:sz w:val="14"/>
                <w:szCs w:val="14"/>
                <w:color w:val="auto"/>
              </w:rPr>
              <w:t>9,782</w:t>
            </w:r>
          </w:p>
        </w:tc>
        <w:tc>
          <w:tcPr>
            <w:tcW w:w="300" w:type="dxa"/>
            <w:vAlign w:val="bottom"/>
            <w:shd w:val="clear" w:color="auto" w:fill="E2EEF6"/>
          </w:tcPr>
          <w:p>
            <w:pPr>
              <w:spacing w:after="0"/>
              <w:rPr>
                <w:sz w:val="22"/>
                <w:szCs w:val="22"/>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5,118</w:t>
            </w:r>
          </w:p>
        </w:tc>
      </w:tr>
      <w:tr>
        <w:trPr>
          <w:trHeight w:val="243"/>
        </w:trPr>
        <w:tc>
          <w:tcPr>
            <w:tcW w:w="6520" w:type="dxa"/>
            <w:vAlign w:val="bottom"/>
          </w:tcPr>
          <w:p>
            <w:pPr>
              <w:ind w:left="500"/>
              <w:spacing w:after="0"/>
              <w:rPr>
                <w:sz w:val="20"/>
                <w:szCs w:val="20"/>
                <w:color w:val="auto"/>
              </w:rPr>
            </w:pPr>
            <w:r>
              <w:rPr>
                <w:rFonts w:ascii="Arial" w:cs="Arial" w:eastAsia="Arial" w:hAnsi="Arial"/>
                <w:sz w:val="14"/>
                <w:szCs w:val="14"/>
                <w:color w:val="auto"/>
              </w:rPr>
              <w:t>Other liabilities</w:t>
            </w:r>
          </w:p>
        </w:tc>
        <w:tc>
          <w:tcPr>
            <w:tcW w:w="22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2,618</w:t>
            </w:r>
          </w:p>
        </w:tc>
        <w:tc>
          <w:tcPr>
            <w:tcW w:w="24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1,175</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(1,059)</w:t>
            </w:r>
          </w:p>
        </w:tc>
        <w:tc>
          <w:tcPr>
            <w:tcW w:w="100" w:type="dxa"/>
            <w:vAlign w:val="bottom"/>
          </w:tcPr>
          <w:p>
            <w:pPr>
              <w:spacing w:after="0"/>
              <w:rPr>
                <w:sz w:val="21"/>
                <w:szCs w:val="21"/>
                <w:color w:val="auto"/>
              </w:rPr>
            </w:pPr>
          </w:p>
        </w:tc>
      </w:tr>
      <w:tr>
        <w:trPr>
          <w:trHeight w:val="237"/>
        </w:trPr>
        <w:tc>
          <w:tcPr>
            <w:tcW w:w="6520" w:type="dxa"/>
            <w:vAlign w:val="bottom"/>
            <w:shd w:val="clear" w:color="auto" w:fill="E2EEF6"/>
          </w:tcPr>
          <w:p>
            <w:pPr>
              <w:ind w:left="82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shd w:val="clear" w:color="auto" w:fill="E2EEF6"/>
          </w:tcPr>
          <w:p>
            <w:pPr>
              <w:spacing w:after="0"/>
              <w:rPr>
                <w:sz w:val="20"/>
                <w:szCs w:val="20"/>
                <w:color w:val="auto"/>
              </w:rPr>
            </w:pPr>
          </w:p>
        </w:tc>
        <w:tc>
          <w:tcPr>
            <w:tcW w:w="860" w:type="dxa"/>
            <w:vAlign w:val="bottom"/>
            <w:shd w:val="clear" w:color="auto" w:fill="E2EEF6"/>
          </w:tcPr>
          <w:p>
            <w:pPr>
              <w:spacing w:after="0"/>
              <w:rPr>
                <w:sz w:val="20"/>
                <w:szCs w:val="20"/>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30,015</w:t>
            </w:r>
          </w:p>
        </w:tc>
        <w:tc>
          <w:tcPr>
            <w:tcW w:w="240" w:type="dxa"/>
            <w:vAlign w:val="bottom"/>
            <w:shd w:val="clear" w:color="auto" w:fill="E2EEF6"/>
          </w:tcPr>
          <w:p>
            <w:pPr>
              <w:spacing w:after="0"/>
              <w:rPr>
                <w:sz w:val="20"/>
                <w:szCs w:val="20"/>
                <w:color w:val="auto"/>
              </w:rPr>
            </w:pPr>
          </w:p>
        </w:tc>
        <w:tc>
          <w:tcPr>
            <w:tcW w:w="860" w:type="dxa"/>
            <w:vAlign w:val="bottom"/>
            <w:shd w:val="clear" w:color="auto" w:fill="E2EEF6"/>
          </w:tcPr>
          <w:p>
            <w:pPr>
              <w:spacing w:after="0"/>
              <w:rPr>
                <w:sz w:val="20"/>
                <w:szCs w:val="20"/>
                <w:color w:val="auto"/>
              </w:rPr>
            </w:pPr>
          </w:p>
        </w:tc>
        <w:tc>
          <w:tcPr>
            <w:tcW w:w="740" w:type="dxa"/>
            <w:vAlign w:val="bottom"/>
            <w:gridSpan w:val="2"/>
            <w:shd w:val="clear" w:color="auto" w:fill="E2EEF6"/>
          </w:tcPr>
          <w:p>
            <w:pPr>
              <w:jc w:val="right"/>
              <w:ind w:right="220"/>
              <w:spacing w:after="0"/>
              <w:rPr>
                <w:sz w:val="20"/>
                <w:szCs w:val="20"/>
                <w:color w:val="auto"/>
              </w:rPr>
            </w:pPr>
            <w:r>
              <w:rPr>
                <w:rFonts w:ascii="Arial" w:cs="Arial" w:eastAsia="Arial" w:hAnsi="Arial"/>
                <w:sz w:val="14"/>
                <w:szCs w:val="14"/>
                <w:color w:val="auto"/>
              </w:rPr>
              <w:t>31,572</w:t>
            </w:r>
          </w:p>
        </w:tc>
        <w:tc>
          <w:tcPr>
            <w:tcW w:w="300" w:type="dxa"/>
            <w:vAlign w:val="bottom"/>
            <w:shd w:val="clear" w:color="auto" w:fill="E2EEF6"/>
          </w:tcPr>
          <w:p>
            <w:pPr>
              <w:spacing w:after="0"/>
              <w:rPr>
                <w:sz w:val="20"/>
                <w:szCs w:val="20"/>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19,461</w:t>
            </w:r>
          </w:p>
        </w:tc>
      </w:tr>
      <w:tr>
        <w:trPr>
          <w:trHeight w:val="250"/>
        </w:trPr>
        <w:tc>
          <w:tcPr>
            <w:tcW w:w="6520" w:type="dxa"/>
            <w:vAlign w:val="bottom"/>
            <w:tcBorders>
              <w:top w:val="single" w:sz="8" w:color="E2EEF6"/>
            </w:tcBorders>
          </w:tcPr>
          <w:p>
            <w:pPr>
              <w:spacing w:after="0"/>
              <w:rPr>
                <w:sz w:val="21"/>
                <w:szCs w:val="21"/>
                <w:color w:val="auto"/>
              </w:rPr>
            </w:pPr>
          </w:p>
        </w:tc>
        <w:tc>
          <w:tcPr>
            <w:tcW w:w="220" w:type="dxa"/>
            <w:vAlign w:val="bottom"/>
            <w:tcBorders>
              <w:top w:val="single" w:sz="8" w:color="E2EEF6"/>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40" w:type="dxa"/>
            <w:vAlign w:val="bottom"/>
            <w:tcBorders>
              <w:top w:val="single" w:sz="8" w:color="E2EEF6"/>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20" w:type="dxa"/>
            <w:vAlign w:val="bottom"/>
            <w:tcBorders>
              <w:top w:val="single" w:sz="8" w:color="E2EEF6"/>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E2EEF6"/>
            </w:tcBorders>
          </w:tcPr>
          <w:p>
            <w:pPr>
              <w:spacing w:after="0"/>
              <w:rPr>
                <w:sz w:val="21"/>
                <w:szCs w:val="21"/>
                <w:color w:val="auto"/>
              </w:rPr>
            </w:pPr>
          </w:p>
        </w:tc>
      </w:tr>
      <w:tr>
        <w:trPr>
          <w:trHeight w:val="257"/>
        </w:trPr>
        <w:tc>
          <w:tcPr>
            <w:tcW w:w="6520" w:type="dxa"/>
            <w:vAlign w:val="bottom"/>
            <w:shd w:val="clear" w:color="auto" w:fill="E2EEF6"/>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spacing w:after="0"/>
              <w:rPr>
                <w:sz w:val="22"/>
                <w:szCs w:val="22"/>
                <w:color w:val="auto"/>
              </w:rPr>
            </w:pPr>
          </w:p>
        </w:tc>
        <w:tc>
          <w:tcPr>
            <w:tcW w:w="24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spacing w:after="0"/>
              <w:rPr>
                <w:sz w:val="22"/>
                <w:szCs w:val="22"/>
                <w:color w:val="auto"/>
              </w:rPr>
            </w:pPr>
          </w:p>
        </w:tc>
        <w:tc>
          <w:tcPr>
            <w:tcW w:w="220" w:type="dxa"/>
            <w:vAlign w:val="bottom"/>
            <w:shd w:val="clear" w:color="auto" w:fill="E2EEF6"/>
          </w:tcPr>
          <w:p>
            <w:pPr>
              <w:spacing w:after="0"/>
              <w:rPr>
                <w:sz w:val="22"/>
                <w:szCs w:val="22"/>
                <w:color w:val="auto"/>
              </w:rPr>
            </w:pPr>
          </w:p>
        </w:tc>
        <w:tc>
          <w:tcPr>
            <w:tcW w:w="300" w:type="dxa"/>
            <w:vAlign w:val="bottom"/>
            <w:shd w:val="clear" w:color="auto" w:fill="E2EEF6"/>
          </w:tcPr>
          <w:p>
            <w:pPr>
              <w:spacing w:after="0"/>
              <w:rPr>
                <w:sz w:val="22"/>
                <w:szCs w:val="22"/>
                <w:color w:val="auto"/>
              </w:rPr>
            </w:pPr>
          </w:p>
        </w:tc>
        <w:tc>
          <w:tcPr>
            <w:tcW w:w="1060" w:type="dxa"/>
            <w:vAlign w:val="bottom"/>
            <w:shd w:val="clear" w:color="auto" w:fill="E2EEF6"/>
          </w:tcPr>
          <w:p>
            <w:pPr>
              <w:spacing w:after="0"/>
              <w:rPr>
                <w:sz w:val="22"/>
                <w:szCs w:val="22"/>
                <w:color w:val="auto"/>
              </w:rPr>
            </w:pPr>
          </w:p>
        </w:tc>
        <w:tc>
          <w:tcPr>
            <w:tcW w:w="100" w:type="dxa"/>
            <w:vAlign w:val="bottom"/>
            <w:shd w:val="clear" w:color="auto" w:fill="E2EEF6"/>
          </w:tcPr>
          <w:p>
            <w:pPr>
              <w:spacing w:after="0"/>
              <w:rPr>
                <w:sz w:val="22"/>
                <w:szCs w:val="22"/>
                <w:color w:val="auto"/>
              </w:rPr>
            </w:pPr>
          </w:p>
        </w:tc>
      </w:tr>
      <w:tr>
        <w:trPr>
          <w:trHeight w:val="257"/>
        </w:trPr>
        <w:tc>
          <w:tcPr>
            <w:tcW w:w="6520" w:type="dxa"/>
            <w:vAlign w:val="bottom"/>
          </w:tcPr>
          <w:p>
            <w:pPr>
              <w:ind w:left="180"/>
              <w:spacing w:after="0"/>
              <w:rPr>
                <w:sz w:val="20"/>
                <w:szCs w:val="20"/>
                <w:color w:val="auto"/>
              </w:rPr>
            </w:pPr>
            <w:r>
              <w:rPr>
                <w:rFonts w:ascii="Arial" w:cs="Arial" w:eastAsia="Arial" w:hAnsi="Arial"/>
                <w:sz w:val="14"/>
                <w:szCs w:val="14"/>
                <w:color w:val="auto"/>
              </w:rPr>
              <w:t>Acquisition of businesses, net of cash acquired</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(21,435)</w:t>
            </w:r>
          </w:p>
        </w:tc>
      </w:tr>
      <w:tr>
        <w:trPr>
          <w:trHeight w:val="257"/>
        </w:trPr>
        <w:tc>
          <w:tcPr>
            <w:tcW w:w="6520" w:type="dxa"/>
            <w:vAlign w:val="bottom"/>
            <w:shd w:val="clear" w:color="auto" w:fill="E2EEF6"/>
          </w:tcPr>
          <w:p>
            <w:pPr>
              <w:ind w:left="180"/>
              <w:spacing w:after="0"/>
              <w:rPr>
                <w:sz w:val="20"/>
                <w:szCs w:val="20"/>
                <w:color w:val="auto"/>
              </w:rPr>
            </w:pPr>
            <w:r>
              <w:rPr>
                <w:rFonts w:ascii="Arial" w:cs="Arial" w:eastAsia="Arial" w:hAnsi="Arial"/>
                <w:sz w:val="14"/>
                <w:szCs w:val="14"/>
                <w:color w:val="auto"/>
              </w:rPr>
              <w:t>Purchase of minority interest</w:t>
            </w:r>
          </w:p>
        </w:tc>
        <w:tc>
          <w:tcPr>
            <w:tcW w:w="22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2EEF6"/>
          </w:tcPr>
          <w:p>
            <w:pPr>
              <w:spacing w:after="0"/>
              <w:rPr>
                <w:sz w:val="22"/>
                <w:szCs w:val="22"/>
                <w:color w:val="auto"/>
              </w:rPr>
            </w:pPr>
          </w:p>
        </w:tc>
        <w:tc>
          <w:tcPr>
            <w:tcW w:w="300" w:type="dxa"/>
            <w:vAlign w:val="bottom"/>
            <w:shd w:val="clear" w:color="auto" w:fill="E2EEF6"/>
          </w:tcPr>
          <w:p>
            <w:pPr>
              <w:spacing w:after="0"/>
              <w:rPr>
                <w:sz w:val="22"/>
                <w:szCs w:val="22"/>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(15,586)</w:t>
            </w:r>
          </w:p>
        </w:tc>
      </w:tr>
      <w:tr>
        <w:trPr>
          <w:trHeight w:val="257"/>
        </w:trPr>
        <w:tc>
          <w:tcPr>
            <w:tcW w:w="6520" w:type="dxa"/>
            <w:vAlign w:val="bottom"/>
          </w:tcPr>
          <w:p>
            <w:pPr>
              <w:ind w:left="180"/>
              <w:spacing w:after="0"/>
              <w:rPr>
                <w:sz w:val="20"/>
                <w:szCs w:val="20"/>
                <w:color w:val="auto"/>
              </w:rPr>
            </w:pPr>
            <w:r>
              <w:rPr>
                <w:rFonts w:ascii="Arial" w:cs="Arial" w:eastAsia="Arial" w:hAnsi="Arial"/>
                <w:sz w:val="14"/>
                <w:szCs w:val="14"/>
                <w:color w:val="auto"/>
              </w:rPr>
              <w:t>Acquisition of property, plant and equipment</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5"/>
              </w:rPr>
              <w:t>(16,729)</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(12,162)</w:t>
            </w:r>
          </w:p>
        </w:tc>
        <w:tc>
          <w:tcPr>
            <w:tcW w:w="3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(11,429)</w:t>
            </w:r>
          </w:p>
        </w:tc>
      </w:tr>
      <w:tr>
        <w:trPr>
          <w:trHeight w:val="257"/>
        </w:trPr>
        <w:tc>
          <w:tcPr>
            <w:tcW w:w="6520" w:type="dxa"/>
            <w:vAlign w:val="bottom"/>
            <w:shd w:val="clear" w:color="auto" w:fill="E2EEF6"/>
          </w:tcPr>
          <w:p>
            <w:pPr>
              <w:ind w:left="180"/>
              <w:spacing w:after="0"/>
              <w:rPr>
                <w:sz w:val="20"/>
                <w:szCs w:val="20"/>
                <w:color w:val="auto"/>
              </w:rPr>
            </w:pPr>
            <w:r>
              <w:rPr>
                <w:rFonts w:ascii="Arial" w:cs="Arial" w:eastAsia="Arial" w:hAnsi="Arial"/>
                <w:sz w:val="14"/>
                <w:szCs w:val="14"/>
                <w:color w:val="auto"/>
              </w:rPr>
              <w:t>Principal received from long-term note receivable</w:t>
            </w:r>
          </w:p>
        </w:tc>
        <w:tc>
          <w:tcPr>
            <w:tcW w:w="22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200</w:t>
            </w:r>
          </w:p>
        </w:tc>
        <w:tc>
          <w:tcPr>
            <w:tcW w:w="24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200</w:t>
            </w:r>
          </w:p>
        </w:tc>
        <w:tc>
          <w:tcPr>
            <w:tcW w:w="220" w:type="dxa"/>
            <w:vAlign w:val="bottom"/>
            <w:shd w:val="clear" w:color="auto" w:fill="E2EEF6"/>
          </w:tcPr>
          <w:p>
            <w:pPr>
              <w:spacing w:after="0"/>
              <w:rPr>
                <w:sz w:val="22"/>
                <w:szCs w:val="22"/>
                <w:color w:val="auto"/>
              </w:rPr>
            </w:pPr>
          </w:p>
        </w:tc>
        <w:tc>
          <w:tcPr>
            <w:tcW w:w="300" w:type="dxa"/>
            <w:vAlign w:val="bottom"/>
            <w:shd w:val="clear" w:color="auto" w:fill="E2EEF6"/>
          </w:tcPr>
          <w:p>
            <w:pPr>
              <w:spacing w:after="0"/>
              <w:rPr>
                <w:sz w:val="22"/>
                <w:szCs w:val="22"/>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200</w:t>
            </w:r>
          </w:p>
        </w:tc>
      </w:tr>
      <w:tr>
        <w:trPr>
          <w:trHeight w:val="257"/>
        </w:trPr>
        <w:tc>
          <w:tcPr>
            <w:tcW w:w="6520" w:type="dxa"/>
            <w:vAlign w:val="bottom"/>
          </w:tcPr>
          <w:p>
            <w:pPr>
              <w:ind w:left="180"/>
              <w:spacing w:after="0"/>
              <w:rPr>
                <w:sz w:val="20"/>
                <w:szCs w:val="20"/>
                <w:color w:val="auto"/>
              </w:rPr>
            </w:pPr>
            <w:r>
              <w:rPr>
                <w:rFonts w:ascii="Arial" w:cs="Arial" w:eastAsia="Arial" w:hAnsi="Arial"/>
                <w:sz w:val="14"/>
                <w:szCs w:val="14"/>
                <w:color w:val="auto"/>
              </w:rPr>
              <w:t>Proceeds from disposals of property, plant and equipment</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968</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2,342</w:t>
            </w:r>
          </w:p>
        </w:tc>
        <w:tc>
          <w:tcPr>
            <w:tcW w:w="3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212</w:t>
            </w:r>
          </w:p>
        </w:tc>
      </w:tr>
      <w:tr>
        <w:trPr>
          <w:trHeight w:val="257"/>
        </w:trPr>
        <w:tc>
          <w:tcPr>
            <w:tcW w:w="6520" w:type="dxa"/>
            <w:vAlign w:val="bottom"/>
            <w:shd w:val="clear" w:color="auto" w:fill="E2EEF6"/>
          </w:tcPr>
          <w:p>
            <w:pPr>
              <w:ind w:left="180"/>
              <w:spacing w:after="0"/>
              <w:rPr>
                <w:sz w:val="20"/>
                <w:szCs w:val="20"/>
                <w:color w:val="auto"/>
              </w:rPr>
            </w:pPr>
            <w:r>
              <w:rPr>
                <w:rFonts w:ascii="Arial" w:cs="Arial" w:eastAsia="Arial" w:hAnsi="Arial"/>
                <w:sz w:val="14"/>
                <w:szCs w:val="14"/>
                <w:color w:val="auto"/>
              </w:rPr>
              <w:t>Proceeds from sale of investment</w:t>
            </w:r>
          </w:p>
        </w:tc>
        <w:tc>
          <w:tcPr>
            <w:tcW w:w="22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198</w:t>
            </w:r>
          </w:p>
        </w:tc>
        <w:tc>
          <w:tcPr>
            <w:tcW w:w="24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2EEF6"/>
          </w:tcPr>
          <w:p>
            <w:pPr>
              <w:spacing w:after="0"/>
              <w:rPr>
                <w:sz w:val="22"/>
                <w:szCs w:val="22"/>
                <w:color w:val="auto"/>
              </w:rPr>
            </w:pPr>
          </w:p>
        </w:tc>
        <w:tc>
          <w:tcPr>
            <w:tcW w:w="300" w:type="dxa"/>
            <w:vAlign w:val="bottom"/>
            <w:shd w:val="clear" w:color="auto" w:fill="E2EEF6"/>
          </w:tcPr>
          <w:p>
            <w:pPr>
              <w:spacing w:after="0"/>
              <w:rPr>
                <w:sz w:val="22"/>
                <w:szCs w:val="22"/>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w:t>
            </w:r>
          </w:p>
        </w:tc>
      </w:tr>
      <w:tr>
        <w:trPr>
          <w:trHeight w:val="243"/>
        </w:trPr>
        <w:tc>
          <w:tcPr>
            <w:tcW w:w="6520" w:type="dxa"/>
            <w:vAlign w:val="bottom"/>
          </w:tcPr>
          <w:p>
            <w:pPr>
              <w:ind w:left="180"/>
              <w:spacing w:after="0"/>
              <w:rPr>
                <w:sz w:val="20"/>
                <w:szCs w:val="20"/>
                <w:color w:val="auto"/>
              </w:rPr>
            </w:pPr>
            <w:r>
              <w:rPr>
                <w:rFonts w:ascii="Arial" w:cs="Arial" w:eastAsia="Arial" w:hAnsi="Arial"/>
                <w:sz w:val="14"/>
                <w:szCs w:val="14"/>
                <w:color w:val="auto"/>
              </w:rPr>
              <w:t>Acquisition of intangible asset</w:t>
            </w:r>
          </w:p>
        </w:tc>
        <w:tc>
          <w:tcPr>
            <w:tcW w:w="22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w:t>
            </w:r>
          </w:p>
        </w:tc>
        <w:tc>
          <w:tcPr>
            <w:tcW w:w="24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r>
      <w:tr>
        <w:trPr>
          <w:trHeight w:val="237"/>
        </w:trPr>
        <w:tc>
          <w:tcPr>
            <w:tcW w:w="6520" w:type="dxa"/>
            <w:vAlign w:val="bottom"/>
            <w:shd w:val="clear" w:color="auto" w:fill="E2EEF6"/>
          </w:tcPr>
          <w:p>
            <w:pPr>
              <w:ind w:left="500"/>
              <w:spacing w:after="0"/>
              <w:rPr>
                <w:sz w:val="20"/>
                <w:szCs w:val="20"/>
                <w:color w:val="auto"/>
              </w:rPr>
            </w:pPr>
            <w:r>
              <w:rPr>
                <w:rFonts w:ascii="Arial" w:cs="Arial" w:eastAsia="Arial" w:hAnsi="Arial"/>
                <w:sz w:val="14"/>
                <w:szCs w:val="14"/>
                <w:color w:val="auto"/>
              </w:rPr>
              <w:t>Net cash used by investing activities</w:t>
            </w:r>
          </w:p>
        </w:tc>
        <w:tc>
          <w:tcPr>
            <w:tcW w:w="220" w:type="dxa"/>
            <w:vAlign w:val="bottom"/>
            <w:shd w:val="clear" w:color="auto" w:fill="E2EEF6"/>
          </w:tcPr>
          <w:p>
            <w:pPr>
              <w:spacing w:after="0"/>
              <w:rPr>
                <w:sz w:val="20"/>
                <w:szCs w:val="20"/>
                <w:color w:val="auto"/>
              </w:rPr>
            </w:pPr>
          </w:p>
        </w:tc>
        <w:tc>
          <w:tcPr>
            <w:tcW w:w="860" w:type="dxa"/>
            <w:vAlign w:val="bottom"/>
            <w:shd w:val="clear" w:color="auto" w:fill="E2EEF6"/>
          </w:tcPr>
          <w:p>
            <w:pPr>
              <w:spacing w:after="0"/>
              <w:rPr>
                <w:sz w:val="20"/>
                <w:szCs w:val="20"/>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w w:val="95"/>
              </w:rPr>
              <w:t>(15,968)</w:t>
            </w:r>
          </w:p>
        </w:tc>
        <w:tc>
          <w:tcPr>
            <w:tcW w:w="240" w:type="dxa"/>
            <w:vAlign w:val="bottom"/>
            <w:shd w:val="clear" w:color="auto" w:fill="E2EEF6"/>
          </w:tcPr>
          <w:p>
            <w:pPr>
              <w:spacing w:after="0"/>
              <w:rPr>
                <w:sz w:val="20"/>
                <w:szCs w:val="20"/>
                <w:color w:val="auto"/>
              </w:rPr>
            </w:pPr>
          </w:p>
        </w:tc>
        <w:tc>
          <w:tcPr>
            <w:tcW w:w="860" w:type="dxa"/>
            <w:vAlign w:val="bottom"/>
            <w:shd w:val="clear" w:color="auto" w:fill="E2EEF6"/>
          </w:tcPr>
          <w:p>
            <w:pPr>
              <w:spacing w:after="0"/>
              <w:rPr>
                <w:sz w:val="20"/>
                <w:szCs w:val="20"/>
                <w:color w:val="auto"/>
              </w:rPr>
            </w:pPr>
          </w:p>
        </w:tc>
        <w:tc>
          <w:tcPr>
            <w:tcW w:w="740" w:type="dxa"/>
            <w:vAlign w:val="bottom"/>
            <w:gridSpan w:val="2"/>
            <w:shd w:val="clear" w:color="auto" w:fill="E2EEF6"/>
          </w:tcPr>
          <w:p>
            <w:pPr>
              <w:jc w:val="right"/>
              <w:ind w:right="220"/>
              <w:spacing w:after="0"/>
              <w:rPr>
                <w:sz w:val="20"/>
                <w:szCs w:val="20"/>
                <w:color w:val="auto"/>
              </w:rPr>
            </w:pPr>
            <w:r>
              <w:rPr>
                <w:rFonts w:ascii="Arial" w:cs="Arial" w:eastAsia="Arial" w:hAnsi="Arial"/>
                <w:sz w:val="14"/>
                <w:szCs w:val="14"/>
                <w:color w:val="auto"/>
              </w:rPr>
              <w:t>(9,620)</w:t>
            </w:r>
          </w:p>
        </w:tc>
        <w:tc>
          <w:tcPr>
            <w:tcW w:w="300" w:type="dxa"/>
            <w:vAlign w:val="bottom"/>
            <w:shd w:val="clear" w:color="auto" w:fill="E2EEF6"/>
          </w:tcPr>
          <w:p>
            <w:pPr>
              <w:spacing w:after="0"/>
              <w:rPr>
                <w:sz w:val="20"/>
                <w:szCs w:val="20"/>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(48,038)</w:t>
            </w:r>
          </w:p>
        </w:tc>
      </w:tr>
      <w:tr>
        <w:trPr>
          <w:trHeight w:val="250"/>
        </w:trPr>
        <w:tc>
          <w:tcPr>
            <w:tcW w:w="6520" w:type="dxa"/>
            <w:vAlign w:val="bottom"/>
            <w:tcBorders>
              <w:top w:val="single" w:sz="8" w:color="E2EEF6"/>
            </w:tcBorders>
          </w:tcPr>
          <w:p>
            <w:pPr>
              <w:spacing w:after="0"/>
              <w:rPr>
                <w:sz w:val="21"/>
                <w:szCs w:val="21"/>
                <w:color w:val="auto"/>
              </w:rPr>
            </w:pPr>
          </w:p>
        </w:tc>
        <w:tc>
          <w:tcPr>
            <w:tcW w:w="220" w:type="dxa"/>
            <w:vAlign w:val="bottom"/>
            <w:tcBorders>
              <w:top w:val="single" w:sz="8" w:color="E2EEF6"/>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40" w:type="dxa"/>
            <w:vAlign w:val="bottom"/>
            <w:tcBorders>
              <w:top w:val="single" w:sz="8" w:color="E2EEF6"/>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20" w:type="dxa"/>
            <w:vAlign w:val="bottom"/>
            <w:tcBorders>
              <w:top w:val="single" w:sz="8" w:color="E2EEF6"/>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E2EEF6"/>
            </w:tcBorders>
          </w:tcPr>
          <w:p>
            <w:pPr>
              <w:spacing w:after="0"/>
              <w:rPr>
                <w:sz w:val="21"/>
                <w:szCs w:val="21"/>
                <w:color w:val="auto"/>
              </w:rPr>
            </w:pPr>
          </w:p>
        </w:tc>
      </w:tr>
      <w:tr>
        <w:trPr>
          <w:trHeight w:val="257"/>
        </w:trPr>
        <w:tc>
          <w:tcPr>
            <w:tcW w:w="6520" w:type="dxa"/>
            <w:vAlign w:val="bottom"/>
            <w:shd w:val="clear" w:color="auto" w:fill="E2EEF6"/>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spacing w:after="0"/>
              <w:rPr>
                <w:sz w:val="22"/>
                <w:szCs w:val="22"/>
                <w:color w:val="auto"/>
              </w:rPr>
            </w:pPr>
          </w:p>
        </w:tc>
        <w:tc>
          <w:tcPr>
            <w:tcW w:w="24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spacing w:after="0"/>
              <w:rPr>
                <w:sz w:val="22"/>
                <w:szCs w:val="22"/>
                <w:color w:val="auto"/>
              </w:rPr>
            </w:pPr>
          </w:p>
        </w:tc>
        <w:tc>
          <w:tcPr>
            <w:tcW w:w="220" w:type="dxa"/>
            <w:vAlign w:val="bottom"/>
            <w:shd w:val="clear" w:color="auto" w:fill="E2EEF6"/>
          </w:tcPr>
          <w:p>
            <w:pPr>
              <w:spacing w:after="0"/>
              <w:rPr>
                <w:sz w:val="22"/>
                <w:szCs w:val="22"/>
                <w:color w:val="auto"/>
              </w:rPr>
            </w:pPr>
          </w:p>
        </w:tc>
        <w:tc>
          <w:tcPr>
            <w:tcW w:w="300" w:type="dxa"/>
            <w:vAlign w:val="bottom"/>
            <w:shd w:val="clear" w:color="auto" w:fill="E2EEF6"/>
          </w:tcPr>
          <w:p>
            <w:pPr>
              <w:spacing w:after="0"/>
              <w:rPr>
                <w:sz w:val="22"/>
                <w:szCs w:val="22"/>
                <w:color w:val="auto"/>
              </w:rPr>
            </w:pPr>
          </w:p>
        </w:tc>
        <w:tc>
          <w:tcPr>
            <w:tcW w:w="1060" w:type="dxa"/>
            <w:vAlign w:val="bottom"/>
            <w:shd w:val="clear" w:color="auto" w:fill="E2EEF6"/>
          </w:tcPr>
          <w:p>
            <w:pPr>
              <w:spacing w:after="0"/>
              <w:rPr>
                <w:sz w:val="22"/>
                <w:szCs w:val="22"/>
                <w:color w:val="auto"/>
              </w:rPr>
            </w:pPr>
          </w:p>
        </w:tc>
        <w:tc>
          <w:tcPr>
            <w:tcW w:w="100" w:type="dxa"/>
            <w:vAlign w:val="bottom"/>
            <w:shd w:val="clear" w:color="auto" w:fill="E2EEF6"/>
          </w:tcPr>
          <w:p>
            <w:pPr>
              <w:spacing w:after="0"/>
              <w:rPr>
                <w:sz w:val="22"/>
                <w:szCs w:val="22"/>
                <w:color w:val="auto"/>
              </w:rPr>
            </w:pPr>
          </w:p>
        </w:tc>
      </w:tr>
      <w:tr>
        <w:trPr>
          <w:trHeight w:val="257"/>
        </w:trPr>
        <w:tc>
          <w:tcPr>
            <w:tcW w:w="6520" w:type="dxa"/>
            <w:vAlign w:val="bottom"/>
          </w:tcPr>
          <w:p>
            <w:pPr>
              <w:ind w:left="180"/>
              <w:spacing w:after="0"/>
              <w:rPr>
                <w:sz w:val="20"/>
                <w:szCs w:val="20"/>
                <w:color w:val="auto"/>
              </w:rPr>
            </w:pPr>
            <w:r>
              <w:rPr>
                <w:rFonts w:ascii="Arial" w:cs="Arial" w:eastAsia="Arial" w:hAnsi="Arial"/>
                <w:sz w:val="14"/>
                <w:szCs w:val="14"/>
                <w:color w:val="auto"/>
              </w:rPr>
              <w:t>Proceeds from long-term debt</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40,000</w:t>
            </w:r>
          </w:p>
        </w:tc>
        <w:tc>
          <w:tcPr>
            <w:tcW w:w="3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90,332</w:t>
            </w:r>
          </w:p>
        </w:tc>
      </w:tr>
      <w:tr>
        <w:trPr>
          <w:trHeight w:val="257"/>
        </w:trPr>
        <w:tc>
          <w:tcPr>
            <w:tcW w:w="6520" w:type="dxa"/>
            <w:vAlign w:val="bottom"/>
            <w:shd w:val="clear" w:color="auto" w:fill="E2EEF6"/>
          </w:tcPr>
          <w:p>
            <w:pPr>
              <w:ind w:left="180"/>
              <w:spacing w:after="0"/>
              <w:rPr>
                <w:sz w:val="20"/>
                <w:szCs w:val="20"/>
                <w:color w:val="auto"/>
              </w:rPr>
            </w:pPr>
            <w:r>
              <w:rPr>
                <w:rFonts w:ascii="Arial" w:cs="Arial" w:eastAsia="Arial" w:hAnsi="Arial"/>
                <w:sz w:val="14"/>
                <w:szCs w:val="14"/>
                <w:color w:val="auto"/>
              </w:rPr>
              <w:t>Debt issue costs paid</w:t>
            </w:r>
          </w:p>
        </w:tc>
        <w:tc>
          <w:tcPr>
            <w:tcW w:w="22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(64)</w:t>
            </w:r>
          </w:p>
        </w:tc>
        <w:tc>
          <w:tcPr>
            <w:tcW w:w="24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(839)</w:t>
            </w:r>
          </w:p>
        </w:tc>
        <w:tc>
          <w:tcPr>
            <w:tcW w:w="220" w:type="dxa"/>
            <w:vAlign w:val="bottom"/>
            <w:shd w:val="clear" w:color="auto" w:fill="E2EEF6"/>
          </w:tcPr>
          <w:p>
            <w:pPr>
              <w:spacing w:after="0"/>
              <w:rPr>
                <w:sz w:val="22"/>
                <w:szCs w:val="22"/>
                <w:color w:val="auto"/>
              </w:rPr>
            </w:pPr>
          </w:p>
        </w:tc>
        <w:tc>
          <w:tcPr>
            <w:tcW w:w="300" w:type="dxa"/>
            <w:vAlign w:val="bottom"/>
            <w:shd w:val="clear" w:color="auto" w:fill="E2EEF6"/>
          </w:tcPr>
          <w:p>
            <w:pPr>
              <w:spacing w:after="0"/>
              <w:rPr>
                <w:sz w:val="22"/>
                <w:szCs w:val="22"/>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(939)</w:t>
            </w:r>
          </w:p>
        </w:tc>
      </w:tr>
      <w:tr>
        <w:trPr>
          <w:trHeight w:val="257"/>
        </w:trPr>
        <w:tc>
          <w:tcPr>
            <w:tcW w:w="6520" w:type="dxa"/>
            <w:vAlign w:val="bottom"/>
          </w:tcPr>
          <w:p>
            <w:pPr>
              <w:ind w:left="180"/>
              <w:spacing w:after="0"/>
              <w:rPr>
                <w:sz w:val="20"/>
                <w:szCs w:val="20"/>
                <w:color w:val="auto"/>
              </w:rPr>
            </w:pPr>
            <w:r>
              <w:rPr>
                <w:rFonts w:ascii="Arial" w:cs="Arial" w:eastAsia="Arial" w:hAnsi="Arial"/>
                <w:sz w:val="14"/>
                <w:szCs w:val="14"/>
                <w:color w:val="auto"/>
              </w:rPr>
              <w:t>Proceeds from bank overdrafts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120</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37</w:t>
            </w:r>
          </w:p>
        </w:tc>
      </w:tr>
      <w:tr>
        <w:trPr>
          <w:trHeight w:val="257"/>
        </w:trPr>
        <w:tc>
          <w:tcPr>
            <w:tcW w:w="6520" w:type="dxa"/>
            <w:vAlign w:val="bottom"/>
            <w:shd w:val="clear" w:color="auto" w:fill="E2EEF6"/>
          </w:tcPr>
          <w:p>
            <w:pPr>
              <w:ind w:left="180"/>
              <w:spacing w:after="0"/>
              <w:rPr>
                <w:sz w:val="20"/>
                <w:szCs w:val="20"/>
                <w:color w:val="auto"/>
              </w:rPr>
            </w:pPr>
            <w:r>
              <w:rPr>
                <w:rFonts w:ascii="Arial" w:cs="Arial" w:eastAsia="Arial" w:hAnsi="Arial"/>
                <w:sz w:val="14"/>
                <w:szCs w:val="14"/>
                <w:color w:val="auto"/>
              </w:rPr>
              <w:t>Repayment of long-term debt</w:t>
            </w:r>
          </w:p>
        </w:tc>
        <w:tc>
          <w:tcPr>
            <w:tcW w:w="22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(9,922)</w:t>
            </w:r>
          </w:p>
        </w:tc>
        <w:tc>
          <w:tcPr>
            <w:tcW w:w="24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740" w:type="dxa"/>
            <w:vAlign w:val="bottom"/>
            <w:gridSpan w:val="2"/>
            <w:shd w:val="clear" w:color="auto" w:fill="E2EEF6"/>
          </w:tcPr>
          <w:p>
            <w:pPr>
              <w:jc w:val="right"/>
              <w:ind w:right="220"/>
              <w:spacing w:after="0"/>
              <w:rPr>
                <w:sz w:val="20"/>
                <w:szCs w:val="20"/>
                <w:color w:val="auto"/>
              </w:rPr>
            </w:pPr>
            <w:r>
              <w:rPr>
                <w:rFonts w:ascii="Arial" w:cs="Arial" w:eastAsia="Arial" w:hAnsi="Arial"/>
                <w:sz w:val="14"/>
                <w:szCs w:val="14"/>
                <w:color w:val="auto"/>
                <w:w w:val="95"/>
              </w:rPr>
              <w:t>(49,408)</w:t>
            </w:r>
          </w:p>
        </w:tc>
        <w:tc>
          <w:tcPr>
            <w:tcW w:w="300" w:type="dxa"/>
            <w:vAlign w:val="bottom"/>
            <w:shd w:val="clear" w:color="auto" w:fill="E2EEF6"/>
          </w:tcPr>
          <w:p>
            <w:pPr>
              <w:spacing w:after="0"/>
              <w:rPr>
                <w:sz w:val="22"/>
                <w:szCs w:val="22"/>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(64,196)</w:t>
            </w:r>
          </w:p>
        </w:tc>
      </w:tr>
      <w:tr>
        <w:trPr>
          <w:trHeight w:val="257"/>
        </w:trPr>
        <w:tc>
          <w:tcPr>
            <w:tcW w:w="6520" w:type="dxa"/>
            <w:vAlign w:val="bottom"/>
          </w:tcPr>
          <w:p>
            <w:pPr>
              <w:ind w:left="180"/>
              <w:spacing w:after="0"/>
              <w:rPr>
                <w:sz w:val="20"/>
                <w:szCs w:val="20"/>
                <w:color w:val="auto"/>
              </w:rPr>
            </w:pPr>
            <w:r>
              <w:rPr>
                <w:rFonts w:ascii="Arial" w:cs="Arial" w:eastAsia="Arial" w:hAnsi="Arial"/>
                <w:sz w:val="14"/>
                <w:szCs w:val="14"/>
                <w:color w:val="auto"/>
              </w:rPr>
              <w:t>Proceeds (repayment) of short-term debt</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3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2,000</w:t>
            </w:r>
          </w:p>
        </w:tc>
      </w:tr>
      <w:tr>
        <w:trPr>
          <w:trHeight w:val="257"/>
        </w:trPr>
        <w:tc>
          <w:tcPr>
            <w:tcW w:w="6520" w:type="dxa"/>
            <w:vAlign w:val="bottom"/>
            <w:shd w:val="clear" w:color="auto" w:fill="E2EEF6"/>
          </w:tcPr>
          <w:p>
            <w:pPr>
              <w:ind w:left="180"/>
              <w:spacing w:after="0"/>
              <w:rPr>
                <w:sz w:val="20"/>
                <w:szCs w:val="20"/>
                <w:color w:val="auto"/>
              </w:rPr>
            </w:pPr>
            <w:r>
              <w:rPr>
                <w:rFonts w:ascii="Arial" w:cs="Arial" w:eastAsia="Arial" w:hAnsi="Arial"/>
                <w:sz w:val="14"/>
                <w:szCs w:val="14"/>
                <w:color w:val="auto"/>
              </w:rPr>
              <w:t>Proceeds from issuance of stock and exercise of stock options</w:t>
            </w:r>
          </w:p>
        </w:tc>
        <w:tc>
          <w:tcPr>
            <w:tcW w:w="22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2,806</w:t>
            </w:r>
          </w:p>
        </w:tc>
        <w:tc>
          <w:tcPr>
            <w:tcW w:w="24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463</w:t>
            </w:r>
          </w:p>
        </w:tc>
        <w:tc>
          <w:tcPr>
            <w:tcW w:w="220" w:type="dxa"/>
            <w:vAlign w:val="bottom"/>
            <w:shd w:val="clear" w:color="auto" w:fill="E2EEF6"/>
          </w:tcPr>
          <w:p>
            <w:pPr>
              <w:spacing w:after="0"/>
              <w:rPr>
                <w:sz w:val="22"/>
                <w:szCs w:val="22"/>
                <w:color w:val="auto"/>
              </w:rPr>
            </w:pPr>
          </w:p>
        </w:tc>
        <w:tc>
          <w:tcPr>
            <w:tcW w:w="300" w:type="dxa"/>
            <w:vAlign w:val="bottom"/>
            <w:shd w:val="clear" w:color="auto" w:fill="E2EEF6"/>
          </w:tcPr>
          <w:p>
            <w:pPr>
              <w:spacing w:after="0"/>
              <w:rPr>
                <w:sz w:val="22"/>
                <w:szCs w:val="22"/>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5,579</w:t>
            </w:r>
          </w:p>
        </w:tc>
      </w:tr>
      <w:tr>
        <w:trPr>
          <w:trHeight w:val="257"/>
        </w:trPr>
        <w:tc>
          <w:tcPr>
            <w:tcW w:w="6520" w:type="dxa"/>
            <w:vAlign w:val="bottom"/>
          </w:tcPr>
          <w:p>
            <w:pPr>
              <w:ind w:left="180"/>
              <w:spacing w:after="0"/>
              <w:rPr>
                <w:sz w:val="20"/>
                <w:szCs w:val="20"/>
                <w:color w:val="auto"/>
              </w:rPr>
            </w:pPr>
            <w:r>
              <w:rPr>
                <w:rFonts w:ascii="Arial" w:cs="Arial" w:eastAsia="Arial" w:hAnsi="Arial"/>
                <w:sz w:val="14"/>
                <w:szCs w:val="14"/>
                <w:color w:val="auto"/>
              </w:rPr>
              <w:t>Cash dividends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(5,470)</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(5,357)</w:t>
            </w:r>
          </w:p>
        </w:tc>
        <w:tc>
          <w:tcPr>
            <w:tcW w:w="3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(5,231)</w:t>
            </w:r>
          </w:p>
        </w:tc>
      </w:tr>
      <w:tr>
        <w:trPr>
          <w:trHeight w:val="243"/>
        </w:trPr>
        <w:tc>
          <w:tcPr>
            <w:tcW w:w="6520" w:type="dxa"/>
            <w:vAlign w:val="bottom"/>
            <w:tcBorders>
              <w:bottom w:val="single" w:sz="8" w:color="E2EEF6"/>
            </w:tcBorders>
            <w:shd w:val="clear" w:color="auto" w:fill="E2EEF6"/>
          </w:tcPr>
          <w:p>
            <w:pPr>
              <w:ind w:left="180"/>
              <w:spacing w:after="0"/>
              <w:rPr>
                <w:sz w:val="20"/>
                <w:szCs w:val="20"/>
                <w:color w:val="auto"/>
              </w:rPr>
            </w:pPr>
            <w:r>
              <w:rPr>
                <w:rFonts w:ascii="Arial" w:cs="Arial" w:eastAsia="Arial" w:hAnsi="Arial"/>
                <w:sz w:val="14"/>
                <w:szCs w:val="14"/>
                <w:color w:val="auto"/>
              </w:rPr>
              <w:t>Other financing activity</w:t>
            </w:r>
          </w:p>
        </w:tc>
        <w:tc>
          <w:tcPr>
            <w:tcW w:w="220" w:type="dxa"/>
            <w:vAlign w:val="bottom"/>
            <w:tcBorders>
              <w:bottom w:val="single" w:sz="8" w:color="E2EEF6"/>
            </w:tcBorders>
            <w:shd w:val="clear" w:color="auto" w:fill="E2EEF6"/>
          </w:tcPr>
          <w:p>
            <w:pPr>
              <w:spacing w:after="0"/>
              <w:rPr>
                <w:sz w:val="21"/>
                <w:szCs w:val="21"/>
                <w:color w:val="auto"/>
              </w:rPr>
            </w:pPr>
          </w:p>
        </w:tc>
        <w:tc>
          <w:tcPr>
            <w:tcW w:w="860" w:type="dxa"/>
            <w:vAlign w:val="bottom"/>
            <w:tcBorders>
              <w:bottom w:val="single" w:sz="8" w:color="auto"/>
            </w:tcBorders>
            <w:shd w:val="clear" w:color="auto" w:fill="E2EEF6"/>
          </w:tcPr>
          <w:p>
            <w:pPr>
              <w:spacing w:after="0"/>
              <w:rPr>
                <w:sz w:val="21"/>
                <w:szCs w:val="21"/>
                <w:color w:val="auto"/>
              </w:rPr>
            </w:pPr>
          </w:p>
        </w:tc>
        <w:tc>
          <w:tcPr>
            <w:tcW w:w="5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4"/>
                <w:szCs w:val="14"/>
                <w:color w:val="auto"/>
              </w:rPr>
              <w:t>(8)</w:t>
            </w:r>
          </w:p>
        </w:tc>
        <w:tc>
          <w:tcPr>
            <w:tcW w:w="240" w:type="dxa"/>
            <w:vAlign w:val="bottom"/>
            <w:tcBorders>
              <w:bottom w:val="single" w:sz="8" w:color="E2EEF6"/>
            </w:tcBorders>
            <w:shd w:val="clear" w:color="auto" w:fill="E2EEF6"/>
          </w:tcPr>
          <w:p>
            <w:pPr>
              <w:spacing w:after="0"/>
              <w:rPr>
                <w:sz w:val="21"/>
                <w:szCs w:val="21"/>
                <w:color w:val="auto"/>
              </w:rPr>
            </w:pPr>
          </w:p>
        </w:tc>
        <w:tc>
          <w:tcPr>
            <w:tcW w:w="860" w:type="dxa"/>
            <w:vAlign w:val="bottom"/>
            <w:tcBorders>
              <w:bottom w:val="single" w:sz="8" w:color="auto"/>
            </w:tcBorders>
            <w:shd w:val="clear" w:color="auto" w:fill="E2EEF6"/>
          </w:tcPr>
          <w:p>
            <w:pPr>
              <w:spacing w:after="0"/>
              <w:rPr>
                <w:sz w:val="21"/>
                <w:szCs w:val="21"/>
                <w:color w:val="auto"/>
              </w:rPr>
            </w:pPr>
          </w:p>
        </w:tc>
        <w:tc>
          <w:tcPr>
            <w:tcW w:w="5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E2EEF6"/>
            </w:tcBorders>
            <w:shd w:val="clear" w:color="auto" w:fill="E2EEF6"/>
          </w:tcPr>
          <w:p>
            <w:pPr>
              <w:spacing w:after="0"/>
              <w:rPr>
                <w:sz w:val="21"/>
                <w:szCs w:val="21"/>
                <w:color w:val="auto"/>
              </w:rPr>
            </w:pPr>
          </w:p>
        </w:tc>
        <w:tc>
          <w:tcPr>
            <w:tcW w:w="300" w:type="dxa"/>
            <w:vAlign w:val="bottom"/>
            <w:tcBorders>
              <w:bottom w:val="single" w:sz="8" w:color="auto"/>
            </w:tcBorders>
            <w:shd w:val="clear" w:color="auto" w:fill="E2EEF6"/>
          </w:tcPr>
          <w:p>
            <w:pPr>
              <w:spacing w:after="0"/>
              <w:rPr>
                <w:sz w:val="21"/>
                <w:szCs w:val="21"/>
                <w:color w:val="auto"/>
              </w:rPr>
            </w:pPr>
          </w:p>
        </w:tc>
        <w:tc>
          <w:tcPr>
            <w:tcW w:w="10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2EEF6"/>
            </w:tcBorders>
            <w:shd w:val="clear" w:color="auto" w:fill="E2EEF6"/>
          </w:tcPr>
          <w:p>
            <w:pPr>
              <w:spacing w:after="0"/>
              <w:rPr>
                <w:sz w:val="21"/>
                <w:szCs w:val="21"/>
                <w:color w:val="auto"/>
              </w:rPr>
            </w:pPr>
          </w:p>
        </w:tc>
      </w:tr>
      <w:tr>
        <w:trPr>
          <w:trHeight w:val="237"/>
        </w:trPr>
        <w:tc>
          <w:tcPr>
            <w:tcW w:w="6520" w:type="dxa"/>
            <w:vAlign w:val="bottom"/>
          </w:tcPr>
          <w:p>
            <w:pPr>
              <w:ind w:left="500"/>
              <w:spacing w:after="0"/>
              <w:rPr>
                <w:sz w:val="20"/>
                <w:szCs w:val="20"/>
                <w:color w:val="auto"/>
              </w:rPr>
            </w:pPr>
            <w:r>
              <w:rPr>
                <w:rFonts w:ascii="Arial" w:cs="Arial" w:eastAsia="Arial" w:hAnsi="Arial"/>
                <w:sz w:val="14"/>
                <w:szCs w:val="14"/>
                <w:color w:val="auto"/>
              </w:rPr>
              <w:t>Net cash provided (used) by financing activities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5"/>
              </w:rPr>
              <w:t>(12,538)</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(17,141)</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27,582</w:t>
            </w:r>
          </w:p>
        </w:tc>
      </w:tr>
      <w:tr>
        <w:trPr>
          <w:trHeight w:val="250"/>
        </w:trPr>
        <w:tc>
          <w:tcPr>
            <w:tcW w:w="6520" w:type="dxa"/>
            <w:vAlign w:val="bottom"/>
            <w:tcBorders>
              <w:top w:val="single" w:sz="8" w:color="E2EEF6"/>
            </w:tcBorders>
            <w:shd w:val="clear" w:color="auto" w:fill="E2EEF6"/>
          </w:tcPr>
          <w:p>
            <w:pPr>
              <w:spacing w:after="0"/>
              <w:rPr>
                <w:sz w:val="21"/>
                <w:szCs w:val="21"/>
                <w:color w:val="auto"/>
              </w:rPr>
            </w:pPr>
          </w:p>
        </w:tc>
        <w:tc>
          <w:tcPr>
            <w:tcW w:w="220" w:type="dxa"/>
            <w:vAlign w:val="bottom"/>
            <w:tcBorders>
              <w:top w:val="single" w:sz="8" w:color="E2EEF6"/>
            </w:tcBorders>
            <w:shd w:val="clear" w:color="auto" w:fill="E2EEF6"/>
          </w:tcPr>
          <w:p>
            <w:pPr>
              <w:spacing w:after="0"/>
              <w:rPr>
                <w:sz w:val="21"/>
                <w:szCs w:val="21"/>
                <w:color w:val="auto"/>
              </w:rPr>
            </w:pPr>
          </w:p>
        </w:tc>
        <w:tc>
          <w:tcPr>
            <w:tcW w:w="860" w:type="dxa"/>
            <w:vAlign w:val="bottom"/>
            <w:tcBorders>
              <w:top w:val="single" w:sz="8" w:color="auto"/>
            </w:tcBorders>
            <w:shd w:val="clear" w:color="auto" w:fill="E2EEF6"/>
          </w:tcPr>
          <w:p>
            <w:pPr>
              <w:spacing w:after="0"/>
              <w:rPr>
                <w:sz w:val="21"/>
                <w:szCs w:val="21"/>
                <w:color w:val="auto"/>
              </w:rPr>
            </w:pPr>
          </w:p>
        </w:tc>
        <w:tc>
          <w:tcPr>
            <w:tcW w:w="520" w:type="dxa"/>
            <w:vAlign w:val="bottom"/>
            <w:tcBorders>
              <w:top w:val="single" w:sz="8" w:color="auto"/>
            </w:tcBorders>
            <w:shd w:val="clear" w:color="auto" w:fill="E2EEF6"/>
          </w:tcPr>
          <w:p>
            <w:pPr>
              <w:spacing w:after="0"/>
              <w:rPr>
                <w:sz w:val="21"/>
                <w:szCs w:val="21"/>
                <w:color w:val="auto"/>
              </w:rPr>
            </w:pPr>
          </w:p>
        </w:tc>
        <w:tc>
          <w:tcPr>
            <w:tcW w:w="240" w:type="dxa"/>
            <w:vAlign w:val="bottom"/>
            <w:tcBorders>
              <w:top w:val="single" w:sz="8" w:color="E2EEF6"/>
            </w:tcBorders>
            <w:shd w:val="clear" w:color="auto" w:fill="E2EEF6"/>
          </w:tcPr>
          <w:p>
            <w:pPr>
              <w:spacing w:after="0"/>
              <w:rPr>
                <w:sz w:val="21"/>
                <w:szCs w:val="21"/>
                <w:color w:val="auto"/>
              </w:rPr>
            </w:pPr>
          </w:p>
        </w:tc>
        <w:tc>
          <w:tcPr>
            <w:tcW w:w="860" w:type="dxa"/>
            <w:vAlign w:val="bottom"/>
            <w:tcBorders>
              <w:top w:val="single" w:sz="8" w:color="auto"/>
            </w:tcBorders>
            <w:shd w:val="clear" w:color="auto" w:fill="E2EEF6"/>
          </w:tcPr>
          <w:p>
            <w:pPr>
              <w:spacing w:after="0"/>
              <w:rPr>
                <w:sz w:val="21"/>
                <w:szCs w:val="21"/>
                <w:color w:val="auto"/>
              </w:rPr>
            </w:pPr>
          </w:p>
        </w:tc>
        <w:tc>
          <w:tcPr>
            <w:tcW w:w="520" w:type="dxa"/>
            <w:vAlign w:val="bottom"/>
            <w:tcBorders>
              <w:top w:val="single" w:sz="8" w:color="auto"/>
            </w:tcBorders>
            <w:shd w:val="clear" w:color="auto" w:fill="E2EEF6"/>
          </w:tcPr>
          <w:p>
            <w:pPr>
              <w:spacing w:after="0"/>
              <w:rPr>
                <w:sz w:val="21"/>
                <w:szCs w:val="21"/>
                <w:color w:val="auto"/>
              </w:rPr>
            </w:pPr>
          </w:p>
        </w:tc>
        <w:tc>
          <w:tcPr>
            <w:tcW w:w="220" w:type="dxa"/>
            <w:vAlign w:val="bottom"/>
            <w:tcBorders>
              <w:top w:val="single" w:sz="8" w:color="E2EEF6"/>
            </w:tcBorders>
            <w:shd w:val="clear" w:color="auto" w:fill="E2EEF6"/>
          </w:tcPr>
          <w:p>
            <w:pPr>
              <w:spacing w:after="0"/>
              <w:rPr>
                <w:sz w:val="21"/>
                <w:szCs w:val="21"/>
                <w:color w:val="auto"/>
              </w:rPr>
            </w:pPr>
          </w:p>
        </w:tc>
        <w:tc>
          <w:tcPr>
            <w:tcW w:w="300" w:type="dxa"/>
            <w:vAlign w:val="bottom"/>
            <w:tcBorders>
              <w:top w:val="single" w:sz="8" w:color="auto"/>
            </w:tcBorders>
            <w:shd w:val="clear" w:color="auto" w:fill="E2EEF6"/>
          </w:tcPr>
          <w:p>
            <w:pPr>
              <w:spacing w:after="0"/>
              <w:rPr>
                <w:sz w:val="21"/>
                <w:szCs w:val="21"/>
                <w:color w:val="auto"/>
              </w:rPr>
            </w:pPr>
          </w:p>
        </w:tc>
        <w:tc>
          <w:tcPr>
            <w:tcW w:w="1060" w:type="dxa"/>
            <w:vAlign w:val="bottom"/>
            <w:tcBorders>
              <w:top w:val="single" w:sz="8" w:color="auto"/>
            </w:tcBorders>
            <w:shd w:val="clear" w:color="auto" w:fill="E2EEF6"/>
          </w:tcPr>
          <w:p>
            <w:pPr>
              <w:spacing w:after="0"/>
              <w:rPr>
                <w:sz w:val="21"/>
                <w:szCs w:val="21"/>
                <w:color w:val="auto"/>
              </w:rPr>
            </w:pPr>
          </w:p>
        </w:tc>
        <w:tc>
          <w:tcPr>
            <w:tcW w:w="100" w:type="dxa"/>
            <w:vAlign w:val="bottom"/>
            <w:tcBorders>
              <w:top w:val="single" w:sz="8" w:color="E2EEF6"/>
            </w:tcBorders>
            <w:shd w:val="clear" w:color="auto" w:fill="E2EEF6"/>
          </w:tcPr>
          <w:p>
            <w:pPr>
              <w:spacing w:after="0"/>
              <w:rPr>
                <w:sz w:val="21"/>
                <w:szCs w:val="21"/>
                <w:color w:val="auto"/>
              </w:rPr>
            </w:pPr>
          </w:p>
        </w:tc>
      </w:tr>
      <w:tr>
        <w:trPr>
          <w:trHeight w:val="257"/>
        </w:trPr>
        <w:tc>
          <w:tcPr>
            <w:tcW w:w="6520" w:type="dxa"/>
            <w:vAlign w:val="bottom"/>
          </w:tcPr>
          <w:p>
            <w:pPr>
              <w:spacing w:after="0"/>
              <w:rPr>
                <w:sz w:val="20"/>
                <w:szCs w:val="20"/>
                <w:color w:val="auto"/>
              </w:rPr>
            </w:pPr>
            <w:r>
              <w:rPr>
                <w:rFonts w:ascii="Arial" w:cs="Arial" w:eastAsia="Arial" w:hAnsi="Arial"/>
                <w:sz w:val="14"/>
                <w:szCs w:val="14"/>
                <w:color w:val="auto"/>
              </w:rPr>
              <w:t>Effect of exchange rate changes on cash flows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(1,425)</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983</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829</w:t>
            </w:r>
          </w:p>
        </w:tc>
      </w:tr>
      <w:tr>
        <w:trPr>
          <w:trHeight w:val="257"/>
        </w:trPr>
        <w:tc>
          <w:tcPr>
            <w:tcW w:w="6520" w:type="dxa"/>
            <w:vAlign w:val="bottom"/>
            <w:shd w:val="clear" w:color="auto" w:fill="E2EEF6"/>
          </w:tcPr>
          <w:p>
            <w:pPr>
              <w:spacing w:after="0"/>
              <w:rPr>
                <w:sz w:val="22"/>
                <w:szCs w:val="22"/>
                <w:color w:val="auto"/>
              </w:rPr>
            </w:pPr>
          </w:p>
        </w:tc>
        <w:tc>
          <w:tcPr>
            <w:tcW w:w="22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spacing w:after="0"/>
              <w:rPr>
                <w:sz w:val="22"/>
                <w:szCs w:val="22"/>
                <w:color w:val="auto"/>
              </w:rPr>
            </w:pPr>
          </w:p>
        </w:tc>
        <w:tc>
          <w:tcPr>
            <w:tcW w:w="240" w:type="dxa"/>
            <w:vAlign w:val="bottom"/>
            <w:shd w:val="clear" w:color="auto" w:fill="E2EEF6"/>
          </w:tcPr>
          <w:p>
            <w:pPr>
              <w:spacing w:after="0"/>
              <w:rPr>
                <w:sz w:val="22"/>
                <w:szCs w:val="22"/>
                <w:color w:val="auto"/>
              </w:rPr>
            </w:pPr>
          </w:p>
        </w:tc>
        <w:tc>
          <w:tcPr>
            <w:tcW w:w="860" w:type="dxa"/>
            <w:vAlign w:val="bottom"/>
            <w:shd w:val="clear" w:color="auto" w:fill="E2EEF6"/>
          </w:tcPr>
          <w:p>
            <w:pPr>
              <w:spacing w:after="0"/>
              <w:rPr>
                <w:sz w:val="22"/>
                <w:szCs w:val="22"/>
                <w:color w:val="auto"/>
              </w:rPr>
            </w:pPr>
          </w:p>
        </w:tc>
        <w:tc>
          <w:tcPr>
            <w:tcW w:w="520" w:type="dxa"/>
            <w:vAlign w:val="bottom"/>
            <w:shd w:val="clear" w:color="auto" w:fill="E2EEF6"/>
          </w:tcPr>
          <w:p>
            <w:pPr>
              <w:spacing w:after="0"/>
              <w:rPr>
                <w:sz w:val="22"/>
                <w:szCs w:val="22"/>
                <w:color w:val="auto"/>
              </w:rPr>
            </w:pPr>
          </w:p>
        </w:tc>
        <w:tc>
          <w:tcPr>
            <w:tcW w:w="220" w:type="dxa"/>
            <w:vAlign w:val="bottom"/>
            <w:shd w:val="clear" w:color="auto" w:fill="E2EEF6"/>
          </w:tcPr>
          <w:p>
            <w:pPr>
              <w:spacing w:after="0"/>
              <w:rPr>
                <w:sz w:val="22"/>
                <w:szCs w:val="22"/>
                <w:color w:val="auto"/>
              </w:rPr>
            </w:pPr>
          </w:p>
        </w:tc>
        <w:tc>
          <w:tcPr>
            <w:tcW w:w="300" w:type="dxa"/>
            <w:vAlign w:val="bottom"/>
            <w:shd w:val="clear" w:color="auto" w:fill="E2EEF6"/>
          </w:tcPr>
          <w:p>
            <w:pPr>
              <w:spacing w:after="0"/>
              <w:rPr>
                <w:sz w:val="22"/>
                <w:szCs w:val="22"/>
                <w:color w:val="auto"/>
              </w:rPr>
            </w:pPr>
          </w:p>
        </w:tc>
        <w:tc>
          <w:tcPr>
            <w:tcW w:w="1060" w:type="dxa"/>
            <w:vAlign w:val="bottom"/>
            <w:shd w:val="clear" w:color="auto" w:fill="E2EEF6"/>
          </w:tcPr>
          <w:p>
            <w:pPr>
              <w:spacing w:after="0"/>
              <w:rPr>
                <w:sz w:val="22"/>
                <w:szCs w:val="22"/>
                <w:color w:val="auto"/>
              </w:rPr>
            </w:pPr>
          </w:p>
        </w:tc>
        <w:tc>
          <w:tcPr>
            <w:tcW w:w="100" w:type="dxa"/>
            <w:vAlign w:val="bottom"/>
            <w:shd w:val="clear" w:color="auto" w:fill="E2EEF6"/>
          </w:tcPr>
          <w:p>
            <w:pPr>
              <w:spacing w:after="0"/>
              <w:rPr>
                <w:sz w:val="22"/>
                <w:szCs w:val="22"/>
                <w:color w:val="auto"/>
              </w:rPr>
            </w:pPr>
          </w:p>
        </w:tc>
      </w:tr>
      <w:tr>
        <w:trPr>
          <w:trHeight w:val="257"/>
        </w:trPr>
        <w:tc>
          <w:tcPr>
            <w:tcW w:w="6520" w:type="dxa"/>
            <w:vAlign w:val="bottom"/>
          </w:tcPr>
          <w:p>
            <w:pPr>
              <w:spacing w:after="0"/>
              <w:rPr>
                <w:sz w:val="20"/>
                <w:szCs w:val="20"/>
                <w:color w:val="auto"/>
              </w:rPr>
            </w:pPr>
            <w:r>
              <w:rPr>
                <w:rFonts w:ascii="Arial" w:cs="Arial" w:eastAsia="Arial" w:hAnsi="Arial"/>
                <w:sz w:val="14"/>
                <w:szCs w:val="14"/>
                <w:color w:val="auto"/>
              </w:rPr>
              <w:t>Net change in cash and cash equivalents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84</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5,794</w:t>
            </w:r>
          </w:p>
        </w:tc>
        <w:tc>
          <w:tcPr>
            <w:tcW w:w="3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(166)</w:t>
            </w:r>
          </w:p>
        </w:tc>
      </w:tr>
      <w:tr>
        <w:trPr>
          <w:trHeight w:val="243"/>
        </w:trPr>
        <w:tc>
          <w:tcPr>
            <w:tcW w:w="65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E2EEF6"/>
            </w:tcBorders>
            <w:shd w:val="clear" w:color="auto" w:fill="E2EEF6"/>
          </w:tcPr>
          <w:p>
            <w:pPr>
              <w:spacing w:after="0"/>
              <w:rPr>
                <w:sz w:val="21"/>
                <w:szCs w:val="21"/>
                <w:color w:val="auto"/>
              </w:rPr>
            </w:pPr>
          </w:p>
        </w:tc>
        <w:tc>
          <w:tcPr>
            <w:tcW w:w="860" w:type="dxa"/>
            <w:vAlign w:val="bottom"/>
            <w:tcBorders>
              <w:bottom w:val="single" w:sz="8" w:color="auto"/>
            </w:tcBorders>
            <w:shd w:val="clear" w:color="auto" w:fill="E2EEF6"/>
          </w:tcPr>
          <w:p>
            <w:pPr>
              <w:spacing w:after="0"/>
              <w:rPr>
                <w:sz w:val="21"/>
                <w:szCs w:val="21"/>
                <w:color w:val="auto"/>
              </w:rPr>
            </w:pPr>
          </w:p>
        </w:tc>
        <w:tc>
          <w:tcPr>
            <w:tcW w:w="5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4"/>
                <w:szCs w:val="14"/>
                <w:color w:val="auto"/>
              </w:rPr>
              <w:t>10,772</w:t>
            </w:r>
          </w:p>
        </w:tc>
        <w:tc>
          <w:tcPr>
            <w:tcW w:w="240" w:type="dxa"/>
            <w:vAlign w:val="bottom"/>
            <w:tcBorders>
              <w:bottom w:val="single" w:sz="8" w:color="E2EEF6"/>
            </w:tcBorders>
            <w:shd w:val="clear" w:color="auto" w:fill="E2EEF6"/>
          </w:tcPr>
          <w:p>
            <w:pPr>
              <w:spacing w:after="0"/>
              <w:rPr>
                <w:sz w:val="21"/>
                <w:szCs w:val="21"/>
                <w:color w:val="auto"/>
              </w:rPr>
            </w:pPr>
          </w:p>
        </w:tc>
        <w:tc>
          <w:tcPr>
            <w:tcW w:w="860" w:type="dxa"/>
            <w:vAlign w:val="bottom"/>
            <w:tcBorders>
              <w:bottom w:val="single" w:sz="8" w:color="auto"/>
            </w:tcBorders>
            <w:shd w:val="clear" w:color="auto" w:fill="E2EEF6"/>
          </w:tcPr>
          <w:p>
            <w:pPr>
              <w:spacing w:after="0"/>
              <w:rPr>
                <w:sz w:val="21"/>
                <w:szCs w:val="21"/>
                <w:color w:val="auto"/>
              </w:rPr>
            </w:pPr>
          </w:p>
        </w:tc>
        <w:tc>
          <w:tcPr>
            <w:tcW w:w="5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4"/>
                <w:szCs w:val="14"/>
                <w:color w:val="auto"/>
              </w:rPr>
              <w:t>4,978</w:t>
            </w:r>
          </w:p>
        </w:tc>
        <w:tc>
          <w:tcPr>
            <w:tcW w:w="220" w:type="dxa"/>
            <w:vAlign w:val="bottom"/>
            <w:tcBorders>
              <w:bottom w:val="single" w:sz="8" w:color="E2EEF6"/>
            </w:tcBorders>
            <w:shd w:val="clear" w:color="auto" w:fill="E2EEF6"/>
          </w:tcPr>
          <w:p>
            <w:pPr>
              <w:spacing w:after="0"/>
              <w:rPr>
                <w:sz w:val="21"/>
                <w:szCs w:val="21"/>
                <w:color w:val="auto"/>
              </w:rPr>
            </w:pPr>
          </w:p>
        </w:tc>
        <w:tc>
          <w:tcPr>
            <w:tcW w:w="300" w:type="dxa"/>
            <w:vAlign w:val="bottom"/>
            <w:tcBorders>
              <w:bottom w:val="single" w:sz="8" w:color="auto"/>
            </w:tcBorders>
            <w:shd w:val="clear" w:color="auto" w:fill="E2EEF6"/>
          </w:tcPr>
          <w:p>
            <w:pPr>
              <w:spacing w:after="0"/>
              <w:rPr>
                <w:sz w:val="21"/>
                <w:szCs w:val="21"/>
                <w:color w:val="auto"/>
              </w:rPr>
            </w:pPr>
          </w:p>
        </w:tc>
        <w:tc>
          <w:tcPr>
            <w:tcW w:w="10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4"/>
                <w:szCs w:val="14"/>
                <w:color w:val="auto"/>
              </w:rPr>
              <w:t>5,144</w:t>
            </w:r>
          </w:p>
        </w:tc>
        <w:tc>
          <w:tcPr>
            <w:tcW w:w="100" w:type="dxa"/>
            <w:vAlign w:val="bottom"/>
            <w:tcBorders>
              <w:bottom w:val="single" w:sz="8" w:color="E2EEF6"/>
            </w:tcBorders>
            <w:shd w:val="clear" w:color="auto" w:fill="E2EEF6"/>
          </w:tcPr>
          <w:p>
            <w:pPr>
              <w:spacing w:after="0"/>
              <w:rPr>
                <w:sz w:val="21"/>
                <w:szCs w:val="21"/>
                <w:color w:val="auto"/>
              </w:rPr>
            </w:pPr>
          </w:p>
        </w:tc>
      </w:tr>
      <w:tr>
        <w:trPr>
          <w:trHeight w:val="237"/>
        </w:trPr>
        <w:tc>
          <w:tcPr>
            <w:tcW w:w="652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$10,856</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$10,772</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$4,978</w:t>
            </w:r>
          </w:p>
        </w:tc>
      </w:tr>
      <w:tr>
        <w:trPr>
          <w:trHeight w:val="20"/>
        </w:trPr>
        <w:tc>
          <w:tcPr>
            <w:tcW w:w="6520" w:type="dxa"/>
            <w:vAlign w:val="bottom"/>
            <w:tcBorders>
              <w:bottom w:val="single" w:sz="8" w:color="E2EEF6"/>
            </w:tcBorders>
          </w:tcPr>
          <w:p>
            <w:pPr>
              <w:spacing w:after="0" w:line="20" w:lineRule="exact"/>
              <w:rPr>
                <w:sz w:val="1"/>
                <w:szCs w:val="1"/>
                <w:color w:val="auto"/>
              </w:rPr>
            </w:pPr>
          </w:p>
        </w:tc>
        <w:tc>
          <w:tcPr>
            <w:tcW w:w="220" w:type="dxa"/>
            <w:vAlign w:val="bottom"/>
            <w:tcBorders>
              <w:bottom w:val="single" w:sz="8" w:color="E2EEF6"/>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E2EEF6"/>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E2EEF6"/>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2EEF6"/>
            </w:tcBorders>
          </w:tcPr>
          <w:p>
            <w:pPr>
              <w:spacing w:after="0" w:line="20" w:lineRule="exact"/>
              <w:rPr>
                <w:sz w:val="1"/>
                <w:szCs w:val="1"/>
                <w:color w:val="auto"/>
              </w:rPr>
            </w:pPr>
          </w:p>
        </w:tc>
      </w:tr>
      <w:tr>
        <w:trPr>
          <w:trHeight w:val="237"/>
        </w:trPr>
        <w:tc>
          <w:tcPr>
            <w:tcW w:w="652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860" w:type="dxa"/>
            <w:vAlign w:val="bottom"/>
            <w:shd w:val="clear" w:color="auto" w:fill="E2EEF6"/>
          </w:tcPr>
          <w:p>
            <w:pPr>
              <w:spacing w:after="0"/>
              <w:rPr>
                <w:sz w:val="20"/>
                <w:szCs w:val="20"/>
                <w:color w:val="auto"/>
              </w:rPr>
            </w:pPr>
          </w:p>
        </w:tc>
        <w:tc>
          <w:tcPr>
            <w:tcW w:w="52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860" w:type="dxa"/>
            <w:vAlign w:val="bottom"/>
            <w:shd w:val="clear" w:color="auto" w:fill="E2EEF6"/>
          </w:tcPr>
          <w:p>
            <w:pPr>
              <w:spacing w:after="0"/>
              <w:rPr>
                <w:sz w:val="20"/>
                <w:szCs w:val="20"/>
                <w:color w:val="auto"/>
              </w:rPr>
            </w:pPr>
          </w:p>
        </w:tc>
        <w:tc>
          <w:tcPr>
            <w:tcW w:w="52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6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57"/>
        </w:trPr>
        <w:tc>
          <w:tcPr>
            <w:tcW w:w="6520" w:type="dxa"/>
            <w:vAlign w:val="bottom"/>
          </w:tcPr>
          <w:p>
            <w:pPr>
              <w:spacing w:after="0"/>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6520" w:type="dxa"/>
            <w:vAlign w:val="bottom"/>
            <w:shd w:val="clear" w:color="auto" w:fill="E2EEF6"/>
          </w:tcPr>
          <w:p>
            <w:pPr>
              <w:ind w:left="180"/>
              <w:spacing w:after="0"/>
              <w:rPr>
                <w:sz w:val="20"/>
                <w:szCs w:val="20"/>
                <w:color w:val="auto"/>
              </w:rPr>
            </w:pPr>
            <w:r>
              <w:rPr>
                <w:rFonts w:ascii="Arial" w:cs="Arial" w:eastAsia="Arial" w:hAnsi="Arial"/>
                <w:sz w:val="14"/>
                <w:szCs w:val="14"/>
                <w:color w:val="auto"/>
              </w:rPr>
              <w:t>Stock issued related to acquisition of Veenendaal</w:t>
            </w:r>
          </w:p>
        </w:tc>
        <w:tc>
          <w:tcPr>
            <w:tcW w:w="1080" w:type="dxa"/>
            <w:vAlign w:val="bottom"/>
            <w:gridSpan w:val="2"/>
            <w:shd w:val="clear" w:color="auto" w:fill="E2EEF6"/>
          </w:tcPr>
          <w:p>
            <w:pPr>
              <w:jc w:val="right"/>
              <w:ind w:right="780"/>
              <w:spacing w:after="0"/>
              <w:rPr>
                <w:sz w:val="20"/>
                <w:szCs w:val="20"/>
                <w:color w:val="auto"/>
              </w:rPr>
            </w:pPr>
            <w:r>
              <w:rPr>
                <w:rFonts w:ascii="Arial" w:cs="Arial" w:eastAsia="Arial" w:hAnsi="Arial"/>
                <w:sz w:val="14"/>
                <w:szCs w:val="14"/>
                <w:color w:val="auto"/>
              </w:rPr>
              <w:t>$</w:t>
            </w: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2EEF6"/>
          </w:tcPr>
          <w:p>
            <w:pPr>
              <w:jc w:val="right"/>
              <w:ind w:right="800"/>
              <w:spacing w:after="0"/>
              <w:rPr>
                <w:sz w:val="20"/>
                <w:szCs w:val="20"/>
                <w:color w:val="auto"/>
              </w:rPr>
            </w:pPr>
            <w:r>
              <w:rPr>
                <w:rFonts w:ascii="Arial" w:cs="Arial" w:eastAsia="Arial" w:hAnsi="Arial"/>
                <w:sz w:val="14"/>
                <w:szCs w:val="14"/>
                <w:color w:val="auto"/>
              </w:rPr>
              <w:t>$</w:t>
            </w: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2EEF6"/>
          </w:tcPr>
          <w:p>
            <w:pPr>
              <w:spacing w:after="0"/>
              <w:rPr>
                <w:sz w:val="22"/>
                <w:szCs w:val="22"/>
                <w:color w:val="auto"/>
              </w:rPr>
            </w:pPr>
          </w:p>
        </w:tc>
        <w:tc>
          <w:tcPr>
            <w:tcW w:w="300" w:type="dxa"/>
            <w:vAlign w:val="bottom"/>
            <w:shd w:val="clear" w:color="auto" w:fill="E2EEF6"/>
          </w:tcPr>
          <w:p>
            <w:pPr>
              <w:jc w:val="right"/>
              <w:ind w:right="14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6,938</w:t>
            </w:r>
          </w:p>
        </w:tc>
      </w:tr>
      <w:tr>
        <w:trPr>
          <w:trHeight w:val="257"/>
        </w:trPr>
        <w:tc>
          <w:tcPr>
            <w:tcW w:w="6520" w:type="dxa"/>
            <w:vAlign w:val="bottom"/>
          </w:tcPr>
          <w:p>
            <w:pPr>
              <w:ind w:left="180"/>
              <w:spacing w:after="0"/>
              <w:rPr>
                <w:sz w:val="20"/>
                <w:szCs w:val="20"/>
                <w:color w:val="auto"/>
              </w:rPr>
            </w:pPr>
            <w:r>
              <w:rPr>
                <w:rFonts w:ascii="Arial" w:cs="Arial" w:eastAsia="Arial" w:hAnsi="Arial"/>
                <w:sz w:val="14"/>
                <w:szCs w:val="14"/>
                <w:color w:val="auto"/>
                <w:w w:val="94"/>
              </w:rPr>
              <w:t>Stock option exercise tax benefit ($856) and restricted stock issuance ($673) included in stockholders’ equity</w:t>
            </w:r>
          </w:p>
        </w:tc>
        <w:tc>
          <w:tcPr>
            <w:tcW w:w="1080" w:type="dxa"/>
            <w:vAlign w:val="bottom"/>
            <w:gridSpan w:val="2"/>
          </w:tcPr>
          <w:p>
            <w:pPr>
              <w:jc w:val="right"/>
              <w:ind w:right="78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1,529</w:t>
            </w:r>
          </w:p>
        </w:tc>
        <w:tc>
          <w:tcPr>
            <w:tcW w:w="110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57"/>
        </w:trPr>
        <w:tc>
          <w:tcPr>
            <w:tcW w:w="6520" w:type="dxa"/>
            <w:vAlign w:val="bottom"/>
            <w:shd w:val="clear" w:color="auto" w:fill="E2EEF6"/>
          </w:tcPr>
          <w:p>
            <w:pPr>
              <w:ind w:left="180"/>
              <w:spacing w:after="0"/>
              <w:rPr>
                <w:sz w:val="20"/>
                <w:szCs w:val="20"/>
                <w:color w:val="auto"/>
              </w:rPr>
            </w:pPr>
            <w:r>
              <w:rPr>
                <w:rFonts w:ascii="Arial" w:cs="Arial" w:eastAsia="Arial" w:hAnsi="Arial"/>
                <w:sz w:val="14"/>
                <w:szCs w:val="14"/>
                <w:color w:val="auto"/>
              </w:rPr>
              <w:t>Obtained land and building by entering into capital lease obligation</w:t>
            </w:r>
          </w:p>
        </w:tc>
        <w:tc>
          <w:tcPr>
            <w:tcW w:w="1080" w:type="dxa"/>
            <w:vAlign w:val="bottom"/>
            <w:gridSpan w:val="2"/>
            <w:shd w:val="clear" w:color="auto" w:fill="E2EEF6"/>
          </w:tcPr>
          <w:p>
            <w:pPr>
              <w:jc w:val="right"/>
              <w:ind w:right="780"/>
              <w:spacing w:after="0"/>
              <w:rPr>
                <w:sz w:val="20"/>
                <w:szCs w:val="20"/>
                <w:color w:val="auto"/>
              </w:rPr>
            </w:pPr>
            <w:r>
              <w:rPr>
                <w:rFonts w:ascii="Arial" w:cs="Arial" w:eastAsia="Arial" w:hAnsi="Arial"/>
                <w:sz w:val="14"/>
                <w:szCs w:val="14"/>
                <w:color w:val="auto"/>
              </w:rPr>
              <w:t>$</w:t>
            </w: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1,917</w:t>
            </w:r>
          </w:p>
        </w:tc>
        <w:tc>
          <w:tcPr>
            <w:tcW w:w="1100" w:type="dxa"/>
            <w:vAlign w:val="bottom"/>
            <w:gridSpan w:val="2"/>
            <w:shd w:val="clear" w:color="auto" w:fill="E2EEF6"/>
          </w:tcPr>
          <w:p>
            <w:pPr>
              <w:jc w:val="right"/>
              <w:ind w:right="800"/>
              <w:spacing w:after="0"/>
              <w:rPr>
                <w:sz w:val="20"/>
                <w:szCs w:val="20"/>
                <w:color w:val="auto"/>
              </w:rPr>
            </w:pPr>
            <w:r>
              <w:rPr>
                <w:rFonts w:ascii="Arial" w:cs="Arial" w:eastAsia="Arial" w:hAnsi="Arial"/>
                <w:sz w:val="14"/>
                <w:szCs w:val="14"/>
                <w:color w:val="auto"/>
              </w:rPr>
              <w:t>$</w:t>
            </w: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2EEF6"/>
          </w:tcPr>
          <w:p>
            <w:pPr>
              <w:spacing w:after="0"/>
              <w:rPr>
                <w:sz w:val="22"/>
                <w:szCs w:val="22"/>
                <w:color w:val="auto"/>
              </w:rPr>
            </w:pPr>
          </w:p>
        </w:tc>
        <w:tc>
          <w:tcPr>
            <w:tcW w:w="300" w:type="dxa"/>
            <w:vAlign w:val="bottom"/>
            <w:shd w:val="clear" w:color="auto" w:fill="E2EEF6"/>
          </w:tcPr>
          <w:p>
            <w:pPr>
              <w:jc w:val="right"/>
              <w:ind w:right="14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w:t>
            </w:r>
          </w:p>
        </w:tc>
      </w:tr>
      <w:tr>
        <w:trPr>
          <w:trHeight w:val="257"/>
        </w:trPr>
        <w:tc>
          <w:tcPr>
            <w:tcW w:w="6520" w:type="dxa"/>
            <w:vAlign w:val="bottom"/>
          </w:tcPr>
          <w:p>
            <w:pPr>
              <w:spacing w:after="0"/>
              <w:rPr>
                <w:sz w:val="20"/>
                <w:szCs w:val="20"/>
                <w:color w:val="auto"/>
              </w:rPr>
            </w:pPr>
            <w:r>
              <w:rPr>
                <w:rFonts w:ascii="Arial" w:cs="Arial" w:eastAsia="Arial" w:hAnsi="Arial"/>
                <w:sz w:val="14"/>
                <w:szCs w:val="14"/>
                <w:b w:val="1"/>
                <w:bCs w:val="1"/>
                <w:color w:val="auto"/>
              </w:rPr>
              <w:t>Cash paid for interest and income taxes was as follows: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65"/>
        </w:trPr>
        <w:tc>
          <w:tcPr>
            <w:tcW w:w="6520" w:type="dxa"/>
            <w:vAlign w:val="bottom"/>
            <w:shd w:val="clear" w:color="auto" w:fill="E2EEF6"/>
          </w:tcPr>
          <w:p>
            <w:pPr>
              <w:ind w:left="180"/>
              <w:spacing w:after="0"/>
              <w:rPr>
                <w:sz w:val="20"/>
                <w:szCs w:val="20"/>
                <w:color w:val="auto"/>
              </w:rPr>
            </w:pPr>
            <w:r>
              <w:rPr>
                <w:rFonts w:ascii="Arial" w:cs="Arial" w:eastAsia="Arial" w:hAnsi="Arial"/>
                <w:sz w:val="14"/>
                <w:szCs w:val="14"/>
                <w:color w:val="auto"/>
              </w:rPr>
              <w:t>Interest</w:t>
            </w:r>
          </w:p>
        </w:tc>
        <w:tc>
          <w:tcPr>
            <w:tcW w:w="1080" w:type="dxa"/>
            <w:vAlign w:val="bottom"/>
            <w:gridSpan w:val="2"/>
            <w:shd w:val="clear" w:color="auto" w:fill="E2EEF6"/>
          </w:tcPr>
          <w:p>
            <w:pPr>
              <w:jc w:val="right"/>
              <w:ind w:right="780"/>
              <w:spacing w:after="0"/>
              <w:rPr>
                <w:sz w:val="20"/>
                <w:szCs w:val="20"/>
                <w:color w:val="auto"/>
              </w:rPr>
            </w:pPr>
            <w:r>
              <w:rPr>
                <w:rFonts w:ascii="Arial" w:cs="Arial" w:eastAsia="Arial" w:hAnsi="Arial"/>
                <w:sz w:val="14"/>
                <w:szCs w:val="14"/>
                <w:color w:val="auto"/>
              </w:rPr>
              <w:t>$</w:t>
            </w:r>
          </w:p>
        </w:tc>
        <w:tc>
          <w:tcPr>
            <w:tcW w:w="520" w:type="dxa"/>
            <w:vAlign w:val="bottom"/>
            <w:shd w:val="clear" w:color="auto" w:fill="E2EEF6"/>
          </w:tcPr>
          <w:p>
            <w:pPr>
              <w:jc w:val="right"/>
              <w:spacing w:after="0"/>
              <w:rPr>
                <w:sz w:val="20"/>
                <w:szCs w:val="20"/>
                <w:color w:val="auto"/>
              </w:rPr>
            </w:pPr>
            <w:r>
              <w:rPr>
                <w:rFonts w:ascii="Arial" w:cs="Arial" w:eastAsia="Arial" w:hAnsi="Arial"/>
                <w:sz w:val="14"/>
                <w:szCs w:val="14"/>
                <w:color w:val="auto"/>
              </w:rPr>
              <w:t>3,440</w:t>
            </w:r>
          </w:p>
        </w:tc>
        <w:tc>
          <w:tcPr>
            <w:tcW w:w="1100" w:type="dxa"/>
            <w:vAlign w:val="bottom"/>
            <w:gridSpan w:val="2"/>
            <w:shd w:val="clear" w:color="auto" w:fill="E2EEF6"/>
          </w:tcPr>
          <w:p>
            <w:pPr>
              <w:jc w:val="right"/>
              <w:ind w:right="8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2EEF6"/>
          </w:tcPr>
          <w:p>
            <w:pPr>
              <w:jc w:val="right"/>
              <w:ind w:right="220"/>
              <w:spacing w:after="0"/>
              <w:rPr>
                <w:sz w:val="20"/>
                <w:szCs w:val="20"/>
                <w:color w:val="auto"/>
              </w:rPr>
            </w:pPr>
            <w:r>
              <w:rPr>
                <w:rFonts w:ascii="Arial" w:cs="Arial" w:eastAsia="Arial" w:hAnsi="Arial"/>
                <w:sz w:val="14"/>
                <w:szCs w:val="14"/>
                <w:color w:val="auto"/>
              </w:rPr>
              <w:t>3,318</w:t>
            </w:r>
          </w:p>
        </w:tc>
        <w:tc>
          <w:tcPr>
            <w:tcW w:w="300" w:type="dxa"/>
            <w:vAlign w:val="bottom"/>
            <w:shd w:val="clear" w:color="auto" w:fill="E2EEF6"/>
          </w:tcPr>
          <w:p>
            <w:pPr>
              <w:jc w:val="right"/>
              <w:ind w:right="14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4"/>
                <w:szCs w:val="14"/>
                <w:color w:val="auto"/>
              </w:rPr>
              <w:t>2,496</w:t>
            </w:r>
          </w:p>
        </w:tc>
      </w:tr>
    </w:tbl>
    <w:p>
      <w:pPr>
        <w:sectPr>
          <w:pgSz w:w="11900" w:h="16900" w:orient="portrait"/>
          <w:cols w:equalWidth="0" w:num="1">
            <w:col w:w="11420"/>
          </w:cols>
          <w:pgMar w:left="240" w:top="968" w:right="239" w:bottom="0" w:gutter="0" w:footer="0" w:header="0"/>
        </w:sectPr>
      </w:pPr>
    </w:p>
    <w:bookmarkStart w:id="34" w:name="page35"/>
    <w:bookmarkEnd w:id="34"/>
    <w:p>
      <w:pPr>
        <w:spacing w:after="0"/>
        <w:tabs>
          <w:tab w:leader="none" w:pos="6540" w:val="left"/>
          <w:tab w:leader="none" w:pos="7600" w:val="left"/>
          <w:tab w:leader="none" w:pos="8160" w:val="left"/>
          <w:tab w:leader="none" w:pos="9200" w:val="left"/>
          <w:tab w:leader="none" w:pos="9760" w:val="left"/>
          <w:tab w:leader="none" w:pos="107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t>Income taxes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6,066</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4,887</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4,371</w:t>
      </w:r>
    </w:p>
    <w:p>
      <w:pPr>
        <w:sectPr>
          <w:pgSz w:w="11900" w:h="16838" w:orient="portrait"/>
          <w:cols w:equalWidth="0" w:num="1">
            <w:col w:w="11140"/>
          </w:cols>
          <w:pgMar w:left="420" w:top="485" w:right="339" w:bottom="1440" w:gutter="0" w:footer="0" w:header="0"/>
        </w:sectPr>
      </w:pPr>
    </w:p>
    <w:p>
      <w:pPr>
        <w:spacing w:after="0" w:line="18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See accompanying notes to consolidated financial statements</w:t>
      </w:r>
    </w:p>
    <w:p>
      <w:pPr>
        <w:spacing w:after="0" w:line="231"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70485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20" w:top="485" w:right="339" w:bottom="1440" w:gutter="0" w:footer="0" w:header="0"/>
          <w:type w:val="continuous"/>
        </w:sectPr>
      </w:pPr>
    </w:p>
    <w:bookmarkStart w:id="35" w:name="page36"/>
    <w:bookmarkEnd w:id="35"/>
    <w:p>
      <w:pPr>
        <w:jc w:val="center"/>
        <w:ind w:right="220"/>
        <w:spacing w:after="0"/>
        <w:rPr>
          <w:sz w:val="20"/>
          <w:szCs w:val="20"/>
          <w:color w:val="auto"/>
        </w:rPr>
      </w:pPr>
      <w:r>
        <w:rPr>
          <w:rFonts w:ascii="Arial" w:cs="Arial" w:eastAsia="Arial" w:hAnsi="Arial"/>
          <w:sz w:val="18"/>
          <w:szCs w:val="18"/>
          <w:b w:val="1"/>
          <w:bCs w:val="1"/>
          <w:color w:val="auto"/>
        </w:rPr>
        <w:t>NN, Inc.</w:t>
      </w:r>
    </w:p>
    <w:p>
      <w:pPr>
        <w:spacing w:after="0" w:line="36"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December 31, 2005, 2004 and 2003</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and Practices</w:t>
      </w:r>
    </w:p>
    <w:p>
      <w:pPr>
        <w:spacing w:after="0" w:line="32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 Description of Business</w:t>
      </w:r>
    </w:p>
    <w:p>
      <w:pPr>
        <w:spacing w:after="0" w:line="293" w:lineRule="exact"/>
        <w:rPr>
          <w:sz w:val="20"/>
          <w:szCs w:val="20"/>
          <w:color w:val="auto"/>
        </w:rPr>
      </w:pPr>
    </w:p>
    <w:p>
      <w:pPr>
        <w:jc w:val="both"/>
        <w:ind w:left="880"/>
        <w:spacing w:after="0" w:line="284" w:lineRule="auto"/>
        <w:rPr>
          <w:sz w:val="20"/>
          <w:szCs w:val="20"/>
          <w:color w:val="auto"/>
        </w:rPr>
      </w:pPr>
      <w:r>
        <w:rPr>
          <w:rFonts w:ascii="Arial" w:cs="Arial" w:eastAsia="Arial" w:hAnsi="Arial"/>
          <w:sz w:val="16"/>
          <w:szCs w:val="16"/>
          <w:color w:val="auto"/>
        </w:rPr>
        <w:t>NN, Inc. (the “Company”) is a manufacturer of precision balls, cylindrical and tapered rollers, bearing retainers, plastic injection molded products, and precision bearing seals. The Company’s balls, rollers, retainers, and bearing seals are used primarily in the domestic and international anti-friction bearing industry. The Company’s plastic injection molded products are used in the bearing, automotive, instrumentation and fiber optic industries. The Domestic Ball and Roller Segment is comprised of two manufacturing facilities located in the eastern United States, our start-up operations in The People’s Republic of China, and our corporate office cost. The Company’s NN Europe Segment is comprised of manufacturing facilities located in Kilkenny, Ireland; Eltmann, Germany; Pinerolo, Italy; Veenendaal, The Netherlands and Kysucke Nove Mesto, Slovakia. On March 12, 2004 we changed the name of our primary European entity from NN Euroball, ApS to NN Europe ApS. To avoid confusion between the entity and the segment, we will refer to the segment as the NN Europe Segment and the entity as</w:t>
      </w:r>
    </w:p>
    <w:p>
      <w:pPr>
        <w:spacing w:after="0" w:line="1" w:lineRule="exact"/>
        <w:rPr>
          <w:sz w:val="20"/>
          <w:szCs w:val="20"/>
          <w:color w:val="auto"/>
        </w:rPr>
      </w:pPr>
    </w:p>
    <w:p>
      <w:pPr>
        <w:jc w:val="both"/>
        <w:ind w:left="880"/>
        <w:spacing w:after="0" w:line="254" w:lineRule="auto"/>
        <w:tabs>
          <w:tab w:leader="none" w:pos="1194" w:val="left"/>
        </w:tabs>
        <w:numPr>
          <w:ilvl w:val="1"/>
          <w:numId w:val="9"/>
        </w:numPr>
        <w:rPr>
          <w:rFonts w:ascii="Arial" w:cs="Arial" w:eastAsia="Arial" w:hAnsi="Arial"/>
          <w:sz w:val="18"/>
          <w:szCs w:val="18"/>
          <w:color w:val="auto"/>
        </w:rPr>
      </w:pPr>
      <w:r>
        <w:rPr>
          <w:rFonts w:ascii="Arial" w:cs="Arial" w:eastAsia="Arial" w:hAnsi="Arial"/>
          <w:sz w:val="18"/>
          <w:szCs w:val="18"/>
          <w:color w:val="auto"/>
        </w:rPr>
        <w:t>Europe. The facilities in the NN Europe Segment are engaged in the production of precision balls, tapered rollers and metal retainers. The Plastic and Rubber Components Segment consists of Industrial Molding Corporation (“IMC”), acquired in July 1999 and Delta Rubber, acquired in February 2001. IMC has two production facilities in Texas and Delta Rubber has two production facilities in Connecticut. All of the Company’s segments sell to foreign and domestic customers.</w:t>
      </w:r>
    </w:p>
    <w:p>
      <w:pPr>
        <w:spacing w:after="0" w:line="284" w:lineRule="exact"/>
        <w:rPr>
          <w:rFonts w:ascii="Arial" w:cs="Arial" w:eastAsia="Arial" w:hAnsi="Arial"/>
          <w:sz w:val="18"/>
          <w:szCs w:val="18"/>
          <w:color w:val="auto"/>
        </w:rPr>
      </w:pPr>
    </w:p>
    <w:p>
      <w:pPr>
        <w:ind w:left="660" w:hanging="266"/>
        <w:spacing w:after="0"/>
        <w:tabs>
          <w:tab w:leader="none" w:pos="6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Cash Equivalents</w:t>
      </w:r>
    </w:p>
    <w:p>
      <w:pPr>
        <w:spacing w:after="0" w:line="2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considers all highly liquid investments with an original maturity of three months or less as cash equivalents.</w:t>
      </w:r>
    </w:p>
    <w:p>
      <w:pPr>
        <w:spacing w:after="0" w:line="32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 Inventories</w:t>
      </w:r>
    </w:p>
    <w:p>
      <w:pPr>
        <w:spacing w:after="0" w:line="293" w:lineRule="exact"/>
        <w:rPr>
          <w:sz w:val="20"/>
          <w:szCs w:val="20"/>
          <w:color w:val="auto"/>
        </w:rPr>
      </w:pPr>
    </w:p>
    <w:p>
      <w:pPr>
        <w:ind w:left="880" w:right="540"/>
        <w:spacing w:after="0" w:line="264" w:lineRule="auto"/>
        <w:rPr>
          <w:sz w:val="20"/>
          <w:szCs w:val="20"/>
          <w:color w:val="auto"/>
        </w:rPr>
      </w:pPr>
      <w:r>
        <w:rPr>
          <w:rFonts w:ascii="Arial" w:cs="Arial" w:eastAsia="Arial" w:hAnsi="Arial"/>
          <w:sz w:val="18"/>
          <w:szCs w:val="18"/>
          <w:color w:val="auto"/>
        </w:rPr>
        <w:t>Inventories are stated at the lower of cost or market. Actual costs are evaluated and do not exceed the lower of cost or market. Cost is determined using the first-in, first-out method. The Company accounts for inventory under a full absorption method, and accordingly, our inventory carrying value includes cost elements of material, labor and overhead.</w:t>
      </w:r>
    </w:p>
    <w:p>
      <w:pPr>
        <w:spacing w:after="0" w:line="235" w:lineRule="exact"/>
        <w:rPr>
          <w:sz w:val="20"/>
          <w:szCs w:val="20"/>
          <w:color w:val="auto"/>
        </w:rPr>
      </w:pPr>
    </w:p>
    <w:p>
      <w:pPr>
        <w:jc w:val="both"/>
        <w:ind w:left="880" w:right="20"/>
        <w:spacing w:after="0" w:line="308" w:lineRule="auto"/>
        <w:rPr>
          <w:sz w:val="20"/>
          <w:szCs w:val="20"/>
          <w:color w:val="auto"/>
        </w:rPr>
      </w:pPr>
      <w:r>
        <w:rPr>
          <w:rFonts w:ascii="Arial" w:cs="Arial" w:eastAsia="Arial" w:hAnsi="Arial"/>
          <w:sz w:val="17"/>
          <w:szCs w:val="17"/>
          <w:color w:val="auto"/>
        </w:rPr>
        <w:t>Inventories also include tools, molds and dies in progress that the Company is producing and will ultimately sell to its customers. This activity is principally related to our Plastic and Rubber Components Segment. These inventories are carried at the lower of cost or market.</w:t>
      </w:r>
    </w:p>
    <w:p>
      <w:pPr>
        <w:spacing w:after="0" w:line="200" w:lineRule="exact"/>
        <w:rPr>
          <w:sz w:val="20"/>
          <w:szCs w:val="20"/>
          <w:color w:val="auto"/>
        </w:rPr>
      </w:pPr>
    </w:p>
    <w:p>
      <w:pPr>
        <w:spacing w:after="0" w:line="31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(d) Property, Plant and Equipment</w:t>
      </w:r>
    </w:p>
    <w:p>
      <w:pPr>
        <w:spacing w:after="0" w:line="293" w:lineRule="exact"/>
        <w:rPr>
          <w:sz w:val="20"/>
          <w:szCs w:val="20"/>
          <w:color w:val="auto"/>
        </w:rPr>
      </w:pPr>
    </w:p>
    <w:p>
      <w:pPr>
        <w:jc w:val="both"/>
        <w:ind w:left="880"/>
        <w:spacing w:after="0" w:line="291" w:lineRule="auto"/>
        <w:rPr>
          <w:sz w:val="20"/>
          <w:szCs w:val="20"/>
          <w:color w:val="auto"/>
        </w:rPr>
      </w:pPr>
      <w:r>
        <w:rPr>
          <w:rFonts w:ascii="Arial" w:cs="Arial" w:eastAsia="Arial" w:hAnsi="Arial"/>
          <w:sz w:val="16"/>
          <w:szCs w:val="16"/>
          <w:color w:val="auto"/>
        </w:rPr>
        <w:t>Property, plant and equipment are stated at cost less accumulated depreciation. Assets held for sale are stated at lower of cost or fair market value less estimated selling costs. Expenditures for maintenance and repairs are charged to expense as incurred. Major renewals and betterments are capitalized. When a major property item is retired, its cost and related accumulated depreciation are removed from the property accounts and any gain or loss is recorded in the statement of income. The Company reviews the carrying values of long-lived assets for impairment whenever events or changes in circumstances indicate the carrying amount of an asset may not be recoverable. During the years ended December 31, 2005, 2004 and 2003, the Company recorded an impairment charge of $0, $108, and $0 respectively. Property, plant and equipment includes tools, molds and dies principally used in our Plastic and Rubber Components Segment that are the property of the Company</w:t>
      </w:r>
    </w:p>
    <w:p>
      <w:pPr>
        <w:spacing w:after="0" w:line="221" w:lineRule="exact"/>
        <w:rPr>
          <w:sz w:val="20"/>
          <w:szCs w:val="20"/>
          <w:color w:val="auto"/>
        </w:rPr>
      </w:pPr>
    </w:p>
    <w:p>
      <w:pPr>
        <w:jc w:val="both"/>
        <w:ind w:left="880"/>
        <w:spacing w:after="0" w:line="277" w:lineRule="auto"/>
        <w:rPr>
          <w:sz w:val="20"/>
          <w:szCs w:val="20"/>
          <w:color w:val="auto"/>
        </w:rPr>
      </w:pPr>
      <w:r>
        <w:rPr>
          <w:rFonts w:ascii="Arial" w:cs="Arial" w:eastAsia="Arial" w:hAnsi="Arial"/>
          <w:sz w:val="18"/>
          <w:szCs w:val="18"/>
          <w:color w:val="auto"/>
        </w:rPr>
        <w:t>Depreciation is provided principally on the straight-line method over the estimated useful lives of the depreciable assets for financial reporting purposes. Accelerated depreciation methods are used for income tax purposes.</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70485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40" w:top="148"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2005, 2004 and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Revenue Recognition</w:t>
      </w:r>
    </w:p>
    <w:p>
      <w:pPr>
        <w:spacing w:after="0" w:line="265" w:lineRule="exact"/>
        <w:rPr>
          <w:sz w:val="20"/>
          <w:szCs w:val="20"/>
          <w:color w:val="auto"/>
        </w:rPr>
      </w:pPr>
    </w:p>
    <w:p>
      <w:pPr>
        <w:ind w:left="480" w:right="20"/>
        <w:spacing w:after="0" w:line="276" w:lineRule="auto"/>
        <w:rPr>
          <w:sz w:val="20"/>
          <w:szCs w:val="20"/>
          <w:color w:val="auto"/>
        </w:rPr>
      </w:pPr>
      <w:r>
        <w:rPr>
          <w:rFonts w:ascii="Arial" w:cs="Arial" w:eastAsia="Arial" w:hAnsi="Arial"/>
          <w:sz w:val="17"/>
          <w:szCs w:val="17"/>
          <w:color w:val="auto"/>
        </w:rPr>
        <w:t>The Company recognizes revenues based on the stated shipping terms with the customer and the Company recognizes revenue when these terms are satisfied and the risks of ownership are transferred to the customer. The Company has an inventory management program for certain major ball and roller customers whereby revenue is recognized when products are used by the customer from consigned stock, rather than at the time of shipment. Under both circumstances, revenue is recognized when persuasive evidence of an arrangement exists, delivery has occurred, the sellers’ price is determinable and collectibility is reasonably assured.</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 Accounts Receivable</w:t>
      </w:r>
    </w:p>
    <w:p>
      <w:pPr>
        <w:spacing w:after="0" w:line="279" w:lineRule="exact"/>
        <w:rPr>
          <w:sz w:val="20"/>
          <w:szCs w:val="20"/>
          <w:color w:val="auto"/>
        </w:rPr>
      </w:pPr>
    </w:p>
    <w:p>
      <w:pPr>
        <w:jc w:val="both"/>
        <w:ind w:left="640"/>
        <w:spacing w:after="0" w:line="272" w:lineRule="auto"/>
        <w:rPr>
          <w:sz w:val="20"/>
          <w:szCs w:val="20"/>
          <w:color w:val="auto"/>
        </w:rPr>
      </w:pPr>
      <w:r>
        <w:rPr>
          <w:rFonts w:ascii="Arial" w:cs="Arial" w:eastAsia="Arial" w:hAnsi="Arial"/>
          <w:sz w:val="17"/>
          <w:szCs w:val="17"/>
          <w:color w:val="auto"/>
        </w:rPr>
        <w:t>Accounts receivable are recorded upon recognition of a sale of goods and ownership and risk of loss is assumed by the customer. Substantially all of the Company’s accounts receivable is due primarily from the core served markets: bearing manufacturers, automotive industry, electronics, industrial, agricultural and aerospace. The Company experienced $0.3 million of bad debt expense during 2005, $0 during 2004 and $0.1 million during 2003. In establishing allowances for doubtful accounts, the Company performs credit evaluations of its customers, considering numerous inputs when available including the customers’ financial position, past payment history, relevant industry trends, cash flows, management capability, historical loss experience and economic conditions and prospects. Accounts receivable are written off or reserves established when considered to be uncollectible or at risk of being uncollectible.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Income Taxes</w:t>
      </w:r>
    </w:p>
    <w:p>
      <w:pPr>
        <w:spacing w:after="0" w:line="293" w:lineRule="exact"/>
        <w:rPr>
          <w:sz w:val="20"/>
          <w:szCs w:val="20"/>
          <w:color w:val="auto"/>
        </w:rPr>
      </w:pPr>
    </w:p>
    <w:p>
      <w:pPr>
        <w:jc w:val="both"/>
        <w:ind w:left="480"/>
        <w:spacing w:after="0" w:line="276"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Net Income Per Common Share</w:t>
      </w:r>
    </w:p>
    <w:p>
      <w:pPr>
        <w:spacing w:after="0" w:line="293" w:lineRule="exact"/>
        <w:rPr>
          <w:sz w:val="20"/>
          <w:szCs w:val="20"/>
          <w:color w:val="auto"/>
        </w:rPr>
      </w:pPr>
    </w:p>
    <w:p>
      <w:pPr>
        <w:ind w:left="480" w:right="100"/>
        <w:spacing w:after="0" w:line="277" w:lineRule="auto"/>
        <w:rPr>
          <w:sz w:val="20"/>
          <w:szCs w:val="20"/>
          <w:color w:val="auto"/>
        </w:rPr>
      </w:pPr>
      <w:r>
        <w:rPr>
          <w:rFonts w:ascii="Arial" w:cs="Arial" w:eastAsia="Arial" w:hAnsi="Arial"/>
          <w:sz w:val="18"/>
          <w:szCs w:val="18"/>
          <w:color w:val="auto"/>
        </w:rPr>
        <w:t>Basic earnings per share reflect reported earnings divided by the weighted average number of common shares outstanding. Diluted earnings per share include the effect of dilutive stock options, unvested restricted stock, and the respective tax benefits.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Stock Incentive Plan</w:t>
      </w:r>
    </w:p>
    <w:p>
      <w:pPr>
        <w:spacing w:after="0" w:line="293" w:lineRule="exact"/>
        <w:rPr>
          <w:sz w:val="20"/>
          <w:szCs w:val="20"/>
          <w:color w:val="auto"/>
        </w:rPr>
      </w:pPr>
    </w:p>
    <w:p>
      <w:pPr>
        <w:jc w:val="both"/>
        <w:ind w:left="480"/>
        <w:spacing w:after="0" w:line="269" w:lineRule="auto"/>
        <w:rPr>
          <w:sz w:val="20"/>
          <w:szCs w:val="20"/>
          <w:color w:val="auto"/>
        </w:rPr>
      </w:pPr>
      <w:r>
        <w:rPr>
          <w:rFonts w:ascii="Arial" w:cs="Arial" w:eastAsia="Arial" w:hAnsi="Arial"/>
          <w:sz w:val="17"/>
          <w:szCs w:val="17"/>
          <w:color w:val="auto"/>
        </w:rPr>
        <w:t>The Company applies the intrinsic value-based method of accounting prescribed by Accounting Principles Board (“APB”) Opinion No. 25, “Accounting for Stock Issued to Employees,” and related interpretations including Financial Accounting Standards Board (FASB) Interpretation No. 44, “Accounting for Certain Transactions Involving Stock Compensation (an interpretation of APB Opinion No. 25)” issued in March 2000, to account for its fixed plan stock options. Under this method, compensation expense is recorded on the date of grant only if the current market price of the underlying stock exceeds the exercise price. The Company also applies the provision of APB Opinion No. 25 to its variable stock options. Statement of Financial Accounting Standards (SFAS) No. 123, “Accounting for Stock-Based Compensation,” established accounting and disclosure requirements using a fair value-based method of accounting for stock-based employee compensation plans. We have elected to continue accounting for our stock option compensation plan using the intrinsic value based method under APB Opinion No. 25, until January 1, 2006 when we will adopt FAS 123 (R), and, have not recorded compensation expense for stock options for each of the three years ended December 31, 2005, 2004, and 2003, except as related to stock options accounted for under the variable method of accounting and for restricted stock awards.</w:t>
      </w:r>
    </w:p>
    <w:p>
      <w:pPr>
        <w:spacing w:after="0" w:line="237" w:lineRule="exact"/>
        <w:rPr>
          <w:sz w:val="20"/>
          <w:szCs w:val="20"/>
          <w:color w:val="auto"/>
        </w:rPr>
      </w:pPr>
    </w:p>
    <w:p>
      <w:pPr>
        <w:jc w:val="both"/>
        <w:ind w:left="480"/>
        <w:spacing w:after="0" w:line="264" w:lineRule="auto"/>
        <w:rPr>
          <w:sz w:val="20"/>
          <w:szCs w:val="20"/>
          <w:color w:val="auto"/>
        </w:rPr>
      </w:pPr>
      <w:r>
        <w:rPr>
          <w:rFonts w:ascii="Arial" w:cs="Arial" w:eastAsia="Arial" w:hAnsi="Arial"/>
          <w:sz w:val="18"/>
          <w:szCs w:val="18"/>
          <w:color w:val="auto"/>
        </w:rPr>
        <w:t>Beginning January 1, 2006, the Company will adopt the provisions of FAS 123 (R) using the modified prospective method of application. From adoption onward, the Company will expense the cost of options as compensation expense over the vesting period based on the fair value of the option at the grant date.</w:t>
      </w:r>
    </w:p>
    <w:p>
      <w:pPr>
        <w:spacing w:after="0" w:line="235" w:lineRule="exact"/>
        <w:rPr>
          <w:sz w:val="20"/>
          <w:szCs w:val="20"/>
          <w:color w:val="auto"/>
        </w:rPr>
      </w:pPr>
    </w:p>
    <w:p>
      <w:pPr>
        <w:jc w:val="both"/>
        <w:ind w:left="480" w:right="20"/>
        <w:spacing w:after="0" w:line="277" w:lineRule="auto"/>
        <w:rPr>
          <w:sz w:val="20"/>
          <w:szCs w:val="20"/>
          <w:color w:val="auto"/>
        </w:rPr>
      </w:pPr>
      <w:r>
        <w:rPr>
          <w:rFonts w:ascii="Arial" w:cs="Arial" w:eastAsia="Arial" w:hAnsi="Arial"/>
          <w:sz w:val="18"/>
          <w:szCs w:val="18"/>
          <w:color w:val="auto"/>
        </w:rPr>
        <w:t>The Company accounts for restricted stock awards by recognizing compensation expense ratably over the vesting period as specified in the award. Compensation expense to be recognized is based on the stock price at date of grant.</w:t>
      </w:r>
    </w:p>
    <w:p>
      <w:pPr>
        <w:spacing w:after="0" w:line="220"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70485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391" w:right="239" w:bottom="1440" w:gutter="0" w:footer="0" w:header="0"/>
        </w:sectPr>
      </w:pPr>
    </w:p>
    <w:bookmarkStart w:id="37" w:name="page38"/>
    <w:bookmarkEnd w:id="37"/>
    <w:p>
      <w:pPr>
        <w:jc w:val="center"/>
        <w:ind w:left="164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left="16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1640"/>
        <w:spacing w:after="0"/>
        <w:rPr>
          <w:sz w:val="20"/>
          <w:szCs w:val="20"/>
          <w:color w:val="auto"/>
        </w:rPr>
      </w:pPr>
      <w:r>
        <w:rPr>
          <w:rFonts w:ascii="Arial" w:cs="Arial" w:eastAsia="Arial" w:hAnsi="Arial"/>
          <w:sz w:val="18"/>
          <w:szCs w:val="18"/>
          <w:b w:val="1"/>
          <w:bCs w:val="1"/>
          <w:color w:val="auto"/>
        </w:rPr>
        <w:t>December 31, 2005, 2004 and 2003</w:t>
      </w:r>
    </w:p>
    <w:p>
      <w:pPr>
        <w:spacing w:after="0" w:line="9" w:lineRule="exact"/>
        <w:rPr>
          <w:sz w:val="20"/>
          <w:szCs w:val="20"/>
          <w:color w:val="auto"/>
        </w:rPr>
      </w:pPr>
    </w:p>
    <w:p>
      <w:pPr>
        <w:jc w:val="center"/>
        <w:ind w:left="16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Principles of Consolidation</w:t>
      </w:r>
    </w:p>
    <w:p>
      <w:pPr>
        <w:spacing w:after="0" w:line="279" w:lineRule="exact"/>
        <w:rPr>
          <w:sz w:val="20"/>
          <w:szCs w:val="20"/>
          <w:color w:val="auto"/>
        </w:rPr>
      </w:pPr>
    </w:p>
    <w:p>
      <w:pPr>
        <w:ind w:left="640" w:right="40" w:firstLine="198"/>
        <w:spacing w:after="0" w:line="291" w:lineRule="auto"/>
        <w:rPr>
          <w:sz w:val="20"/>
          <w:szCs w:val="20"/>
          <w:color w:val="auto"/>
        </w:rPr>
      </w:pPr>
      <w:r>
        <w:rPr>
          <w:rFonts w:ascii="Arial" w:cs="Arial" w:eastAsia="Arial" w:hAnsi="Arial"/>
          <w:sz w:val="16"/>
          <w:szCs w:val="16"/>
          <w:color w:val="auto"/>
        </w:rPr>
        <w:t>The Company’s consolidated financial statements include the accounts of NN, Inc. and subsidiaries in which the Company owns more than 50% voting interest. All of the Company’s subsidiaries are 100% owned and all are included in the consolidated financial statements for the years end December 31, 2005, 2004, and 2003. Unconsolidated subsidiaries and investments where ownership is between 20% and 50% are accounted for under the equity method. All significant inter-company profits, transactions, and balances have been eliminated in consolidation. The ownership interests of other shareholders in companies that are more than 50% owned, but less than 100% owned by the Company, are reflected as minority interests. There were no minority interests in consolidated subsidiaries at December 31, 2005, December 31, 2004, or December 31, 2003 as a result of the Company acquiring the remaining additional interests in NN Europe on May 2, 2003.</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Foreign Currency Translation</w:t>
      </w:r>
    </w:p>
    <w:p>
      <w:pPr>
        <w:spacing w:after="0" w:line="293" w:lineRule="exact"/>
        <w:rPr>
          <w:sz w:val="20"/>
          <w:szCs w:val="20"/>
          <w:color w:val="auto"/>
        </w:rPr>
      </w:pPr>
    </w:p>
    <w:p>
      <w:pPr>
        <w:jc w:val="both"/>
        <w:ind w:left="480" w:right="20"/>
        <w:spacing w:after="0" w:line="259" w:lineRule="auto"/>
        <w:rPr>
          <w:sz w:val="20"/>
          <w:szCs w:val="20"/>
          <w:color w:val="auto"/>
        </w:rPr>
      </w:pPr>
      <w:r>
        <w:rPr>
          <w:rFonts w:ascii="Arial" w:cs="Arial" w:eastAsia="Arial" w:hAnsi="Arial"/>
          <w:sz w:val="18"/>
          <w:szCs w:val="18"/>
          <w:color w:val="auto"/>
        </w:rPr>
        <w:t>Assets and liabilities of the Company’s foreign subsidiaries are translated at current exchange rates, while revenue, costs and expenses are translated at average rates prevailing during each reporting period. Translation adjustments arising from the translation of foreign subsidiary financial statements are reported as a component of other comprehensive income and are accumulated with other comprehensive earnings as a separate component of shareholders equity.</w:t>
      </w: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 Goodwill and Other Intangible Assets</w:t>
      </w:r>
    </w:p>
    <w:p>
      <w:pPr>
        <w:spacing w:after="0" w:line="279" w:lineRule="exact"/>
        <w:rPr>
          <w:sz w:val="20"/>
          <w:szCs w:val="20"/>
          <w:color w:val="auto"/>
        </w:rPr>
      </w:pPr>
    </w:p>
    <w:p>
      <w:pPr>
        <w:jc w:val="both"/>
        <w:ind w:left="480"/>
        <w:spacing w:after="0" w:line="286" w:lineRule="auto"/>
        <w:rPr>
          <w:sz w:val="20"/>
          <w:szCs w:val="20"/>
          <w:color w:val="auto"/>
        </w:rPr>
      </w:pPr>
      <w:r>
        <w:rPr>
          <w:rFonts w:ascii="Arial" w:cs="Arial" w:eastAsia="Arial" w:hAnsi="Arial"/>
          <w:sz w:val="17"/>
          <w:szCs w:val="17"/>
          <w:color w:val="auto"/>
        </w:rPr>
        <w:t>Goodwill: The Company recognizes the excess of the purchase price of an acquired entity over the fair value of the net identifiable assets as goodwill. Goodwill is tested for impairment on an annual basis as of October 1 and between annual tests in certain circumstances. Impairment losses are recognized whenever the implied fair value of goodwill is less than its carrying value. Goodwill is not amortized.</w:t>
      </w:r>
    </w:p>
    <w:p>
      <w:pPr>
        <w:spacing w:after="0" w:line="220" w:lineRule="exact"/>
        <w:rPr>
          <w:sz w:val="20"/>
          <w:szCs w:val="20"/>
          <w:color w:val="auto"/>
        </w:rPr>
      </w:pPr>
    </w:p>
    <w:p>
      <w:pPr>
        <w:jc w:val="both"/>
        <w:ind w:left="480"/>
        <w:spacing w:after="0" w:line="273" w:lineRule="auto"/>
        <w:rPr>
          <w:sz w:val="20"/>
          <w:szCs w:val="20"/>
          <w:color w:val="auto"/>
        </w:rPr>
      </w:pPr>
      <w:r>
        <w:rPr>
          <w:rFonts w:ascii="Arial" w:cs="Arial" w:eastAsia="Arial" w:hAnsi="Arial"/>
          <w:sz w:val="17"/>
          <w:szCs w:val="17"/>
          <w:color w:val="auto"/>
        </w:rPr>
        <w:t>Other Acquired Intangibles: The Company recognizes an acquired intangible asset apart from goodwill whenever the asset arises from contractual or other legal rights, or whenever it is capable of being divided or separated from the acquired entity or sold, transferred, licensed, rented, or exchanged, whether individually or in combination with a related contract, asset or liability. An intangible asset other than goodwill is amortized over its estimated useful life unless that life is determined to be indefinite. The Company reviews the lives of intangible assets each reporting period and, if necessary, recognizes impairment losses if the carrying amount of an intangible asset is not recoverable from expected future cash flows and its carrying amount exceeds its fair value.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Impairment of Long-Lived Assets and Long-Lived Assets to Be Disposed Of</w:t>
      </w:r>
    </w:p>
    <w:p>
      <w:pPr>
        <w:spacing w:after="0" w:line="293" w:lineRule="exact"/>
        <w:rPr>
          <w:sz w:val="20"/>
          <w:szCs w:val="20"/>
          <w:color w:val="auto"/>
        </w:rPr>
      </w:pPr>
    </w:p>
    <w:p>
      <w:pPr>
        <w:jc w:val="both"/>
        <w:ind w:left="480"/>
        <w:spacing w:after="0" w:line="297" w:lineRule="auto"/>
        <w:rPr>
          <w:sz w:val="20"/>
          <w:szCs w:val="20"/>
          <w:color w:val="auto"/>
        </w:rPr>
      </w:pPr>
      <w:r>
        <w:rPr>
          <w:rFonts w:ascii="Arial" w:cs="Arial" w:eastAsia="Arial" w:hAnsi="Arial"/>
          <w:sz w:val="16"/>
          <w:szCs w:val="16"/>
          <w:color w:val="auto"/>
        </w:rPr>
        <w:t>The Company accounts for long-lived assets in accordance with the provisions of SFAS No. 144, “Accounting for the Impairment of or Disposal of Long-Lived Assets.” Assets to be held and used are tested for recoverability when indications of impairment are evident. If the reviewed carrying value of the asset is not recoverable based on underlying cash flows related to specific groups of acquired long-lived assets, the asset is written down to the lesser of recoverable value or carrying value. Assets held for sale are carried at the lesser of carrying value or fair value less costs of disposal. The fair value of impaired assets is generally determined with the assistance of independent appraisals and valuations.</w:t>
      </w:r>
    </w:p>
    <w:p>
      <w:pPr>
        <w:spacing w:after="0" w:line="208"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70485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121" w:right="239" w:bottom="1440" w:gutter="0" w:footer="0" w:header="0"/>
        </w:sectPr>
      </w:pPr>
    </w:p>
    <w:bookmarkStart w:id="38" w:name="page39"/>
    <w:bookmarkEnd w:id="38"/>
    <w:p>
      <w:pPr>
        <w:jc w:val="center"/>
        <w:ind w:left="162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left="16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1620"/>
        <w:spacing w:after="0"/>
        <w:rPr>
          <w:sz w:val="20"/>
          <w:szCs w:val="20"/>
          <w:color w:val="auto"/>
        </w:rPr>
      </w:pPr>
      <w:r>
        <w:rPr>
          <w:rFonts w:ascii="Arial" w:cs="Arial" w:eastAsia="Arial" w:hAnsi="Arial"/>
          <w:sz w:val="18"/>
          <w:szCs w:val="18"/>
          <w:b w:val="1"/>
          <w:bCs w:val="1"/>
          <w:color w:val="auto"/>
        </w:rPr>
        <w:t>December 31, 2005, 2004 and 2003</w:t>
      </w:r>
    </w:p>
    <w:p>
      <w:pPr>
        <w:spacing w:after="0" w:line="9" w:lineRule="exact"/>
        <w:rPr>
          <w:sz w:val="20"/>
          <w:szCs w:val="20"/>
          <w:color w:val="auto"/>
        </w:rPr>
      </w:pPr>
    </w:p>
    <w:p>
      <w:pPr>
        <w:jc w:val="center"/>
        <w:ind w:left="1620"/>
        <w:spacing w:after="0"/>
        <w:rPr>
          <w:sz w:val="20"/>
          <w:szCs w:val="20"/>
          <w:color w:val="auto"/>
        </w:rPr>
      </w:pPr>
      <w:r>
        <w:rPr>
          <w:rFonts w:ascii="Arial" w:cs="Arial" w:eastAsia="Arial" w:hAnsi="Arial"/>
          <w:sz w:val="18"/>
          <w:szCs w:val="18"/>
          <w:b w:val="1"/>
          <w:bCs w:val="1"/>
          <w:color w:val="auto"/>
        </w:rPr>
        <w:t>(In thousands, except per share data)</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Use of Estimates in the Preparation of Financial Statements</w:t>
      </w:r>
    </w:p>
    <w:p>
      <w:pPr>
        <w:spacing w:after="0" w:line="293" w:lineRule="exact"/>
        <w:rPr>
          <w:sz w:val="20"/>
          <w:szCs w:val="20"/>
          <w:color w:val="auto"/>
        </w:rPr>
      </w:pPr>
    </w:p>
    <w:p>
      <w:pPr>
        <w:jc w:val="both"/>
        <w:ind w:left="48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Reclassifications</w:t>
      </w:r>
    </w:p>
    <w:p>
      <w:pPr>
        <w:spacing w:after="0" w:line="29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Certain 2004 and 2003 amounts have been reclassified to conform with the 2005 presentation.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Derivative Financial Instruments</w:t>
      </w:r>
    </w:p>
    <w:p>
      <w:pPr>
        <w:spacing w:after="0" w:line="293" w:lineRule="exact"/>
        <w:rPr>
          <w:sz w:val="20"/>
          <w:szCs w:val="20"/>
          <w:color w:val="auto"/>
        </w:rPr>
      </w:pPr>
    </w:p>
    <w:p>
      <w:pPr>
        <w:jc w:val="both"/>
        <w:ind w:left="480"/>
        <w:spacing w:after="0" w:line="257" w:lineRule="auto"/>
        <w:rPr>
          <w:sz w:val="20"/>
          <w:szCs w:val="20"/>
          <w:color w:val="auto"/>
        </w:rPr>
      </w:pPr>
      <w:r>
        <w:rPr>
          <w:rFonts w:ascii="Arial" w:cs="Arial" w:eastAsia="Arial" w:hAnsi="Arial"/>
          <w:sz w:val="18"/>
          <w:szCs w:val="18"/>
          <w:color w:val="auto"/>
        </w:rPr>
        <w:t>The Company records all derivative instruments on the balance sheet at their respective fair values. In connection with a variable EURIBOR rate debt financing in July 2000 the Company’s majority owned subsidiary, NN Europe ApS entered into an interest rate swap with a notional amount of 12.5 million Euro for the purpose of fixing the interest rate on a portion of their debt financing. The interest rate swap provides for the Company to receive variable EURIBOR interest payments and pay 5.51% fixed interest. The interest rate swap agreement expires in July 2006 and the notional amount amortizes in relation to the life of the swap.</w:t>
      </w:r>
    </w:p>
    <w:p>
      <w:pPr>
        <w:spacing w:after="0" w:line="242" w:lineRule="exact"/>
        <w:rPr>
          <w:sz w:val="20"/>
          <w:szCs w:val="20"/>
          <w:color w:val="auto"/>
        </w:rPr>
      </w:pPr>
    </w:p>
    <w:p>
      <w:pPr>
        <w:jc w:val="both"/>
        <w:ind w:left="480"/>
        <w:spacing w:after="0" w:line="264" w:lineRule="auto"/>
        <w:rPr>
          <w:sz w:val="20"/>
          <w:szCs w:val="20"/>
          <w:color w:val="auto"/>
        </w:rPr>
      </w:pPr>
      <w:r>
        <w:rPr>
          <w:rFonts w:ascii="Arial" w:cs="Arial" w:eastAsia="Arial" w:hAnsi="Arial"/>
          <w:sz w:val="18"/>
          <w:szCs w:val="18"/>
          <w:color w:val="auto"/>
        </w:rPr>
        <w:t>The interest rate swap does not qualify for hedge accounting under the provisions of SFAS No. 133; therefore, the transition adjustment for adoption of SFAS No. 133 and any subsequent periodic changes in fair value of the interest rate swap are recorded in earnings as a component of other income.</w:t>
      </w:r>
    </w:p>
    <w:p>
      <w:pPr>
        <w:spacing w:after="0" w:line="235" w:lineRule="exact"/>
        <w:rPr>
          <w:sz w:val="20"/>
          <w:szCs w:val="20"/>
          <w:color w:val="auto"/>
        </w:rPr>
      </w:pPr>
    </w:p>
    <w:p>
      <w:pPr>
        <w:jc w:val="both"/>
        <w:ind w:left="480"/>
        <w:spacing w:after="0" w:line="264" w:lineRule="auto"/>
        <w:rPr>
          <w:sz w:val="20"/>
          <w:szCs w:val="20"/>
          <w:color w:val="auto"/>
        </w:rPr>
      </w:pPr>
      <w:r>
        <w:rPr>
          <w:rFonts w:ascii="Arial" w:cs="Arial" w:eastAsia="Arial" w:hAnsi="Arial"/>
          <w:sz w:val="18"/>
          <w:szCs w:val="18"/>
          <w:color w:val="auto"/>
        </w:rPr>
        <w:t>As of December 31, 2005 and 2004, the fair value of the swap is a liability of approximately, $22 and $167, respectively, which is recorded in other current liabilities and in other non-current liabilities, respectively. The change in fair value during the years ended December 31, 2005, 2004, and 2003 were gains of approximately $145, $193, and $125,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Recently Issued Accounting Standards</w:t>
      </w:r>
    </w:p>
    <w:p>
      <w:pPr>
        <w:spacing w:after="0" w:line="293" w:lineRule="exact"/>
        <w:rPr>
          <w:sz w:val="20"/>
          <w:szCs w:val="20"/>
          <w:color w:val="auto"/>
        </w:rPr>
      </w:pPr>
    </w:p>
    <w:p>
      <w:pPr>
        <w:jc w:val="both"/>
        <w:ind w:left="480"/>
        <w:spacing w:after="0" w:line="286" w:lineRule="auto"/>
        <w:rPr>
          <w:sz w:val="20"/>
          <w:szCs w:val="20"/>
          <w:color w:val="auto"/>
        </w:rPr>
      </w:pPr>
      <w:r>
        <w:rPr>
          <w:rFonts w:ascii="Arial" w:cs="Arial" w:eastAsia="Arial" w:hAnsi="Arial"/>
          <w:sz w:val="16"/>
          <w:szCs w:val="16"/>
          <w:color w:val="auto"/>
        </w:rPr>
        <w:t>In December 2004, the FASB issued SFAS No. 123R, “Share-Based Payment,” which requires companies to expense the value of employee stock options and similar awards and establishes standards for the accounting for transactions in which an entity exchanges its equity instruments for goods or services. SFAS No. 123R is effective for interim and annual periods beginning after June 15, 2005 (the SEC delayed the effective date for public companies to the annual periods beginning after June 15, 2005) and applies to all outstanding and unvested share-based payment awards. This Statement requires a public entity to measure the cost of employee services received in exchange for an award of equity instruments based on the grant-date fair value of the award (with limited exception). That cost will be recognized over the period during which an employee is required to provide service in exchange for the award-the requisite service period (usually the vesting period). Effective January 1, 2006, the Company will adopt FAS 123 (R) under the modified prospective application. From that date onward, the Company will account for new awards and awards modified under this new standard. Any options issued henceforth will be expensed based on the fair value of the options at the date of grant. As of December 31, 2005, the Company does not have any unvested stock options due to an accelerated vesting program implemented in December 2005. As such, this statement will only impact the Company for its outstanding restricted stock and stock option and restricted stock awards issued subsequent to January 1, 2006. The cost of the options and restricted stock awards will be expensed as compensation expense over the vesting periods based on the fair value at the grant date. (See Note 10.)</w:t>
      </w:r>
    </w:p>
    <w:p>
      <w:pPr>
        <w:spacing w:after="0" w:line="225"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70485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391" w:right="239" w:bottom="1440" w:gutter="0" w:footer="0" w:header="0"/>
        </w:sectPr>
      </w:pPr>
    </w:p>
    <w:bookmarkStart w:id="39" w:name="page40"/>
    <w:bookmarkEnd w:id="39"/>
    <w:p>
      <w:pPr>
        <w:jc w:val="center"/>
        <w:ind w:left="146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left="14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1460"/>
        <w:spacing w:after="0"/>
        <w:rPr>
          <w:sz w:val="20"/>
          <w:szCs w:val="20"/>
          <w:color w:val="auto"/>
        </w:rPr>
      </w:pPr>
      <w:r>
        <w:rPr>
          <w:rFonts w:ascii="Arial" w:cs="Arial" w:eastAsia="Arial" w:hAnsi="Arial"/>
          <w:sz w:val="18"/>
          <w:szCs w:val="18"/>
          <w:b w:val="1"/>
          <w:bCs w:val="1"/>
          <w:color w:val="auto"/>
        </w:rPr>
        <w:t>December 31, 2005, 2004 and 2003</w:t>
      </w:r>
    </w:p>
    <w:p>
      <w:pPr>
        <w:spacing w:after="0" w:line="9" w:lineRule="exact"/>
        <w:rPr>
          <w:sz w:val="20"/>
          <w:szCs w:val="20"/>
          <w:color w:val="auto"/>
        </w:rPr>
      </w:pPr>
    </w:p>
    <w:p>
      <w:pPr>
        <w:jc w:val="center"/>
        <w:ind w:left="146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35" w:lineRule="exact"/>
        <w:rPr>
          <w:sz w:val="20"/>
          <w:szCs w:val="20"/>
          <w:color w:val="auto"/>
        </w:rPr>
      </w:pPr>
    </w:p>
    <w:p>
      <w:pPr>
        <w:jc w:val="both"/>
        <w:ind w:left="880"/>
        <w:spacing w:after="0" w:line="255" w:lineRule="auto"/>
        <w:rPr>
          <w:sz w:val="20"/>
          <w:szCs w:val="20"/>
          <w:color w:val="auto"/>
        </w:rPr>
      </w:pPr>
      <w:r>
        <w:rPr>
          <w:rFonts w:ascii="Arial" w:cs="Arial" w:eastAsia="Arial" w:hAnsi="Arial"/>
          <w:sz w:val="18"/>
          <w:szCs w:val="18"/>
          <w:color w:val="auto"/>
        </w:rPr>
        <w:t>In November 2004, the FASB issued SFAS No. 151, “Inventory Costs”. SFAS No. 151 clarifies the accounting for abnormal amounts of idle facility expense, freight, handling costs and wasted material (spoilage). SFAS No. 151 requires these items be recognized as current-period charges. In addition, SFAS No. 151 requires the allocation of fixed production overheads to the costs of conversion be based on the normal capacity of the production facilities. This statement is effective for fiscal years beginning after June 15, 2005. We believe the impact of this standard will be immaterial to the consolidated financial statements as the company does not currently have abnormal amounts of idle facility expense or handling costs.</w:t>
      </w:r>
    </w:p>
    <w:p>
      <w:pPr>
        <w:spacing w:after="0" w:line="247" w:lineRule="exact"/>
        <w:rPr>
          <w:sz w:val="20"/>
          <w:szCs w:val="20"/>
          <w:color w:val="auto"/>
        </w:rPr>
      </w:pPr>
    </w:p>
    <w:p>
      <w:pPr>
        <w:jc w:val="both"/>
        <w:ind w:left="880"/>
        <w:spacing w:after="0" w:line="255" w:lineRule="auto"/>
        <w:rPr>
          <w:sz w:val="20"/>
          <w:szCs w:val="20"/>
          <w:color w:val="auto"/>
        </w:rPr>
      </w:pPr>
      <w:r>
        <w:rPr>
          <w:rFonts w:ascii="Arial" w:cs="Arial" w:eastAsia="Arial" w:hAnsi="Arial"/>
          <w:sz w:val="18"/>
          <w:szCs w:val="18"/>
          <w:color w:val="auto"/>
        </w:rPr>
        <w:t>In December 2004, the FASB issued SFAS No. 153, “Exchanges of Nonmonetary Assets an amendment of APB Opinion No. 29”. SFAS No. 153 eliminates the exception from fair value measurement for nonmonetary exchanges of similar productive assets in paragraph 21(b) of APB Opinion No. 29, Accounting for Nonmonetary Transactions, and replaces it with an exception for exchanges that do not have commercial substance. This Statement specifies that a nonmonetary exchange has commercial substance if the future cash flows of the entity are expected to change significantly as a result of the exchange. The provisions of this Statement are effective for nonmonetary asset exchanges occurring in fiscal periods beginning after June 15, 2005. We do not anticipate any impact from this statement as at present we have not and do not plan to enter into any nonmonetary transactions.</w:t>
      </w:r>
    </w:p>
    <w:p>
      <w:pPr>
        <w:spacing w:after="0" w:line="24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Deduction for Qualified Domestic Production Activities and Repatriation of Foreign Earnings</w:t>
      </w:r>
    </w:p>
    <w:p>
      <w:pPr>
        <w:spacing w:after="0" w:line="279" w:lineRule="exact"/>
        <w:rPr>
          <w:sz w:val="20"/>
          <w:szCs w:val="20"/>
          <w:color w:val="auto"/>
        </w:rPr>
      </w:pPr>
    </w:p>
    <w:p>
      <w:pPr>
        <w:jc w:val="both"/>
        <w:ind w:left="880"/>
        <w:spacing w:after="0" w:line="255" w:lineRule="auto"/>
        <w:rPr>
          <w:sz w:val="20"/>
          <w:szCs w:val="20"/>
          <w:color w:val="auto"/>
        </w:rPr>
      </w:pPr>
      <w:r>
        <w:rPr>
          <w:rFonts w:ascii="Arial" w:cs="Arial" w:eastAsia="Arial" w:hAnsi="Arial"/>
          <w:sz w:val="18"/>
          <w:szCs w:val="18"/>
          <w:color w:val="auto"/>
        </w:rPr>
        <w:t>On October 22, 2004, the President signed the American Jobs Creation Act of 2004 (the “Act”). The Act provides a deduction for income from qualified domestic production activities, which will be phased in from 2005 through 2010. In return, the Act also provides for a two-year phase out of the existing extra-territorial income exclusion (ETI) for foreign sales that was viewed to be inconsistent with international trade protocols by the European Union. Based on an analysis of 2005 production costs, we believe the impact from the phase out of the ETI will be principally offset by the phase in of the ACT. Thus, based on 2005 production levels the Act will not have a material impact in the tax expense or net income of the Company.</w:t>
      </w:r>
    </w:p>
    <w:p>
      <w:pPr>
        <w:spacing w:after="0" w:line="247" w:lineRule="exact"/>
        <w:rPr>
          <w:sz w:val="20"/>
          <w:szCs w:val="20"/>
          <w:color w:val="auto"/>
        </w:rPr>
      </w:pPr>
    </w:p>
    <w:p>
      <w:pPr>
        <w:jc w:val="both"/>
        <w:ind w:left="880"/>
        <w:spacing w:after="0" w:line="257" w:lineRule="auto"/>
        <w:rPr>
          <w:sz w:val="20"/>
          <w:szCs w:val="20"/>
          <w:color w:val="auto"/>
        </w:rPr>
      </w:pPr>
      <w:r>
        <w:rPr>
          <w:rFonts w:ascii="Arial" w:cs="Arial" w:eastAsia="Arial" w:hAnsi="Arial"/>
          <w:sz w:val="18"/>
          <w:szCs w:val="18"/>
          <w:color w:val="auto"/>
        </w:rPr>
        <w:t xml:space="preserve">Under the guidance in FASB Staff Position No. FAS 109-1, </w:t>
      </w:r>
      <w:r>
        <w:rPr>
          <w:rFonts w:ascii="Arial" w:cs="Arial" w:eastAsia="Arial" w:hAnsi="Arial"/>
          <w:sz w:val="18"/>
          <w:szCs w:val="18"/>
          <w:i w:val="1"/>
          <w:iCs w:val="1"/>
          <w:color w:val="auto"/>
        </w:rPr>
        <w:t>Application of FASB Statement No. 109, “Accounting for Income Taxes,” to the 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Deduction on Qualified Production Activities Provided by the American Jobs Creation Act of 2004, </w:t>
      </w:r>
      <w:r>
        <w:rPr>
          <w:rFonts w:ascii="Arial" w:cs="Arial" w:eastAsia="Arial" w:hAnsi="Arial"/>
          <w:sz w:val="18"/>
          <w:szCs w:val="18"/>
          <w:color w:val="auto"/>
        </w:rPr>
        <w:t>issued and effective on December 21,</w:t>
      </w:r>
      <w:r>
        <w:rPr>
          <w:rFonts w:ascii="Arial" w:cs="Arial" w:eastAsia="Arial" w:hAnsi="Arial"/>
          <w:sz w:val="18"/>
          <w:szCs w:val="18"/>
          <w:i w:val="1"/>
          <w:iCs w:val="1"/>
          <w:color w:val="auto"/>
        </w:rPr>
        <w:t xml:space="preserve"> </w:t>
      </w:r>
      <w:r>
        <w:rPr>
          <w:rFonts w:ascii="Arial" w:cs="Arial" w:eastAsia="Arial" w:hAnsi="Arial"/>
          <w:sz w:val="18"/>
          <w:szCs w:val="18"/>
          <w:color w:val="auto"/>
        </w:rPr>
        <w:t>2004, the deduction will be treated as a “special deduction” as described in FASB Statement No. 109. As such, the special deduction has no effect on deferred tax assets and liabilities existing at the enactment date. Rather, the impact of this deduction will be reported in the period in which qualifying activities occur.</w:t>
      </w:r>
    </w:p>
    <w:p>
      <w:pPr>
        <w:spacing w:after="0" w:line="242" w:lineRule="exact"/>
        <w:rPr>
          <w:sz w:val="20"/>
          <w:szCs w:val="20"/>
          <w:color w:val="auto"/>
        </w:rPr>
      </w:pPr>
    </w:p>
    <w:p>
      <w:pPr>
        <w:jc w:val="both"/>
        <w:ind w:left="880"/>
        <w:spacing w:after="0" w:line="259" w:lineRule="auto"/>
        <w:rPr>
          <w:sz w:val="20"/>
          <w:szCs w:val="20"/>
          <w:color w:val="auto"/>
        </w:rPr>
      </w:pPr>
      <w:r>
        <w:rPr>
          <w:rFonts w:ascii="Arial" w:cs="Arial" w:eastAsia="Arial" w:hAnsi="Arial"/>
          <w:sz w:val="18"/>
          <w:szCs w:val="18"/>
          <w:color w:val="auto"/>
        </w:rPr>
        <w:t>The Act also creates a temporary incentive for U.S. corporations to repatriate accumulated income earned abroad by providing an 85 percent dividends received deduction for certain dividends from controlled foreign corporations. The deduction is subject to a number of limitations and uncertainty remains as to how to interpret numerous provisions in the Act. At this time, the Company does not expect to repatriate earnings under the provisions of the Act.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Purchase of Minority Interest and New Businesses</w:t>
      </w:r>
    </w:p>
    <w:p>
      <w:pPr>
        <w:spacing w:after="0" w:line="283" w:lineRule="exact"/>
        <w:rPr>
          <w:sz w:val="20"/>
          <w:szCs w:val="20"/>
          <w:color w:val="auto"/>
        </w:rPr>
      </w:pPr>
    </w:p>
    <w:p>
      <w:pPr>
        <w:jc w:val="both"/>
        <w:ind w:left="400"/>
        <w:spacing w:after="0" w:line="255" w:lineRule="auto"/>
        <w:rPr>
          <w:sz w:val="20"/>
          <w:szCs w:val="20"/>
          <w:color w:val="auto"/>
        </w:rPr>
      </w:pPr>
      <w:r>
        <w:rPr>
          <w:rFonts w:ascii="Arial" w:cs="Arial" w:eastAsia="Arial" w:hAnsi="Arial"/>
          <w:sz w:val="18"/>
          <w:szCs w:val="18"/>
          <w:color w:val="auto"/>
        </w:rPr>
        <w:t>On October 7, 2005 we entered into an agreement with SNR Roulements (“SNR”) to purchase all of SNR’s internal precision ball producing equipment for approximately 5.0 million Euros ($6.0 million). As part of the agreement, we entered into a three year supply agreement for the present business (about $8.0 million) and a five year supply agreement to provide SNR with its annual ball requirements of the former in-house production for approximately $9.0 million. As of December 31, 2005, the Company has purchased approximately $2.1 million of the total $6.0 million of equipment and intangibles. Of this $2.1 million purchased, approximately $1.6 million has been recorded as tangible fixed assets, based on a third party appraisal, and approximately $0.5 million related to the supply agreement has been recorded as an intangible asset in other non-current assets and is being amortized over the life of the agreement.</w:t>
      </w:r>
    </w:p>
    <w:p>
      <w:pPr>
        <w:spacing w:after="0" w:line="239"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70485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40" w:top="391" w:right="239" w:bottom="1440" w:gutter="0" w:footer="0" w:header="0"/>
        </w:sectPr>
      </w:pPr>
    </w:p>
    <w:bookmarkStart w:id="40" w:name="page41"/>
    <w:bookmarkEnd w:id="40"/>
    <w:p>
      <w:pPr>
        <w:jc w:val="center"/>
        <w:ind w:left="98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December 31, 2005, 2004 and 2003</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2004 we formed a wholly-owned subsidiary, NN Precision Bearing Products Company Ltd (“NN Asia”). This subsidiary, which began precision ball production during the fourth quarter of 2005, is located in the Kunshan Economic and Technology Development Zone, Jiangsu, The People’s Republic of China and is a component of our strategy to globally expand our manufacturing base. The start -up costs incurred in 2005 and 2004 of approximately $1,102 and $481, respectively were expensed as incurred.</w:t>
      </w:r>
    </w:p>
    <w:p>
      <w:pPr>
        <w:spacing w:after="0" w:line="24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October 9, 2003, we acquired certain assets comprised of land, building and machinery and equipment of the precision ball operations of KLF - Gulickaren (“KLF”), based in Kysucke Nove Mesto, Slovakia. We paid consideration of approximately 1,664 Euros ($1,967).</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 2003 we acquired the 23 percent interest in NN Europe, ApS (“NN Europe”) held by SKF. We paid approximately 13,842 Euros ($15,586) for SKF’s interest in NN Europe. The excess of the purchase price paid to SKF for its 23% interest over the fair value of SKF’s 23% interest in the net assets of NN Europe of approximately $2,151 was allocated to goodwill. Upon consummation of this transaction, we became the sole owner of NN Europe.</w:t>
      </w: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2, 2003 we acquired 100 percent of the tapered roller and metal cage manufacturing operations of SKF in Veenendaal, The Netherlands. The results of Veenendaal’s operations have been included in the consolidated financial statements since that date. We paid consideration of approximately 22,952 Euros ($25,671) and incurred other costs of approximately $1,022, for the Veenendaal net assets acquired from SKF. The excess of the fair value of the net assets acquired over the purchase price paid of 4,195 Euros ($4,692) has been allocated as a proportionate reduction of certain assets acquired. The Veenendaal operation manufactures rollers for tapered roller bearings and metal cages for both tapered roller and spherical roller bearings allowing us to expand our bearing component offering.</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acquisition of SKF’s Veenendaal, The Netherlands operations, SKF purchased from us 700,000 shares of our common stock for an aggregate fair value of approximately $6,937 million which was applied to the purchase of SKF’s Veenendaal, The Netherlands operations. For purposes of valuing the 700,000 common shares issued in our consolidated financial statements, the value was determined based on the average market price of NN, Inc.’s common shares over the two-day period before, the day of, and the two-day period after the terms of the acquisition were agreed to on April 14, 2003.</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allocation of the purchase price related to the assets acquired and liabilities assumed at the date of acquisition.</w:t>
      </w:r>
    </w:p>
    <w:p>
      <w:pPr>
        <w:spacing w:after="0" w:line="200" w:lineRule="exact"/>
        <w:rPr>
          <w:sz w:val="20"/>
          <w:szCs w:val="20"/>
          <w:color w:val="auto"/>
        </w:rPr>
      </w:pPr>
    </w:p>
    <w:p>
      <w:pPr>
        <w:spacing w:after="0" w:line="382" w:lineRule="exact"/>
        <w:rPr>
          <w:sz w:val="20"/>
          <w:szCs w:val="20"/>
          <w:color w:val="auto"/>
        </w:rPr>
      </w:pPr>
    </w:p>
    <w:tbl>
      <w:tblPr>
        <w:tblLayout w:type="fixed"/>
        <w:tblInd w:w="940" w:type="dxa"/>
        <w:tblCellMar>
          <w:top w:w="0" w:type="dxa"/>
          <w:left w:w="0" w:type="dxa"/>
          <w:bottom w:w="0" w:type="dxa"/>
          <w:right w:w="0" w:type="dxa"/>
        </w:tblCellMar>
      </w:tblPr>
      <w:tr>
        <w:trPr>
          <w:trHeight w:val="241"/>
        </w:trPr>
        <w:tc>
          <w:tcPr>
            <w:tcW w:w="6400" w:type="dxa"/>
            <w:vAlign w:val="bottom"/>
          </w:tcPr>
          <w:p>
            <w:pPr>
              <w:spacing w:after="0"/>
              <w:rPr>
                <w:sz w:val="20"/>
                <w:szCs w:val="20"/>
                <w:color w:val="auto"/>
              </w:rPr>
            </w:pPr>
          </w:p>
        </w:tc>
        <w:tc>
          <w:tcPr>
            <w:tcW w:w="2140" w:type="dxa"/>
            <w:vAlign w:val="bottom"/>
          </w:tcPr>
          <w:p>
            <w:pPr>
              <w:jc w:val="right"/>
              <w:ind w:right="410"/>
              <w:spacing w:after="0"/>
              <w:rPr>
                <w:sz w:val="20"/>
                <w:szCs w:val="20"/>
                <w:color w:val="auto"/>
              </w:rPr>
            </w:pPr>
            <w:r>
              <w:rPr>
                <w:rFonts w:ascii="Arial" w:cs="Arial" w:eastAsia="Arial" w:hAnsi="Arial"/>
                <w:sz w:val="18"/>
                <w:szCs w:val="18"/>
                <w:b w:val="1"/>
                <w:bCs w:val="1"/>
                <w:color w:val="auto"/>
              </w:rPr>
              <w:t>At May 2, 2003</w:t>
            </w:r>
          </w:p>
        </w:tc>
      </w:tr>
      <w:tr>
        <w:trPr>
          <w:trHeight w:val="223"/>
        </w:trPr>
        <w:tc>
          <w:tcPr>
            <w:tcW w:w="6400" w:type="dxa"/>
            <w:vAlign w:val="bottom"/>
            <w:shd w:val="clear" w:color="auto" w:fill="E2EEF6"/>
          </w:tcPr>
          <w:p>
            <w:pPr>
              <w:spacing w:after="0"/>
              <w:rPr>
                <w:sz w:val="20"/>
                <w:szCs w:val="20"/>
                <w:color w:val="auto"/>
              </w:rPr>
            </w:pPr>
            <w:r>
              <w:rPr>
                <w:rFonts w:ascii="Arial" w:cs="Arial" w:eastAsia="Arial" w:hAnsi="Arial"/>
                <w:sz w:val="18"/>
                <w:szCs w:val="18"/>
                <w:color w:val="auto"/>
              </w:rPr>
              <w:t>Current assets</w:t>
            </w:r>
          </w:p>
        </w:tc>
        <w:tc>
          <w:tcPr>
            <w:tcW w:w="21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$ 6,611</w:t>
            </w:r>
          </w:p>
        </w:tc>
      </w:tr>
      <w:tr>
        <w:trPr>
          <w:trHeight w:val="237"/>
        </w:trPr>
        <w:tc>
          <w:tcPr>
            <w:tcW w:w="64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27,690</w:t>
            </w:r>
          </w:p>
        </w:tc>
      </w:tr>
      <w:tr>
        <w:trPr>
          <w:trHeight w:val="216"/>
        </w:trPr>
        <w:tc>
          <w:tcPr>
            <w:tcW w:w="6400" w:type="dxa"/>
            <w:vAlign w:val="bottom"/>
            <w:shd w:val="clear" w:color="auto" w:fill="E2EEF6"/>
          </w:tcPr>
          <w:p>
            <w:pPr>
              <w:spacing w:after="0"/>
              <w:rPr>
                <w:sz w:val="20"/>
                <w:szCs w:val="20"/>
                <w:color w:val="auto"/>
              </w:rPr>
            </w:pPr>
            <w:r>
              <w:rPr>
                <w:rFonts w:ascii="Arial" w:cs="Arial" w:eastAsia="Arial" w:hAnsi="Arial"/>
                <w:sz w:val="18"/>
                <w:szCs w:val="18"/>
                <w:color w:val="auto"/>
              </w:rPr>
              <w:t>Total assets acquired</w:t>
            </w:r>
          </w:p>
        </w:tc>
        <w:tc>
          <w:tcPr>
            <w:tcW w:w="21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34,301</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Total liabilities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7,608</w:t>
            </w:r>
          </w:p>
        </w:tc>
      </w:tr>
      <w:tr>
        <w:trPr>
          <w:trHeight w:val="250"/>
        </w:trPr>
        <w:tc>
          <w:tcPr>
            <w:tcW w:w="640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Total purchase price</w:t>
            </w:r>
          </w:p>
        </w:tc>
        <w:tc>
          <w:tcPr>
            <w:tcW w:w="21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$ 26,693</w:t>
            </w: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proforma summary presents the financial information for the twelve month period ended December 31, 2003 as if our Veenendaal acquisition had occurred as of the beginning of the period presented. These pro forma results have been prepared for comparative purposes and do not purport to be indicative of what would have occurred had the acquisition been made as of the beginning of the period presented, nor are they indicative of future results.</w:t>
      </w:r>
    </w:p>
    <w:p>
      <w:pPr>
        <w:spacing w:after="0" w:line="200" w:lineRule="exact"/>
        <w:rPr>
          <w:sz w:val="20"/>
          <w:szCs w:val="20"/>
          <w:color w:val="auto"/>
        </w:rPr>
      </w:pPr>
    </w:p>
    <w:p>
      <w:pPr>
        <w:spacing w:after="0" w:line="307"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70485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391" w:right="239" w:bottom="1440" w:gutter="0" w:footer="0" w:header="0"/>
        </w:sectPr>
      </w:pPr>
    </w:p>
    <w:bookmarkStart w:id="41" w:name="page42"/>
    <w:bookmarkEnd w:id="41"/>
    <w:tbl>
      <w:tblPr>
        <w:tblLayout w:type="fixed"/>
        <w:tblInd w:w="1348"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6040" w:type="dxa"/>
            <w:vAlign w:val="bottom"/>
            <w:gridSpan w:val="2"/>
          </w:tcPr>
          <w:p>
            <w:pPr>
              <w:jc w:val="center"/>
              <w:ind w:right="1430"/>
              <w:spacing w:after="0"/>
              <w:rPr>
                <w:sz w:val="20"/>
                <w:szCs w:val="20"/>
                <w:color w:val="auto"/>
              </w:rPr>
            </w:pPr>
            <w:r>
              <w:rPr>
                <w:rFonts w:ascii="Arial" w:cs="Arial" w:eastAsia="Arial" w:hAnsi="Arial"/>
                <w:sz w:val="18"/>
                <w:szCs w:val="18"/>
                <w:b w:val="1"/>
                <w:bCs w:val="1"/>
                <w:color w:val="auto"/>
                <w:w w:val="95"/>
              </w:rPr>
              <w:t>NN, Inc.</w:t>
            </w:r>
          </w:p>
        </w:tc>
      </w:tr>
      <w:tr>
        <w:trPr>
          <w:trHeight w:val="216"/>
        </w:trPr>
        <w:tc>
          <w:tcPr>
            <w:tcW w:w="2500" w:type="dxa"/>
            <w:vAlign w:val="bottom"/>
          </w:tcPr>
          <w:p>
            <w:pPr>
              <w:spacing w:after="0"/>
              <w:rPr>
                <w:sz w:val="18"/>
                <w:szCs w:val="18"/>
                <w:color w:val="auto"/>
              </w:rPr>
            </w:pPr>
          </w:p>
        </w:tc>
        <w:tc>
          <w:tcPr>
            <w:tcW w:w="6040" w:type="dxa"/>
            <w:vAlign w:val="bottom"/>
            <w:gridSpan w:val="2"/>
          </w:tcPr>
          <w:p>
            <w:pPr>
              <w:jc w:val="center"/>
              <w:ind w:right="1410"/>
              <w:spacing w:after="0"/>
              <w:rPr>
                <w:sz w:val="20"/>
                <w:szCs w:val="20"/>
                <w:color w:val="auto"/>
              </w:rPr>
            </w:pPr>
            <w:r>
              <w:rPr>
                <w:rFonts w:ascii="Arial" w:cs="Arial" w:eastAsia="Arial" w:hAnsi="Arial"/>
                <w:sz w:val="18"/>
                <w:szCs w:val="18"/>
                <w:b w:val="1"/>
                <w:bCs w:val="1"/>
                <w:color w:val="auto"/>
                <w:w w:val="88"/>
              </w:rPr>
              <w:t>Notes to Consolidated Financial Statements</w:t>
            </w:r>
          </w:p>
        </w:tc>
      </w:tr>
      <w:tr>
        <w:trPr>
          <w:trHeight w:val="216"/>
        </w:trPr>
        <w:tc>
          <w:tcPr>
            <w:tcW w:w="2500" w:type="dxa"/>
            <w:vAlign w:val="bottom"/>
          </w:tcPr>
          <w:p>
            <w:pPr>
              <w:spacing w:after="0"/>
              <w:rPr>
                <w:sz w:val="18"/>
                <w:szCs w:val="18"/>
                <w:color w:val="auto"/>
              </w:rPr>
            </w:pPr>
          </w:p>
        </w:tc>
        <w:tc>
          <w:tcPr>
            <w:tcW w:w="6040" w:type="dxa"/>
            <w:vAlign w:val="bottom"/>
            <w:gridSpan w:val="2"/>
          </w:tcPr>
          <w:p>
            <w:pPr>
              <w:jc w:val="center"/>
              <w:ind w:right="1430"/>
              <w:spacing w:after="0"/>
              <w:rPr>
                <w:sz w:val="20"/>
                <w:szCs w:val="20"/>
                <w:color w:val="auto"/>
              </w:rPr>
            </w:pPr>
            <w:r>
              <w:rPr>
                <w:rFonts w:ascii="Arial" w:cs="Arial" w:eastAsia="Arial" w:hAnsi="Arial"/>
                <w:sz w:val="18"/>
                <w:szCs w:val="18"/>
                <w:b w:val="1"/>
                <w:bCs w:val="1"/>
                <w:color w:val="auto"/>
                <w:w w:val="89"/>
              </w:rPr>
              <w:t>December 31, 2005, 2004 and 2003</w:t>
            </w:r>
          </w:p>
        </w:tc>
      </w:tr>
      <w:tr>
        <w:trPr>
          <w:trHeight w:val="234"/>
        </w:trPr>
        <w:tc>
          <w:tcPr>
            <w:tcW w:w="2500" w:type="dxa"/>
            <w:vAlign w:val="bottom"/>
          </w:tcPr>
          <w:p>
            <w:pPr>
              <w:spacing w:after="0"/>
              <w:rPr>
                <w:sz w:val="20"/>
                <w:szCs w:val="20"/>
                <w:color w:val="auto"/>
              </w:rPr>
            </w:pPr>
          </w:p>
        </w:tc>
        <w:tc>
          <w:tcPr>
            <w:tcW w:w="6040" w:type="dxa"/>
            <w:vAlign w:val="bottom"/>
            <w:gridSpan w:val="2"/>
          </w:tcPr>
          <w:p>
            <w:pPr>
              <w:jc w:val="center"/>
              <w:ind w:right="1430"/>
              <w:spacing w:after="0"/>
              <w:rPr>
                <w:sz w:val="20"/>
                <w:szCs w:val="20"/>
                <w:color w:val="auto"/>
              </w:rPr>
            </w:pPr>
            <w:r>
              <w:rPr>
                <w:rFonts w:ascii="Arial" w:cs="Arial" w:eastAsia="Arial" w:hAnsi="Arial"/>
                <w:sz w:val="18"/>
                <w:szCs w:val="18"/>
                <w:b w:val="1"/>
                <w:bCs w:val="1"/>
                <w:color w:val="auto"/>
                <w:w w:val="88"/>
              </w:rPr>
              <w:t>(In thousands, except per share data)</w:t>
            </w:r>
          </w:p>
        </w:tc>
      </w:tr>
      <w:tr>
        <w:trPr>
          <w:trHeight w:val="468"/>
        </w:trPr>
        <w:tc>
          <w:tcPr>
            <w:tcW w:w="25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88"/>
              </w:rPr>
              <w:t>Twelve months ended</w:t>
            </w:r>
          </w:p>
        </w:tc>
      </w:tr>
      <w:tr>
        <w:trPr>
          <w:trHeight w:val="216"/>
        </w:trPr>
        <w:tc>
          <w:tcPr>
            <w:tcW w:w="25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 2003</w:t>
            </w:r>
          </w:p>
        </w:tc>
      </w:tr>
      <w:tr>
        <w:trPr>
          <w:trHeight w:val="234"/>
        </w:trPr>
        <w:tc>
          <w:tcPr>
            <w:tcW w:w="2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(unaudited)</w:t>
            </w:r>
          </w:p>
        </w:tc>
      </w:tr>
      <w:tr>
        <w:trPr>
          <w:trHeight w:val="237"/>
        </w:trPr>
        <w:tc>
          <w:tcPr>
            <w:tcW w:w="2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16"/>
        </w:trPr>
        <w:tc>
          <w:tcPr>
            <w:tcW w:w="2500" w:type="dxa"/>
            <w:vAlign w:val="bottom"/>
            <w:shd w:val="clear" w:color="auto" w:fill="E2EEF6"/>
          </w:tcPr>
          <w:p>
            <w:pPr>
              <w:spacing w:after="0"/>
              <w:rPr>
                <w:sz w:val="20"/>
                <w:szCs w:val="20"/>
                <w:color w:val="auto"/>
              </w:rPr>
            </w:pPr>
            <w:r>
              <w:rPr>
                <w:rFonts w:ascii="Arial" w:cs="Arial" w:eastAsia="Arial" w:hAnsi="Arial"/>
                <w:sz w:val="18"/>
                <w:szCs w:val="18"/>
                <w:color w:val="auto"/>
              </w:rPr>
              <w:t>Net sales</w:t>
            </w:r>
          </w:p>
        </w:tc>
        <w:tc>
          <w:tcPr>
            <w:tcW w:w="604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$ 270,989</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Net income</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10,478</w:t>
            </w:r>
          </w:p>
        </w:tc>
      </w:tr>
      <w:tr>
        <w:trPr>
          <w:trHeight w:val="216"/>
        </w:trPr>
        <w:tc>
          <w:tcPr>
            <w:tcW w:w="2500" w:type="dxa"/>
            <w:vAlign w:val="bottom"/>
            <w:shd w:val="clear" w:color="auto" w:fill="E2EEF6"/>
          </w:tcPr>
          <w:p>
            <w:pPr>
              <w:spacing w:after="0"/>
              <w:rPr>
                <w:sz w:val="20"/>
                <w:szCs w:val="20"/>
                <w:color w:val="auto"/>
              </w:rPr>
            </w:pPr>
            <w:r>
              <w:rPr>
                <w:rFonts w:ascii="Arial" w:cs="Arial" w:eastAsia="Arial" w:hAnsi="Arial"/>
                <w:sz w:val="18"/>
                <w:szCs w:val="18"/>
                <w:color w:val="auto"/>
              </w:rPr>
              <w:t>Basic earnings per share</w:t>
            </w:r>
          </w:p>
        </w:tc>
        <w:tc>
          <w:tcPr>
            <w:tcW w:w="604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0.66</w:t>
            </w: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0.64</w:t>
            </w:r>
          </w:p>
        </w:tc>
      </w:tr>
    </w:tbl>
    <w:p>
      <w:pPr>
        <w:spacing w:after="0" w:line="200" w:lineRule="exact"/>
        <w:rPr>
          <w:sz w:val="20"/>
          <w:szCs w:val="20"/>
          <w:color w:val="auto"/>
        </w:rPr>
      </w:pPr>
    </w:p>
    <w:p>
      <w:pPr>
        <w:spacing w:after="0" w:line="308" w:lineRule="exact"/>
        <w:rPr>
          <w:sz w:val="20"/>
          <w:szCs w:val="20"/>
          <w:color w:val="auto"/>
        </w:rPr>
      </w:pPr>
    </w:p>
    <w:p>
      <w:pPr>
        <w:ind w:left="408" w:right="8020" w:hanging="408"/>
        <w:spacing w:after="0" w:line="636" w:lineRule="auto"/>
        <w:tabs>
          <w:tab w:leader="none" w:pos="246"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Restructuring and Impairment Charges </w:t>
      </w:r>
      <w:r>
        <w:rPr>
          <w:rFonts w:ascii="Arial" w:cs="Arial" w:eastAsia="Arial" w:hAnsi="Arial"/>
          <w:sz w:val="16"/>
          <w:szCs w:val="16"/>
          <w:b w:val="1"/>
          <w:bCs w:val="1"/>
          <w:u w:val="single" w:color="auto"/>
          <w:color w:val="auto"/>
        </w:rPr>
        <w:t>Eltmann, Germany Restructuring</w:t>
      </w:r>
    </w:p>
    <w:p>
      <w:pPr>
        <w:spacing w:after="0" w:line="1" w:lineRule="exact"/>
        <w:rPr>
          <w:sz w:val="20"/>
          <w:szCs w:val="20"/>
          <w:color w:val="auto"/>
        </w:rPr>
      </w:pPr>
    </w:p>
    <w:p>
      <w:pPr>
        <w:jc w:val="both"/>
        <w:ind w:left="408"/>
        <w:spacing w:after="0" w:line="255" w:lineRule="auto"/>
        <w:rPr>
          <w:sz w:val="20"/>
          <w:szCs w:val="20"/>
          <w:color w:val="auto"/>
        </w:rPr>
      </w:pPr>
      <w:r>
        <w:rPr>
          <w:rFonts w:ascii="Arial" w:cs="Arial" w:eastAsia="Arial" w:hAnsi="Arial"/>
          <w:sz w:val="18"/>
          <w:szCs w:val="18"/>
          <w:color w:val="auto"/>
        </w:rPr>
        <w:t>During the fourth quarter of 2004, the Company’s NN Europe subsidiary announced a reduction in staffing at its Eltmann, Germany ball production facility. This restructuring affected 83 employees and is expected be completed during 2006. The Company recorded restructuring charges during 2004 of approximately 1,700 Euro ($2,290) related to severance costs of approximately $2,115 and other related charges of approximately $175. The workforce reduction was a result of the Company’s continuing strategy of rationalizing its global manufacturing capacity and transfer of production principally to its facility in Kysucke Nove Mesto, Slovakia and other facilities. The charges were recorded in restructuring and impairment costs, a component of income from operations.</w:t>
      </w:r>
    </w:p>
    <w:p>
      <w:pPr>
        <w:spacing w:after="0" w:line="247" w:lineRule="exact"/>
        <w:rPr>
          <w:sz w:val="20"/>
          <w:szCs w:val="20"/>
          <w:color w:val="auto"/>
        </w:rPr>
      </w:pPr>
    </w:p>
    <w:p>
      <w:pPr>
        <w:ind w:left="408"/>
        <w:spacing w:after="0"/>
        <w:rPr>
          <w:sz w:val="20"/>
          <w:szCs w:val="20"/>
          <w:color w:val="auto"/>
        </w:rPr>
      </w:pPr>
      <w:r>
        <w:rPr>
          <w:rFonts w:ascii="Arial" w:cs="Arial" w:eastAsia="Arial" w:hAnsi="Arial"/>
          <w:sz w:val="17"/>
          <w:szCs w:val="17"/>
          <w:color w:val="auto"/>
        </w:rPr>
        <w:t>The following summarizes the 2005 and 2004 restructuring charges related to the restructuring at the Company’s Eltmann, Germany facility:</w:t>
      </w:r>
    </w:p>
    <w:p>
      <w:pPr>
        <w:spacing w:after="0" w:line="200" w:lineRule="exact"/>
        <w:rPr>
          <w:sz w:val="20"/>
          <w:szCs w:val="20"/>
          <w:color w:val="auto"/>
        </w:rPr>
      </w:pPr>
    </w:p>
    <w:p>
      <w:pPr>
        <w:spacing w:after="0" w:line="322" w:lineRule="exact"/>
        <w:rPr>
          <w:sz w:val="20"/>
          <w:szCs w:val="20"/>
          <w:color w:val="auto"/>
        </w:rPr>
      </w:pPr>
    </w:p>
    <w:tbl>
      <w:tblPr>
        <w:tblLayout w:type="fixed"/>
        <w:tblInd w:w="1228"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Reserve Balance</w:t>
            </w:r>
          </w:p>
        </w:tc>
        <w:tc>
          <w:tcPr>
            <w:tcW w:w="200" w:type="dxa"/>
            <w:vAlign w:val="bottom"/>
          </w:tcPr>
          <w:p>
            <w:pPr>
              <w:spacing w:after="0"/>
              <w:rPr>
                <w:sz w:val="14"/>
                <w:szCs w:val="14"/>
                <w:color w:val="auto"/>
              </w:rPr>
            </w:pPr>
          </w:p>
        </w:tc>
        <w:tc>
          <w:tcPr>
            <w:tcW w:w="1120" w:type="dxa"/>
            <w:vAlign w:val="bottom"/>
            <w:gridSpan w:val="3"/>
            <w:vMerge w:val="restart"/>
          </w:tcPr>
          <w:p>
            <w:pPr>
              <w:jc w:val="right"/>
              <w:ind w:right="236"/>
              <w:spacing w:after="0"/>
              <w:rPr>
                <w:sz w:val="20"/>
                <w:szCs w:val="20"/>
                <w:color w:val="auto"/>
              </w:rPr>
            </w:pPr>
            <w:r>
              <w:rPr>
                <w:rFonts w:ascii="Arial" w:cs="Arial" w:eastAsia="Arial" w:hAnsi="Arial"/>
                <w:sz w:val="14"/>
                <w:szCs w:val="14"/>
                <w:b w:val="1"/>
                <w:bCs w:val="1"/>
                <w:color w:val="auto"/>
              </w:rPr>
              <w:t>Charges</w:t>
            </w:r>
          </w:p>
        </w:tc>
        <w:tc>
          <w:tcPr>
            <w:tcW w:w="180" w:type="dxa"/>
            <w:vAlign w:val="bottom"/>
            <w:vMerge w:val="restart"/>
          </w:tcPr>
          <w:p>
            <w:pPr>
              <w:spacing w:after="0"/>
              <w:rPr>
                <w:sz w:val="14"/>
                <w:szCs w:val="14"/>
                <w:color w:val="auto"/>
              </w:rPr>
            </w:pPr>
          </w:p>
        </w:tc>
        <w:tc>
          <w:tcPr>
            <w:tcW w:w="1120" w:type="dxa"/>
            <w:vAlign w:val="bottom"/>
            <w:gridSpan w:val="3"/>
            <w:vMerge w:val="restart"/>
          </w:tcPr>
          <w:p>
            <w:pPr>
              <w:jc w:val="right"/>
              <w:ind w:right="108"/>
              <w:spacing w:after="0"/>
              <w:rPr>
                <w:sz w:val="20"/>
                <w:szCs w:val="20"/>
                <w:color w:val="auto"/>
              </w:rPr>
            </w:pPr>
            <w:r>
              <w:rPr>
                <w:rFonts w:ascii="Arial" w:cs="Arial" w:eastAsia="Arial" w:hAnsi="Arial"/>
                <w:sz w:val="14"/>
                <w:szCs w:val="14"/>
                <w:b w:val="1"/>
                <w:bCs w:val="1"/>
                <w:color w:val="auto"/>
              </w:rPr>
              <w:t>Paid in 2004</w:t>
            </w:r>
          </w:p>
        </w:tc>
        <w:tc>
          <w:tcPr>
            <w:tcW w:w="180" w:type="dxa"/>
            <w:vAlign w:val="bottom"/>
          </w:tcPr>
          <w:p>
            <w:pPr>
              <w:spacing w:after="0"/>
              <w:rPr>
                <w:sz w:val="14"/>
                <w:szCs w:val="14"/>
                <w:color w:val="auto"/>
              </w:rPr>
            </w:pPr>
          </w:p>
        </w:tc>
        <w:tc>
          <w:tcPr>
            <w:tcW w:w="1180" w:type="dxa"/>
            <w:vAlign w:val="bottom"/>
            <w:gridSpan w:val="5"/>
          </w:tcPr>
          <w:p>
            <w:pPr>
              <w:ind w:left="40"/>
              <w:spacing w:after="0"/>
              <w:rPr>
                <w:sz w:val="20"/>
                <w:szCs w:val="20"/>
                <w:color w:val="auto"/>
              </w:rPr>
            </w:pPr>
            <w:r>
              <w:rPr>
                <w:rFonts w:ascii="Arial" w:cs="Arial" w:eastAsia="Arial" w:hAnsi="Arial"/>
                <w:sz w:val="14"/>
                <w:szCs w:val="14"/>
                <w:b w:val="1"/>
                <w:bCs w:val="1"/>
                <w:color w:val="auto"/>
                <w:w w:val="99"/>
              </w:rPr>
              <w:t>Reserve Balance</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at 1/01/04</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bottom w:val="single" w:sz="8" w:color="auto"/>
            </w:tcBorders>
            <w:gridSpan w:val="3"/>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120" w:type="dxa"/>
            <w:vAlign w:val="bottom"/>
            <w:tcBorders>
              <w:bottom w:val="single" w:sz="8" w:color="auto"/>
            </w:tcBorders>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w w:val="93"/>
              </w:rPr>
              <w:t>at 12/31/04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00" w:type="dxa"/>
            <w:vAlign w:val="bottom"/>
            <w:shd w:val="clear" w:color="auto" w:fill="E2EEF6"/>
          </w:tcPr>
          <w:p>
            <w:pPr>
              <w:spacing w:after="0"/>
              <w:rPr>
                <w:sz w:val="20"/>
                <w:szCs w:val="20"/>
                <w:color w:val="auto"/>
              </w:rPr>
            </w:pPr>
            <w:r>
              <w:rPr>
                <w:rFonts w:ascii="Arial" w:cs="Arial" w:eastAsia="Arial" w:hAnsi="Arial"/>
                <w:sz w:val="14"/>
                <w:szCs w:val="14"/>
                <w:color w:val="auto"/>
              </w:rPr>
              <w:t>Severance and other employee costs</w:t>
            </w:r>
          </w:p>
        </w:tc>
        <w:tc>
          <w:tcPr>
            <w:tcW w:w="180" w:type="dxa"/>
            <w:vAlign w:val="bottom"/>
            <w:shd w:val="clear" w:color="auto" w:fill="E2EEF6"/>
          </w:tcPr>
          <w:p>
            <w:pPr>
              <w:spacing w:after="0"/>
              <w:rPr>
                <w:sz w:val="20"/>
                <w:szCs w:val="20"/>
                <w:color w:val="auto"/>
              </w:rPr>
            </w:pPr>
          </w:p>
        </w:tc>
        <w:tc>
          <w:tcPr>
            <w:tcW w:w="180" w:type="dxa"/>
            <w:vAlign w:val="bottom"/>
            <w:shd w:val="clear" w:color="auto" w:fill="E2EEF6"/>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E2EEF6"/>
          </w:tcPr>
          <w:p>
            <w:pPr>
              <w:spacing w:after="0"/>
              <w:rPr>
                <w:sz w:val="20"/>
                <w:szCs w:val="20"/>
                <w:color w:val="auto"/>
              </w:rPr>
            </w:pPr>
          </w:p>
        </w:tc>
        <w:tc>
          <w:tcPr>
            <w:tcW w:w="180" w:type="dxa"/>
            <w:vAlign w:val="bottom"/>
            <w:gridSpan w:val="2"/>
            <w:shd w:val="clear" w:color="auto" w:fill="E2EEF6"/>
          </w:tcPr>
          <w:p>
            <w:pPr>
              <w:ind w:left="80"/>
              <w:spacing w:after="0"/>
              <w:rPr>
                <w:sz w:val="20"/>
                <w:szCs w:val="20"/>
                <w:color w:val="auto"/>
              </w:rPr>
            </w:pPr>
            <w:r>
              <w:rPr>
                <w:rFonts w:ascii="Arial" w:cs="Arial" w:eastAsia="Arial" w:hAnsi="Arial"/>
                <w:sz w:val="14"/>
                <w:szCs w:val="14"/>
                <w:color w:val="auto"/>
                <w:w w:val="85"/>
              </w:rPr>
              <w:t>--</w:t>
            </w:r>
          </w:p>
        </w:tc>
        <w:tc>
          <w:tcPr>
            <w:tcW w:w="840" w:type="dxa"/>
            <w:vAlign w:val="bottom"/>
            <w:gridSpan w:val="2"/>
            <w:shd w:val="clear" w:color="auto" w:fill="E2EEF6"/>
          </w:tcPr>
          <w:p>
            <w:pPr>
              <w:ind w:left="20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E2EEF6"/>
            </w:tcBorders>
            <w:shd w:val="clear" w:color="auto" w:fill="E2EEF6"/>
          </w:tcPr>
          <w:p>
            <w:pPr>
              <w:spacing w:after="0"/>
              <w:rPr>
                <w:sz w:val="20"/>
                <w:szCs w:val="20"/>
                <w:color w:val="auto"/>
              </w:rPr>
            </w:pPr>
          </w:p>
        </w:tc>
        <w:tc>
          <w:tcPr>
            <w:tcW w:w="560" w:type="dxa"/>
            <w:vAlign w:val="bottom"/>
            <w:gridSpan w:val="2"/>
            <w:shd w:val="clear" w:color="auto" w:fill="E2EEF6"/>
          </w:tcPr>
          <w:p>
            <w:pPr>
              <w:jc w:val="right"/>
              <w:ind w:right="180"/>
              <w:spacing w:after="0"/>
              <w:rPr>
                <w:sz w:val="20"/>
                <w:szCs w:val="20"/>
                <w:color w:val="auto"/>
              </w:rPr>
            </w:pPr>
            <w:r>
              <w:rPr>
                <w:rFonts w:ascii="Arial" w:cs="Arial" w:eastAsia="Arial" w:hAnsi="Arial"/>
                <w:sz w:val="14"/>
                <w:szCs w:val="14"/>
                <w:color w:val="auto"/>
              </w:rPr>
              <w:t>2,290</w:t>
            </w:r>
          </w:p>
        </w:tc>
        <w:tc>
          <w:tcPr>
            <w:tcW w:w="360" w:type="dxa"/>
            <w:vAlign w:val="bottom"/>
            <w:shd w:val="clear" w:color="auto" w:fill="E2EEF6"/>
          </w:tcPr>
          <w:p>
            <w:pPr>
              <w:spacing w:after="0"/>
              <w:rPr>
                <w:sz w:val="20"/>
                <w:szCs w:val="20"/>
                <w:color w:val="auto"/>
              </w:rPr>
            </w:pPr>
          </w:p>
        </w:tc>
        <w:tc>
          <w:tcPr>
            <w:tcW w:w="100" w:type="dxa"/>
            <w:vAlign w:val="bottom"/>
            <w:tcBorders>
              <w:right w:val="single" w:sz="8" w:color="E2EEF6"/>
            </w:tcBorders>
            <w:shd w:val="clear" w:color="auto" w:fill="E2EEF6"/>
          </w:tcPr>
          <w:p>
            <w:pPr>
              <w:spacing w:after="0"/>
              <w:rPr>
                <w:sz w:val="20"/>
                <w:szCs w:val="20"/>
                <w:color w:val="auto"/>
              </w:rPr>
            </w:pPr>
          </w:p>
        </w:tc>
        <w:tc>
          <w:tcPr>
            <w:tcW w:w="660" w:type="dxa"/>
            <w:vAlign w:val="bottom"/>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E2EEF6"/>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E2EEF6"/>
            </w:tcBorders>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820" w:type="dxa"/>
            <w:vAlign w:val="bottom"/>
            <w:gridSpan w:val="2"/>
            <w:shd w:val="clear" w:color="auto" w:fill="E2EEF6"/>
          </w:tcPr>
          <w:p>
            <w:pPr>
              <w:jc w:val="right"/>
              <w:ind w:right="80"/>
              <w:spacing w:after="0"/>
              <w:rPr>
                <w:sz w:val="20"/>
                <w:szCs w:val="20"/>
                <w:color w:val="auto"/>
              </w:rPr>
            </w:pPr>
            <w:r>
              <w:rPr>
                <w:rFonts w:ascii="Arial" w:cs="Arial" w:eastAsia="Arial" w:hAnsi="Arial"/>
                <w:sz w:val="14"/>
                <w:szCs w:val="14"/>
                <w:color w:val="auto"/>
              </w:rPr>
              <w:t>2,290</w:t>
            </w:r>
          </w:p>
        </w:tc>
        <w:tc>
          <w:tcPr>
            <w:tcW w:w="0" w:type="dxa"/>
            <w:vAlign w:val="bottom"/>
          </w:tcPr>
          <w:p>
            <w:pPr>
              <w:spacing w:after="0"/>
              <w:rPr>
                <w:sz w:val="1"/>
                <w:szCs w:val="1"/>
                <w:color w:val="auto"/>
              </w:rPr>
            </w:pPr>
          </w:p>
        </w:tc>
      </w:tr>
      <w:tr>
        <w:trPr>
          <w:trHeight w:val="20"/>
        </w:trPr>
        <w:tc>
          <w:tcPr>
            <w:tcW w:w="4000" w:type="dxa"/>
            <w:vAlign w:val="bottom"/>
            <w:shd w:val="clear" w:color="auto" w:fill="E2EEF6"/>
          </w:tcPr>
          <w:p>
            <w:pPr>
              <w:spacing w:after="0" w:line="20" w:lineRule="exact"/>
              <w:rPr>
                <w:sz w:val="1"/>
                <w:szCs w:val="1"/>
                <w:color w:val="auto"/>
              </w:rPr>
            </w:pPr>
          </w:p>
        </w:tc>
        <w:tc>
          <w:tcPr>
            <w:tcW w:w="180" w:type="dxa"/>
            <w:vAlign w:val="bottom"/>
            <w:shd w:val="clear" w:color="auto" w:fill="E2EEF6"/>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E2EEF6"/>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E2EEF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E2EEF6"/>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E2EE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tcPr>
          <w:p>
            <w:pPr>
              <w:spacing w:after="0"/>
              <w:rPr>
                <w:sz w:val="20"/>
                <w:szCs w:val="20"/>
                <w:color w:val="auto"/>
              </w:rPr>
            </w:pPr>
            <w:r>
              <w:rPr>
                <w:rFonts w:ascii="Arial" w:cs="Arial" w:eastAsia="Arial" w:hAnsi="Arial"/>
                <w:sz w:val="14"/>
                <w:szCs w:val="14"/>
                <w:color w:val="auto"/>
              </w:rPr>
              <w:t>Total</w:t>
            </w:r>
          </w:p>
        </w:tc>
        <w:tc>
          <w:tcPr>
            <w:tcW w:w="180" w:type="dxa"/>
            <w:vAlign w:val="bottom"/>
          </w:tcPr>
          <w:p>
            <w:pPr>
              <w:spacing w:after="0"/>
              <w:rPr>
                <w:sz w:val="20"/>
                <w:szCs w:val="20"/>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Arial" w:cs="Arial" w:eastAsia="Arial" w:hAnsi="Arial"/>
                <w:sz w:val="14"/>
                <w:szCs w:val="14"/>
                <w:color w:val="auto"/>
                <w:w w:val="85"/>
              </w:rPr>
              <w:t>--</w:t>
            </w:r>
          </w:p>
        </w:tc>
        <w:tc>
          <w:tcPr>
            <w:tcW w:w="8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2,290</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2,290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Reserve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Reserve</w:t>
            </w:r>
          </w:p>
        </w:tc>
        <w:tc>
          <w:tcPr>
            <w:tcW w:w="0" w:type="dxa"/>
            <w:vAlign w:val="bottom"/>
          </w:tcPr>
          <w:p>
            <w:pPr>
              <w:spacing w:after="0"/>
              <w:rPr>
                <w:sz w:val="1"/>
                <w:szCs w:val="1"/>
                <w:color w:val="auto"/>
              </w:rPr>
            </w:pPr>
          </w:p>
        </w:tc>
      </w:tr>
      <w:tr>
        <w:trPr>
          <w:trHeight w:val="81"/>
        </w:trPr>
        <w:tc>
          <w:tcPr>
            <w:tcW w:w="40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4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3"/>
            <w:vMerge w:val="restart"/>
          </w:tcPr>
          <w:p>
            <w:pPr>
              <w:ind w:left="120"/>
              <w:spacing w:after="0" w:line="135" w:lineRule="exact"/>
              <w:rPr>
                <w:sz w:val="20"/>
                <w:szCs w:val="20"/>
                <w:color w:val="auto"/>
              </w:rPr>
            </w:pPr>
            <w:r>
              <w:rPr>
                <w:rFonts w:ascii="Arial" w:cs="Arial" w:eastAsia="Arial" w:hAnsi="Arial"/>
                <w:sz w:val="14"/>
                <w:szCs w:val="14"/>
                <w:b w:val="1"/>
                <w:bCs w:val="1"/>
                <w:color w:val="auto"/>
              </w:rPr>
              <w:t>Adjustment</w:t>
            </w: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3"/>
            <w:vMerge w:val="restart"/>
          </w:tcPr>
          <w:p>
            <w:pPr>
              <w:jc w:val="right"/>
              <w:spacing w:after="0" w:line="135"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gridSpan w:val="2"/>
            <w:vMerge w:val="restart"/>
          </w:tcPr>
          <w:p>
            <w:pPr>
              <w:jc w:val="right"/>
              <w:ind w:right="80"/>
              <w:spacing w:after="0" w:line="135" w:lineRule="exact"/>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30"/>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12/31/04</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102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Paid in 2005</w:t>
            </w:r>
          </w:p>
        </w:tc>
        <w:tc>
          <w:tcPr>
            <w:tcW w:w="94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7"/>
              </w:rPr>
              <w:t>to Reserve</w:t>
            </w:r>
          </w:p>
        </w:tc>
        <w:tc>
          <w:tcPr>
            <w:tcW w:w="1020" w:type="dxa"/>
            <w:vAlign w:val="bottom"/>
            <w:gridSpan w:val="4"/>
            <w:vMerge w:val="continue"/>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Impacts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12/31/05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shd w:val="clear" w:color="auto" w:fill="E2EEF6"/>
          </w:tcPr>
          <w:p>
            <w:pPr>
              <w:spacing w:after="0"/>
              <w:rPr>
                <w:sz w:val="20"/>
                <w:szCs w:val="20"/>
                <w:color w:val="auto"/>
              </w:rPr>
            </w:pPr>
            <w:r>
              <w:rPr>
                <w:rFonts w:ascii="Arial" w:cs="Arial" w:eastAsia="Arial" w:hAnsi="Arial"/>
                <w:sz w:val="14"/>
                <w:szCs w:val="14"/>
                <w:color w:val="auto"/>
              </w:rPr>
              <w:t>Severance and other employee costs</w:t>
            </w:r>
          </w:p>
        </w:tc>
        <w:tc>
          <w:tcPr>
            <w:tcW w:w="180" w:type="dxa"/>
            <w:vAlign w:val="bottom"/>
            <w:shd w:val="clear" w:color="auto" w:fill="E2EEF6"/>
          </w:tcPr>
          <w:p>
            <w:pPr>
              <w:spacing w:after="0"/>
              <w:rPr>
                <w:sz w:val="20"/>
                <w:szCs w:val="20"/>
                <w:color w:val="auto"/>
              </w:rPr>
            </w:pPr>
          </w:p>
        </w:tc>
        <w:tc>
          <w:tcPr>
            <w:tcW w:w="180" w:type="dxa"/>
            <w:vAlign w:val="bottom"/>
            <w:shd w:val="clear" w:color="auto" w:fill="E2EEF6"/>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E2EEF6"/>
          </w:tcPr>
          <w:p>
            <w:pPr>
              <w:jc w:val="right"/>
              <w:spacing w:after="0"/>
              <w:rPr>
                <w:sz w:val="20"/>
                <w:szCs w:val="20"/>
                <w:color w:val="auto"/>
              </w:rPr>
            </w:pPr>
            <w:r>
              <w:rPr>
                <w:rFonts w:ascii="Arial" w:cs="Arial" w:eastAsia="Arial" w:hAnsi="Arial"/>
                <w:sz w:val="14"/>
                <w:szCs w:val="14"/>
                <w:color w:val="auto"/>
              </w:rPr>
              <w:t>2,290</w:t>
            </w:r>
          </w:p>
        </w:tc>
        <w:tc>
          <w:tcPr>
            <w:tcW w:w="180" w:type="dxa"/>
            <w:vAlign w:val="bottom"/>
            <w:gridSpan w:val="2"/>
            <w:shd w:val="clear" w:color="auto" w:fill="E2EEF6"/>
          </w:tcPr>
          <w:p>
            <w:pPr>
              <w:ind w:left="100"/>
              <w:spacing w:after="0"/>
              <w:rPr>
                <w:sz w:val="20"/>
                <w:szCs w:val="20"/>
                <w:color w:val="auto"/>
              </w:rPr>
            </w:pPr>
            <w:r>
              <w:rPr>
                <w:rFonts w:ascii="Arial" w:cs="Arial" w:eastAsia="Arial" w:hAnsi="Arial"/>
                <w:sz w:val="14"/>
                <w:szCs w:val="14"/>
                <w:color w:val="auto"/>
                <w:w w:val="76"/>
              </w:rPr>
              <w:t>$</w:t>
            </w:r>
          </w:p>
        </w:tc>
        <w:tc>
          <w:tcPr>
            <w:tcW w:w="940" w:type="dxa"/>
            <w:vAlign w:val="bottom"/>
            <w:tcBorders>
              <w:right w:val="single" w:sz="8" w:color="E2EEF6"/>
            </w:tcBorders>
            <w:gridSpan w:val="3"/>
            <w:shd w:val="clear" w:color="auto" w:fill="E2EEF6"/>
          </w:tcPr>
          <w:p>
            <w:pPr>
              <w:jc w:val="right"/>
              <w:ind w:right="40"/>
              <w:spacing w:after="0"/>
              <w:rPr>
                <w:sz w:val="20"/>
                <w:szCs w:val="20"/>
                <w:color w:val="auto"/>
              </w:rPr>
            </w:pPr>
            <w:r>
              <w:rPr>
                <w:rFonts w:ascii="Arial" w:cs="Arial" w:eastAsia="Arial" w:hAnsi="Arial"/>
                <w:sz w:val="14"/>
                <w:szCs w:val="14"/>
                <w:color w:val="auto"/>
              </w:rPr>
              <w:t>(342)</w:t>
            </w:r>
          </w:p>
        </w:tc>
        <w:tc>
          <w:tcPr>
            <w:tcW w:w="380" w:type="dxa"/>
            <w:vAlign w:val="bottom"/>
            <w:shd w:val="clear" w:color="auto" w:fill="E2EEF6"/>
          </w:tcPr>
          <w:p>
            <w:pPr>
              <w:jc w:val="right"/>
              <w:ind w:right="256"/>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E2EEF6"/>
          </w:tcPr>
          <w:p>
            <w:pPr>
              <w:spacing w:after="0"/>
              <w:rPr>
                <w:sz w:val="20"/>
                <w:szCs w:val="20"/>
                <w:color w:val="auto"/>
              </w:rPr>
            </w:pPr>
          </w:p>
        </w:tc>
        <w:tc>
          <w:tcPr>
            <w:tcW w:w="460" w:type="dxa"/>
            <w:vAlign w:val="bottom"/>
            <w:tcBorders>
              <w:right w:val="single" w:sz="8" w:color="E2EEF6"/>
            </w:tcBorders>
            <w:gridSpan w:val="2"/>
            <w:shd w:val="clear" w:color="auto" w:fill="E2EEF6"/>
          </w:tcPr>
          <w:p>
            <w:pPr>
              <w:jc w:val="right"/>
              <w:ind w:right="40"/>
              <w:spacing w:after="0"/>
              <w:rPr>
                <w:sz w:val="20"/>
                <w:szCs w:val="20"/>
                <w:color w:val="auto"/>
              </w:rPr>
            </w:pPr>
            <w:r>
              <w:rPr>
                <w:rFonts w:ascii="Arial" w:cs="Arial" w:eastAsia="Arial" w:hAnsi="Arial"/>
                <w:sz w:val="14"/>
                <w:szCs w:val="14"/>
                <w:color w:val="auto"/>
              </w:rPr>
              <w:t>(884)</w:t>
            </w:r>
          </w:p>
        </w:tc>
        <w:tc>
          <w:tcPr>
            <w:tcW w:w="660" w:type="dxa"/>
            <w:vAlign w:val="bottom"/>
            <w:shd w:val="clear" w:color="auto" w:fill="E2EEF6"/>
          </w:tcPr>
          <w:p>
            <w:pPr>
              <w:jc w:val="right"/>
              <w:ind w:right="508"/>
              <w:spacing w:after="0"/>
              <w:rPr>
                <w:sz w:val="20"/>
                <w:szCs w:val="20"/>
                <w:color w:val="auto"/>
              </w:rPr>
            </w:pPr>
            <w:r>
              <w:rPr>
                <w:rFonts w:ascii="Arial" w:cs="Arial" w:eastAsia="Arial" w:hAnsi="Arial"/>
                <w:sz w:val="14"/>
                <w:szCs w:val="14"/>
                <w:color w:val="auto"/>
                <w:w w:val="76"/>
              </w:rPr>
              <w:t>$</w:t>
            </w:r>
          </w:p>
        </w:tc>
        <w:tc>
          <w:tcPr>
            <w:tcW w:w="280" w:type="dxa"/>
            <w:vAlign w:val="bottom"/>
            <w:gridSpan w:val="2"/>
            <w:shd w:val="clear" w:color="auto" w:fill="E2EEF6"/>
          </w:tcPr>
          <w:p>
            <w:pPr>
              <w:jc w:val="right"/>
              <w:spacing w:after="0"/>
              <w:rPr>
                <w:sz w:val="20"/>
                <w:szCs w:val="20"/>
                <w:color w:val="auto"/>
              </w:rPr>
            </w:pPr>
            <w:r>
              <w:rPr>
                <w:rFonts w:ascii="Arial" w:cs="Arial" w:eastAsia="Arial" w:hAnsi="Arial"/>
                <w:sz w:val="14"/>
                <w:szCs w:val="14"/>
                <w:color w:val="auto"/>
                <w:w w:val="91"/>
              </w:rPr>
              <w:t>(219)</w:t>
            </w:r>
          </w:p>
        </w:tc>
        <w:tc>
          <w:tcPr>
            <w:tcW w:w="260" w:type="dxa"/>
            <w:vAlign w:val="bottom"/>
            <w:tcBorders>
              <w:left w:val="single" w:sz="8" w:color="E2EEF6"/>
            </w:tcBorders>
            <w:gridSpan w:val="2"/>
            <w:shd w:val="clear" w:color="auto" w:fill="E2EEF6"/>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E2EEF6"/>
          </w:tcPr>
          <w:p>
            <w:pPr>
              <w:jc w:val="right"/>
              <w:ind w:right="80"/>
              <w:spacing w:after="0"/>
              <w:rPr>
                <w:sz w:val="20"/>
                <w:szCs w:val="20"/>
                <w:color w:val="auto"/>
              </w:rPr>
            </w:pPr>
            <w:r>
              <w:rPr>
                <w:rFonts w:ascii="Arial" w:cs="Arial" w:eastAsia="Arial" w:hAnsi="Arial"/>
                <w:sz w:val="14"/>
                <w:szCs w:val="14"/>
                <w:color w:val="auto"/>
              </w:rPr>
              <w:t>845</w:t>
            </w:r>
          </w:p>
        </w:tc>
        <w:tc>
          <w:tcPr>
            <w:tcW w:w="0" w:type="dxa"/>
            <w:vAlign w:val="bottom"/>
          </w:tcPr>
          <w:p>
            <w:pPr>
              <w:spacing w:after="0"/>
              <w:rPr>
                <w:sz w:val="1"/>
                <w:szCs w:val="1"/>
                <w:color w:val="auto"/>
              </w:rPr>
            </w:pPr>
          </w:p>
        </w:tc>
      </w:tr>
      <w:tr>
        <w:trPr>
          <w:trHeight w:val="20"/>
        </w:trPr>
        <w:tc>
          <w:tcPr>
            <w:tcW w:w="4000" w:type="dxa"/>
            <w:vAlign w:val="bottom"/>
            <w:shd w:val="clear" w:color="auto" w:fill="E2EEF6"/>
          </w:tcPr>
          <w:p>
            <w:pPr>
              <w:spacing w:after="0" w:line="20" w:lineRule="exact"/>
              <w:rPr>
                <w:sz w:val="1"/>
                <w:szCs w:val="1"/>
                <w:color w:val="auto"/>
              </w:rPr>
            </w:pPr>
          </w:p>
        </w:tc>
        <w:tc>
          <w:tcPr>
            <w:tcW w:w="180" w:type="dxa"/>
            <w:vAlign w:val="bottom"/>
            <w:shd w:val="clear" w:color="auto" w:fill="E2EEF6"/>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E2EEF6"/>
            </w:tcBorders>
            <w:shd w:val="clear" w:color="auto" w:fill="E2EEF6"/>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right w:val="single" w:sz="8" w:color="E2EEF6"/>
            </w:tcBorders>
            <w:shd w:val="clear" w:color="auto" w:fill="E2EEF6"/>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E2EEF6"/>
            </w:tcBorders>
            <w:shd w:val="clear" w:color="auto" w:fill="E2EEF6"/>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E2EE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tcPr>
          <w:p>
            <w:pPr>
              <w:ind w:left="60"/>
              <w:spacing w:after="0"/>
              <w:rPr>
                <w:sz w:val="20"/>
                <w:szCs w:val="20"/>
                <w:color w:val="auto"/>
              </w:rPr>
            </w:pPr>
            <w:r>
              <w:rPr>
                <w:rFonts w:ascii="Arial" w:cs="Arial" w:eastAsia="Arial" w:hAnsi="Arial"/>
                <w:sz w:val="14"/>
                <w:szCs w:val="14"/>
                <w:color w:val="auto"/>
              </w:rPr>
              <w:t>Total</w:t>
            </w:r>
          </w:p>
        </w:tc>
        <w:tc>
          <w:tcPr>
            <w:tcW w:w="180" w:type="dxa"/>
            <w:vAlign w:val="bottom"/>
          </w:tcPr>
          <w:p>
            <w:pPr>
              <w:spacing w:after="0"/>
              <w:rPr>
                <w:sz w:val="20"/>
                <w:szCs w:val="20"/>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2,290</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940" w:type="dxa"/>
            <w:vAlign w:val="bottom"/>
            <w:gridSpan w:val="3"/>
          </w:tcPr>
          <w:p>
            <w:pPr>
              <w:jc w:val="right"/>
              <w:ind w:right="40"/>
              <w:spacing w:after="0"/>
              <w:rPr>
                <w:sz w:val="20"/>
                <w:szCs w:val="20"/>
                <w:color w:val="auto"/>
              </w:rPr>
            </w:pPr>
            <w:r>
              <w:rPr>
                <w:rFonts w:ascii="Arial" w:cs="Arial" w:eastAsia="Arial" w:hAnsi="Arial"/>
                <w:sz w:val="14"/>
                <w:szCs w:val="14"/>
                <w:color w:val="auto"/>
              </w:rPr>
              <w:t>(342)</w:t>
            </w:r>
          </w:p>
        </w:tc>
        <w:tc>
          <w:tcPr>
            <w:tcW w:w="380" w:type="dxa"/>
            <w:vAlign w:val="bottom"/>
          </w:tcPr>
          <w:p>
            <w:pPr>
              <w:jc w:val="right"/>
              <w:ind w:right="256"/>
              <w:spacing w:after="0"/>
              <w:rPr>
                <w:sz w:val="20"/>
                <w:szCs w:val="20"/>
                <w:color w:val="auto"/>
              </w:rPr>
            </w:pPr>
            <w:r>
              <w:rPr>
                <w:rFonts w:ascii="Arial" w:cs="Arial" w:eastAsia="Arial" w:hAnsi="Arial"/>
                <w:sz w:val="10"/>
                <w:szCs w:val="10"/>
                <w:color w:val="auto"/>
                <w:w w:val="71"/>
              </w:rPr>
              <w:t>$</w:t>
            </w:r>
          </w:p>
        </w:tc>
        <w:tc>
          <w:tcPr>
            <w:tcW w:w="180" w:type="dxa"/>
            <w:vAlign w:val="bottom"/>
          </w:tcPr>
          <w:p>
            <w:pPr>
              <w:spacing w:after="0"/>
              <w:rPr>
                <w:sz w:val="20"/>
                <w:szCs w:val="2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(884)</w:t>
            </w: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w w:val="91"/>
              </w:rPr>
              <w:t>(219)</w:t>
            </w:r>
          </w:p>
        </w:tc>
        <w:tc>
          <w:tcPr>
            <w:tcW w:w="2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845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left="408"/>
        <w:spacing w:after="0" w:line="291" w:lineRule="auto"/>
        <w:rPr>
          <w:sz w:val="20"/>
          <w:szCs w:val="20"/>
          <w:color w:val="auto"/>
        </w:rPr>
      </w:pPr>
      <w:r>
        <w:rPr>
          <w:rFonts w:ascii="Arial" w:cs="Arial" w:eastAsia="Arial" w:hAnsi="Arial"/>
          <w:sz w:val="16"/>
          <w:szCs w:val="16"/>
          <w:color w:val="auto"/>
        </w:rPr>
        <w:t>We expect to pay the remaining amounts during 2006, and no additional charges are expected to be incurred. The Adjustment to Reserve amount shown in the above table represented a reduction in the reserve balance in 2005 because actual payouts made were lower in some cases than estimated when the original reserve was established. As a result of the workforce reduction and rationalization of global manufacturing capacity, we performed a test of the recoverability of the goodwill and long-lived assets associated with the Eltmann, Germany facility. This test was pursuant to the provisions of Statement of Financial Accounting Standards No. 142 “Goodwill and Other Intangible Assets” and Statement of Financial Accounting Standards No. 144 “Accounting for the Impairment on Disposal of Long-Lived Assets” which require that interim tests of asset recoverability be performed under certain circumstances. As a result of the test, we concluded that no indication of impairment existed at December 31, 2004.</w:t>
      </w:r>
    </w:p>
    <w:p>
      <w:pPr>
        <w:spacing w:after="0" w:line="217" w:lineRule="exact"/>
        <w:rPr>
          <w:sz w:val="20"/>
          <w:szCs w:val="20"/>
          <w:color w:val="auto"/>
        </w:rPr>
      </w:pPr>
    </w:p>
    <w:p>
      <w:pPr>
        <w:jc w:val="center"/>
        <w:ind w:right="72"/>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70485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8"/>
          </w:cols>
          <w:pgMar w:left="332" w:top="391" w:right="239" w:bottom="1440" w:gutter="0" w:footer="0" w:header="0"/>
        </w:sectPr>
      </w:pPr>
    </w:p>
    <w:bookmarkStart w:id="42" w:name="page43"/>
    <w:bookmarkEnd w:id="42"/>
    <w:p>
      <w:pPr>
        <w:jc w:val="center"/>
        <w:ind w:left="98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December 31, 2005, 2004 and 2003</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(In thousands, except per share data)</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NN Arté Plant Closing in Guadalajara, Mexico</w:t>
      </w:r>
    </w:p>
    <w:p>
      <w:pPr>
        <w:spacing w:after="0" w:line="283"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color w:val="auto"/>
        </w:rPr>
        <w:t>In May 2003, we decided to close our Guadalajara, Mexico plastic injection molding facility. This operation was started in September of 2000 to supply certain Mexican operations of multi-national manufacturers of office automation equipment. The closure was substantially completed during the third quarter of 2003. The financial results of this operation have been included in the Plastic and Rubber Components Segment.</w:t>
      </w:r>
    </w:p>
    <w:p>
      <w:pPr>
        <w:spacing w:after="0" w:line="220" w:lineRule="exact"/>
        <w:rPr>
          <w:sz w:val="20"/>
          <w:szCs w:val="20"/>
          <w:color w:val="auto"/>
        </w:rPr>
      </w:pPr>
    </w:p>
    <w:p>
      <w:pPr>
        <w:jc w:val="both"/>
        <w:ind w:left="500"/>
        <w:spacing w:after="0" w:line="342" w:lineRule="auto"/>
        <w:rPr>
          <w:sz w:val="20"/>
          <w:szCs w:val="20"/>
          <w:color w:val="auto"/>
        </w:rPr>
      </w:pPr>
      <w:r>
        <w:rPr>
          <w:rFonts w:ascii="Arial" w:cs="Arial" w:eastAsia="Arial" w:hAnsi="Arial"/>
          <w:sz w:val="16"/>
          <w:szCs w:val="16"/>
          <w:color w:val="auto"/>
        </w:rPr>
        <w:t>The plant closing resulted in the termination of approximately 42 full-time hourly and salary employees located at the Guadalajara facility. For the twelve months ended December 31, 2003 total restructuring costs of $230 were recorded related to the severance payments for the affected employees.</w:t>
      </w:r>
    </w:p>
    <w:p>
      <w:pPr>
        <w:spacing w:after="0" w:line="178"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color w:val="auto"/>
        </w:rPr>
        <w:t>As a result of the closing, we performed a test of the recoverability of the goodwill asset associated with the Guadalajara, Mexico operation. This test was pursuant to the provisions of Statement of Financial Accounting Standards No. 142 “Goodwill and Other Intangible Assets” which require that interim tests of the recoverability of goodwill be performed under certain circumstances. As a result, we recorded an impairment charge of approximately $1,285 to fully write-off the goodwill asset during the twelve month period ended December 31, 2003.</w:t>
      </w:r>
    </w:p>
    <w:p>
      <w:pPr>
        <w:spacing w:after="0" w:line="225"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We sold much of the machinery and equipment with certain pieces of machinery and equipment to be transferred and utilized by our Industrial Molding facility in Lubbock, Texas. Pursuant to the provisions of Statement of Accounting Standards No. 144 “Accounting for the Impairment or Disposal of Long-lived Assets” we recorded an impairment charge of approximately $1,049 during 2003 to write-down the machinery and equipment to its estimated fair market value. During the three months ended September 30, 2003 we recorded a gain of $145 related to the disposition of certain pieces of the machinery and equipment assets that were previously assessed as impaired. During the twelve months ended December 31, 2003, we recorded a total impairment charge related to the machinery and equipment of approximately $904.</w:t>
      </w:r>
    </w:p>
    <w:p>
      <w:pPr>
        <w:spacing w:after="0" w:line="233"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During 2003, we also recorded an accounts receivable write-down of $31 to reduce accounts receivable to its estimated fair market value. Additionally, we recorded an inventory write-down of $108 during 2003 to reduce the carrying value of inventory to its estimated fair market value. The amounts related to the inventory asset has been recorded as a component of cost of products sold.</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the 2004 and 2003 restructuring and impairment charges related to the closure of NN Arté:</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shd w:val="clear" w:color="auto" w:fill="E2EEF6"/>
          </w:tcPr>
          <w:p>
            <w:pPr>
              <w:spacing w:after="0"/>
              <w:rPr>
                <w:sz w:val="18"/>
                <w:szCs w:val="18"/>
                <w:color w:val="auto"/>
              </w:rPr>
            </w:pPr>
          </w:p>
        </w:tc>
        <w:tc>
          <w:tcPr>
            <w:tcW w:w="240" w:type="dxa"/>
            <w:vAlign w:val="bottom"/>
            <w:shd w:val="clear" w:color="auto" w:fill="E2EEF6"/>
          </w:tcPr>
          <w:p>
            <w:pPr>
              <w:spacing w:after="0"/>
              <w:rPr>
                <w:sz w:val="18"/>
                <w:szCs w:val="18"/>
                <w:color w:val="auto"/>
              </w:rPr>
            </w:pPr>
          </w:p>
        </w:tc>
        <w:tc>
          <w:tcPr>
            <w:tcW w:w="1220" w:type="dxa"/>
            <w:vAlign w:val="bottom"/>
            <w:shd w:val="clear" w:color="auto" w:fill="E2EEF6"/>
          </w:tcPr>
          <w:p>
            <w:pPr>
              <w:spacing w:after="0"/>
              <w:rPr>
                <w:sz w:val="18"/>
                <w:szCs w:val="18"/>
                <w:color w:val="auto"/>
              </w:rPr>
            </w:pPr>
          </w:p>
        </w:tc>
        <w:tc>
          <w:tcPr>
            <w:tcW w:w="160" w:type="dxa"/>
            <w:vAlign w:val="bottom"/>
            <w:shd w:val="clear" w:color="auto" w:fill="E2EEF6"/>
          </w:tcPr>
          <w:p>
            <w:pPr>
              <w:spacing w:after="0"/>
              <w:rPr>
                <w:sz w:val="18"/>
                <w:szCs w:val="18"/>
                <w:color w:val="auto"/>
              </w:rPr>
            </w:pPr>
          </w:p>
        </w:tc>
        <w:tc>
          <w:tcPr>
            <w:tcW w:w="220" w:type="dxa"/>
            <w:vAlign w:val="bottom"/>
            <w:shd w:val="clear" w:color="auto" w:fill="E2EEF6"/>
          </w:tcPr>
          <w:p>
            <w:pPr>
              <w:spacing w:after="0"/>
              <w:rPr>
                <w:sz w:val="18"/>
                <w:szCs w:val="18"/>
                <w:color w:val="auto"/>
              </w:rPr>
            </w:pPr>
          </w:p>
        </w:tc>
        <w:tc>
          <w:tcPr>
            <w:tcW w:w="180" w:type="dxa"/>
            <w:vAlign w:val="bottom"/>
            <w:shd w:val="clear" w:color="auto" w:fill="E2EEF6"/>
          </w:tcPr>
          <w:p>
            <w:pPr>
              <w:spacing w:after="0"/>
              <w:rPr>
                <w:sz w:val="18"/>
                <w:szCs w:val="18"/>
                <w:color w:val="auto"/>
              </w:rPr>
            </w:pPr>
          </w:p>
        </w:tc>
        <w:tc>
          <w:tcPr>
            <w:tcW w:w="1200" w:type="dxa"/>
            <w:vAlign w:val="bottom"/>
            <w:shd w:val="clear" w:color="auto" w:fill="E2EEF6"/>
          </w:tcPr>
          <w:p>
            <w:pPr>
              <w:spacing w:after="0"/>
              <w:rPr>
                <w:sz w:val="18"/>
                <w:szCs w:val="18"/>
                <w:color w:val="auto"/>
              </w:rPr>
            </w:pPr>
          </w:p>
        </w:tc>
        <w:tc>
          <w:tcPr>
            <w:tcW w:w="220" w:type="dxa"/>
            <w:vAlign w:val="bottom"/>
            <w:shd w:val="clear" w:color="auto" w:fill="E2EEF6"/>
          </w:tcPr>
          <w:p>
            <w:pPr>
              <w:spacing w:after="0"/>
              <w:rPr>
                <w:sz w:val="18"/>
                <w:szCs w:val="18"/>
                <w:color w:val="auto"/>
              </w:rPr>
            </w:pPr>
          </w:p>
        </w:tc>
        <w:tc>
          <w:tcPr>
            <w:tcW w:w="300" w:type="dxa"/>
            <w:vAlign w:val="bottom"/>
            <w:shd w:val="clear" w:color="auto" w:fill="E2EEF6"/>
          </w:tcPr>
          <w:p>
            <w:pPr>
              <w:spacing w:after="0"/>
              <w:rPr>
                <w:sz w:val="18"/>
                <w:szCs w:val="18"/>
                <w:color w:val="auto"/>
              </w:rPr>
            </w:pPr>
          </w:p>
        </w:tc>
        <w:tc>
          <w:tcPr>
            <w:tcW w:w="1080" w:type="dxa"/>
            <w:vAlign w:val="bottom"/>
            <w:shd w:val="clear" w:color="auto" w:fill="E2EEF6"/>
          </w:tcPr>
          <w:p>
            <w:pPr>
              <w:spacing w:after="0"/>
              <w:rPr>
                <w:sz w:val="18"/>
                <w:szCs w:val="18"/>
                <w:color w:val="auto"/>
              </w:rPr>
            </w:pPr>
          </w:p>
        </w:tc>
        <w:tc>
          <w:tcPr>
            <w:tcW w:w="220" w:type="dxa"/>
            <w:vAlign w:val="bottom"/>
            <w:shd w:val="clear" w:color="auto" w:fill="E2EEF6"/>
          </w:tcPr>
          <w:p>
            <w:pPr>
              <w:spacing w:after="0"/>
              <w:rPr>
                <w:sz w:val="18"/>
                <w:szCs w:val="18"/>
                <w:color w:val="auto"/>
              </w:rPr>
            </w:pPr>
          </w:p>
        </w:tc>
        <w:tc>
          <w:tcPr>
            <w:tcW w:w="200" w:type="dxa"/>
            <w:vAlign w:val="bottom"/>
            <w:shd w:val="clear" w:color="auto" w:fill="E2EEF6"/>
          </w:tcPr>
          <w:p>
            <w:pPr>
              <w:spacing w:after="0"/>
              <w:rPr>
                <w:sz w:val="18"/>
                <w:szCs w:val="18"/>
                <w:color w:val="auto"/>
              </w:rPr>
            </w:pPr>
          </w:p>
        </w:tc>
        <w:tc>
          <w:tcPr>
            <w:tcW w:w="1260" w:type="dxa"/>
            <w:vAlign w:val="bottom"/>
            <w:gridSpan w:val="2"/>
            <w:shd w:val="clear" w:color="auto" w:fill="E2EEF6"/>
          </w:tcPr>
          <w:p>
            <w:pPr>
              <w:jc w:val="center"/>
              <w:ind w:right="200"/>
              <w:spacing w:after="0"/>
              <w:rPr>
                <w:sz w:val="20"/>
                <w:szCs w:val="20"/>
                <w:color w:val="auto"/>
              </w:rPr>
            </w:pPr>
            <w:r>
              <w:rPr>
                <w:rFonts w:ascii="Arial" w:cs="Arial" w:eastAsia="Arial" w:hAnsi="Arial"/>
                <w:sz w:val="18"/>
                <w:szCs w:val="18"/>
                <w:b w:val="1"/>
                <w:bCs w:val="1"/>
                <w:color w:val="auto"/>
                <w:w w:val="88"/>
              </w:rPr>
              <w:t>Reserve</w:t>
            </w:r>
          </w:p>
        </w:tc>
        <w:tc>
          <w:tcPr>
            <w:tcW w:w="0" w:type="dxa"/>
            <w:vAlign w:val="bottom"/>
          </w:tcPr>
          <w:p>
            <w:pPr>
              <w:spacing w:after="0"/>
              <w:rPr>
                <w:sz w:val="1"/>
                <w:szCs w:val="1"/>
                <w:color w:val="auto"/>
              </w:rPr>
            </w:pPr>
          </w:p>
        </w:tc>
      </w:tr>
      <w:tr>
        <w:trPr>
          <w:trHeight w:val="216"/>
        </w:trPr>
        <w:tc>
          <w:tcPr>
            <w:tcW w:w="4920" w:type="dxa"/>
            <w:vAlign w:val="bottom"/>
            <w:shd w:val="clear" w:color="auto" w:fill="E2EEF6"/>
          </w:tcPr>
          <w:p>
            <w:pPr>
              <w:spacing w:after="0"/>
              <w:rPr>
                <w:sz w:val="18"/>
                <w:szCs w:val="18"/>
                <w:color w:val="auto"/>
              </w:rPr>
            </w:pPr>
          </w:p>
        </w:tc>
        <w:tc>
          <w:tcPr>
            <w:tcW w:w="240" w:type="dxa"/>
            <w:vAlign w:val="bottom"/>
            <w:shd w:val="clear" w:color="auto" w:fill="E2EEF6"/>
          </w:tcPr>
          <w:p>
            <w:pPr>
              <w:spacing w:after="0"/>
              <w:rPr>
                <w:sz w:val="18"/>
                <w:szCs w:val="18"/>
                <w:color w:val="auto"/>
              </w:rPr>
            </w:pPr>
          </w:p>
        </w:tc>
        <w:tc>
          <w:tcPr>
            <w:tcW w:w="1220" w:type="dxa"/>
            <w:vAlign w:val="bottom"/>
            <w:vMerge w:val="restart"/>
            <w:shd w:val="clear" w:color="auto" w:fill="E2EEF6"/>
          </w:tcPr>
          <w:p>
            <w:pPr>
              <w:jc w:val="right"/>
              <w:spacing w:after="0"/>
              <w:rPr>
                <w:sz w:val="20"/>
                <w:szCs w:val="20"/>
                <w:color w:val="auto"/>
              </w:rPr>
            </w:pPr>
            <w:r>
              <w:rPr>
                <w:rFonts w:ascii="Arial" w:cs="Arial" w:eastAsia="Arial" w:hAnsi="Arial"/>
                <w:sz w:val="18"/>
                <w:szCs w:val="18"/>
                <w:b w:val="1"/>
                <w:bCs w:val="1"/>
                <w:color w:val="auto"/>
              </w:rPr>
              <w:t>Charges</w:t>
            </w:r>
          </w:p>
        </w:tc>
        <w:tc>
          <w:tcPr>
            <w:tcW w:w="160" w:type="dxa"/>
            <w:vAlign w:val="bottom"/>
            <w:shd w:val="clear" w:color="auto" w:fill="E2EEF6"/>
          </w:tcPr>
          <w:p>
            <w:pPr>
              <w:spacing w:after="0"/>
              <w:rPr>
                <w:sz w:val="18"/>
                <w:szCs w:val="18"/>
                <w:color w:val="auto"/>
              </w:rPr>
            </w:pPr>
          </w:p>
        </w:tc>
        <w:tc>
          <w:tcPr>
            <w:tcW w:w="220" w:type="dxa"/>
            <w:vAlign w:val="bottom"/>
            <w:shd w:val="clear" w:color="auto" w:fill="E2EEF6"/>
          </w:tcPr>
          <w:p>
            <w:pPr>
              <w:spacing w:after="0"/>
              <w:rPr>
                <w:sz w:val="18"/>
                <w:szCs w:val="18"/>
                <w:color w:val="auto"/>
              </w:rPr>
            </w:pPr>
          </w:p>
        </w:tc>
        <w:tc>
          <w:tcPr>
            <w:tcW w:w="180" w:type="dxa"/>
            <w:vAlign w:val="bottom"/>
            <w:shd w:val="clear" w:color="auto" w:fill="E2EEF6"/>
          </w:tcPr>
          <w:p>
            <w:pPr>
              <w:spacing w:after="0"/>
              <w:rPr>
                <w:sz w:val="18"/>
                <w:szCs w:val="18"/>
                <w:color w:val="auto"/>
              </w:rPr>
            </w:pPr>
          </w:p>
        </w:tc>
        <w:tc>
          <w:tcPr>
            <w:tcW w:w="1420" w:type="dxa"/>
            <w:vAlign w:val="bottom"/>
            <w:gridSpan w:val="2"/>
            <w:shd w:val="clear" w:color="auto" w:fill="E2EEF6"/>
          </w:tcPr>
          <w:p>
            <w:pPr>
              <w:ind w:left="180"/>
              <w:spacing w:after="0"/>
              <w:rPr>
                <w:sz w:val="20"/>
                <w:szCs w:val="20"/>
                <w:color w:val="auto"/>
              </w:rPr>
            </w:pPr>
            <w:r>
              <w:rPr>
                <w:rFonts w:ascii="Arial" w:cs="Arial" w:eastAsia="Arial" w:hAnsi="Arial"/>
                <w:sz w:val="18"/>
                <w:szCs w:val="18"/>
                <w:b w:val="1"/>
                <w:bCs w:val="1"/>
                <w:color w:val="auto"/>
              </w:rPr>
              <w:t>Non-Cash</w:t>
            </w:r>
          </w:p>
        </w:tc>
        <w:tc>
          <w:tcPr>
            <w:tcW w:w="300" w:type="dxa"/>
            <w:vAlign w:val="bottom"/>
            <w:shd w:val="clear" w:color="auto" w:fill="E2EEF6"/>
          </w:tcPr>
          <w:p>
            <w:pPr>
              <w:spacing w:after="0"/>
              <w:rPr>
                <w:sz w:val="18"/>
                <w:szCs w:val="18"/>
                <w:color w:val="auto"/>
              </w:rPr>
            </w:pPr>
          </w:p>
        </w:tc>
        <w:tc>
          <w:tcPr>
            <w:tcW w:w="1300" w:type="dxa"/>
            <w:vAlign w:val="bottom"/>
            <w:gridSpan w:val="2"/>
            <w:shd w:val="clear" w:color="auto" w:fill="E2EEF6"/>
          </w:tcPr>
          <w:p>
            <w:pPr>
              <w:jc w:val="center"/>
              <w:ind w:right="400"/>
              <w:spacing w:after="0"/>
              <w:rPr>
                <w:sz w:val="20"/>
                <w:szCs w:val="20"/>
                <w:color w:val="auto"/>
              </w:rPr>
            </w:pPr>
            <w:r>
              <w:rPr>
                <w:rFonts w:ascii="Arial" w:cs="Arial" w:eastAsia="Arial" w:hAnsi="Arial"/>
                <w:sz w:val="18"/>
                <w:szCs w:val="18"/>
                <w:b w:val="1"/>
                <w:bCs w:val="1"/>
                <w:color w:val="auto"/>
                <w:w w:val="91"/>
              </w:rPr>
              <w:t>Paid in</w:t>
            </w:r>
          </w:p>
        </w:tc>
        <w:tc>
          <w:tcPr>
            <w:tcW w:w="200" w:type="dxa"/>
            <w:vAlign w:val="bottom"/>
            <w:shd w:val="clear" w:color="auto" w:fill="E2EEF6"/>
          </w:tcPr>
          <w:p>
            <w:pPr>
              <w:spacing w:after="0"/>
              <w:rPr>
                <w:sz w:val="18"/>
                <w:szCs w:val="18"/>
                <w:color w:val="auto"/>
              </w:rPr>
            </w:pPr>
          </w:p>
        </w:tc>
        <w:tc>
          <w:tcPr>
            <w:tcW w:w="1260" w:type="dxa"/>
            <w:vAlign w:val="bottom"/>
            <w:gridSpan w:val="2"/>
            <w:shd w:val="clear" w:color="auto" w:fill="E2EEF6"/>
          </w:tcPr>
          <w:p>
            <w:pPr>
              <w:jc w:val="center"/>
              <w:ind w:right="200"/>
              <w:spacing w:after="0"/>
              <w:rPr>
                <w:sz w:val="20"/>
                <w:szCs w:val="20"/>
                <w:color w:val="auto"/>
              </w:rPr>
            </w:pPr>
            <w:r>
              <w:rPr>
                <w:rFonts w:ascii="Arial" w:cs="Arial" w:eastAsia="Arial" w:hAnsi="Arial"/>
                <w:sz w:val="18"/>
                <w:szCs w:val="18"/>
                <w:b w:val="1"/>
                <w:bCs w:val="1"/>
                <w:color w:val="auto"/>
                <w:w w:val="92"/>
              </w:rPr>
              <w:t>Balance At</w:t>
            </w:r>
          </w:p>
        </w:tc>
        <w:tc>
          <w:tcPr>
            <w:tcW w:w="0" w:type="dxa"/>
            <w:vAlign w:val="bottom"/>
          </w:tcPr>
          <w:p>
            <w:pPr>
              <w:spacing w:after="0"/>
              <w:rPr>
                <w:sz w:val="1"/>
                <w:szCs w:val="1"/>
                <w:color w:val="auto"/>
              </w:rPr>
            </w:pPr>
          </w:p>
        </w:tc>
      </w:tr>
      <w:tr>
        <w:trPr>
          <w:trHeight w:val="234"/>
        </w:trPr>
        <w:tc>
          <w:tcPr>
            <w:tcW w:w="4920" w:type="dxa"/>
            <w:vAlign w:val="bottom"/>
            <w:tcBorders>
              <w:bottom w:val="single" w:sz="8" w:color="E2EEF6"/>
            </w:tcBorders>
            <w:shd w:val="clear" w:color="auto" w:fill="E2EEF6"/>
          </w:tcPr>
          <w:p>
            <w:pPr>
              <w:spacing w:after="0"/>
              <w:rPr>
                <w:sz w:val="20"/>
                <w:szCs w:val="20"/>
                <w:color w:val="auto"/>
              </w:rPr>
            </w:pPr>
          </w:p>
        </w:tc>
        <w:tc>
          <w:tcPr>
            <w:tcW w:w="240" w:type="dxa"/>
            <w:vAlign w:val="bottom"/>
            <w:tcBorders>
              <w:bottom w:val="single" w:sz="8" w:color="E2EEF6"/>
            </w:tcBorders>
            <w:shd w:val="clear" w:color="auto" w:fill="E2EEF6"/>
          </w:tcPr>
          <w:p>
            <w:pPr>
              <w:spacing w:after="0"/>
              <w:rPr>
                <w:sz w:val="20"/>
                <w:szCs w:val="20"/>
                <w:color w:val="auto"/>
              </w:rPr>
            </w:pPr>
          </w:p>
        </w:tc>
        <w:tc>
          <w:tcPr>
            <w:tcW w:w="1220" w:type="dxa"/>
            <w:vAlign w:val="bottom"/>
            <w:tcBorders>
              <w:bottom w:val="single" w:sz="8" w:color="auto"/>
            </w:tcBorders>
            <w:vMerge w:val="continue"/>
            <w:shd w:val="clear" w:color="auto" w:fill="E2EEF6"/>
          </w:tcPr>
          <w:p>
            <w:pPr>
              <w:spacing w:after="0"/>
              <w:rPr>
                <w:sz w:val="20"/>
                <w:szCs w:val="20"/>
                <w:color w:val="auto"/>
              </w:rPr>
            </w:pPr>
          </w:p>
        </w:tc>
        <w:tc>
          <w:tcPr>
            <w:tcW w:w="160" w:type="dxa"/>
            <w:vAlign w:val="bottom"/>
            <w:tcBorders>
              <w:bottom w:val="single" w:sz="8" w:color="auto"/>
            </w:tcBorders>
            <w:shd w:val="clear" w:color="auto" w:fill="E2EEF6"/>
          </w:tcPr>
          <w:p>
            <w:pPr>
              <w:spacing w:after="0"/>
              <w:rPr>
                <w:sz w:val="20"/>
                <w:szCs w:val="20"/>
                <w:color w:val="auto"/>
              </w:rPr>
            </w:pPr>
          </w:p>
        </w:tc>
        <w:tc>
          <w:tcPr>
            <w:tcW w:w="220" w:type="dxa"/>
            <w:vAlign w:val="bottom"/>
            <w:tcBorders>
              <w:bottom w:val="single" w:sz="8" w:color="E2EEF6"/>
            </w:tcBorders>
            <w:shd w:val="clear" w:color="auto" w:fill="E2EEF6"/>
          </w:tcPr>
          <w:p>
            <w:pPr>
              <w:spacing w:after="0"/>
              <w:rPr>
                <w:sz w:val="20"/>
                <w:szCs w:val="20"/>
                <w:color w:val="auto"/>
              </w:rPr>
            </w:pPr>
          </w:p>
        </w:tc>
        <w:tc>
          <w:tcPr>
            <w:tcW w:w="180" w:type="dxa"/>
            <w:vAlign w:val="bottom"/>
            <w:tcBorders>
              <w:bottom w:val="single" w:sz="8" w:color="auto"/>
            </w:tcBorders>
            <w:shd w:val="clear" w:color="auto" w:fill="E2EEF6"/>
          </w:tcPr>
          <w:p>
            <w:pPr>
              <w:spacing w:after="0"/>
              <w:rPr>
                <w:sz w:val="20"/>
                <w:szCs w:val="20"/>
                <w:color w:val="auto"/>
              </w:rPr>
            </w:pPr>
          </w:p>
        </w:tc>
        <w:tc>
          <w:tcPr>
            <w:tcW w:w="1200" w:type="dxa"/>
            <w:vAlign w:val="bottom"/>
            <w:tcBorders>
              <w:bottom w:val="single" w:sz="8" w:color="auto"/>
            </w:tcBorders>
            <w:shd w:val="clear" w:color="auto" w:fill="E2EEF6"/>
          </w:tcPr>
          <w:p>
            <w:pPr>
              <w:jc w:val="right"/>
              <w:ind w:right="50"/>
              <w:spacing w:after="0"/>
              <w:rPr>
                <w:sz w:val="20"/>
                <w:szCs w:val="20"/>
                <w:color w:val="auto"/>
              </w:rPr>
            </w:pPr>
            <w:r>
              <w:rPr>
                <w:rFonts w:ascii="Arial" w:cs="Arial" w:eastAsia="Arial" w:hAnsi="Arial"/>
                <w:sz w:val="18"/>
                <w:szCs w:val="18"/>
                <w:b w:val="1"/>
                <w:bCs w:val="1"/>
                <w:color w:val="auto"/>
                <w:w w:val="96"/>
              </w:rPr>
              <w:t>Write-downs</w:t>
            </w:r>
          </w:p>
        </w:tc>
        <w:tc>
          <w:tcPr>
            <w:tcW w:w="220" w:type="dxa"/>
            <w:vAlign w:val="bottom"/>
            <w:tcBorders>
              <w:bottom w:val="single" w:sz="8" w:color="E2EEF6"/>
            </w:tcBorders>
            <w:shd w:val="clear" w:color="auto" w:fill="E2EEF6"/>
          </w:tcPr>
          <w:p>
            <w:pPr>
              <w:spacing w:after="0"/>
              <w:rPr>
                <w:sz w:val="20"/>
                <w:szCs w:val="20"/>
                <w:color w:val="auto"/>
              </w:rPr>
            </w:pPr>
          </w:p>
        </w:tc>
        <w:tc>
          <w:tcPr>
            <w:tcW w:w="300" w:type="dxa"/>
            <w:vAlign w:val="bottom"/>
            <w:tcBorders>
              <w:bottom w:val="single" w:sz="8" w:color="auto"/>
            </w:tcBorders>
            <w:shd w:val="clear" w:color="auto" w:fill="E2EEF6"/>
          </w:tcPr>
          <w:p>
            <w:pPr>
              <w:spacing w:after="0"/>
              <w:rPr>
                <w:sz w:val="20"/>
                <w:szCs w:val="20"/>
                <w:color w:val="auto"/>
              </w:rPr>
            </w:pPr>
          </w:p>
        </w:tc>
        <w:tc>
          <w:tcPr>
            <w:tcW w:w="1080" w:type="dxa"/>
            <w:vAlign w:val="bottom"/>
            <w:tcBorders>
              <w:bottom w:val="single" w:sz="8" w:color="auto"/>
            </w:tcBorders>
            <w:shd w:val="clear" w:color="auto" w:fill="E2EEF6"/>
          </w:tcPr>
          <w:p>
            <w:pPr>
              <w:jc w:val="right"/>
              <w:ind w:right="350"/>
              <w:spacing w:after="0"/>
              <w:rPr>
                <w:sz w:val="20"/>
                <w:szCs w:val="20"/>
                <w:color w:val="auto"/>
              </w:rPr>
            </w:pPr>
            <w:r>
              <w:rPr>
                <w:rFonts w:ascii="Arial" w:cs="Arial" w:eastAsia="Arial" w:hAnsi="Arial"/>
                <w:sz w:val="18"/>
                <w:szCs w:val="18"/>
                <w:b w:val="1"/>
                <w:bCs w:val="1"/>
                <w:color w:val="auto"/>
              </w:rPr>
              <w:t>2004</w:t>
            </w:r>
          </w:p>
        </w:tc>
        <w:tc>
          <w:tcPr>
            <w:tcW w:w="220" w:type="dxa"/>
            <w:vAlign w:val="bottom"/>
            <w:tcBorders>
              <w:bottom w:val="single" w:sz="8" w:color="E2EEF6"/>
            </w:tcBorders>
            <w:shd w:val="clear" w:color="auto" w:fill="E2EEF6"/>
          </w:tcPr>
          <w:p>
            <w:pPr>
              <w:spacing w:after="0"/>
              <w:rPr>
                <w:sz w:val="20"/>
                <w:szCs w:val="20"/>
                <w:color w:val="auto"/>
              </w:rPr>
            </w:pPr>
          </w:p>
        </w:tc>
        <w:tc>
          <w:tcPr>
            <w:tcW w:w="200" w:type="dxa"/>
            <w:vAlign w:val="bottom"/>
            <w:tcBorders>
              <w:bottom w:val="single" w:sz="8" w:color="auto"/>
            </w:tcBorders>
            <w:shd w:val="clear" w:color="auto" w:fill="E2EEF6"/>
          </w:tcPr>
          <w:p>
            <w:pPr>
              <w:spacing w:after="0"/>
              <w:rPr>
                <w:sz w:val="20"/>
                <w:szCs w:val="20"/>
                <w:color w:val="auto"/>
              </w:rPr>
            </w:pPr>
          </w:p>
        </w:tc>
        <w:tc>
          <w:tcPr>
            <w:tcW w:w="1160" w:type="dxa"/>
            <w:vAlign w:val="bottom"/>
            <w:tcBorders>
              <w:bottom w:val="single" w:sz="8" w:color="auto"/>
            </w:tcBorders>
            <w:shd w:val="clear" w:color="auto" w:fill="E2EEF6"/>
          </w:tcPr>
          <w:p>
            <w:pPr>
              <w:jc w:val="center"/>
              <w:spacing w:after="0"/>
              <w:rPr>
                <w:sz w:val="20"/>
                <w:szCs w:val="20"/>
                <w:color w:val="auto"/>
              </w:rPr>
            </w:pPr>
            <w:r>
              <w:rPr>
                <w:rFonts w:ascii="Arial" w:cs="Arial" w:eastAsia="Arial" w:hAnsi="Arial"/>
                <w:sz w:val="18"/>
                <w:szCs w:val="18"/>
                <w:b w:val="1"/>
                <w:bCs w:val="1"/>
                <w:color w:val="auto"/>
                <w:w w:val="91"/>
              </w:rPr>
              <w:t>12/31/04</w:t>
            </w:r>
          </w:p>
        </w:tc>
        <w:tc>
          <w:tcPr>
            <w:tcW w:w="100" w:type="dxa"/>
            <w:vAlign w:val="bottom"/>
            <w:tcBorders>
              <w:bottom w:val="single" w:sz="8" w:color="E2EEF6"/>
            </w:tcBorders>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500"/>
              <w:spacing w:after="0"/>
              <w:rPr>
                <w:sz w:val="20"/>
                <w:szCs w:val="20"/>
                <w:color w:val="auto"/>
              </w:rPr>
            </w:pPr>
            <w:r>
              <w:rPr>
                <w:rFonts w:ascii="Arial" w:cs="Arial" w:eastAsia="Arial" w:hAnsi="Arial"/>
                <w:sz w:val="18"/>
                <w:szCs w:val="18"/>
                <w:color w:val="auto"/>
              </w:rPr>
              <w:t>Asset impairments</w:t>
            </w:r>
          </w:p>
        </w:tc>
        <w:tc>
          <w:tcPr>
            <w:tcW w:w="1460" w:type="dxa"/>
            <w:vAlign w:val="bottom"/>
            <w:gridSpan w:val="2"/>
          </w:tcPr>
          <w:p>
            <w:pPr>
              <w:jc w:val="right"/>
              <w:ind w:right="105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shd w:val="clear" w:color="auto" w:fill="E2EEF6"/>
          </w:tcPr>
          <w:p>
            <w:pPr>
              <w:ind w:left="500"/>
              <w:spacing w:after="0"/>
              <w:rPr>
                <w:sz w:val="20"/>
                <w:szCs w:val="20"/>
                <w:color w:val="auto"/>
              </w:rPr>
            </w:pPr>
            <w:r>
              <w:rPr>
                <w:rFonts w:ascii="Arial" w:cs="Arial" w:eastAsia="Arial" w:hAnsi="Arial"/>
                <w:sz w:val="18"/>
                <w:szCs w:val="18"/>
                <w:color w:val="auto"/>
              </w:rPr>
              <w:t>Lease exit costs</w:t>
            </w:r>
          </w:p>
        </w:tc>
        <w:tc>
          <w:tcPr>
            <w:tcW w:w="240" w:type="dxa"/>
            <w:vAlign w:val="bottom"/>
            <w:shd w:val="clear" w:color="auto" w:fill="E2EEF6"/>
          </w:tcPr>
          <w:p>
            <w:pPr>
              <w:spacing w:after="0"/>
              <w:rPr>
                <w:sz w:val="21"/>
                <w:szCs w:val="21"/>
                <w:color w:val="auto"/>
              </w:rPr>
            </w:pPr>
          </w:p>
        </w:tc>
        <w:tc>
          <w:tcPr>
            <w:tcW w:w="1220" w:type="dxa"/>
            <w:vAlign w:val="bottom"/>
            <w:shd w:val="clear" w:color="auto" w:fill="E2EEF6"/>
          </w:tcPr>
          <w:p>
            <w:pPr>
              <w:spacing w:after="0"/>
              <w:rPr>
                <w:sz w:val="21"/>
                <w:szCs w:val="21"/>
                <w:color w:val="auto"/>
              </w:rPr>
            </w:pPr>
          </w:p>
        </w:tc>
        <w:tc>
          <w:tcPr>
            <w:tcW w:w="1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4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2EEF6"/>
          </w:tcPr>
          <w:p>
            <w:pPr>
              <w:spacing w:after="0"/>
              <w:rPr>
                <w:sz w:val="21"/>
                <w:szCs w:val="21"/>
                <w:color w:val="auto"/>
              </w:rPr>
            </w:pPr>
          </w:p>
        </w:tc>
        <w:tc>
          <w:tcPr>
            <w:tcW w:w="13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2EEF6"/>
          </w:tcPr>
          <w:p>
            <w:pPr>
              <w:spacing w:after="0"/>
              <w:rPr>
                <w:sz w:val="21"/>
                <w:szCs w:val="21"/>
                <w:color w:val="auto"/>
              </w:rPr>
            </w:pPr>
          </w:p>
        </w:tc>
        <w:tc>
          <w:tcPr>
            <w:tcW w:w="12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500"/>
              <w:spacing w:after="0"/>
              <w:rPr>
                <w:sz w:val="20"/>
                <w:szCs w:val="20"/>
                <w:color w:val="auto"/>
              </w:rPr>
            </w:pPr>
            <w:r>
              <w:rPr>
                <w:rFonts w:ascii="Arial" w:cs="Arial" w:eastAsia="Arial" w:hAnsi="Arial"/>
                <w:sz w:val="18"/>
                <w:szCs w:val="18"/>
                <w:color w:val="auto"/>
              </w:rPr>
              <w:t>Severance and other employee costs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920" w:type="dxa"/>
            <w:vAlign w:val="bottom"/>
            <w:shd w:val="clear" w:color="auto" w:fill="E2EEF6"/>
          </w:tcPr>
          <w:p>
            <w:pPr>
              <w:ind w:left="500"/>
              <w:spacing w:after="0"/>
              <w:rPr>
                <w:sz w:val="20"/>
                <w:szCs w:val="20"/>
                <w:color w:val="auto"/>
              </w:rPr>
            </w:pPr>
            <w:r>
              <w:rPr>
                <w:rFonts w:ascii="Arial" w:cs="Arial" w:eastAsia="Arial" w:hAnsi="Arial"/>
                <w:sz w:val="18"/>
                <w:szCs w:val="18"/>
                <w:color w:val="auto"/>
              </w:rPr>
              <w:t>Total</w:t>
            </w:r>
          </w:p>
        </w:tc>
        <w:tc>
          <w:tcPr>
            <w:tcW w:w="1460" w:type="dxa"/>
            <w:vAlign w:val="bottom"/>
            <w:gridSpan w:val="2"/>
            <w:shd w:val="clear" w:color="auto" w:fill="E2EEF6"/>
          </w:tcPr>
          <w:p>
            <w:pPr>
              <w:jc w:val="right"/>
              <w:ind w:right="1050"/>
              <w:spacing w:after="0"/>
              <w:rPr>
                <w:sz w:val="20"/>
                <w:szCs w:val="20"/>
                <w:color w:val="auto"/>
              </w:rPr>
            </w:pPr>
            <w:r>
              <w:rPr>
                <w:rFonts w:ascii="Arial" w:cs="Arial" w:eastAsia="Arial" w:hAnsi="Arial"/>
                <w:sz w:val="18"/>
                <w:szCs w:val="18"/>
                <w:color w:val="auto"/>
              </w:rPr>
              <w:t>$</w:t>
            </w:r>
          </w:p>
        </w:tc>
        <w:tc>
          <w:tcPr>
            <w:tcW w:w="1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2EEF6"/>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20" w:type="dxa"/>
            <w:vAlign w:val="bottom"/>
            <w:tcBorders>
              <w:top w:val="single" w:sz="8" w:color="E2EEF6"/>
            </w:tcBorders>
            <w:shd w:val="clear" w:color="auto" w:fill="E2EEF6"/>
          </w:tcPr>
          <w:p>
            <w:pPr>
              <w:spacing w:after="0" w:line="20" w:lineRule="exact"/>
              <w:rPr>
                <w:sz w:val="1"/>
                <w:szCs w:val="1"/>
                <w:color w:val="auto"/>
              </w:rPr>
            </w:pPr>
          </w:p>
        </w:tc>
        <w:tc>
          <w:tcPr>
            <w:tcW w:w="240" w:type="dxa"/>
            <w:vAlign w:val="bottom"/>
            <w:tcBorders>
              <w:top w:val="single" w:sz="8" w:color="E2EEF6"/>
            </w:tcBorders>
            <w:shd w:val="clear" w:color="auto" w:fill="E2EEF6"/>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shd w:val="clear" w:color="auto" w:fill="E2EEF6"/>
          </w:tcPr>
          <w:p>
            <w:pPr>
              <w:spacing w:after="0"/>
              <w:rPr>
                <w:sz w:val="18"/>
                <w:szCs w:val="18"/>
                <w:color w:val="auto"/>
              </w:rPr>
            </w:pPr>
          </w:p>
        </w:tc>
        <w:tc>
          <w:tcPr>
            <w:tcW w:w="240" w:type="dxa"/>
            <w:vAlign w:val="bottom"/>
            <w:shd w:val="clear" w:color="auto" w:fill="E2EEF6"/>
          </w:tcPr>
          <w:p>
            <w:pPr>
              <w:spacing w:after="0"/>
              <w:rPr>
                <w:sz w:val="18"/>
                <w:szCs w:val="18"/>
                <w:color w:val="auto"/>
              </w:rPr>
            </w:pPr>
          </w:p>
        </w:tc>
        <w:tc>
          <w:tcPr>
            <w:tcW w:w="260" w:type="dxa"/>
            <w:vAlign w:val="bottom"/>
            <w:shd w:val="clear" w:color="auto" w:fill="E2EEF6"/>
          </w:tcPr>
          <w:p>
            <w:pPr>
              <w:spacing w:after="0"/>
              <w:rPr>
                <w:sz w:val="18"/>
                <w:szCs w:val="18"/>
                <w:color w:val="auto"/>
              </w:rPr>
            </w:pPr>
          </w:p>
        </w:tc>
        <w:tc>
          <w:tcPr>
            <w:tcW w:w="1120" w:type="dxa"/>
            <w:vAlign w:val="bottom"/>
            <w:shd w:val="clear" w:color="auto" w:fill="E2EEF6"/>
          </w:tcPr>
          <w:p>
            <w:pPr>
              <w:spacing w:after="0"/>
              <w:rPr>
                <w:sz w:val="18"/>
                <w:szCs w:val="18"/>
                <w:color w:val="auto"/>
              </w:rPr>
            </w:pPr>
          </w:p>
        </w:tc>
        <w:tc>
          <w:tcPr>
            <w:tcW w:w="220" w:type="dxa"/>
            <w:vAlign w:val="bottom"/>
            <w:shd w:val="clear" w:color="auto" w:fill="E2EEF6"/>
          </w:tcPr>
          <w:p>
            <w:pPr>
              <w:spacing w:after="0"/>
              <w:rPr>
                <w:sz w:val="18"/>
                <w:szCs w:val="18"/>
                <w:color w:val="auto"/>
              </w:rPr>
            </w:pPr>
          </w:p>
        </w:tc>
        <w:tc>
          <w:tcPr>
            <w:tcW w:w="140" w:type="dxa"/>
            <w:vAlign w:val="bottom"/>
            <w:shd w:val="clear" w:color="auto" w:fill="E2EEF6"/>
          </w:tcPr>
          <w:p>
            <w:pPr>
              <w:spacing w:after="0"/>
              <w:rPr>
                <w:sz w:val="18"/>
                <w:szCs w:val="18"/>
                <w:color w:val="auto"/>
              </w:rPr>
            </w:pPr>
          </w:p>
        </w:tc>
        <w:tc>
          <w:tcPr>
            <w:tcW w:w="1240" w:type="dxa"/>
            <w:vAlign w:val="bottom"/>
            <w:shd w:val="clear" w:color="auto" w:fill="E2EEF6"/>
          </w:tcPr>
          <w:p>
            <w:pPr>
              <w:spacing w:after="0"/>
              <w:rPr>
                <w:sz w:val="18"/>
                <w:szCs w:val="18"/>
                <w:color w:val="auto"/>
              </w:rPr>
            </w:pPr>
          </w:p>
        </w:tc>
        <w:tc>
          <w:tcPr>
            <w:tcW w:w="220" w:type="dxa"/>
            <w:vAlign w:val="bottom"/>
            <w:shd w:val="clear" w:color="auto" w:fill="E2EEF6"/>
          </w:tcPr>
          <w:p>
            <w:pPr>
              <w:spacing w:after="0"/>
              <w:rPr>
                <w:sz w:val="18"/>
                <w:szCs w:val="18"/>
                <w:color w:val="auto"/>
              </w:rPr>
            </w:pPr>
          </w:p>
        </w:tc>
        <w:tc>
          <w:tcPr>
            <w:tcW w:w="260" w:type="dxa"/>
            <w:vAlign w:val="bottom"/>
            <w:shd w:val="clear" w:color="auto" w:fill="E2EEF6"/>
          </w:tcPr>
          <w:p>
            <w:pPr>
              <w:spacing w:after="0"/>
              <w:rPr>
                <w:sz w:val="18"/>
                <w:szCs w:val="18"/>
                <w:color w:val="auto"/>
              </w:rPr>
            </w:pPr>
          </w:p>
        </w:tc>
        <w:tc>
          <w:tcPr>
            <w:tcW w:w="1120" w:type="dxa"/>
            <w:vAlign w:val="bottom"/>
            <w:shd w:val="clear" w:color="auto" w:fill="E2EEF6"/>
          </w:tcPr>
          <w:p>
            <w:pPr>
              <w:spacing w:after="0"/>
              <w:rPr>
                <w:sz w:val="18"/>
                <w:szCs w:val="18"/>
                <w:color w:val="auto"/>
              </w:rPr>
            </w:pPr>
          </w:p>
        </w:tc>
        <w:tc>
          <w:tcPr>
            <w:tcW w:w="220" w:type="dxa"/>
            <w:vAlign w:val="bottom"/>
            <w:shd w:val="clear" w:color="auto" w:fill="E2EEF6"/>
          </w:tcPr>
          <w:p>
            <w:pPr>
              <w:spacing w:after="0"/>
              <w:rPr>
                <w:sz w:val="18"/>
                <w:szCs w:val="18"/>
                <w:color w:val="auto"/>
              </w:rPr>
            </w:pPr>
          </w:p>
        </w:tc>
        <w:tc>
          <w:tcPr>
            <w:tcW w:w="220" w:type="dxa"/>
            <w:vAlign w:val="bottom"/>
            <w:shd w:val="clear" w:color="auto" w:fill="E2EEF6"/>
          </w:tcPr>
          <w:p>
            <w:pPr>
              <w:spacing w:after="0"/>
              <w:rPr>
                <w:sz w:val="18"/>
                <w:szCs w:val="18"/>
                <w:color w:val="auto"/>
              </w:rPr>
            </w:pPr>
          </w:p>
        </w:tc>
        <w:tc>
          <w:tcPr>
            <w:tcW w:w="1240" w:type="dxa"/>
            <w:vAlign w:val="bottom"/>
            <w:gridSpan w:val="2"/>
            <w:shd w:val="clear" w:color="auto" w:fill="E2EEF6"/>
          </w:tcPr>
          <w:p>
            <w:pPr>
              <w:jc w:val="center"/>
              <w:ind w:right="160"/>
              <w:spacing w:after="0"/>
              <w:rPr>
                <w:sz w:val="20"/>
                <w:szCs w:val="20"/>
                <w:color w:val="auto"/>
              </w:rPr>
            </w:pPr>
            <w:r>
              <w:rPr>
                <w:rFonts w:ascii="Arial" w:cs="Arial" w:eastAsia="Arial" w:hAnsi="Arial"/>
                <w:sz w:val="18"/>
                <w:szCs w:val="18"/>
                <w:b w:val="1"/>
                <w:bCs w:val="1"/>
                <w:color w:val="auto"/>
                <w:w w:val="85"/>
              </w:rPr>
              <w:t>Reserve</w:t>
            </w:r>
          </w:p>
        </w:tc>
      </w:tr>
      <w:tr>
        <w:trPr>
          <w:trHeight w:val="216"/>
        </w:trPr>
        <w:tc>
          <w:tcPr>
            <w:tcW w:w="4920" w:type="dxa"/>
            <w:vAlign w:val="bottom"/>
            <w:shd w:val="clear" w:color="auto" w:fill="E2EEF6"/>
          </w:tcPr>
          <w:p>
            <w:pPr>
              <w:spacing w:after="0"/>
              <w:rPr>
                <w:sz w:val="18"/>
                <w:szCs w:val="18"/>
                <w:color w:val="auto"/>
              </w:rPr>
            </w:pPr>
          </w:p>
        </w:tc>
        <w:tc>
          <w:tcPr>
            <w:tcW w:w="240" w:type="dxa"/>
            <w:vAlign w:val="bottom"/>
            <w:shd w:val="clear" w:color="auto" w:fill="E2EEF6"/>
          </w:tcPr>
          <w:p>
            <w:pPr>
              <w:spacing w:after="0"/>
              <w:rPr>
                <w:sz w:val="18"/>
                <w:szCs w:val="18"/>
                <w:color w:val="auto"/>
              </w:rPr>
            </w:pPr>
          </w:p>
        </w:tc>
        <w:tc>
          <w:tcPr>
            <w:tcW w:w="260" w:type="dxa"/>
            <w:vAlign w:val="bottom"/>
            <w:shd w:val="clear" w:color="auto" w:fill="E2EEF6"/>
          </w:tcPr>
          <w:p>
            <w:pPr>
              <w:spacing w:after="0"/>
              <w:rPr>
                <w:sz w:val="18"/>
                <w:szCs w:val="18"/>
                <w:color w:val="auto"/>
              </w:rPr>
            </w:pPr>
          </w:p>
        </w:tc>
        <w:tc>
          <w:tcPr>
            <w:tcW w:w="1120" w:type="dxa"/>
            <w:vAlign w:val="bottom"/>
            <w:shd w:val="clear" w:color="auto" w:fill="E2EEF6"/>
          </w:tcPr>
          <w:p>
            <w:pPr>
              <w:spacing w:after="0"/>
              <w:rPr>
                <w:sz w:val="18"/>
                <w:szCs w:val="18"/>
                <w:color w:val="auto"/>
              </w:rPr>
            </w:pPr>
          </w:p>
        </w:tc>
        <w:tc>
          <w:tcPr>
            <w:tcW w:w="220" w:type="dxa"/>
            <w:vAlign w:val="bottom"/>
            <w:shd w:val="clear" w:color="auto" w:fill="E2EEF6"/>
          </w:tcPr>
          <w:p>
            <w:pPr>
              <w:spacing w:after="0"/>
              <w:rPr>
                <w:sz w:val="18"/>
                <w:szCs w:val="18"/>
                <w:color w:val="auto"/>
              </w:rPr>
            </w:pPr>
          </w:p>
        </w:tc>
        <w:tc>
          <w:tcPr>
            <w:tcW w:w="140" w:type="dxa"/>
            <w:vAlign w:val="bottom"/>
            <w:shd w:val="clear" w:color="auto" w:fill="E2EEF6"/>
          </w:tcPr>
          <w:p>
            <w:pPr>
              <w:spacing w:after="0"/>
              <w:rPr>
                <w:sz w:val="18"/>
                <w:szCs w:val="18"/>
                <w:color w:val="auto"/>
              </w:rPr>
            </w:pPr>
          </w:p>
        </w:tc>
        <w:tc>
          <w:tcPr>
            <w:tcW w:w="1460" w:type="dxa"/>
            <w:vAlign w:val="bottom"/>
            <w:gridSpan w:val="2"/>
            <w:shd w:val="clear" w:color="auto" w:fill="E2EEF6"/>
          </w:tcPr>
          <w:p>
            <w:pPr>
              <w:ind w:left="160"/>
              <w:spacing w:after="0"/>
              <w:rPr>
                <w:sz w:val="20"/>
                <w:szCs w:val="20"/>
                <w:color w:val="auto"/>
              </w:rPr>
            </w:pPr>
            <w:r>
              <w:rPr>
                <w:rFonts w:ascii="Arial" w:cs="Arial" w:eastAsia="Arial" w:hAnsi="Arial"/>
                <w:sz w:val="18"/>
                <w:szCs w:val="18"/>
                <w:b w:val="1"/>
                <w:bCs w:val="1"/>
                <w:color w:val="auto"/>
              </w:rPr>
              <w:t>Non-Cash</w:t>
            </w:r>
          </w:p>
        </w:tc>
        <w:tc>
          <w:tcPr>
            <w:tcW w:w="260" w:type="dxa"/>
            <w:vAlign w:val="bottom"/>
            <w:shd w:val="clear" w:color="auto" w:fill="E2EEF6"/>
          </w:tcPr>
          <w:p>
            <w:pPr>
              <w:spacing w:after="0"/>
              <w:rPr>
                <w:sz w:val="18"/>
                <w:szCs w:val="18"/>
                <w:color w:val="auto"/>
              </w:rPr>
            </w:pPr>
          </w:p>
        </w:tc>
        <w:tc>
          <w:tcPr>
            <w:tcW w:w="1340" w:type="dxa"/>
            <w:vAlign w:val="bottom"/>
            <w:gridSpan w:val="2"/>
            <w:shd w:val="clear" w:color="auto" w:fill="E2EEF6"/>
          </w:tcPr>
          <w:p>
            <w:pPr>
              <w:jc w:val="center"/>
              <w:ind w:right="480"/>
              <w:spacing w:after="0"/>
              <w:rPr>
                <w:sz w:val="20"/>
                <w:szCs w:val="20"/>
                <w:color w:val="auto"/>
              </w:rPr>
            </w:pPr>
            <w:r>
              <w:rPr>
                <w:rFonts w:ascii="Arial" w:cs="Arial" w:eastAsia="Arial" w:hAnsi="Arial"/>
                <w:sz w:val="18"/>
                <w:szCs w:val="18"/>
                <w:b w:val="1"/>
                <w:bCs w:val="1"/>
                <w:color w:val="auto"/>
                <w:w w:val="91"/>
              </w:rPr>
              <w:t>Paid in</w:t>
            </w:r>
          </w:p>
        </w:tc>
        <w:tc>
          <w:tcPr>
            <w:tcW w:w="220" w:type="dxa"/>
            <w:vAlign w:val="bottom"/>
            <w:shd w:val="clear" w:color="auto" w:fill="E2EEF6"/>
          </w:tcPr>
          <w:p>
            <w:pPr>
              <w:spacing w:after="0"/>
              <w:rPr>
                <w:sz w:val="18"/>
                <w:szCs w:val="18"/>
                <w:color w:val="auto"/>
              </w:rPr>
            </w:pPr>
          </w:p>
        </w:tc>
        <w:tc>
          <w:tcPr>
            <w:tcW w:w="1240" w:type="dxa"/>
            <w:vAlign w:val="bottom"/>
            <w:gridSpan w:val="2"/>
            <w:shd w:val="clear" w:color="auto" w:fill="E2EEF6"/>
          </w:tcPr>
          <w:p>
            <w:pPr>
              <w:jc w:val="center"/>
              <w:ind w:right="160"/>
              <w:spacing w:after="0"/>
              <w:rPr>
                <w:sz w:val="20"/>
                <w:szCs w:val="20"/>
                <w:color w:val="auto"/>
              </w:rPr>
            </w:pPr>
            <w:r>
              <w:rPr>
                <w:rFonts w:ascii="Arial" w:cs="Arial" w:eastAsia="Arial" w:hAnsi="Arial"/>
                <w:sz w:val="18"/>
                <w:szCs w:val="18"/>
                <w:b w:val="1"/>
                <w:bCs w:val="1"/>
                <w:color w:val="auto"/>
                <w:w w:val="90"/>
              </w:rPr>
              <w:t>Balance At</w:t>
            </w:r>
          </w:p>
        </w:tc>
      </w:tr>
      <w:tr>
        <w:trPr>
          <w:trHeight w:val="234"/>
        </w:trPr>
        <w:tc>
          <w:tcPr>
            <w:tcW w:w="4920" w:type="dxa"/>
            <w:vAlign w:val="bottom"/>
            <w:tcBorders>
              <w:bottom w:val="single" w:sz="8" w:color="E2EEF6"/>
            </w:tcBorders>
            <w:shd w:val="clear" w:color="auto" w:fill="E2EEF6"/>
          </w:tcPr>
          <w:p>
            <w:pPr>
              <w:spacing w:after="0"/>
              <w:rPr>
                <w:sz w:val="20"/>
                <w:szCs w:val="20"/>
                <w:color w:val="auto"/>
              </w:rPr>
            </w:pPr>
          </w:p>
        </w:tc>
        <w:tc>
          <w:tcPr>
            <w:tcW w:w="240" w:type="dxa"/>
            <w:vAlign w:val="bottom"/>
            <w:tcBorders>
              <w:bottom w:val="single" w:sz="8" w:color="E2EEF6"/>
            </w:tcBorders>
            <w:shd w:val="clear" w:color="auto" w:fill="E2EEF6"/>
          </w:tcPr>
          <w:p>
            <w:pPr>
              <w:spacing w:after="0"/>
              <w:rPr>
                <w:sz w:val="20"/>
                <w:szCs w:val="20"/>
                <w:color w:val="auto"/>
              </w:rPr>
            </w:pPr>
          </w:p>
        </w:tc>
        <w:tc>
          <w:tcPr>
            <w:tcW w:w="260" w:type="dxa"/>
            <w:vAlign w:val="bottom"/>
            <w:tcBorders>
              <w:bottom w:val="single" w:sz="8" w:color="auto"/>
            </w:tcBorders>
            <w:shd w:val="clear" w:color="auto" w:fill="E2EEF6"/>
          </w:tcPr>
          <w:p>
            <w:pPr>
              <w:spacing w:after="0"/>
              <w:rPr>
                <w:sz w:val="20"/>
                <w:szCs w:val="20"/>
                <w:color w:val="auto"/>
              </w:rPr>
            </w:pPr>
          </w:p>
        </w:tc>
        <w:tc>
          <w:tcPr>
            <w:tcW w:w="1120" w:type="dxa"/>
            <w:vAlign w:val="bottom"/>
            <w:tcBorders>
              <w:bottom w:val="single" w:sz="8" w:color="auto"/>
            </w:tcBorders>
            <w:shd w:val="clear" w:color="auto" w:fill="E2EEF6"/>
          </w:tcPr>
          <w:p>
            <w:pPr>
              <w:jc w:val="right"/>
              <w:ind w:right="213"/>
              <w:spacing w:after="0"/>
              <w:rPr>
                <w:sz w:val="20"/>
                <w:szCs w:val="20"/>
                <w:color w:val="auto"/>
              </w:rPr>
            </w:pPr>
            <w:r>
              <w:rPr>
                <w:rFonts w:ascii="Arial" w:cs="Arial" w:eastAsia="Arial" w:hAnsi="Arial"/>
                <w:sz w:val="18"/>
                <w:szCs w:val="18"/>
                <w:b w:val="1"/>
                <w:bCs w:val="1"/>
                <w:color w:val="auto"/>
              </w:rPr>
              <w:t>Charges</w:t>
            </w:r>
          </w:p>
        </w:tc>
        <w:tc>
          <w:tcPr>
            <w:tcW w:w="220" w:type="dxa"/>
            <w:vAlign w:val="bottom"/>
            <w:tcBorders>
              <w:bottom w:val="single" w:sz="8" w:color="E2EEF6"/>
            </w:tcBorders>
            <w:shd w:val="clear" w:color="auto" w:fill="E2EEF6"/>
          </w:tcPr>
          <w:p>
            <w:pPr>
              <w:spacing w:after="0"/>
              <w:rPr>
                <w:sz w:val="20"/>
                <w:szCs w:val="20"/>
                <w:color w:val="auto"/>
              </w:rPr>
            </w:pPr>
          </w:p>
        </w:tc>
        <w:tc>
          <w:tcPr>
            <w:tcW w:w="140" w:type="dxa"/>
            <w:vAlign w:val="bottom"/>
            <w:tcBorders>
              <w:bottom w:val="single" w:sz="8" w:color="auto"/>
            </w:tcBorders>
            <w:shd w:val="clear" w:color="auto" w:fill="E2EEF6"/>
          </w:tcPr>
          <w:p>
            <w:pPr>
              <w:spacing w:after="0"/>
              <w:rPr>
                <w:sz w:val="20"/>
                <w:szCs w:val="20"/>
                <w:color w:val="auto"/>
              </w:rPr>
            </w:pPr>
          </w:p>
        </w:tc>
        <w:tc>
          <w:tcPr>
            <w:tcW w:w="1240" w:type="dxa"/>
            <w:vAlign w:val="bottom"/>
            <w:tcBorders>
              <w:bottom w:val="single" w:sz="8" w:color="auto"/>
            </w:tcBorders>
            <w:shd w:val="clear" w:color="auto" w:fill="E2EEF6"/>
          </w:tcPr>
          <w:p>
            <w:pPr>
              <w:jc w:val="right"/>
              <w:ind w:right="110"/>
              <w:spacing w:after="0"/>
              <w:rPr>
                <w:sz w:val="20"/>
                <w:szCs w:val="20"/>
                <w:color w:val="auto"/>
              </w:rPr>
            </w:pPr>
            <w:r>
              <w:rPr>
                <w:rFonts w:ascii="Arial" w:cs="Arial" w:eastAsia="Arial" w:hAnsi="Arial"/>
                <w:sz w:val="18"/>
                <w:szCs w:val="18"/>
                <w:b w:val="1"/>
                <w:bCs w:val="1"/>
                <w:color w:val="auto"/>
                <w:w w:val="94"/>
              </w:rPr>
              <w:t>Write-downs</w:t>
            </w:r>
          </w:p>
        </w:tc>
        <w:tc>
          <w:tcPr>
            <w:tcW w:w="220" w:type="dxa"/>
            <w:vAlign w:val="bottom"/>
            <w:tcBorders>
              <w:bottom w:val="single" w:sz="8" w:color="E2EEF6"/>
            </w:tcBorders>
            <w:shd w:val="clear" w:color="auto" w:fill="E2EEF6"/>
          </w:tcPr>
          <w:p>
            <w:pPr>
              <w:spacing w:after="0"/>
              <w:rPr>
                <w:sz w:val="20"/>
                <w:szCs w:val="20"/>
                <w:color w:val="auto"/>
              </w:rPr>
            </w:pPr>
          </w:p>
        </w:tc>
        <w:tc>
          <w:tcPr>
            <w:tcW w:w="260" w:type="dxa"/>
            <w:vAlign w:val="bottom"/>
            <w:tcBorders>
              <w:bottom w:val="single" w:sz="8" w:color="auto"/>
            </w:tcBorders>
            <w:shd w:val="clear" w:color="auto" w:fill="E2EEF6"/>
          </w:tcPr>
          <w:p>
            <w:pPr>
              <w:spacing w:after="0"/>
              <w:rPr>
                <w:sz w:val="20"/>
                <w:szCs w:val="20"/>
                <w:color w:val="auto"/>
              </w:rPr>
            </w:pPr>
          </w:p>
        </w:tc>
        <w:tc>
          <w:tcPr>
            <w:tcW w:w="1120" w:type="dxa"/>
            <w:vAlign w:val="bottom"/>
            <w:tcBorders>
              <w:bottom w:val="single" w:sz="8" w:color="auto"/>
            </w:tcBorders>
            <w:shd w:val="clear" w:color="auto" w:fill="E2EEF6"/>
          </w:tcPr>
          <w:p>
            <w:pPr>
              <w:jc w:val="right"/>
              <w:ind w:right="410"/>
              <w:spacing w:after="0"/>
              <w:rPr>
                <w:sz w:val="20"/>
                <w:szCs w:val="20"/>
                <w:color w:val="auto"/>
              </w:rPr>
            </w:pPr>
            <w:r>
              <w:rPr>
                <w:rFonts w:ascii="Arial" w:cs="Arial" w:eastAsia="Arial" w:hAnsi="Arial"/>
                <w:sz w:val="18"/>
                <w:szCs w:val="18"/>
                <w:b w:val="1"/>
                <w:bCs w:val="1"/>
                <w:color w:val="auto"/>
              </w:rPr>
              <w:t>2003</w:t>
            </w:r>
          </w:p>
        </w:tc>
        <w:tc>
          <w:tcPr>
            <w:tcW w:w="220" w:type="dxa"/>
            <w:vAlign w:val="bottom"/>
            <w:tcBorders>
              <w:bottom w:val="single" w:sz="8" w:color="E2EEF6"/>
            </w:tcBorders>
            <w:shd w:val="clear" w:color="auto" w:fill="E2EEF6"/>
          </w:tcPr>
          <w:p>
            <w:pPr>
              <w:spacing w:after="0"/>
              <w:rPr>
                <w:sz w:val="20"/>
                <w:szCs w:val="20"/>
                <w:color w:val="auto"/>
              </w:rPr>
            </w:pPr>
          </w:p>
        </w:tc>
        <w:tc>
          <w:tcPr>
            <w:tcW w:w="220" w:type="dxa"/>
            <w:vAlign w:val="bottom"/>
            <w:tcBorders>
              <w:bottom w:val="single" w:sz="8" w:color="auto"/>
            </w:tcBorders>
            <w:shd w:val="clear" w:color="auto" w:fill="E2EEF6"/>
          </w:tcPr>
          <w:p>
            <w:pPr>
              <w:spacing w:after="0"/>
              <w:rPr>
                <w:sz w:val="20"/>
                <w:szCs w:val="20"/>
                <w:color w:val="auto"/>
              </w:rPr>
            </w:pPr>
          </w:p>
        </w:tc>
        <w:tc>
          <w:tcPr>
            <w:tcW w:w="1140" w:type="dxa"/>
            <w:vAlign w:val="bottom"/>
            <w:tcBorders>
              <w:bottom w:val="single" w:sz="8" w:color="auto"/>
            </w:tcBorders>
            <w:shd w:val="clear" w:color="auto" w:fill="E2EEF6"/>
          </w:tcPr>
          <w:p>
            <w:pPr>
              <w:jc w:val="center"/>
              <w:spacing w:after="0"/>
              <w:rPr>
                <w:sz w:val="20"/>
                <w:szCs w:val="20"/>
                <w:color w:val="auto"/>
              </w:rPr>
            </w:pPr>
            <w:r>
              <w:rPr>
                <w:rFonts w:ascii="Arial" w:cs="Arial" w:eastAsia="Arial" w:hAnsi="Arial"/>
                <w:sz w:val="18"/>
                <w:szCs w:val="18"/>
                <w:b w:val="1"/>
                <w:bCs w:val="1"/>
                <w:color w:val="auto"/>
                <w:w w:val="91"/>
              </w:rPr>
              <w:t>12/31/03</w:t>
            </w:r>
          </w:p>
        </w:tc>
        <w:tc>
          <w:tcPr>
            <w:tcW w:w="100" w:type="dxa"/>
            <w:vAlign w:val="bottom"/>
            <w:tcBorders>
              <w:bottom w:val="single" w:sz="8" w:color="E2EEF6"/>
            </w:tcBorders>
            <w:shd w:val="clear" w:color="auto" w:fill="E2EEF6"/>
          </w:tcPr>
          <w:p>
            <w:pPr>
              <w:spacing w:after="0"/>
              <w:rPr>
                <w:sz w:val="20"/>
                <w:szCs w:val="20"/>
                <w:color w:val="auto"/>
              </w:rPr>
            </w:pPr>
          </w:p>
        </w:tc>
      </w:tr>
      <w:tr>
        <w:trPr>
          <w:trHeight w:val="237"/>
        </w:trPr>
        <w:tc>
          <w:tcPr>
            <w:tcW w:w="4920" w:type="dxa"/>
            <w:vAlign w:val="bottom"/>
          </w:tcPr>
          <w:p>
            <w:pPr>
              <w:ind w:left="500"/>
              <w:spacing w:after="0"/>
              <w:rPr>
                <w:sz w:val="20"/>
                <w:szCs w:val="20"/>
                <w:color w:val="auto"/>
              </w:rPr>
            </w:pPr>
            <w:r>
              <w:rPr>
                <w:rFonts w:ascii="Arial" w:cs="Arial" w:eastAsia="Arial" w:hAnsi="Arial"/>
                <w:sz w:val="18"/>
                <w:szCs w:val="18"/>
                <w:color w:val="auto"/>
              </w:rPr>
              <w:t>Asset impairments</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2,328</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2,328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shd w:val="clear" w:color="auto" w:fill="E2EEF6"/>
          </w:tcPr>
          <w:p>
            <w:pPr>
              <w:ind w:left="500"/>
              <w:spacing w:after="0"/>
              <w:rPr>
                <w:sz w:val="20"/>
                <w:szCs w:val="20"/>
                <w:color w:val="auto"/>
              </w:rPr>
            </w:pPr>
            <w:r>
              <w:rPr>
                <w:rFonts w:ascii="Arial" w:cs="Arial" w:eastAsia="Arial" w:hAnsi="Arial"/>
                <w:sz w:val="18"/>
                <w:szCs w:val="18"/>
                <w:color w:val="auto"/>
              </w:rPr>
              <w:t>Lease exit costs</w:t>
            </w:r>
          </w:p>
        </w:tc>
        <w:tc>
          <w:tcPr>
            <w:tcW w:w="24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500"/>
              <w:spacing w:after="0"/>
              <w:rPr>
                <w:sz w:val="20"/>
                <w:szCs w:val="20"/>
                <w:color w:val="auto"/>
              </w:rPr>
            </w:pPr>
            <w:r>
              <w:rPr>
                <w:rFonts w:ascii="Arial" w:cs="Arial" w:eastAsia="Arial" w:hAnsi="Arial"/>
                <w:sz w:val="18"/>
                <w:szCs w:val="18"/>
                <w:color w:val="auto"/>
              </w:rPr>
              <w:t>Severance and other employee costs</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4920" w:type="dxa"/>
            <w:vAlign w:val="bottom"/>
            <w:shd w:val="clear" w:color="auto" w:fill="E2EEF6"/>
          </w:tcPr>
          <w:p>
            <w:pPr>
              <w:ind w:left="500"/>
              <w:spacing w:after="0"/>
              <w:rPr>
                <w:sz w:val="20"/>
                <w:szCs w:val="20"/>
                <w:color w:val="auto"/>
              </w:rPr>
            </w:pPr>
            <w:r>
              <w:rPr>
                <w:rFonts w:ascii="Arial" w:cs="Arial" w:eastAsia="Arial" w:hAnsi="Arial"/>
                <w:sz w:val="18"/>
                <w:szCs w:val="18"/>
                <w:color w:val="auto"/>
              </w:rPr>
              <w:t>Total</w:t>
            </w:r>
          </w:p>
        </w:tc>
        <w:tc>
          <w:tcPr>
            <w:tcW w:w="50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2,598</w:t>
            </w:r>
          </w:p>
        </w:tc>
        <w:tc>
          <w:tcPr>
            <w:tcW w:w="36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2,328</w:t>
            </w:r>
          </w:p>
        </w:tc>
        <w:tc>
          <w:tcPr>
            <w:tcW w:w="26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45</w:t>
            </w:r>
          </w:p>
        </w:tc>
      </w:tr>
      <w:tr>
        <w:trPr>
          <w:trHeight w:val="657"/>
        </w:trPr>
        <w:tc>
          <w:tcPr>
            <w:tcW w:w="4920" w:type="dxa"/>
            <w:vAlign w:val="bottom"/>
            <w:tcBorders>
              <w:top w:val="single" w:sz="8" w:color="E2EEF6"/>
            </w:tcBorders>
          </w:tcPr>
          <w:p>
            <w:pPr>
              <w:spacing w:after="0"/>
              <w:rPr>
                <w:sz w:val="24"/>
                <w:szCs w:val="24"/>
                <w:color w:val="auto"/>
              </w:rPr>
            </w:pPr>
          </w:p>
        </w:tc>
        <w:tc>
          <w:tcPr>
            <w:tcW w:w="240" w:type="dxa"/>
            <w:vAlign w:val="bottom"/>
            <w:tcBorders>
              <w:top w:val="single" w:sz="8" w:color="E2EEF6"/>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673"/>
              <w:spacing w:after="0"/>
              <w:rPr>
                <w:sz w:val="20"/>
                <w:szCs w:val="20"/>
                <w:color w:val="auto"/>
              </w:rPr>
            </w:pPr>
            <w:r>
              <w:rPr>
                <w:rFonts w:ascii="Arial" w:cs="Arial" w:eastAsia="Arial" w:hAnsi="Arial"/>
                <w:sz w:val="14"/>
                <w:szCs w:val="14"/>
                <w:color w:val="auto"/>
              </w:rPr>
              <w:t>43</w:t>
            </w:r>
          </w:p>
        </w:tc>
        <w:tc>
          <w:tcPr>
            <w:tcW w:w="220" w:type="dxa"/>
            <w:vAlign w:val="bottom"/>
            <w:tcBorders>
              <w:top w:val="single" w:sz="8" w:color="E2EEF6"/>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Borders>
              <w:top w:val="single" w:sz="8" w:color="E2EEF6"/>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E2EEF6"/>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r>
      <w:tr>
        <w:trPr>
          <w:trHeight w:val="103"/>
        </w:trPr>
        <w:tc>
          <w:tcPr>
            <w:tcW w:w="49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3" w:name="page44"/>
    <w:bookmarkEnd w:id="43"/>
    <w:p>
      <w:pPr>
        <w:jc w:val="center"/>
        <w:ind w:right="8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December 31, 2005, 2004 and 2003</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0"/>
        <w:spacing w:after="0"/>
        <w:rPr>
          <w:sz w:val="20"/>
          <w:szCs w:val="20"/>
          <w:color w:val="auto"/>
        </w:rPr>
      </w:pPr>
      <w:r>
        <w:rPr>
          <w:rFonts w:ascii="Arial" w:cs="Arial" w:eastAsia="Arial" w:hAnsi="Arial"/>
          <w:sz w:val="18"/>
          <w:szCs w:val="18"/>
          <w:b w:val="1"/>
          <w:bCs w:val="1"/>
          <w:u w:val="single" w:color="auto"/>
          <w:color w:val="auto"/>
        </w:rPr>
        <w:t>Walterboro, South Carolina Plant Closing</w:t>
      </w:r>
    </w:p>
    <w:p>
      <w:pPr>
        <w:spacing w:after="0" w:line="283" w:lineRule="exact"/>
        <w:rPr>
          <w:sz w:val="20"/>
          <w:szCs w:val="20"/>
          <w:color w:val="auto"/>
        </w:rPr>
      </w:pPr>
    </w:p>
    <w:p>
      <w:pPr>
        <w:jc w:val="both"/>
        <w:ind w:left="400"/>
        <w:spacing w:after="0" w:line="293" w:lineRule="auto"/>
        <w:rPr>
          <w:sz w:val="20"/>
          <w:szCs w:val="20"/>
          <w:color w:val="auto"/>
        </w:rPr>
      </w:pPr>
      <w:r>
        <w:rPr>
          <w:rFonts w:ascii="Arial" w:cs="Arial" w:eastAsia="Arial" w:hAnsi="Arial"/>
          <w:sz w:val="16"/>
          <w:szCs w:val="16"/>
          <w:color w:val="auto"/>
        </w:rPr>
        <w:t>By December 2001, the closure of our Walterboro, South Carolina ball manufacturing facility was substantially completed. The land, building, and equipment assets with a recorded book value of $1,805 were held for sale at December 31, 2003. In arriving at the carrying value of the assets held for sale, we utilized independent, third party fair value appraisals and valuations. The land and building assets were sold at a loss during the fourth quarter of 2004. As a result, we recorded a loss of approximately $750 which has been recorded as a loss on disposal of assets, a component of income from operations. Additionally, during the fourth quarter of 2004, we recorded an impairment charge of approximately $108 related to certain remaining machinery and equipment assets of this facility. This amount was recorded as a component of restructuring and impairment costs.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Notes Receivable</w:t>
      </w:r>
    </w:p>
    <w:p>
      <w:pPr>
        <w:spacing w:after="0" w:line="283" w:lineRule="exact"/>
        <w:rPr>
          <w:sz w:val="20"/>
          <w:szCs w:val="20"/>
          <w:color w:val="auto"/>
        </w:rPr>
      </w:pPr>
    </w:p>
    <w:p>
      <w:pPr>
        <w:jc w:val="both"/>
        <w:ind w:left="400"/>
        <w:spacing w:after="0" w:line="272" w:lineRule="auto"/>
        <w:rPr>
          <w:sz w:val="20"/>
          <w:szCs w:val="20"/>
          <w:color w:val="auto"/>
        </w:rPr>
      </w:pPr>
      <w:r>
        <w:rPr>
          <w:rFonts w:ascii="Arial" w:cs="Arial" w:eastAsia="Arial" w:hAnsi="Arial"/>
          <w:sz w:val="17"/>
          <w:szCs w:val="17"/>
          <w:color w:val="auto"/>
        </w:rPr>
        <w:t>Effective December 21, 2001, the Company sold its 50% ownership in NN General, LLC to its partner, General Bearing Corporation for cash of $622 and notes of $3,305. The notes are due in annual installments of $200 with the balance of $2,505 due on December 21, 2006. The notes bear interest at an average LIBOR (4.54% at December 31, 2005) plus 1.5%. Interest income on this note of $129 and $86 was recorded during 2005 and 2004, respectively, and has been included as a component of other income in the accompanying consolidated statement of income. Payments totaling $329 and $286 were received during 2005 and 2004, respectively which include $200 of principal and $129 and $86 of interest payments, respectively. At December 31, 2005, the note receivable balance is $2,505 and is included as a component of other current assets and $2,705 is included in other non-current assets at December 31, 2004. The note is current as to payments of principal and interest.</w:t>
      </w:r>
    </w:p>
    <w:p>
      <w:pPr>
        <w:spacing w:after="0" w:line="228"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70485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40" w:top="121" w:right="239" w:bottom="1440" w:gutter="0" w:footer="0" w:header="0"/>
        </w:sectPr>
      </w:pPr>
    </w:p>
    <w:bookmarkStart w:id="44" w:name="page45"/>
    <w:bookmarkEnd w:id="44"/>
    <w:p>
      <w:pPr>
        <w:jc w:val="center"/>
        <w:ind w:left="48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December 31, 2005, 2004 and 2003</w:t>
      </w:r>
    </w:p>
    <w:p>
      <w:pPr>
        <w:spacing w:after="0" w:line="9"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(In thousands, except per share data)</w:t>
      </w:r>
    </w:p>
    <w:p>
      <w:pPr>
        <w:spacing w:after="0" w:line="26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5) Accounts Receivable</w:t>
      </w:r>
    </w:p>
    <w:p>
      <w:pPr>
        <w:spacing w:after="0" w:line="200" w:lineRule="exact"/>
        <w:rPr>
          <w:sz w:val="20"/>
          <w:szCs w:val="20"/>
          <w:color w:val="auto"/>
        </w:rPr>
      </w:pPr>
    </w:p>
    <w:p>
      <w:pPr>
        <w:spacing w:after="0" w:line="353"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December 31,</w:t>
      </w:r>
    </w:p>
    <w:p>
      <w:pPr>
        <w:spacing w:after="0" w:line="59" w:lineRule="exact"/>
        <w:rPr>
          <w:sz w:val="20"/>
          <w:szCs w:val="20"/>
          <w:color w:val="auto"/>
        </w:rPr>
      </w:pPr>
    </w:p>
    <w:p>
      <w:pPr>
        <w:jc w:val="both"/>
        <w:ind w:left="8360"/>
        <w:spacing w:after="0"/>
        <w:tabs>
          <w:tab w:leader="none" w:pos="9520" w:val="left"/>
        </w:tabs>
        <w:rPr>
          <w:sz w:val="20"/>
          <w:szCs w:val="20"/>
          <w:color w:val="auto"/>
        </w:rPr>
      </w:pPr>
      <w:r>
        <w:rPr>
          <w:rFonts w:ascii="Arial" w:cs="Arial" w:eastAsia="Arial" w:hAnsi="Arial"/>
          <w:sz w:val="18"/>
          <w:szCs w:val="18"/>
          <w:b w:val="1"/>
          <w:bCs w:val="1"/>
          <w:color w:val="auto"/>
        </w:rPr>
        <w:t>2005</w:t>
      </w:r>
      <w:r>
        <w:rPr>
          <w:sz w:val="20"/>
          <w:szCs w:val="20"/>
          <w:color w:val="auto"/>
        </w:rPr>
        <w:tab/>
      </w:r>
      <w:r>
        <w:rPr>
          <w:rFonts w:ascii="Arial" w:cs="Arial" w:eastAsia="Arial" w:hAnsi="Arial"/>
          <w:sz w:val="18"/>
          <w:szCs w:val="18"/>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180340</wp:posOffset>
            </wp:positionV>
            <wp:extent cx="5428615"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28615" cy="154305"/>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17145</wp:posOffset>
            </wp:positionV>
            <wp:extent cx="14065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ectPr>
          <w:pgSz w:w="11900" w:h="16838" w:orient="portrait"/>
          <w:cols w:equalWidth="0" w:num="1">
            <w:col w:w="11160"/>
          </w:cols>
          <w:pgMar w:left="240" w:top="391" w:right="499" w:bottom="1440" w:gutter="0" w:footer="0" w:header="0"/>
        </w:sectPr>
      </w:pPr>
    </w:p>
    <w:p>
      <w:pPr>
        <w:spacing w:after="0" w:line="29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Trade</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Less - Allowance for doubtful accounts</w:t>
      </w:r>
    </w:p>
    <w:p>
      <w:pPr>
        <w:spacing w:after="0" w:line="3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Accounts receivable, net</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Activity in the allowance for doubtful accounts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Description</w:t>
      </w:r>
    </w:p>
    <w:p>
      <w:pPr>
        <w:spacing w:after="0" w:line="90"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December 31, 2003</w:t>
      </w:r>
    </w:p>
    <w:p>
      <w:pPr>
        <w:spacing w:after="0" w:line="40"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Allowance for doubtful accounts</w:t>
      </w:r>
    </w:p>
    <w:p>
      <w:pPr>
        <w:spacing w:after="0" w:line="343"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December 31, 2004</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2580" w:type="dxa"/>
        <w:tblCellMar>
          <w:top w:w="0" w:type="dxa"/>
          <w:left w:w="0" w:type="dxa"/>
          <w:bottom w:w="0" w:type="dxa"/>
          <w:right w:w="0" w:type="dxa"/>
        </w:tblCellMar>
      </w:tblPr>
      <w:tr>
        <w:trPr>
          <w:trHeight w:val="230"/>
        </w:trPr>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48,416</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53,331</w:t>
            </w:r>
          </w:p>
        </w:tc>
      </w:tr>
      <w:tr>
        <w:trPr>
          <w:trHeight w:val="243"/>
        </w:trPr>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r>
      <w:tr>
        <w:trPr>
          <w:trHeight w:val="480"/>
        </w:trPr>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47,297</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51,597</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-2336165</wp:posOffset>
            </wp:positionH>
            <wp:positionV relativeFrom="paragraph">
              <wp:posOffset>-334010</wp:posOffset>
            </wp:positionV>
            <wp:extent cx="5428615"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2861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ind w:left="40"/>
              <w:spacing w:after="0"/>
              <w:rPr>
                <w:sz w:val="20"/>
                <w:szCs w:val="20"/>
                <w:color w:val="auto"/>
              </w:rPr>
            </w:pPr>
            <w:r>
              <w:rPr>
                <w:rFonts w:ascii="Arial" w:cs="Arial" w:eastAsia="Arial" w:hAnsi="Arial"/>
                <w:sz w:val="18"/>
                <w:szCs w:val="18"/>
                <w:b w:val="1"/>
                <w:bCs w:val="1"/>
                <w:color w:val="auto"/>
                <w:w w:val="91"/>
              </w:rPr>
              <w:t>Balance at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Currency</w:t>
            </w:r>
          </w:p>
        </w:tc>
        <w:tc>
          <w:tcPr>
            <w:tcW w:w="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5"/>
              </w:rPr>
              <w:t>Balance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ind w:left="40"/>
              <w:spacing w:after="0"/>
              <w:rPr>
                <w:sz w:val="20"/>
                <w:szCs w:val="20"/>
                <w:color w:val="auto"/>
              </w:rPr>
            </w:pPr>
            <w:r>
              <w:rPr>
                <w:rFonts w:ascii="Arial" w:cs="Arial" w:eastAsia="Arial" w:hAnsi="Arial"/>
                <w:sz w:val="18"/>
                <w:szCs w:val="18"/>
                <w:b w:val="1"/>
                <w:bCs w:val="1"/>
                <w:color w:val="auto"/>
                <w:w w:val="95"/>
              </w:rPr>
              <w:t>beginning</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9"/>
              </w:rPr>
              <w:t>Write-offs</w:t>
            </w:r>
          </w:p>
        </w:tc>
        <w:tc>
          <w:tcPr>
            <w:tcW w:w="80" w:type="dxa"/>
            <w:vAlign w:val="bottom"/>
            <w:vMerge w:val="restart"/>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7"/>
              </w:rPr>
              <w:t>at end of</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of year</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89"/>
              </w:rPr>
              <w:t>Additions</w:t>
            </w:r>
          </w:p>
        </w:tc>
        <w:tc>
          <w:tcPr>
            <w:tcW w:w="80" w:type="dxa"/>
            <w:vAlign w:val="bottom"/>
          </w:tcPr>
          <w:p>
            <w:pPr>
              <w:spacing w:after="0"/>
              <w:rPr>
                <w:sz w:val="20"/>
                <w:szCs w:val="20"/>
                <w:color w:val="auto"/>
              </w:rPr>
            </w:pPr>
          </w:p>
        </w:tc>
        <w:tc>
          <w:tcPr>
            <w:tcW w:w="860" w:type="dxa"/>
            <w:vAlign w:val="bottom"/>
            <w:tcBorders>
              <w:bottom w:val="single" w:sz="8" w:color="auto"/>
            </w:tcBorders>
            <w:gridSpan w:val="2"/>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Impacts</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year</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80" w:type="dxa"/>
            <w:vAlign w:val="bottom"/>
            <w:tcBorders>
              <w:bottom w:val="single" w:sz="8" w:color="E2EEF6"/>
            </w:tcBorders>
          </w:tcPr>
          <w:p>
            <w:pPr>
              <w:spacing w:after="0"/>
              <w:rPr>
                <w:sz w:val="20"/>
                <w:szCs w:val="20"/>
                <w:color w:val="auto"/>
              </w:rPr>
            </w:pPr>
          </w:p>
        </w:tc>
        <w:tc>
          <w:tcPr>
            <w:tcW w:w="20" w:type="dxa"/>
            <w:vAlign w:val="bottom"/>
            <w:tcBorders>
              <w:bottom w:val="single" w:sz="8" w:color="E2EEF6"/>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Borders>
              <w:bottom w:val="single" w:sz="8" w:color="E2EEF6"/>
            </w:tcBorders>
          </w:tcPr>
          <w:p>
            <w:pPr>
              <w:spacing w:after="0"/>
              <w:rPr>
                <w:sz w:val="20"/>
                <w:szCs w:val="20"/>
                <w:color w:val="auto"/>
              </w:rPr>
            </w:pPr>
          </w:p>
        </w:tc>
        <w:tc>
          <w:tcPr>
            <w:tcW w:w="80" w:type="dxa"/>
            <w:vAlign w:val="bottom"/>
            <w:tcBorders>
              <w:bottom w:val="single" w:sz="8" w:color="E2EEF6"/>
            </w:tcBorders>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Borders>
              <w:bottom w:val="single" w:sz="8" w:color="E2EEF6"/>
            </w:tcBorders>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Borders>
              <w:bottom w:val="single" w:sz="8" w:color="E2EEF6"/>
            </w:tcBorders>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Borders>
              <w:bottom w:val="single" w:sz="8" w:color="E2EEF6"/>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Borders>
              <w:bottom w:val="single" w:sz="8" w:color="E2EEF6"/>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1,666</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80" w:type="dxa"/>
            <w:vAlign w:val="bottom"/>
            <w:tcBorders>
              <w:bottom w:val="single" w:sz="8" w:color="E2EEF6"/>
            </w:tcBorders>
          </w:tcPr>
          <w:p>
            <w:pPr>
              <w:spacing w:after="0"/>
              <w:rPr>
                <w:sz w:val="19"/>
                <w:szCs w:val="19"/>
                <w:color w:val="auto"/>
              </w:rPr>
            </w:pPr>
          </w:p>
        </w:tc>
        <w:tc>
          <w:tcPr>
            <w:tcW w:w="20" w:type="dxa"/>
            <w:vAlign w:val="bottom"/>
            <w:tcBorders>
              <w:bottom w:val="single" w:sz="8" w:color="E2EEF6"/>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Borders>
              <w:bottom w:val="single" w:sz="8" w:color="E2EEF6"/>
            </w:tcBorders>
          </w:tcPr>
          <w:p>
            <w:pPr>
              <w:spacing w:after="0"/>
              <w:rPr>
                <w:sz w:val="19"/>
                <w:szCs w:val="19"/>
                <w:color w:val="auto"/>
              </w:rPr>
            </w:pPr>
          </w:p>
        </w:tc>
        <w:tc>
          <w:tcPr>
            <w:tcW w:w="80" w:type="dxa"/>
            <w:vAlign w:val="bottom"/>
            <w:tcBorders>
              <w:bottom w:val="single" w:sz="8" w:color="E2EEF6"/>
            </w:tcBorders>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bottom w:val="single" w:sz="8" w:color="E2EEF6"/>
            </w:tcBorders>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bottom w:val="single" w:sz="8" w:color="E2EEF6"/>
            </w:tcBorders>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Borders>
              <w:bottom w:val="single" w:sz="8" w:color="E2EEF6"/>
            </w:tcBorders>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bottom w:val="single" w:sz="8" w:color="E2EEF6"/>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-2336165</wp:posOffset>
            </wp:positionH>
            <wp:positionV relativeFrom="paragraph">
              <wp:posOffset>-505460</wp:posOffset>
            </wp:positionV>
            <wp:extent cx="5428615"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28615" cy="163195"/>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-162560</wp:posOffset>
            </wp:positionV>
            <wp:extent cx="5428615"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28615" cy="16319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4400" w:space="720"/>
            <w:col w:w="6040"/>
          </w:cols>
          <w:pgMar w:left="240" w:top="391" w:right="499" w:bottom="1440" w:gutter="0" w:footer="0" w:header="0"/>
          <w:type w:val="continuous"/>
        </w:sectPr>
      </w:pPr>
    </w:p>
    <w:tbl>
      <w:tblPr>
        <w:tblLayout w:type="fixed"/>
        <w:tblInd w:w="1440" w:type="dxa"/>
        <w:tblCellMar>
          <w:top w:w="0" w:type="dxa"/>
          <w:left w:w="0" w:type="dxa"/>
          <w:bottom w:w="0" w:type="dxa"/>
          <w:right w:w="0" w:type="dxa"/>
        </w:tblCellMar>
      </w:tblPr>
      <w:tr>
        <w:trPr>
          <w:trHeight w:val="263"/>
        </w:trPr>
        <w:tc>
          <w:tcPr>
            <w:tcW w:w="3680" w:type="dxa"/>
            <w:vAlign w:val="bottom"/>
            <w:shd w:val="clear" w:color="auto" w:fill="E2EEF6"/>
          </w:tcPr>
          <w:p>
            <w:pPr>
              <w:spacing w:after="0"/>
              <w:rPr>
                <w:sz w:val="20"/>
                <w:szCs w:val="20"/>
                <w:color w:val="auto"/>
              </w:rPr>
            </w:pPr>
            <w:r>
              <w:rPr>
                <w:rFonts w:ascii="Arial" w:cs="Arial" w:eastAsia="Arial" w:hAnsi="Arial"/>
                <w:sz w:val="18"/>
                <w:szCs w:val="18"/>
                <w:color w:val="auto"/>
              </w:rPr>
              <w:t>Allowance for doubtful accounts</w:t>
            </w:r>
          </w:p>
        </w:tc>
        <w:tc>
          <w:tcPr>
            <w:tcW w:w="46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1,755</w:t>
            </w:r>
          </w:p>
        </w:tc>
        <w:tc>
          <w:tcPr>
            <w:tcW w:w="420" w:type="dxa"/>
            <w:vAlign w:val="bottom"/>
            <w:gridSpan w:val="2"/>
            <w:shd w:val="clear" w:color="auto" w:fill="E2EEF6"/>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E2EEF6"/>
          </w:tcPr>
          <w:p>
            <w:pPr>
              <w:jc w:val="right"/>
              <w:ind w:right="15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43</w:t>
            </w:r>
          </w:p>
        </w:tc>
        <w:tc>
          <w:tcPr>
            <w:tcW w:w="92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8</w:t>
            </w:r>
          </w:p>
        </w:tc>
        <w:tc>
          <w:tcPr>
            <w:tcW w:w="260" w:type="dxa"/>
            <w:vAlign w:val="bottom"/>
            <w:shd w:val="clear" w:color="auto" w:fill="E2EEF6"/>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1,734</w:t>
            </w:r>
          </w:p>
        </w:tc>
      </w:tr>
      <w:tr>
        <w:trPr>
          <w:trHeight w:val="237"/>
        </w:trPr>
        <w:tc>
          <w:tcPr>
            <w:tcW w:w="3680" w:type="dxa"/>
            <w:vAlign w:val="bottom"/>
            <w:tcBorders>
              <w:top w:val="single" w:sz="8" w:color="E2EEF6"/>
            </w:tcBorders>
          </w:tcPr>
          <w:p>
            <w:pPr>
              <w:spacing w:after="0"/>
              <w:rPr>
                <w:sz w:val="20"/>
                <w:szCs w:val="20"/>
                <w:color w:val="auto"/>
              </w:rPr>
            </w:pPr>
          </w:p>
        </w:tc>
        <w:tc>
          <w:tcPr>
            <w:tcW w:w="180" w:type="dxa"/>
            <w:vAlign w:val="bottom"/>
            <w:tcBorders>
              <w:top w:val="single" w:sz="8" w:color="E2EEF6"/>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 w:type="dxa"/>
            <w:vAlign w:val="bottom"/>
            <w:tcBorders>
              <w:top w:val="single" w:sz="8" w:color="E2EEF6"/>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 w:type="dxa"/>
            <w:vAlign w:val="bottom"/>
            <w:tcBorders>
              <w:top w:val="single" w:sz="8" w:color="E2EEF6"/>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0" w:type="dxa"/>
            <w:vAlign w:val="bottom"/>
            <w:tcBorders>
              <w:top w:val="single" w:sz="8" w:color="E2EEF6"/>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 w:type="dxa"/>
            <w:vAlign w:val="bottom"/>
            <w:tcBorders>
              <w:top w:val="single" w:sz="8" w:color="E2EEF6"/>
            </w:tcBorders>
          </w:tcPr>
          <w:p>
            <w:pPr>
              <w:spacing w:after="0"/>
              <w:rPr>
                <w:sz w:val="20"/>
                <w:szCs w:val="20"/>
                <w:color w:val="auto"/>
              </w:rPr>
            </w:pPr>
          </w:p>
        </w:tc>
      </w:tr>
      <w:tr>
        <w:trPr>
          <w:trHeight w:val="257"/>
        </w:trPr>
        <w:tc>
          <w:tcPr>
            <w:tcW w:w="3680" w:type="dxa"/>
            <w:vAlign w:val="bottom"/>
            <w:shd w:val="clear" w:color="auto" w:fill="E2EEF6"/>
          </w:tcPr>
          <w:p>
            <w:pPr>
              <w:spacing w:after="0"/>
              <w:rPr>
                <w:sz w:val="20"/>
                <w:szCs w:val="20"/>
                <w:color w:val="auto"/>
              </w:rPr>
            </w:pPr>
            <w:r>
              <w:rPr>
                <w:rFonts w:ascii="Arial" w:cs="Arial" w:eastAsia="Arial" w:hAnsi="Arial"/>
                <w:sz w:val="18"/>
                <w:szCs w:val="18"/>
                <w:b w:val="1"/>
                <w:bCs w:val="1"/>
                <w:color w:val="auto"/>
              </w:rPr>
              <w:t>December 31, 2005</w:t>
            </w:r>
          </w:p>
        </w:tc>
        <w:tc>
          <w:tcPr>
            <w:tcW w:w="180" w:type="dxa"/>
            <w:vAlign w:val="bottom"/>
            <w:shd w:val="clear" w:color="auto" w:fill="E2EEF6"/>
          </w:tcPr>
          <w:p>
            <w:pPr>
              <w:spacing w:after="0"/>
              <w:rPr>
                <w:sz w:val="22"/>
                <w:szCs w:val="22"/>
                <w:color w:val="auto"/>
              </w:rPr>
            </w:pPr>
          </w:p>
        </w:tc>
        <w:tc>
          <w:tcPr>
            <w:tcW w:w="280" w:type="dxa"/>
            <w:vAlign w:val="bottom"/>
            <w:shd w:val="clear" w:color="auto" w:fill="E2EEF6"/>
          </w:tcPr>
          <w:p>
            <w:pPr>
              <w:spacing w:after="0"/>
              <w:rPr>
                <w:sz w:val="22"/>
                <w:szCs w:val="22"/>
                <w:color w:val="auto"/>
              </w:rPr>
            </w:pPr>
          </w:p>
        </w:tc>
        <w:tc>
          <w:tcPr>
            <w:tcW w:w="600" w:type="dxa"/>
            <w:vAlign w:val="bottom"/>
            <w:shd w:val="clear" w:color="auto" w:fill="E2EEF6"/>
          </w:tcPr>
          <w:p>
            <w:pPr>
              <w:spacing w:after="0"/>
              <w:rPr>
                <w:sz w:val="22"/>
                <w:szCs w:val="22"/>
                <w:color w:val="auto"/>
              </w:rPr>
            </w:pPr>
          </w:p>
        </w:tc>
        <w:tc>
          <w:tcPr>
            <w:tcW w:w="100" w:type="dxa"/>
            <w:vAlign w:val="bottom"/>
            <w:shd w:val="clear" w:color="auto" w:fill="E2EEF6"/>
          </w:tcPr>
          <w:p>
            <w:pPr>
              <w:spacing w:after="0"/>
              <w:rPr>
                <w:sz w:val="22"/>
                <w:szCs w:val="22"/>
                <w:color w:val="auto"/>
              </w:rPr>
            </w:pPr>
          </w:p>
        </w:tc>
        <w:tc>
          <w:tcPr>
            <w:tcW w:w="320" w:type="dxa"/>
            <w:vAlign w:val="bottom"/>
            <w:shd w:val="clear" w:color="auto" w:fill="E2EEF6"/>
          </w:tcPr>
          <w:p>
            <w:pPr>
              <w:spacing w:after="0"/>
              <w:rPr>
                <w:sz w:val="22"/>
                <w:szCs w:val="22"/>
                <w:color w:val="auto"/>
              </w:rPr>
            </w:pPr>
          </w:p>
        </w:tc>
        <w:tc>
          <w:tcPr>
            <w:tcW w:w="520" w:type="dxa"/>
            <w:vAlign w:val="bottom"/>
            <w:shd w:val="clear" w:color="auto" w:fill="E2EEF6"/>
          </w:tcPr>
          <w:p>
            <w:pPr>
              <w:spacing w:after="0"/>
              <w:rPr>
                <w:sz w:val="22"/>
                <w:szCs w:val="22"/>
                <w:color w:val="auto"/>
              </w:rPr>
            </w:pPr>
          </w:p>
        </w:tc>
        <w:tc>
          <w:tcPr>
            <w:tcW w:w="8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520" w:type="dxa"/>
            <w:vAlign w:val="bottom"/>
            <w:shd w:val="clear" w:color="auto" w:fill="E2EEF6"/>
          </w:tcPr>
          <w:p>
            <w:pPr>
              <w:spacing w:after="0"/>
              <w:rPr>
                <w:sz w:val="22"/>
                <w:szCs w:val="22"/>
                <w:color w:val="auto"/>
              </w:rPr>
            </w:pPr>
          </w:p>
        </w:tc>
        <w:tc>
          <w:tcPr>
            <w:tcW w:w="80" w:type="dxa"/>
            <w:vAlign w:val="bottom"/>
            <w:shd w:val="clear" w:color="auto" w:fill="E2EEF6"/>
          </w:tcPr>
          <w:p>
            <w:pPr>
              <w:spacing w:after="0"/>
              <w:rPr>
                <w:sz w:val="22"/>
                <w:szCs w:val="22"/>
                <w:color w:val="auto"/>
              </w:rPr>
            </w:pPr>
          </w:p>
        </w:tc>
        <w:tc>
          <w:tcPr>
            <w:tcW w:w="840" w:type="dxa"/>
            <w:vAlign w:val="bottom"/>
            <w:shd w:val="clear" w:color="auto" w:fill="E2EEF6"/>
          </w:tcPr>
          <w:p>
            <w:pPr>
              <w:spacing w:after="0"/>
              <w:rPr>
                <w:sz w:val="22"/>
                <w:szCs w:val="22"/>
                <w:color w:val="auto"/>
              </w:rPr>
            </w:pPr>
          </w:p>
        </w:tc>
        <w:tc>
          <w:tcPr>
            <w:tcW w:w="80" w:type="dxa"/>
            <w:vAlign w:val="bottom"/>
            <w:shd w:val="clear" w:color="auto" w:fill="E2EEF6"/>
          </w:tcPr>
          <w:p>
            <w:pPr>
              <w:spacing w:after="0"/>
              <w:rPr>
                <w:sz w:val="22"/>
                <w:szCs w:val="22"/>
                <w:color w:val="auto"/>
              </w:rPr>
            </w:pPr>
          </w:p>
        </w:tc>
        <w:tc>
          <w:tcPr>
            <w:tcW w:w="260" w:type="dxa"/>
            <w:vAlign w:val="bottom"/>
            <w:shd w:val="clear" w:color="auto" w:fill="E2EEF6"/>
          </w:tcPr>
          <w:p>
            <w:pPr>
              <w:spacing w:after="0"/>
              <w:rPr>
                <w:sz w:val="22"/>
                <w:szCs w:val="22"/>
                <w:color w:val="auto"/>
              </w:rPr>
            </w:pPr>
          </w:p>
        </w:tc>
        <w:tc>
          <w:tcPr>
            <w:tcW w:w="580" w:type="dxa"/>
            <w:vAlign w:val="bottom"/>
            <w:shd w:val="clear" w:color="auto" w:fill="E2EEF6"/>
          </w:tcPr>
          <w:p>
            <w:pPr>
              <w:spacing w:after="0"/>
              <w:rPr>
                <w:sz w:val="22"/>
                <w:szCs w:val="22"/>
                <w:color w:val="auto"/>
              </w:rPr>
            </w:pPr>
          </w:p>
        </w:tc>
        <w:tc>
          <w:tcPr>
            <w:tcW w:w="80" w:type="dxa"/>
            <w:vAlign w:val="bottom"/>
            <w:shd w:val="clear" w:color="auto" w:fill="E2EEF6"/>
          </w:tcPr>
          <w:p>
            <w:pPr>
              <w:spacing w:after="0"/>
              <w:rPr>
                <w:sz w:val="22"/>
                <w:szCs w:val="22"/>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1,734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287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871</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1,119</w:t>
            </w:r>
          </w:p>
        </w:tc>
      </w:tr>
      <w:tr>
        <w:trPr>
          <w:trHeight w:val="20"/>
        </w:trPr>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In 2005, the Company established a reserve of $218 for approximately 100% of the receivables of Delphi Corporation, which filed for Chapter 11 bankruptcy during the year. Also in 2005, the Company wrote off $827 in disputed receivables from a customer due to bankruptcy. All of the amounts written off had been fully reserved.</w:t>
      </w:r>
    </w:p>
    <w:p>
      <w:pPr>
        <w:spacing w:after="0" w:line="23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6) Inventories</w:t>
      </w:r>
    </w:p>
    <w:p>
      <w:pPr>
        <w:spacing w:after="0" w:line="200" w:lineRule="exact"/>
        <w:rPr>
          <w:sz w:val="20"/>
          <w:szCs w:val="20"/>
          <w:color w:val="auto"/>
        </w:rPr>
      </w:pPr>
    </w:p>
    <w:p>
      <w:pPr>
        <w:spacing w:after="0" w:line="349"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62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3"/>
                <w:szCs w:val="23"/>
                <w:color w:val="auto"/>
              </w:rPr>
            </w:pPr>
          </w:p>
        </w:tc>
      </w:tr>
      <w:tr>
        <w:trPr>
          <w:trHeight w:val="237"/>
        </w:trPr>
        <w:tc>
          <w:tcPr>
            <w:tcW w:w="6260" w:type="dxa"/>
            <w:vAlign w:val="bottom"/>
            <w:shd w:val="clear" w:color="auto" w:fill="E2EEF6"/>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E2EEF6"/>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10,153</w:t>
            </w:r>
          </w:p>
        </w:tc>
        <w:tc>
          <w:tcPr>
            <w:tcW w:w="160" w:type="dxa"/>
            <w:vAlign w:val="bottom"/>
            <w:shd w:val="clear" w:color="auto" w:fill="E2EEF6"/>
          </w:tcPr>
          <w:p>
            <w:pPr>
              <w:spacing w:after="0"/>
              <w:rPr>
                <w:sz w:val="20"/>
                <w:szCs w:val="20"/>
                <w:color w:val="auto"/>
              </w:rPr>
            </w:pPr>
          </w:p>
        </w:tc>
        <w:tc>
          <w:tcPr>
            <w:tcW w:w="2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8,584</w:t>
            </w:r>
          </w:p>
        </w:tc>
      </w:tr>
      <w:tr>
        <w:trPr>
          <w:trHeight w:val="243"/>
        </w:trPr>
        <w:tc>
          <w:tcPr>
            <w:tcW w:w="6260" w:type="dxa"/>
            <w:vAlign w:val="bottom"/>
          </w:tcPr>
          <w:p>
            <w:pPr>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5,845</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6,356</w:t>
            </w:r>
          </w:p>
        </w:tc>
      </w:tr>
      <w:tr>
        <w:trPr>
          <w:trHeight w:val="243"/>
        </w:trPr>
        <w:tc>
          <w:tcPr>
            <w:tcW w:w="6260" w:type="dxa"/>
            <w:vAlign w:val="bottom"/>
            <w:shd w:val="clear" w:color="auto" w:fill="E2EEF6"/>
          </w:tcPr>
          <w:p>
            <w:pPr>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E2EEF6"/>
          </w:tcPr>
          <w:p>
            <w:pPr>
              <w:spacing w:after="0"/>
              <w:rPr>
                <w:sz w:val="21"/>
                <w:szCs w:val="21"/>
                <w:color w:val="auto"/>
              </w:rPr>
            </w:pP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23,587</w:t>
            </w:r>
          </w:p>
        </w:tc>
        <w:tc>
          <w:tcPr>
            <w:tcW w:w="16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8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22,334</w:t>
            </w:r>
          </w:p>
        </w:tc>
      </w:tr>
      <w:tr>
        <w:trPr>
          <w:trHeight w:val="243"/>
        </w:trPr>
        <w:tc>
          <w:tcPr>
            <w:tcW w:w="6260" w:type="dxa"/>
            <w:vAlign w:val="bottom"/>
          </w:tcPr>
          <w:p>
            <w:pPr>
              <w:spacing w:after="0"/>
              <w:rPr>
                <w:sz w:val="20"/>
                <w:szCs w:val="20"/>
                <w:color w:val="auto"/>
              </w:rPr>
            </w:pPr>
            <w:r>
              <w:rPr>
                <w:rFonts w:ascii="Arial" w:cs="Arial" w:eastAsia="Arial" w:hAnsi="Arial"/>
                <w:sz w:val="18"/>
                <w:szCs w:val="18"/>
                <w:color w:val="auto"/>
              </w:rPr>
              <w:t>Less-inventory reserve</w:t>
            </w:r>
          </w:p>
        </w:tc>
        <w:tc>
          <w:tcPr>
            <w:tcW w:w="20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(1,489)</w:t>
            </w:r>
          </w:p>
        </w:tc>
        <w:tc>
          <w:tcPr>
            <w:tcW w:w="22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(1,645)</w:t>
            </w:r>
          </w:p>
        </w:tc>
      </w:tr>
      <w:tr>
        <w:trPr>
          <w:trHeight w:val="237"/>
        </w:trPr>
        <w:tc>
          <w:tcPr>
            <w:tcW w:w="6260" w:type="dxa"/>
            <w:vAlign w:val="bottom"/>
            <w:shd w:val="clear" w:color="auto" w:fill="E2EEF6"/>
          </w:tcPr>
          <w:p>
            <w:pPr>
              <w:spacing w:after="0"/>
              <w:rPr>
                <w:sz w:val="20"/>
                <w:szCs w:val="20"/>
                <w:color w:val="auto"/>
              </w:rPr>
            </w:pPr>
          </w:p>
        </w:tc>
        <w:tc>
          <w:tcPr>
            <w:tcW w:w="200" w:type="dxa"/>
            <w:vAlign w:val="bottom"/>
            <w:tcBorders>
              <w:top w:val="single" w:sz="8" w:color="auto"/>
            </w:tcBorders>
            <w:shd w:val="clear" w:color="auto" w:fill="E2EEF6"/>
          </w:tcPr>
          <w:p>
            <w:pPr>
              <w:spacing w:after="0"/>
              <w:rPr>
                <w:sz w:val="20"/>
                <w:szCs w:val="20"/>
                <w:color w:val="auto"/>
              </w:rPr>
            </w:pPr>
          </w:p>
        </w:tc>
        <w:tc>
          <w:tcPr>
            <w:tcW w:w="820" w:type="dxa"/>
            <w:vAlign w:val="bottom"/>
            <w:tcBorders>
              <w:top w:val="single" w:sz="8" w:color="auto"/>
            </w:tcBorders>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220" w:type="dxa"/>
            <w:vAlign w:val="bottom"/>
            <w:tcBorders>
              <w:top w:val="single" w:sz="8" w:color="auto"/>
            </w:tcBorders>
            <w:shd w:val="clear" w:color="auto" w:fill="E2EEF6"/>
          </w:tcPr>
          <w:p>
            <w:pPr>
              <w:spacing w:after="0"/>
              <w:rPr>
                <w:sz w:val="20"/>
                <w:szCs w:val="20"/>
                <w:color w:val="auto"/>
              </w:rPr>
            </w:pPr>
          </w:p>
        </w:tc>
        <w:tc>
          <w:tcPr>
            <w:tcW w:w="800" w:type="dxa"/>
            <w:vAlign w:val="bottom"/>
            <w:tcBorders>
              <w:top w:val="single" w:sz="8" w:color="auto"/>
            </w:tcBorders>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r>
      <w:tr>
        <w:trPr>
          <w:trHeight w:val="243"/>
        </w:trPr>
        <w:tc>
          <w:tcPr>
            <w:tcW w:w="6260" w:type="dxa"/>
            <w:vAlign w:val="bottom"/>
          </w:tcPr>
          <w:p>
            <w:pPr>
              <w:spacing w:after="0"/>
              <w:rPr>
                <w:sz w:val="20"/>
                <w:szCs w:val="20"/>
                <w:color w:val="auto"/>
              </w:rPr>
            </w:pPr>
            <w:r>
              <w:rPr>
                <w:rFonts w:ascii="Arial" w:cs="Arial" w:eastAsia="Arial" w:hAnsi="Arial"/>
                <w:sz w:val="18"/>
                <w:szCs w:val="18"/>
                <w:color w:val="auto"/>
              </w:rPr>
              <w:t>Inventories, net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38,096</w:t>
            </w:r>
          </w:p>
        </w:tc>
        <w:tc>
          <w:tcPr>
            <w:tcW w:w="16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35,629</w:t>
            </w:r>
          </w:p>
        </w:tc>
      </w:tr>
      <w:tr>
        <w:trPr>
          <w:trHeight w:val="20"/>
        </w:trPr>
        <w:tc>
          <w:tcPr>
            <w:tcW w:w="6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on consignment at customers’ sites at December 31, 2005 and 2004 was approximately $4,669 and $3,755, respectively.</w:t>
      </w:r>
    </w:p>
    <w:p>
      <w:pPr>
        <w:spacing w:after="0" w:line="275"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391" w:right="49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5"/>
              </w:rPr>
              <w:t>NN, Inc.</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December 31, 2005, 2004 and 2003</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(In thousands, except per share data)</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7) Property, Plant and Equipment</w:t>
            </w: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4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Estimated</w:t>
            </w:r>
          </w:p>
        </w:tc>
        <w:tc>
          <w:tcPr>
            <w:tcW w:w="200" w:type="dxa"/>
            <w:vAlign w:val="bottom"/>
          </w:tcPr>
          <w:p>
            <w:pPr>
              <w:spacing w:after="0"/>
              <w:rPr>
                <w:sz w:val="24"/>
                <w:szCs w:val="24"/>
                <w:color w:val="auto"/>
              </w:rPr>
            </w:pPr>
          </w:p>
        </w:tc>
        <w:tc>
          <w:tcPr>
            <w:tcW w:w="20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98"/>
        </w:trPr>
        <w:tc>
          <w:tcPr>
            <w:tcW w:w="1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Useful Life</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2720" w:type="dxa"/>
            <w:vAlign w:val="bottom"/>
            <w:shd w:val="clear" w:color="auto" w:fill="E2EEF6"/>
          </w:tcPr>
          <w:p>
            <w:pPr>
              <w:spacing w:after="0"/>
              <w:rPr>
                <w:sz w:val="20"/>
                <w:szCs w:val="20"/>
                <w:color w:val="auto"/>
              </w:rPr>
            </w:pPr>
            <w:r>
              <w:rPr>
                <w:rFonts w:ascii="Arial" w:cs="Arial" w:eastAsia="Arial" w:hAnsi="Arial"/>
                <w:sz w:val="18"/>
                <w:szCs w:val="18"/>
                <w:color w:val="auto"/>
              </w:rPr>
              <w:t>Land owned</w:t>
            </w:r>
          </w:p>
        </w:tc>
        <w:tc>
          <w:tcPr>
            <w:tcW w:w="23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96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200" w:type="dxa"/>
            <w:vAlign w:val="bottom"/>
            <w:shd w:val="clear" w:color="auto" w:fill="E2EEF6"/>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6,431</w:t>
            </w:r>
          </w:p>
        </w:tc>
        <w:tc>
          <w:tcPr>
            <w:tcW w:w="2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8,454</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Land under capital lease</w:t>
            </w:r>
          </w:p>
        </w:tc>
        <w:tc>
          <w:tcPr>
            <w:tcW w:w="2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408</w:t>
            </w:r>
          </w:p>
        </w:tc>
        <w:tc>
          <w:tcPr>
            <w:tcW w:w="22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2720" w:type="dxa"/>
            <w:vAlign w:val="bottom"/>
            <w:shd w:val="clear" w:color="auto" w:fill="E2EEF6"/>
          </w:tcPr>
          <w:p>
            <w:pPr>
              <w:spacing w:after="0"/>
              <w:rPr>
                <w:sz w:val="20"/>
                <w:szCs w:val="20"/>
                <w:color w:val="auto"/>
              </w:rPr>
            </w:pPr>
            <w:r>
              <w:rPr>
                <w:rFonts w:ascii="Arial" w:cs="Arial" w:eastAsia="Arial" w:hAnsi="Arial"/>
                <w:sz w:val="18"/>
                <w:szCs w:val="18"/>
                <w:color w:val="auto"/>
                <w:w w:val="95"/>
              </w:rPr>
              <w:t>Buildings and improvements owned</w:t>
            </w:r>
          </w:p>
        </w:tc>
        <w:tc>
          <w:tcPr>
            <w:tcW w:w="23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12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w w:val="98"/>
              </w:rPr>
              <w:t>15-40 years</w:t>
            </w:r>
          </w:p>
        </w:tc>
        <w:tc>
          <w:tcPr>
            <w:tcW w:w="200" w:type="dxa"/>
            <w:vAlign w:val="bottom"/>
            <w:shd w:val="clear" w:color="auto" w:fill="E2EEF6"/>
          </w:tcPr>
          <w:p>
            <w:pPr>
              <w:spacing w:after="0"/>
              <w:rPr>
                <w:sz w:val="21"/>
                <w:szCs w:val="21"/>
                <w:color w:val="auto"/>
              </w:rPr>
            </w:pPr>
          </w:p>
        </w:tc>
        <w:tc>
          <w:tcPr>
            <w:tcW w:w="9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31,093</w:t>
            </w:r>
          </w:p>
        </w:tc>
        <w:tc>
          <w:tcPr>
            <w:tcW w:w="220" w:type="dxa"/>
            <w:vAlign w:val="bottom"/>
            <w:shd w:val="clear" w:color="auto" w:fill="E2EEF6"/>
          </w:tcPr>
          <w:p>
            <w:pPr>
              <w:spacing w:after="0"/>
              <w:rPr>
                <w:sz w:val="21"/>
                <w:szCs w:val="21"/>
                <w:color w:val="auto"/>
              </w:rPr>
            </w:pPr>
          </w:p>
        </w:tc>
        <w:tc>
          <w:tcPr>
            <w:tcW w:w="8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30,833</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Buildings under capital leases</w:t>
            </w:r>
          </w:p>
        </w:tc>
        <w:tc>
          <w:tcPr>
            <w:tcW w:w="2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 years</w:t>
            </w:r>
          </w:p>
        </w:tc>
        <w:tc>
          <w:tcPr>
            <w:tcW w:w="2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1,490</w:t>
            </w:r>
          </w:p>
        </w:tc>
        <w:tc>
          <w:tcPr>
            <w:tcW w:w="22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2720" w:type="dxa"/>
            <w:vAlign w:val="bottom"/>
            <w:shd w:val="clear" w:color="auto" w:fill="E2EEF6"/>
          </w:tcPr>
          <w:p>
            <w:pPr>
              <w:spacing w:after="0"/>
              <w:rPr>
                <w:sz w:val="20"/>
                <w:szCs w:val="20"/>
                <w:color w:val="auto"/>
              </w:rPr>
            </w:pPr>
            <w:r>
              <w:rPr>
                <w:rFonts w:ascii="Arial" w:cs="Arial" w:eastAsia="Arial" w:hAnsi="Arial"/>
                <w:sz w:val="18"/>
                <w:szCs w:val="18"/>
                <w:color w:val="auto"/>
              </w:rPr>
              <w:t>Machinery and equipment</w:t>
            </w:r>
          </w:p>
        </w:tc>
        <w:tc>
          <w:tcPr>
            <w:tcW w:w="23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12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3-12 years</w:t>
            </w:r>
          </w:p>
        </w:tc>
        <w:tc>
          <w:tcPr>
            <w:tcW w:w="200" w:type="dxa"/>
            <w:vAlign w:val="bottom"/>
            <w:shd w:val="clear" w:color="auto" w:fill="E2EEF6"/>
          </w:tcPr>
          <w:p>
            <w:pPr>
              <w:spacing w:after="0"/>
              <w:rPr>
                <w:sz w:val="21"/>
                <w:szCs w:val="21"/>
                <w:color w:val="auto"/>
              </w:rPr>
            </w:pPr>
          </w:p>
        </w:tc>
        <w:tc>
          <w:tcPr>
            <w:tcW w:w="9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166,555</w:t>
            </w:r>
          </w:p>
        </w:tc>
        <w:tc>
          <w:tcPr>
            <w:tcW w:w="220" w:type="dxa"/>
            <w:vAlign w:val="bottom"/>
            <w:shd w:val="clear" w:color="auto" w:fill="E2EEF6"/>
          </w:tcPr>
          <w:p>
            <w:pPr>
              <w:spacing w:after="0"/>
              <w:rPr>
                <w:sz w:val="21"/>
                <w:szCs w:val="21"/>
                <w:color w:val="auto"/>
              </w:rPr>
            </w:pPr>
          </w:p>
        </w:tc>
        <w:tc>
          <w:tcPr>
            <w:tcW w:w="8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168,561</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2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10,597</w:t>
            </w:r>
          </w:p>
        </w:tc>
        <w:tc>
          <w:tcPr>
            <w:tcW w:w="22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11,249</w:t>
            </w: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2720" w:type="dxa"/>
            <w:vAlign w:val="bottom"/>
            <w:shd w:val="clear" w:color="auto" w:fill="E2EEF6"/>
          </w:tcPr>
          <w:p>
            <w:pPr>
              <w:spacing w:after="0"/>
              <w:rPr>
                <w:sz w:val="20"/>
                <w:szCs w:val="20"/>
                <w:color w:val="auto"/>
              </w:rPr>
            </w:pPr>
          </w:p>
        </w:tc>
        <w:tc>
          <w:tcPr>
            <w:tcW w:w="23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96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200" w:type="dxa"/>
            <w:vAlign w:val="bottom"/>
            <w:tcBorders>
              <w:top w:val="single" w:sz="8" w:color="auto"/>
            </w:tcBorders>
            <w:shd w:val="clear" w:color="auto" w:fill="E2EEF6"/>
          </w:tcPr>
          <w:p>
            <w:pPr>
              <w:spacing w:after="0"/>
              <w:rPr>
                <w:sz w:val="20"/>
                <w:szCs w:val="20"/>
                <w:color w:val="auto"/>
              </w:rPr>
            </w:pPr>
          </w:p>
        </w:tc>
        <w:tc>
          <w:tcPr>
            <w:tcW w:w="820" w:type="dxa"/>
            <w:vAlign w:val="bottom"/>
            <w:tcBorders>
              <w:top w:val="single" w:sz="8" w:color="auto"/>
            </w:tcBorders>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220" w:type="dxa"/>
            <w:vAlign w:val="bottom"/>
            <w:tcBorders>
              <w:top w:val="single" w:sz="8" w:color="auto"/>
            </w:tcBorders>
            <w:shd w:val="clear" w:color="auto" w:fill="E2EEF6"/>
          </w:tcPr>
          <w:p>
            <w:pPr>
              <w:spacing w:after="0"/>
              <w:rPr>
                <w:sz w:val="20"/>
                <w:szCs w:val="20"/>
                <w:color w:val="auto"/>
              </w:rPr>
            </w:pPr>
          </w:p>
        </w:tc>
        <w:tc>
          <w:tcPr>
            <w:tcW w:w="800" w:type="dxa"/>
            <w:vAlign w:val="bottom"/>
            <w:tcBorders>
              <w:top w:val="single" w:sz="8" w:color="auto"/>
            </w:tcBorders>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216,574</w:t>
            </w:r>
          </w:p>
        </w:tc>
        <w:tc>
          <w:tcPr>
            <w:tcW w:w="22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219,097</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2720" w:type="dxa"/>
            <w:vAlign w:val="bottom"/>
            <w:shd w:val="clear" w:color="auto" w:fill="E2EEF6"/>
          </w:tcPr>
          <w:p>
            <w:pPr>
              <w:spacing w:after="0"/>
              <w:rPr>
                <w:sz w:val="20"/>
                <w:szCs w:val="20"/>
                <w:color w:val="auto"/>
              </w:rPr>
            </w:pPr>
            <w:r>
              <w:rPr>
                <w:rFonts w:ascii="Arial" w:cs="Arial" w:eastAsia="Arial" w:hAnsi="Arial"/>
                <w:sz w:val="18"/>
                <w:szCs w:val="18"/>
                <w:color w:val="auto"/>
              </w:rPr>
              <w:t>Less - accumulated depreciation</w:t>
            </w:r>
          </w:p>
        </w:tc>
        <w:tc>
          <w:tcPr>
            <w:tcW w:w="23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96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97,745</w:t>
            </w:r>
          </w:p>
        </w:tc>
        <w:tc>
          <w:tcPr>
            <w:tcW w:w="16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8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87,928</w:t>
            </w: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2720" w:type="dxa"/>
            <w:vAlign w:val="bottom"/>
            <w:tcBorders>
              <w:top w:val="single" w:sz="8" w:color="E2EEF6"/>
            </w:tcBorders>
          </w:tcPr>
          <w:p>
            <w:pPr>
              <w:spacing w:after="0"/>
              <w:rPr>
                <w:sz w:val="20"/>
                <w:szCs w:val="20"/>
                <w:color w:val="auto"/>
              </w:rPr>
            </w:pPr>
          </w:p>
        </w:tc>
        <w:tc>
          <w:tcPr>
            <w:tcW w:w="2340" w:type="dxa"/>
            <w:vAlign w:val="bottom"/>
            <w:tcBorders>
              <w:top w:val="single" w:sz="8" w:color="E2EEF6"/>
            </w:tcBorders>
          </w:tcPr>
          <w:p>
            <w:pPr>
              <w:spacing w:after="0"/>
              <w:rPr>
                <w:sz w:val="20"/>
                <w:szCs w:val="20"/>
                <w:color w:val="auto"/>
              </w:rPr>
            </w:pPr>
          </w:p>
        </w:tc>
        <w:tc>
          <w:tcPr>
            <w:tcW w:w="80" w:type="dxa"/>
            <w:vAlign w:val="bottom"/>
            <w:tcBorders>
              <w:top w:val="single" w:sz="8" w:color="E2EEF6"/>
            </w:tcBorders>
          </w:tcPr>
          <w:p>
            <w:pPr>
              <w:spacing w:after="0"/>
              <w:rPr>
                <w:sz w:val="20"/>
                <w:szCs w:val="20"/>
                <w:color w:val="auto"/>
              </w:rPr>
            </w:pPr>
          </w:p>
        </w:tc>
        <w:tc>
          <w:tcPr>
            <w:tcW w:w="960" w:type="dxa"/>
            <w:vAlign w:val="bottom"/>
            <w:tcBorders>
              <w:top w:val="single" w:sz="8" w:color="E2EEF6"/>
            </w:tcBorders>
          </w:tcPr>
          <w:p>
            <w:pPr>
              <w:spacing w:after="0"/>
              <w:rPr>
                <w:sz w:val="20"/>
                <w:szCs w:val="20"/>
                <w:color w:val="auto"/>
              </w:rPr>
            </w:pPr>
          </w:p>
        </w:tc>
        <w:tc>
          <w:tcPr>
            <w:tcW w:w="160" w:type="dxa"/>
            <w:vAlign w:val="bottom"/>
            <w:tcBorders>
              <w:top w:val="single" w:sz="8" w:color="E2EEF6"/>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Borders>
              <w:top w:val="single" w:sz="8" w:color="E2EEF6"/>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Borders>
              <w:top w:val="single" w:sz="8" w:color="E2EEF6"/>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440" w:type="dxa"/>
            <w:vAlign w:val="bottom"/>
          </w:tcPr>
          <w:p>
            <w:pPr>
              <w:spacing w:after="0"/>
              <w:rPr>
                <w:sz w:val="22"/>
                <w:szCs w:val="22"/>
                <w:color w:val="auto"/>
              </w:rPr>
            </w:pPr>
          </w:p>
        </w:tc>
        <w:tc>
          <w:tcPr>
            <w:tcW w:w="2720" w:type="dxa"/>
            <w:vAlign w:val="bottom"/>
            <w:shd w:val="clear" w:color="auto" w:fill="E2EEF6"/>
          </w:tcPr>
          <w:p>
            <w:pPr>
              <w:spacing w:after="0"/>
              <w:rPr>
                <w:sz w:val="20"/>
                <w:szCs w:val="20"/>
                <w:color w:val="auto"/>
              </w:rPr>
            </w:pPr>
            <w:r>
              <w:rPr>
                <w:rFonts w:ascii="Arial" w:cs="Arial" w:eastAsia="Arial" w:hAnsi="Arial"/>
                <w:sz w:val="18"/>
                <w:szCs w:val="18"/>
                <w:color w:val="auto"/>
                <w:w w:val="97"/>
              </w:rPr>
              <w:t>Property, plant and equipment, net</w:t>
            </w:r>
          </w:p>
        </w:tc>
        <w:tc>
          <w:tcPr>
            <w:tcW w:w="2340" w:type="dxa"/>
            <w:vAlign w:val="bottom"/>
            <w:shd w:val="clear" w:color="auto" w:fill="E2EEF6"/>
          </w:tcPr>
          <w:p>
            <w:pPr>
              <w:spacing w:after="0"/>
              <w:rPr>
                <w:sz w:val="22"/>
                <w:szCs w:val="22"/>
                <w:color w:val="auto"/>
              </w:rPr>
            </w:pPr>
          </w:p>
        </w:tc>
        <w:tc>
          <w:tcPr>
            <w:tcW w:w="80" w:type="dxa"/>
            <w:vAlign w:val="bottom"/>
            <w:shd w:val="clear" w:color="auto" w:fill="E2EEF6"/>
          </w:tcPr>
          <w:p>
            <w:pPr>
              <w:spacing w:after="0"/>
              <w:rPr>
                <w:sz w:val="22"/>
                <w:szCs w:val="22"/>
                <w:color w:val="auto"/>
              </w:rPr>
            </w:pPr>
          </w:p>
        </w:tc>
        <w:tc>
          <w:tcPr>
            <w:tcW w:w="960" w:type="dxa"/>
            <w:vAlign w:val="bottom"/>
            <w:shd w:val="clear" w:color="auto" w:fill="E2EEF6"/>
          </w:tcPr>
          <w:p>
            <w:pPr>
              <w:spacing w:after="0"/>
              <w:rPr>
                <w:sz w:val="22"/>
                <w:szCs w:val="22"/>
                <w:color w:val="auto"/>
              </w:rPr>
            </w:pPr>
          </w:p>
        </w:tc>
        <w:tc>
          <w:tcPr>
            <w:tcW w:w="160" w:type="dxa"/>
            <w:vAlign w:val="bottom"/>
            <w:shd w:val="clear" w:color="auto" w:fill="E2EEF6"/>
          </w:tcPr>
          <w:p>
            <w:pPr>
              <w:spacing w:after="0"/>
              <w:rPr>
                <w:sz w:val="22"/>
                <w:szCs w:val="22"/>
                <w:color w:val="auto"/>
              </w:rPr>
            </w:pPr>
          </w:p>
        </w:tc>
        <w:tc>
          <w:tcPr>
            <w:tcW w:w="200" w:type="dxa"/>
            <w:vAlign w:val="bottom"/>
            <w:shd w:val="clear" w:color="auto" w:fill="E2EEF6"/>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118,829</w:t>
            </w:r>
          </w:p>
        </w:tc>
        <w:tc>
          <w:tcPr>
            <w:tcW w:w="160" w:type="dxa"/>
            <w:vAlign w:val="bottom"/>
            <w:shd w:val="clear" w:color="auto" w:fill="E2EEF6"/>
          </w:tcPr>
          <w:p>
            <w:pPr>
              <w:spacing w:after="0"/>
              <w:rPr>
                <w:sz w:val="22"/>
                <w:szCs w:val="22"/>
                <w:color w:val="auto"/>
              </w:rPr>
            </w:pPr>
          </w:p>
        </w:tc>
        <w:tc>
          <w:tcPr>
            <w:tcW w:w="2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131,169</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720" w:type="dxa"/>
            <w:vAlign w:val="bottom"/>
            <w:tcBorders>
              <w:top w:val="single" w:sz="8" w:color="E2EEF6"/>
            </w:tcBorders>
            <w:shd w:val="clear" w:color="auto" w:fill="E2EEF6"/>
          </w:tcPr>
          <w:p>
            <w:pPr>
              <w:spacing w:after="0" w:line="20" w:lineRule="exact"/>
              <w:rPr>
                <w:sz w:val="1"/>
                <w:szCs w:val="1"/>
                <w:color w:val="auto"/>
              </w:rPr>
            </w:pPr>
          </w:p>
        </w:tc>
        <w:tc>
          <w:tcPr>
            <w:tcW w:w="2340" w:type="dxa"/>
            <w:vAlign w:val="bottom"/>
            <w:tcBorders>
              <w:top w:val="single" w:sz="8" w:color="E2EEF6"/>
            </w:tcBorders>
            <w:shd w:val="clear" w:color="auto" w:fill="E2EEF6"/>
          </w:tcPr>
          <w:p>
            <w:pPr>
              <w:spacing w:after="0" w:line="20" w:lineRule="exact"/>
              <w:rPr>
                <w:sz w:val="1"/>
                <w:szCs w:val="1"/>
                <w:color w:val="auto"/>
              </w:rPr>
            </w:pPr>
          </w:p>
        </w:tc>
        <w:tc>
          <w:tcPr>
            <w:tcW w:w="80" w:type="dxa"/>
            <w:vAlign w:val="bottom"/>
            <w:tcBorders>
              <w:top w:val="single" w:sz="8" w:color="E2EEF6"/>
            </w:tcBorders>
            <w:shd w:val="clear" w:color="auto" w:fill="E2EEF6"/>
          </w:tcPr>
          <w:p>
            <w:pPr>
              <w:spacing w:after="0" w:line="20" w:lineRule="exact"/>
              <w:rPr>
                <w:sz w:val="1"/>
                <w:szCs w:val="1"/>
                <w:color w:val="auto"/>
              </w:rPr>
            </w:pPr>
          </w:p>
        </w:tc>
        <w:tc>
          <w:tcPr>
            <w:tcW w:w="960" w:type="dxa"/>
            <w:vAlign w:val="bottom"/>
            <w:tcBorders>
              <w:top w:val="single" w:sz="8" w:color="E2EEF6"/>
            </w:tcBorders>
            <w:shd w:val="clear" w:color="auto" w:fill="E2EEF6"/>
          </w:tcPr>
          <w:p>
            <w:pPr>
              <w:spacing w:after="0" w:line="20" w:lineRule="exact"/>
              <w:rPr>
                <w:sz w:val="1"/>
                <w:szCs w:val="1"/>
                <w:color w:val="auto"/>
              </w:rPr>
            </w:pPr>
          </w:p>
        </w:tc>
        <w:tc>
          <w:tcPr>
            <w:tcW w:w="160" w:type="dxa"/>
            <w:vAlign w:val="bottom"/>
            <w:tcBorders>
              <w:top w:val="single" w:sz="8" w:color="E2EEF6"/>
            </w:tcBorders>
            <w:shd w:val="clear" w:color="auto" w:fill="E2EEF6"/>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2EEF6"/>
            </w:tcBorders>
            <w:shd w:val="clear" w:color="auto" w:fill="E2EEF6"/>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2EEF6"/>
            </w:tcBorders>
            <w:shd w:val="clear" w:color="auto" w:fill="E2EE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December 2005, we sold excess land at our Veenendaal, The Netherlands division. Prior to the sale, this asset was classified as a component of property, plant and equipment, net. The land had a book value at the time of sale of $383. The proceeds of the sale were $815, which resulted in a gain on disposal of assets of $432.</w:t>
      </w:r>
    </w:p>
    <w:p>
      <w:pPr>
        <w:spacing w:after="0" w:line="23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During January 2006, we completed the sale of excess land and two small buildings at NN Europe’s Pinerolo plant. As a result of this planned sale, the carrying value reclassified from land and building to Assets Held for Sale was approximately $978 and $94, respectively as of December 31, 2005. These assets were sold for a gain of approximately $1,680 which will be recognized in the first quarter of 2006.</w:t>
      </w:r>
    </w:p>
    <w:p>
      <w:pPr>
        <w:spacing w:after="0" w:line="220"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The land and building assets of the idle Walterboro, South Carolina ball manufacturing facility were sold at a loss during the fourth quarter of 2004. As a result, we recorded a loss on disposal of assets of approximately $750 which was recorded as a loss on disposal of assets, a component of income from operations. Additionally, during the fourth quarter of 2004, we recorded an impairment charge of approximately $108 related to certain remaining machinery and equipment assets of this facility to write these assets down to their net realizable value based on a fair market-value appraisals and valuations. This amount was recorded as a restructuring and impairment cost.</w:t>
      </w:r>
    </w:p>
    <w:p>
      <w:pPr>
        <w:spacing w:after="0" w:line="22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On October 27, 2004, we completed the sale of our idle warehouse in Kilkenny, Ireland for approximately 1,580 Euros ($1,959), net of selling costs incurred. As a result of this transaction, we recorded a loss on disposal of assets of approximately 37 Euros ($46) during the fourth quarter which was recorded as a component of loss on disposal of assets. Prior to the sale this asset was classified as a component of property, plant and equipment, net.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6" w:name="page47"/>
    <w:bookmarkEnd w:id="46"/>
    <w:p>
      <w:pPr>
        <w:jc w:val="center"/>
        <w:ind w:left="50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December 31, 2005, 2004 and 2003</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8) Debt</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320" w:type="dxa"/>
            <w:vAlign w:val="bottom"/>
          </w:tcPr>
          <w:p>
            <w:pPr>
              <w:spacing w:after="0"/>
              <w:rPr>
                <w:sz w:val="24"/>
                <w:szCs w:val="24"/>
                <w:color w:val="auto"/>
              </w:rPr>
            </w:pPr>
          </w:p>
        </w:tc>
        <w:tc>
          <w:tcPr>
            <w:tcW w:w="7740" w:type="dxa"/>
            <w:vAlign w:val="bottom"/>
          </w:tcPr>
          <w:p>
            <w:pPr>
              <w:ind w:left="80"/>
              <w:spacing w:after="0"/>
              <w:rPr>
                <w:sz w:val="20"/>
                <w:szCs w:val="20"/>
                <w:color w:val="auto"/>
              </w:rPr>
            </w:pPr>
            <w:r>
              <w:rPr>
                <w:rFonts w:ascii="Arial" w:cs="Arial" w:eastAsia="Arial" w:hAnsi="Arial"/>
                <w:sz w:val="18"/>
                <w:szCs w:val="18"/>
                <w:color w:val="auto"/>
              </w:rPr>
              <w:t>There were no short term loans outstanding at December 31, 2005 and 2004.</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320" w:type="dxa"/>
            <w:vAlign w:val="bottom"/>
          </w:tcPr>
          <w:p>
            <w:pPr>
              <w:spacing w:after="0"/>
              <w:rPr>
                <w:sz w:val="24"/>
                <w:szCs w:val="24"/>
                <w:color w:val="auto"/>
              </w:rPr>
            </w:pPr>
          </w:p>
        </w:tc>
        <w:tc>
          <w:tcPr>
            <w:tcW w:w="7740" w:type="dxa"/>
            <w:vAlign w:val="bottom"/>
          </w:tcPr>
          <w:p>
            <w:pPr>
              <w:ind w:left="80"/>
              <w:spacing w:after="0"/>
              <w:rPr>
                <w:sz w:val="20"/>
                <w:szCs w:val="20"/>
                <w:color w:val="auto"/>
              </w:rPr>
            </w:pPr>
            <w:r>
              <w:rPr>
                <w:rFonts w:ascii="Arial" w:cs="Arial" w:eastAsia="Arial" w:hAnsi="Arial"/>
                <w:sz w:val="18"/>
                <w:szCs w:val="18"/>
                <w:color w:val="auto"/>
              </w:rPr>
              <w:t>Long-term debt at December 31, 2005 and 2004 consisted of the following:</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3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4"/>
                <w:szCs w:val="24"/>
                <w:color w:val="auto"/>
              </w:rPr>
            </w:pPr>
          </w:p>
        </w:tc>
      </w:tr>
      <w:tr>
        <w:trPr>
          <w:trHeight w:val="237"/>
        </w:trPr>
        <w:tc>
          <w:tcPr>
            <w:tcW w:w="32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20" w:type="dxa"/>
            <w:vAlign w:val="bottom"/>
          </w:tcPr>
          <w:p>
            <w:pPr>
              <w:spacing w:after="0"/>
              <w:rPr>
                <w:sz w:val="17"/>
                <w:szCs w:val="17"/>
                <w:color w:val="auto"/>
              </w:rPr>
            </w:pPr>
          </w:p>
        </w:tc>
        <w:tc>
          <w:tcPr>
            <w:tcW w:w="7740" w:type="dxa"/>
            <w:vAlign w:val="bottom"/>
            <w:shd w:val="clear" w:color="auto" w:fill="E2EEF6"/>
          </w:tcPr>
          <w:p>
            <w:pPr>
              <w:spacing w:after="0" w:line="201" w:lineRule="exact"/>
              <w:rPr>
                <w:sz w:val="20"/>
                <w:szCs w:val="20"/>
                <w:color w:val="auto"/>
              </w:rPr>
            </w:pPr>
            <w:r>
              <w:rPr>
                <w:rFonts w:ascii="Arial" w:cs="Arial" w:eastAsia="Arial" w:hAnsi="Arial"/>
                <w:sz w:val="18"/>
                <w:szCs w:val="18"/>
                <w:color w:val="auto"/>
              </w:rPr>
              <w:t>Borrowings under our $30,000 revolving credit facility bearing interest at a floating rate equal to</w:t>
            </w:r>
          </w:p>
        </w:tc>
        <w:tc>
          <w:tcPr>
            <w:tcW w:w="280" w:type="dxa"/>
            <w:vAlign w:val="bottom"/>
            <w:shd w:val="clear" w:color="auto" w:fill="E2EEF6"/>
          </w:tcPr>
          <w:p>
            <w:pPr>
              <w:spacing w:after="0"/>
              <w:rPr>
                <w:sz w:val="17"/>
                <w:szCs w:val="17"/>
                <w:color w:val="auto"/>
              </w:rPr>
            </w:pPr>
          </w:p>
        </w:tc>
        <w:tc>
          <w:tcPr>
            <w:tcW w:w="1000" w:type="dxa"/>
            <w:vAlign w:val="bottom"/>
            <w:shd w:val="clear" w:color="auto" w:fill="E2EEF6"/>
          </w:tcPr>
          <w:p>
            <w:pPr>
              <w:spacing w:after="0"/>
              <w:rPr>
                <w:sz w:val="17"/>
                <w:szCs w:val="17"/>
                <w:color w:val="auto"/>
              </w:rPr>
            </w:pPr>
          </w:p>
        </w:tc>
        <w:tc>
          <w:tcPr>
            <w:tcW w:w="120" w:type="dxa"/>
            <w:vAlign w:val="bottom"/>
            <w:shd w:val="clear" w:color="auto" w:fill="E2EEF6"/>
          </w:tcPr>
          <w:p>
            <w:pPr>
              <w:spacing w:after="0"/>
              <w:rPr>
                <w:sz w:val="17"/>
                <w:szCs w:val="17"/>
                <w:color w:val="auto"/>
              </w:rPr>
            </w:pPr>
          </w:p>
        </w:tc>
        <w:tc>
          <w:tcPr>
            <w:tcW w:w="100" w:type="dxa"/>
            <w:vAlign w:val="bottom"/>
            <w:shd w:val="clear" w:color="auto" w:fill="E2EEF6"/>
          </w:tcPr>
          <w:p>
            <w:pPr>
              <w:spacing w:after="0"/>
              <w:rPr>
                <w:sz w:val="17"/>
                <w:szCs w:val="17"/>
                <w:color w:val="auto"/>
              </w:rPr>
            </w:pPr>
          </w:p>
        </w:tc>
        <w:tc>
          <w:tcPr>
            <w:tcW w:w="280" w:type="dxa"/>
            <w:vAlign w:val="bottom"/>
            <w:shd w:val="clear" w:color="auto" w:fill="E2EEF6"/>
          </w:tcPr>
          <w:p>
            <w:pPr>
              <w:spacing w:after="0"/>
              <w:rPr>
                <w:sz w:val="17"/>
                <w:szCs w:val="17"/>
                <w:color w:val="auto"/>
              </w:rPr>
            </w:pPr>
          </w:p>
        </w:tc>
        <w:tc>
          <w:tcPr>
            <w:tcW w:w="980" w:type="dxa"/>
            <w:vAlign w:val="bottom"/>
            <w:shd w:val="clear" w:color="auto" w:fill="E2EEF6"/>
          </w:tcPr>
          <w:p>
            <w:pPr>
              <w:spacing w:after="0"/>
              <w:rPr>
                <w:sz w:val="17"/>
                <w:szCs w:val="17"/>
                <w:color w:val="auto"/>
              </w:rPr>
            </w:pPr>
          </w:p>
        </w:tc>
        <w:tc>
          <w:tcPr>
            <w:tcW w:w="100" w:type="dxa"/>
            <w:vAlign w:val="bottom"/>
            <w:shd w:val="clear" w:color="auto" w:fill="E2EEF6"/>
          </w:tcPr>
          <w:p>
            <w:pPr>
              <w:spacing w:after="0"/>
              <w:rPr>
                <w:sz w:val="17"/>
                <w:szCs w:val="17"/>
                <w:color w:val="auto"/>
              </w:rPr>
            </w:pPr>
          </w:p>
        </w:tc>
      </w:tr>
      <w:tr>
        <w:trPr>
          <w:trHeight w:val="216"/>
        </w:trPr>
        <w:tc>
          <w:tcPr>
            <w:tcW w:w="320" w:type="dxa"/>
            <w:vAlign w:val="bottom"/>
          </w:tcPr>
          <w:p>
            <w:pPr>
              <w:spacing w:after="0"/>
              <w:rPr>
                <w:sz w:val="18"/>
                <w:szCs w:val="18"/>
                <w:color w:val="auto"/>
              </w:rPr>
            </w:pPr>
          </w:p>
        </w:tc>
        <w:tc>
          <w:tcPr>
            <w:tcW w:w="7740" w:type="dxa"/>
            <w:vAlign w:val="bottom"/>
            <w:shd w:val="clear" w:color="auto" w:fill="E2EEF6"/>
          </w:tcPr>
          <w:p>
            <w:pPr>
              <w:ind w:left="320"/>
              <w:spacing w:after="0"/>
              <w:rPr>
                <w:sz w:val="20"/>
                <w:szCs w:val="20"/>
                <w:color w:val="auto"/>
              </w:rPr>
            </w:pPr>
            <w:r>
              <w:rPr>
                <w:rFonts w:ascii="Arial" w:cs="Arial" w:eastAsia="Arial" w:hAnsi="Arial"/>
                <w:sz w:val="18"/>
                <w:szCs w:val="18"/>
                <w:color w:val="auto"/>
                <w:w w:val="96"/>
              </w:rPr>
              <w:t>LIBOR (4.54% at December 31, 2005) plus an applicable margin of 1.25 to 2.0, expiring on June</w:t>
            </w:r>
          </w:p>
        </w:tc>
        <w:tc>
          <w:tcPr>
            <w:tcW w:w="280" w:type="dxa"/>
            <w:vAlign w:val="bottom"/>
            <w:shd w:val="clear" w:color="auto" w:fill="E2EEF6"/>
          </w:tcPr>
          <w:p>
            <w:pPr>
              <w:spacing w:after="0"/>
              <w:rPr>
                <w:sz w:val="18"/>
                <w:szCs w:val="18"/>
                <w:color w:val="auto"/>
              </w:rPr>
            </w:pPr>
          </w:p>
        </w:tc>
        <w:tc>
          <w:tcPr>
            <w:tcW w:w="1000" w:type="dxa"/>
            <w:vAlign w:val="bottom"/>
            <w:shd w:val="clear" w:color="auto" w:fill="E2EEF6"/>
          </w:tcPr>
          <w:p>
            <w:pPr>
              <w:spacing w:after="0"/>
              <w:rPr>
                <w:sz w:val="18"/>
                <w:szCs w:val="18"/>
                <w:color w:val="auto"/>
              </w:rPr>
            </w:pPr>
          </w:p>
        </w:tc>
        <w:tc>
          <w:tcPr>
            <w:tcW w:w="120" w:type="dxa"/>
            <w:vAlign w:val="bottom"/>
            <w:shd w:val="clear" w:color="auto" w:fill="E2EEF6"/>
          </w:tcPr>
          <w:p>
            <w:pPr>
              <w:spacing w:after="0"/>
              <w:rPr>
                <w:sz w:val="18"/>
                <w:szCs w:val="18"/>
                <w:color w:val="auto"/>
              </w:rPr>
            </w:pPr>
          </w:p>
        </w:tc>
        <w:tc>
          <w:tcPr>
            <w:tcW w:w="100" w:type="dxa"/>
            <w:vAlign w:val="bottom"/>
            <w:shd w:val="clear" w:color="auto" w:fill="E2EEF6"/>
          </w:tcPr>
          <w:p>
            <w:pPr>
              <w:spacing w:after="0"/>
              <w:rPr>
                <w:sz w:val="18"/>
                <w:szCs w:val="18"/>
                <w:color w:val="auto"/>
              </w:rPr>
            </w:pPr>
          </w:p>
        </w:tc>
        <w:tc>
          <w:tcPr>
            <w:tcW w:w="280" w:type="dxa"/>
            <w:vAlign w:val="bottom"/>
            <w:shd w:val="clear" w:color="auto" w:fill="E2EEF6"/>
          </w:tcPr>
          <w:p>
            <w:pPr>
              <w:spacing w:after="0"/>
              <w:rPr>
                <w:sz w:val="18"/>
                <w:szCs w:val="18"/>
                <w:color w:val="auto"/>
              </w:rPr>
            </w:pPr>
          </w:p>
        </w:tc>
        <w:tc>
          <w:tcPr>
            <w:tcW w:w="980" w:type="dxa"/>
            <w:vAlign w:val="bottom"/>
            <w:shd w:val="clear" w:color="auto" w:fill="E2EEF6"/>
          </w:tcPr>
          <w:p>
            <w:pPr>
              <w:spacing w:after="0"/>
              <w:rPr>
                <w:sz w:val="18"/>
                <w:szCs w:val="18"/>
                <w:color w:val="auto"/>
              </w:rPr>
            </w:pPr>
          </w:p>
        </w:tc>
        <w:tc>
          <w:tcPr>
            <w:tcW w:w="100" w:type="dxa"/>
            <w:vAlign w:val="bottom"/>
            <w:shd w:val="clear" w:color="auto" w:fill="E2EEF6"/>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7740" w:type="dxa"/>
            <w:vAlign w:val="bottom"/>
            <w:shd w:val="clear" w:color="auto" w:fill="E2EEF6"/>
          </w:tcPr>
          <w:p>
            <w:pPr>
              <w:ind w:left="320"/>
              <w:spacing w:after="0"/>
              <w:rPr>
                <w:sz w:val="20"/>
                <w:szCs w:val="20"/>
                <w:color w:val="auto"/>
              </w:rPr>
            </w:pPr>
            <w:r>
              <w:rPr>
                <w:rFonts w:ascii="Arial" w:cs="Arial" w:eastAsia="Arial" w:hAnsi="Arial"/>
                <w:sz w:val="18"/>
                <w:szCs w:val="18"/>
                <w:color w:val="auto"/>
              </w:rPr>
              <w:t>30, 2007</w:t>
            </w:r>
          </w:p>
        </w:tc>
        <w:tc>
          <w:tcPr>
            <w:tcW w:w="280" w:type="dxa"/>
            <w:vAlign w:val="bottom"/>
            <w:shd w:val="clear" w:color="auto" w:fill="E2EEF6"/>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17,900</w:t>
            </w:r>
          </w:p>
        </w:tc>
        <w:tc>
          <w:tcPr>
            <w:tcW w:w="38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11,400</w:t>
            </w:r>
          </w:p>
        </w:tc>
        <w:tc>
          <w:tcPr>
            <w:tcW w:w="100" w:type="dxa"/>
            <w:vAlign w:val="bottom"/>
            <w:shd w:val="clear" w:color="auto" w:fill="E2EEF6"/>
          </w:tcPr>
          <w:p>
            <w:pPr>
              <w:spacing w:after="0"/>
              <w:rPr>
                <w:sz w:val="20"/>
                <w:szCs w:val="20"/>
                <w:color w:val="auto"/>
              </w:rPr>
            </w:pPr>
          </w:p>
        </w:tc>
      </w:tr>
      <w:tr>
        <w:trPr>
          <w:trHeight w:val="243"/>
        </w:trPr>
        <w:tc>
          <w:tcPr>
            <w:tcW w:w="320" w:type="dxa"/>
            <w:vAlign w:val="bottom"/>
          </w:tcPr>
          <w:p>
            <w:pPr>
              <w:spacing w:after="0"/>
              <w:rPr>
                <w:sz w:val="21"/>
                <w:szCs w:val="21"/>
                <w:color w:val="auto"/>
              </w:rPr>
            </w:pPr>
          </w:p>
        </w:tc>
        <w:tc>
          <w:tcPr>
            <w:tcW w:w="7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2"/>
        </w:trPr>
        <w:tc>
          <w:tcPr>
            <w:tcW w:w="320" w:type="dxa"/>
            <w:vAlign w:val="bottom"/>
          </w:tcPr>
          <w:p>
            <w:pPr>
              <w:spacing w:after="0"/>
              <w:rPr>
                <w:sz w:val="17"/>
                <w:szCs w:val="17"/>
                <w:color w:val="auto"/>
              </w:rPr>
            </w:pPr>
          </w:p>
        </w:tc>
        <w:tc>
          <w:tcPr>
            <w:tcW w:w="7740" w:type="dxa"/>
            <w:vAlign w:val="bottom"/>
            <w:shd w:val="clear" w:color="auto" w:fill="E2EEF6"/>
          </w:tcPr>
          <w:p>
            <w:pPr>
              <w:spacing w:after="0" w:line="201" w:lineRule="exact"/>
              <w:rPr>
                <w:sz w:val="20"/>
                <w:szCs w:val="20"/>
                <w:color w:val="auto"/>
              </w:rPr>
            </w:pPr>
            <w:r>
              <w:rPr>
                <w:rFonts w:ascii="Arial" w:cs="Arial" w:eastAsia="Arial" w:hAnsi="Arial"/>
                <w:sz w:val="18"/>
                <w:szCs w:val="18"/>
                <w:color w:val="auto"/>
                <w:w w:val="94"/>
              </w:rPr>
              <w:t>Borrowings under our 26,300 Euro term loan expiring on May 1, 2008, bearing interest at a floating rate</w:t>
            </w:r>
          </w:p>
        </w:tc>
        <w:tc>
          <w:tcPr>
            <w:tcW w:w="280" w:type="dxa"/>
            <w:vAlign w:val="bottom"/>
            <w:shd w:val="clear" w:color="auto" w:fill="E2EEF6"/>
          </w:tcPr>
          <w:p>
            <w:pPr>
              <w:spacing w:after="0"/>
              <w:rPr>
                <w:sz w:val="17"/>
                <w:szCs w:val="17"/>
                <w:color w:val="auto"/>
              </w:rPr>
            </w:pPr>
          </w:p>
        </w:tc>
        <w:tc>
          <w:tcPr>
            <w:tcW w:w="1000" w:type="dxa"/>
            <w:vAlign w:val="bottom"/>
            <w:shd w:val="clear" w:color="auto" w:fill="E2EEF6"/>
          </w:tcPr>
          <w:p>
            <w:pPr>
              <w:spacing w:after="0"/>
              <w:rPr>
                <w:sz w:val="17"/>
                <w:szCs w:val="17"/>
                <w:color w:val="auto"/>
              </w:rPr>
            </w:pPr>
          </w:p>
        </w:tc>
        <w:tc>
          <w:tcPr>
            <w:tcW w:w="120" w:type="dxa"/>
            <w:vAlign w:val="bottom"/>
            <w:shd w:val="clear" w:color="auto" w:fill="E2EEF6"/>
          </w:tcPr>
          <w:p>
            <w:pPr>
              <w:spacing w:after="0"/>
              <w:rPr>
                <w:sz w:val="17"/>
                <w:szCs w:val="17"/>
                <w:color w:val="auto"/>
              </w:rPr>
            </w:pPr>
          </w:p>
        </w:tc>
        <w:tc>
          <w:tcPr>
            <w:tcW w:w="100" w:type="dxa"/>
            <w:vAlign w:val="bottom"/>
            <w:shd w:val="clear" w:color="auto" w:fill="E2EEF6"/>
          </w:tcPr>
          <w:p>
            <w:pPr>
              <w:spacing w:after="0"/>
              <w:rPr>
                <w:sz w:val="17"/>
                <w:szCs w:val="17"/>
                <w:color w:val="auto"/>
              </w:rPr>
            </w:pPr>
          </w:p>
        </w:tc>
        <w:tc>
          <w:tcPr>
            <w:tcW w:w="280" w:type="dxa"/>
            <w:vAlign w:val="bottom"/>
            <w:shd w:val="clear" w:color="auto" w:fill="E2EEF6"/>
          </w:tcPr>
          <w:p>
            <w:pPr>
              <w:spacing w:after="0"/>
              <w:rPr>
                <w:sz w:val="17"/>
                <w:szCs w:val="17"/>
                <w:color w:val="auto"/>
              </w:rPr>
            </w:pPr>
          </w:p>
        </w:tc>
        <w:tc>
          <w:tcPr>
            <w:tcW w:w="980" w:type="dxa"/>
            <w:vAlign w:val="bottom"/>
            <w:shd w:val="clear" w:color="auto" w:fill="E2EEF6"/>
          </w:tcPr>
          <w:p>
            <w:pPr>
              <w:spacing w:after="0"/>
              <w:rPr>
                <w:sz w:val="17"/>
                <w:szCs w:val="17"/>
                <w:color w:val="auto"/>
              </w:rPr>
            </w:pPr>
          </w:p>
        </w:tc>
        <w:tc>
          <w:tcPr>
            <w:tcW w:w="100" w:type="dxa"/>
            <w:vAlign w:val="bottom"/>
            <w:shd w:val="clear" w:color="auto" w:fill="E2EEF6"/>
          </w:tcPr>
          <w:p>
            <w:pPr>
              <w:spacing w:after="0"/>
              <w:rPr>
                <w:sz w:val="17"/>
                <w:szCs w:val="17"/>
                <w:color w:val="auto"/>
              </w:rPr>
            </w:pPr>
          </w:p>
        </w:tc>
      </w:tr>
      <w:tr>
        <w:trPr>
          <w:trHeight w:val="216"/>
        </w:trPr>
        <w:tc>
          <w:tcPr>
            <w:tcW w:w="320" w:type="dxa"/>
            <w:vAlign w:val="bottom"/>
          </w:tcPr>
          <w:p>
            <w:pPr>
              <w:spacing w:after="0"/>
              <w:rPr>
                <w:sz w:val="18"/>
                <w:szCs w:val="18"/>
                <w:color w:val="auto"/>
              </w:rPr>
            </w:pPr>
          </w:p>
        </w:tc>
        <w:tc>
          <w:tcPr>
            <w:tcW w:w="7740" w:type="dxa"/>
            <w:vAlign w:val="bottom"/>
            <w:shd w:val="clear" w:color="auto" w:fill="E2EEF6"/>
          </w:tcPr>
          <w:p>
            <w:pPr>
              <w:ind w:left="320"/>
              <w:spacing w:after="0"/>
              <w:rPr>
                <w:sz w:val="20"/>
                <w:szCs w:val="20"/>
                <w:color w:val="auto"/>
              </w:rPr>
            </w:pPr>
            <w:r>
              <w:rPr>
                <w:rFonts w:ascii="Arial" w:cs="Arial" w:eastAsia="Arial" w:hAnsi="Arial"/>
                <w:sz w:val="18"/>
                <w:szCs w:val="18"/>
                <w:color w:val="auto"/>
              </w:rPr>
              <w:t>equal to Euro LIBOR (2.49% at December 31, 2005) plus an applicable margin of 1.25 to 2.0</w:t>
            </w:r>
          </w:p>
        </w:tc>
        <w:tc>
          <w:tcPr>
            <w:tcW w:w="280" w:type="dxa"/>
            <w:vAlign w:val="bottom"/>
            <w:shd w:val="clear" w:color="auto" w:fill="E2EEF6"/>
          </w:tcPr>
          <w:p>
            <w:pPr>
              <w:spacing w:after="0"/>
              <w:rPr>
                <w:sz w:val="18"/>
                <w:szCs w:val="18"/>
                <w:color w:val="auto"/>
              </w:rPr>
            </w:pPr>
          </w:p>
        </w:tc>
        <w:tc>
          <w:tcPr>
            <w:tcW w:w="1000" w:type="dxa"/>
            <w:vAlign w:val="bottom"/>
            <w:shd w:val="clear" w:color="auto" w:fill="E2EEF6"/>
          </w:tcPr>
          <w:p>
            <w:pPr>
              <w:spacing w:after="0"/>
              <w:rPr>
                <w:sz w:val="18"/>
                <w:szCs w:val="18"/>
                <w:color w:val="auto"/>
              </w:rPr>
            </w:pPr>
          </w:p>
        </w:tc>
        <w:tc>
          <w:tcPr>
            <w:tcW w:w="120" w:type="dxa"/>
            <w:vAlign w:val="bottom"/>
            <w:shd w:val="clear" w:color="auto" w:fill="E2EEF6"/>
          </w:tcPr>
          <w:p>
            <w:pPr>
              <w:spacing w:after="0"/>
              <w:rPr>
                <w:sz w:val="18"/>
                <w:szCs w:val="18"/>
                <w:color w:val="auto"/>
              </w:rPr>
            </w:pPr>
          </w:p>
        </w:tc>
        <w:tc>
          <w:tcPr>
            <w:tcW w:w="100" w:type="dxa"/>
            <w:vAlign w:val="bottom"/>
            <w:shd w:val="clear" w:color="auto" w:fill="E2EEF6"/>
          </w:tcPr>
          <w:p>
            <w:pPr>
              <w:spacing w:after="0"/>
              <w:rPr>
                <w:sz w:val="18"/>
                <w:szCs w:val="18"/>
                <w:color w:val="auto"/>
              </w:rPr>
            </w:pPr>
          </w:p>
        </w:tc>
        <w:tc>
          <w:tcPr>
            <w:tcW w:w="280" w:type="dxa"/>
            <w:vAlign w:val="bottom"/>
            <w:shd w:val="clear" w:color="auto" w:fill="E2EEF6"/>
          </w:tcPr>
          <w:p>
            <w:pPr>
              <w:spacing w:after="0"/>
              <w:rPr>
                <w:sz w:val="18"/>
                <w:szCs w:val="18"/>
                <w:color w:val="auto"/>
              </w:rPr>
            </w:pPr>
          </w:p>
        </w:tc>
        <w:tc>
          <w:tcPr>
            <w:tcW w:w="980" w:type="dxa"/>
            <w:vAlign w:val="bottom"/>
            <w:shd w:val="clear" w:color="auto" w:fill="E2EEF6"/>
          </w:tcPr>
          <w:p>
            <w:pPr>
              <w:spacing w:after="0"/>
              <w:rPr>
                <w:sz w:val="18"/>
                <w:szCs w:val="18"/>
                <w:color w:val="auto"/>
              </w:rPr>
            </w:pPr>
          </w:p>
        </w:tc>
        <w:tc>
          <w:tcPr>
            <w:tcW w:w="100" w:type="dxa"/>
            <w:vAlign w:val="bottom"/>
            <w:shd w:val="clear" w:color="auto" w:fill="E2EEF6"/>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7740" w:type="dxa"/>
            <w:vAlign w:val="bottom"/>
            <w:shd w:val="clear" w:color="auto" w:fill="E2EEF6"/>
          </w:tcPr>
          <w:p>
            <w:pPr>
              <w:ind w:left="320"/>
              <w:spacing w:after="0"/>
              <w:rPr>
                <w:sz w:val="20"/>
                <w:szCs w:val="20"/>
                <w:color w:val="auto"/>
              </w:rPr>
            </w:pPr>
            <w:r>
              <w:rPr>
                <w:rFonts w:ascii="Arial" w:cs="Arial" w:eastAsia="Arial" w:hAnsi="Arial"/>
                <w:sz w:val="18"/>
                <w:szCs w:val="18"/>
                <w:color w:val="auto"/>
              </w:rPr>
              <w:t>payable in quarterly installments of Euro 1,314 beginning July 1, 2003 through April 1, 2008</w:t>
            </w:r>
          </w:p>
        </w:tc>
        <w:tc>
          <w:tcPr>
            <w:tcW w:w="280" w:type="dxa"/>
            <w:vAlign w:val="bottom"/>
            <w:shd w:val="clear" w:color="auto" w:fill="E2EEF6"/>
          </w:tcPr>
          <w:p>
            <w:pPr>
              <w:spacing w:after="0"/>
              <w:rPr>
                <w:sz w:val="20"/>
                <w:szCs w:val="20"/>
                <w:color w:val="auto"/>
              </w:rPr>
            </w:pPr>
          </w:p>
        </w:tc>
        <w:tc>
          <w:tcPr>
            <w:tcW w:w="11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4,668</w:t>
            </w:r>
          </w:p>
        </w:tc>
        <w:tc>
          <w:tcPr>
            <w:tcW w:w="100" w:type="dxa"/>
            <w:vAlign w:val="bottom"/>
            <w:shd w:val="clear" w:color="auto" w:fill="E2EEF6"/>
          </w:tcPr>
          <w:p>
            <w:pPr>
              <w:spacing w:after="0"/>
              <w:rPr>
                <w:sz w:val="20"/>
                <w:szCs w:val="20"/>
                <w:color w:val="auto"/>
              </w:rPr>
            </w:pPr>
          </w:p>
        </w:tc>
        <w:tc>
          <w:tcPr>
            <w:tcW w:w="280" w:type="dxa"/>
            <w:vAlign w:val="bottom"/>
            <w:shd w:val="clear" w:color="auto" w:fill="E2EEF6"/>
          </w:tcPr>
          <w:p>
            <w:pPr>
              <w:spacing w:after="0"/>
              <w:rPr>
                <w:sz w:val="20"/>
                <w:szCs w:val="20"/>
                <w:color w:val="auto"/>
              </w:rPr>
            </w:pPr>
          </w:p>
        </w:tc>
        <w:tc>
          <w:tcPr>
            <w:tcW w:w="10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23,270</w:t>
            </w:r>
          </w:p>
        </w:tc>
      </w:tr>
      <w:tr>
        <w:trPr>
          <w:trHeight w:val="243"/>
        </w:trPr>
        <w:tc>
          <w:tcPr>
            <w:tcW w:w="320" w:type="dxa"/>
            <w:vAlign w:val="bottom"/>
          </w:tcPr>
          <w:p>
            <w:pPr>
              <w:spacing w:after="0"/>
              <w:rPr>
                <w:sz w:val="21"/>
                <w:szCs w:val="21"/>
                <w:color w:val="auto"/>
              </w:rPr>
            </w:pPr>
          </w:p>
        </w:tc>
        <w:tc>
          <w:tcPr>
            <w:tcW w:w="7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2"/>
        </w:trPr>
        <w:tc>
          <w:tcPr>
            <w:tcW w:w="320" w:type="dxa"/>
            <w:vAlign w:val="bottom"/>
          </w:tcPr>
          <w:p>
            <w:pPr>
              <w:spacing w:after="0"/>
              <w:rPr>
                <w:sz w:val="17"/>
                <w:szCs w:val="17"/>
                <w:color w:val="auto"/>
              </w:rPr>
            </w:pPr>
          </w:p>
        </w:tc>
        <w:tc>
          <w:tcPr>
            <w:tcW w:w="7740" w:type="dxa"/>
            <w:vAlign w:val="bottom"/>
            <w:shd w:val="clear" w:color="auto" w:fill="E2EEF6"/>
          </w:tcPr>
          <w:p>
            <w:pPr>
              <w:spacing w:after="0" w:line="201" w:lineRule="exact"/>
              <w:rPr>
                <w:sz w:val="20"/>
                <w:szCs w:val="20"/>
                <w:color w:val="auto"/>
              </w:rPr>
            </w:pPr>
            <w:r>
              <w:rPr>
                <w:rFonts w:ascii="Arial" w:cs="Arial" w:eastAsia="Arial" w:hAnsi="Arial"/>
                <w:sz w:val="18"/>
                <w:szCs w:val="18"/>
                <w:color w:val="auto"/>
                <w:w w:val="92"/>
              </w:rPr>
              <w:t>Borrowings under our $40,000 aggregate principal amount of senior notes bearing interest at a fixed rate</w:t>
            </w:r>
          </w:p>
        </w:tc>
        <w:tc>
          <w:tcPr>
            <w:tcW w:w="280" w:type="dxa"/>
            <w:vAlign w:val="bottom"/>
            <w:shd w:val="clear" w:color="auto" w:fill="E2EEF6"/>
          </w:tcPr>
          <w:p>
            <w:pPr>
              <w:spacing w:after="0"/>
              <w:rPr>
                <w:sz w:val="17"/>
                <w:szCs w:val="17"/>
                <w:color w:val="auto"/>
              </w:rPr>
            </w:pPr>
          </w:p>
        </w:tc>
        <w:tc>
          <w:tcPr>
            <w:tcW w:w="1000" w:type="dxa"/>
            <w:vAlign w:val="bottom"/>
            <w:shd w:val="clear" w:color="auto" w:fill="E2EEF6"/>
          </w:tcPr>
          <w:p>
            <w:pPr>
              <w:spacing w:after="0"/>
              <w:rPr>
                <w:sz w:val="17"/>
                <w:szCs w:val="17"/>
                <w:color w:val="auto"/>
              </w:rPr>
            </w:pPr>
          </w:p>
        </w:tc>
        <w:tc>
          <w:tcPr>
            <w:tcW w:w="120" w:type="dxa"/>
            <w:vAlign w:val="bottom"/>
            <w:shd w:val="clear" w:color="auto" w:fill="E2EEF6"/>
          </w:tcPr>
          <w:p>
            <w:pPr>
              <w:spacing w:after="0"/>
              <w:rPr>
                <w:sz w:val="17"/>
                <w:szCs w:val="17"/>
                <w:color w:val="auto"/>
              </w:rPr>
            </w:pPr>
          </w:p>
        </w:tc>
        <w:tc>
          <w:tcPr>
            <w:tcW w:w="100" w:type="dxa"/>
            <w:vAlign w:val="bottom"/>
            <w:shd w:val="clear" w:color="auto" w:fill="E2EEF6"/>
          </w:tcPr>
          <w:p>
            <w:pPr>
              <w:spacing w:after="0"/>
              <w:rPr>
                <w:sz w:val="17"/>
                <w:szCs w:val="17"/>
                <w:color w:val="auto"/>
              </w:rPr>
            </w:pPr>
          </w:p>
        </w:tc>
        <w:tc>
          <w:tcPr>
            <w:tcW w:w="280" w:type="dxa"/>
            <w:vAlign w:val="bottom"/>
            <w:shd w:val="clear" w:color="auto" w:fill="E2EEF6"/>
          </w:tcPr>
          <w:p>
            <w:pPr>
              <w:spacing w:after="0"/>
              <w:rPr>
                <w:sz w:val="17"/>
                <w:szCs w:val="17"/>
                <w:color w:val="auto"/>
              </w:rPr>
            </w:pPr>
          </w:p>
        </w:tc>
        <w:tc>
          <w:tcPr>
            <w:tcW w:w="980" w:type="dxa"/>
            <w:vAlign w:val="bottom"/>
            <w:shd w:val="clear" w:color="auto" w:fill="E2EEF6"/>
          </w:tcPr>
          <w:p>
            <w:pPr>
              <w:spacing w:after="0"/>
              <w:rPr>
                <w:sz w:val="17"/>
                <w:szCs w:val="17"/>
                <w:color w:val="auto"/>
              </w:rPr>
            </w:pPr>
          </w:p>
        </w:tc>
        <w:tc>
          <w:tcPr>
            <w:tcW w:w="100" w:type="dxa"/>
            <w:vAlign w:val="bottom"/>
            <w:shd w:val="clear" w:color="auto" w:fill="E2EEF6"/>
          </w:tcPr>
          <w:p>
            <w:pPr>
              <w:spacing w:after="0"/>
              <w:rPr>
                <w:sz w:val="17"/>
                <w:szCs w:val="17"/>
                <w:color w:val="auto"/>
              </w:rPr>
            </w:pPr>
          </w:p>
        </w:tc>
      </w:tr>
      <w:tr>
        <w:trPr>
          <w:trHeight w:val="216"/>
        </w:trPr>
        <w:tc>
          <w:tcPr>
            <w:tcW w:w="320" w:type="dxa"/>
            <w:vAlign w:val="bottom"/>
          </w:tcPr>
          <w:p>
            <w:pPr>
              <w:spacing w:after="0"/>
              <w:rPr>
                <w:sz w:val="18"/>
                <w:szCs w:val="18"/>
                <w:color w:val="auto"/>
              </w:rPr>
            </w:pPr>
          </w:p>
        </w:tc>
        <w:tc>
          <w:tcPr>
            <w:tcW w:w="7740" w:type="dxa"/>
            <w:vAlign w:val="bottom"/>
            <w:shd w:val="clear" w:color="auto" w:fill="E2EEF6"/>
          </w:tcPr>
          <w:p>
            <w:pPr>
              <w:ind w:left="320"/>
              <w:spacing w:after="0"/>
              <w:rPr>
                <w:sz w:val="20"/>
                <w:szCs w:val="20"/>
                <w:color w:val="auto"/>
              </w:rPr>
            </w:pPr>
            <w:r>
              <w:rPr>
                <w:rFonts w:ascii="Arial" w:cs="Arial" w:eastAsia="Arial" w:hAnsi="Arial"/>
                <w:sz w:val="18"/>
                <w:szCs w:val="18"/>
                <w:color w:val="auto"/>
              </w:rPr>
              <w:t>of 4.89% maturing on April 26, 2014. Annual principal payments of $5,714 begin on April 26,</w:t>
            </w:r>
          </w:p>
        </w:tc>
        <w:tc>
          <w:tcPr>
            <w:tcW w:w="280" w:type="dxa"/>
            <w:vAlign w:val="bottom"/>
            <w:shd w:val="clear" w:color="auto" w:fill="E2EEF6"/>
          </w:tcPr>
          <w:p>
            <w:pPr>
              <w:spacing w:after="0"/>
              <w:rPr>
                <w:sz w:val="18"/>
                <w:szCs w:val="18"/>
                <w:color w:val="auto"/>
              </w:rPr>
            </w:pPr>
          </w:p>
        </w:tc>
        <w:tc>
          <w:tcPr>
            <w:tcW w:w="1000" w:type="dxa"/>
            <w:vAlign w:val="bottom"/>
            <w:shd w:val="clear" w:color="auto" w:fill="E2EEF6"/>
          </w:tcPr>
          <w:p>
            <w:pPr>
              <w:spacing w:after="0"/>
              <w:rPr>
                <w:sz w:val="18"/>
                <w:szCs w:val="18"/>
                <w:color w:val="auto"/>
              </w:rPr>
            </w:pPr>
          </w:p>
        </w:tc>
        <w:tc>
          <w:tcPr>
            <w:tcW w:w="120" w:type="dxa"/>
            <w:vAlign w:val="bottom"/>
            <w:shd w:val="clear" w:color="auto" w:fill="E2EEF6"/>
          </w:tcPr>
          <w:p>
            <w:pPr>
              <w:spacing w:after="0"/>
              <w:rPr>
                <w:sz w:val="18"/>
                <w:szCs w:val="18"/>
                <w:color w:val="auto"/>
              </w:rPr>
            </w:pPr>
          </w:p>
        </w:tc>
        <w:tc>
          <w:tcPr>
            <w:tcW w:w="100" w:type="dxa"/>
            <w:vAlign w:val="bottom"/>
            <w:shd w:val="clear" w:color="auto" w:fill="E2EEF6"/>
          </w:tcPr>
          <w:p>
            <w:pPr>
              <w:spacing w:after="0"/>
              <w:rPr>
                <w:sz w:val="18"/>
                <w:szCs w:val="18"/>
                <w:color w:val="auto"/>
              </w:rPr>
            </w:pPr>
          </w:p>
        </w:tc>
        <w:tc>
          <w:tcPr>
            <w:tcW w:w="280" w:type="dxa"/>
            <w:vAlign w:val="bottom"/>
            <w:shd w:val="clear" w:color="auto" w:fill="E2EEF6"/>
          </w:tcPr>
          <w:p>
            <w:pPr>
              <w:spacing w:after="0"/>
              <w:rPr>
                <w:sz w:val="18"/>
                <w:szCs w:val="18"/>
                <w:color w:val="auto"/>
              </w:rPr>
            </w:pPr>
          </w:p>
        </w:tc>
        <w:tc>
          <w:tcPr>
            <w:tcW w:w="980" w:type="dxa"/>
            <w:vAlign w:val="bottom"/>
            <w:shd w:val="clear" w:color="auto" w:fill="E2EEF6"/>
          </w:tcPr>
          <w:p>
            <w:pPr>
              <w:spacing w:after="0"/>
              <w:rPr>
                <w:sz w:val="18"/>
                <w:szCs w:val="18"/>
                <w:color w:val="auto"/>
              </w:rPr>
            </w:pPr>
          </w:p>
        </w:tc>
        <w:tc>
          <w:tcPr>
            <w:tcW w:w="100" w:type="dxa"/>
            <w:vAlign w:val="bottom"/>
            <w:shd w:val="clear" w:color="auto" w:fill="E2EEF6"/>
          </w:tcPr>
          <w:p>
            <w:pPr>
              <w:spacing w:after="0"/>
              <w:rPr>
                <w:sz w:val="18"/>
                <w:szCs w:val="18"/>
                <w:color w:val="auto"/>
              </w:rPr>
            </w:pPr>
          </w:p>
        </w:tc>
      </w:tr>
      <w:tr>
        <w:trPr>
          <w:trHeight w:val="257"/>
        </w:trPr>
        <w:tc>
          <w:tcPr>
            <w:tcW w:w="320" w:type="dxa"/>
            <w:vAlign w:val="bottom"/>
          </w:tcPr>
          <w:p>
            <w:pPr>
              <w:spacing w:after="0"/>
              <w:rPr>
                <w:sz w:val="22"/>
                <w:szCs w:val="22"/>
                <w:color w:val="auto"/>
              </w:rPr>
            </w:pPr>
          </w:p>
        </w:tc>
        <w:tc>
          <w:tcPr>
            <w:tcW w:w="7740" w:type="dxa"/>
            <w:vAlign w:val="bottom"/>
            <w:shd w:val="clear" w:color="auto" w:fill="E2EEF6"/>
          </w:tcPr>
          <w:p>
            <w:pPr>
              <w:ind w:left="320"/>
              <w:spacing w:after="0"/>
              <w:rPr>
                <w:sz w:val="20"/>
                <w:szCs w:val="20"/>
                <w:color w:val="auto"/>
              </w:rPr>
            </w:pPr>
            <w:r>
              <w:rPr>
                <w:rFonts w:ascii="Arial" w:cs="Arial" w:eastAsia="Arial" w:hAnsi="Arial"/>
                <w:sz w:val="18"/>
                <w:szCs w:val="18"/>
                <w:color w:val="auto"/>
              </w:rPr>
              <w:t>2008 and extend through the date of maturity.</w:t>
            </w:r>
          </w:p>
        </w:tc>
        <w:tc>
          <w:tcPr>
            <w:tcW w:w="280" w:type="dxa"/>
            <w:vAlign w:val="bottom"/>
            <w:shd w:val="clear" w:color="auto" w:fill="E2EEF6"/>
          </w:tcPr>
          <w:p>
            <w:pPr>
              <w:spacing w:after="0"/>
              <w:rPr>
                <w:sz w:val="22"/>
                <w:szCs w:val="22"/>
                <w:color w:val="auto"/>
              </w:rPr>
            </w:pPr>
          </w:p>
        </w:tc>
        <w:tc>
          <w:tcPr>
            <w:tcW w:w="11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E2EEF6"/>
          </w:tcPr>
          <w:p>
            <w:pPr>
              <w:spacing w:after="0"/>
              <w:rPr>
                <w:sz w:val="22"/>
                <w:szCs w:val="22"/>
                <w:color w:val="auto"/>
              </w:rPr>
            </w:pPr>
          </w:p>
        </w:tc>
        <w:tc>
          <w:tcPr>
            <w:tcW w:w="280" w:type="dxa"/>
            <w:vAlign w:val="bottom"/>
            <w:shd w:val="clear" w:color="auto" w:fill="E2EEF6"/>
          </w:tcPr>
          <w:p>
            <w:pPr>
              <w:spacing w:after="0"/>
              <w:rPr>
                <w:sz w:val="22"/>
                <w:szCs w:val="22"/>
                <w:color w:val="auto"/>
              </w:rPr>
            </w:pPr>
          </w:p>
        </w:tc>
        <w:tc>
          <w:tcPr>
            <w:tcW w:w="10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40,000</w:t>
            </w:r>
          </w:p>
        </w:tc>
      </w:tr>
      <w:tr>
        <w:trPr>
          <w:trHeight w:val="237"/>
        </w:trPr>
        <w:tc>
          <w:tcPr>
            <w:tcW w:w="320" w:type="dxa"/>
            <w:vAlign w:val="bottom"/>
          </w:tcPr>
          <w:p>
            <w:pPr>
              <w:spacing w:after="0"/>
              <w:rPr>
                <w:sz w:val="20"/>
                <w:szCs w:val="20"/>
                <w:color w:val="auto"/>
              </w:rPr>
            </w:pPr>
          </w:p>
        </w:tc>
        <w:tc>
          <w:tcPr>
            <w:tcW w:w="7740" w:type="dxa"/>
            <w:vAlign w:val="bottom"/>
            <w:tcBorders>
              <w:top w:val="single" w:sz="8" w:color="E2EEF6"/>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Borders>
              <w:top w:val="single" w:sz="8" w:color="E2EEF6"/>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r>
      <w:tr>
        <w:trPr>
          <w:trHeight w:val="243"/>
        </w:trPr>
        <w:tc>
          <w:tcPr>
            <w:tcW w:w="320" w:type="dxa"/>
            <w:vAlign w:val="bottom"/>
          </w:tcPr>
          <w:p>
            <w:pPr>
              <w:spacing w:after="0"/>
              <w:rPr>
                <w:sz w:val="21"/>
                <w:szCs w:val="21"/>
                <w:color w:val="auto"/>
              </w:rPr>
            </w:pPr>
          </w:p>
        </w:tc>
        <w:tc>
          <w:tcPr>
            <w:tcW w:w="7740" w:type="dxa"/>
            <w:vAlign w:val="bottom"/>
            <w:shd w:val="clear" w:color="auto" w:fill="E2EEF6"/>
          </w:tcPr>
          <w:p>
            <w:pPr>
              <w:ind w:left="480"/>
              <w:spacing w:after="0"/>
              <w:rPr>
                <w:sz w:val="20"/>
                <w:szCs w:val="20"/>
                <w:color w:val="auto"/>
              </w:rPr>
            </w:pPr>
            <w:r>
              <w:rPr>
                <w:rFonts w:ascii="Arial" w:cs="Arial" w:eastAsia="Arial" w:hAnsi="Arial"/>
                <w:sz w:val="18"/>
                <w:szCs w:val="18"/>
                <w:color w:val="auto"/>
              </w:rPr>
              <w:t>Total long-term debt</w:t>
            </w:r>
          </w:p>
        </w:tc>
        <w:tc>
          <w:tcPr>
            <w:tcW w:w="280" w:type="dxa"/>
            <w:vAlign w:val="bottom"/>
            <w:shd w:val="clear" w:color="auto" w:fill="E2EEF6"/>
          </w:tcPr>
          <w:p>
            <w:pPr>
              <w:spacing w:after="0"/>
              <w:rPr>
                <w:sz w:val="21"/>
                <w:szCs w:val="21"/>
                <w:color w:val="auto"/>
              </w:rPr>
            </w:pPr>
          </w:p>
        </w:tc>
        <w:tc>
          <w:tcPr>
            <w:tcW w:w="11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62,568</w:t>
            </w:r>
          </w:p>
        </w:tc>
        <w:tc>
          <w:tcPr>
            <w:tcW w:w="100" w:type="dxa"/>
            <w:vAlign w:val="bottom"/>
            <w:shd w:val="clear" w:color="auto" w:fill="E2EEF6"/>
          </w:tcPr>
          <w:p>
            <w:pPr>
              <w:spacing w:after="0"/>
              <w:rPr>
                <w:sz w:val="21"/>
                <w:szCs w:val="21"/>
                <w:color w:val="auto"/>
              </w:rPr>
            </w:pPr>
          </w:p>
        </w:tc>
        <w:tc>
          <w:tcPr>
            <w:tcW w:w="280" w:type="dxa"/>
            <w:vAlign w:val="bottom"/>
            <w:shd w:val="clear" w:color="auto" w:fill="E2EEF6"/>
          </w:tcPr>
          <w:p>
            <w:pPr>
              <w:spacing w:after="0"/>
              <w:rPr>
                <w:sz w:val="21"/>
                <w:szCs w:val="21"/>
                <w:color w:val="auto"/>
              </w:rPr>
            </w:pPr>
          </w:p>
        </w:tc>
        <w:tc>
          <w:tcPr>
            <w:tcW w:w="10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74,670</w:t>
            </w:r>
          </w:p>
        </w:tc>
      </w:tr>
      <w:tr>
        <w:trPr>
          <w:trHeight w:val="243"/>
        </w:trPr>
        <w:tc>
          <w:tcPr>
            <w:tcW w:w="320" w:type="dxa"/>
            <w:vAlign w:val="bottom"/>
          </w:tcPr>
          <w:p>
            <w:pPr>
              <w:spacing w:after="0"/>
              <w:rPr>
                <w:sz w:val="21"/>
                <w:szCs w:val="21"/>
                <w:color w:val="auto"/>
              </w:rPr>
            </w:pPr>
          </w:p>
        </w:tc>
        <w:tc>
          <w:tcPr>
            <w:tcW w:w="7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spacing w:after="0"/>
              <w:rPr>
                <w:sz w:val="21"/>
                <w:szCs w:val="21"/>
                <w:color w:val="auto"/>
              </w:rPr>
            </w:pPr>
          </w:p>
        </w:tc>
      </w:tr>
      <w:tr>
        <w:trPr>
          <w:trHeight w:val="243"/>
        </w:trPr>
        <w:tc>
          <w:tcPr>
            <w:tcW w:w="320" w:type="dxa"/>
            <w:vAlign w:val="bottom"/>
          </w:tcPr>
          <w:p>
            <w:pPr>
              <w:spacing w:after="0"/>
              <w:rPr>
                <w:sz w:val="21"/>
                <w:szCs w:val="21"/>
                <w:color w:val="auto"/>
              </w:rPr>
            </w:pPr>
          </w:p>
        </w:tc>
        <w:tc>
          <w:tcPr>
            <w:tcW w:w="7740" w:type="dxa"/>
            <w:vAlign w:val="bottom"/>
            <w:shd w:val="clear" w:color="auto" w:fill="E2EEF6"/>
          </w:tcPr>
          <w:p>
            <w:pPr>
              <w:ind w:left="480"/>
              <w:spacing w:after="0"/>
              <w:rPr>
                <w:sz w:val="20"/>
                <w:szCs w:val="20"/>
                <w:color w:val="auto"/>
              </w:rPr>
            </w:pPr>
            <w:r>
              <w:rPr>
                <w:rFonts w:ascii="Arial" w:cs="Arial" w:eastAsia="Arial" w:hAnsi="Arial"/>
                <w:sz w:val="18"/>
                <w:szCs w:val="18"/>
                <w:color w:val="auto"/>
              </w:rPr>
              <w:t>Less current maturities of long-term debt</w:t>
            </w:r>
          </w:p>
        </w:tc>
        <w:tc>
          <w:tcPr>
            <w:tcW w:w="280" w:type="dxa"/>
            <w:vAlign w:val="bottom"/>
            <w:shd w:val="clear" w:color="auto" w:fill="E2EEF6"/>
          </w:tcPr>
          <w:p>
            <w:pPr>
              <w:spacing w:after="0"/>
              <w:rPr>
                <w:sz w:val="21"/>
                <w:szCs w:val="21"/>
                <w:color w:val="auto"/>
              </w:rPr>
            </w:pPr>
          </w:p>
        </w:tc>
        <w:tc>
          <w:tcPr>
            <w:tcW w:w="11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4,668</w:t>
            </w:r>
          </w:p>
        </w:tc>
        <w:tc>
          <w:tcPr>
            <w:tcW w:w="100" w:type="dxa"/>
            <w:vAlign w:val="bottom"/>
            <w:shd w:val="clear" w:color="auto" w:fill="E2EEF6"/>
          </w:tcPr>
          <w:p>
            <w:pPr>
              <w:spacing w:after="0"/>
              <w:rPr>
                <w:sz w:val="21"/>
                <w:szCs w:val="21"/>
                <w:color w:val="auto"/>
              </w:rPr>
            </w:pPr>
          </w:p>
        </w:tc>
        <w:tc>
          <w:tcPr>
            <w:tcW w:w="280" w:type="dxa"/>
            <w:vAlign w:val="bottom"/>
            <w:shd w:val="clear" w:color="auto" w:fill="E2EEF6"/>
          </w:tcPr>
          <w:p>
            <w:pPr>
              <w:spacing w:after="0"/>
              <w:rPr>
                <w:sz w:val="21"/>
                <w:szCs w:val="21"/>
                <w:color w:val="auto"/>
              </w:rPr>
            </w:pPr>
          </w:p>
        </w:tc>
        <w:tc>
          <w:tcPr>
            <w:tcW w:w="10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7,160</w:t>
            </w:r>
          </w:p>
        </w:tc>
      </w:tr>
      <w:tr>
        <w:trPr>
          <w:trHeight w:val="237"/>
        </w:trPr>
        <w:tc>
          <w:tcPr>
            <w:tcW w:w="320" w:type="dxa"/>
            <w:vAlign w:val="bottom"/>
          </w:tcPr>
          <w:p>
            <w:pPr>
              <w:spacing w:after="0"/>
              <w:rPr>
                <w:sz w:val="20"/>
                <w:szCs w:val="20"/>
                <w:color w:val="auto"/>
              </w:rPr>
            </w:pPr>
          </w:p>
        </w:tc>
        <w:tc>
          <w:tcPr>
            <w:tcW w:w="7740" w:type="dxa"/>
            <w:vAlign w:val="bottom"/>
            <w:tcBorders>
              <w:top w:val="single" w:sz="8" w:color="E2EEF6"/>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Borders>
              <w:top w:val="single" w:sz="8" w:color="E2EEF6"/>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r>
      <w:tr>
        <w:trPr>
          <w:trHeight w:val="263"/>
        </w:trPr>
        <w:tc>
          <w:tcPr>
            <w:tcW w:w="320" w:type="dxa"/>
            <w:vAlign w:val="bottom"/>
          </w:tcPr>
          <w:p>
            <w:pPr>
              <w:spacing w:after="0"/>
              <w:rPr>
                <w:sz w:val="22"/>
                <w:szCs w:val="22"/>
                <w:color w:val="auto"/>
              </w:rPr>
            </w:pPr>
          </w:p>
        </w:tc>
        <w:tc>
          <w:tcPr>
            <w:tcW w:w="7740" w:type="dxa"/>
            <w:vAlign w:val="bottom"/>
            <w:shd w:val="clear" w:color="auto" w:fill="E2EEF6"/>
          </w:tcPr>
          <w:p>
            <w:pPr>
              <w:ind w:left="480"/>
              <w:spacing w:after="0"/>
              <w:rPr>
                <w:sz w:val="20"/>
                <w:szCs w:val="20"/>
                <w:color w:val="auto"/>
              </w:rPr>
            </w:pPr>
            <w:r>
              <w:rPr>
                <w:rFonts w:ascii="Arial" w:cs="Arial" w:eastAsia="Arial" w:hAnsi="Arial"/>
                <w:sz w:val="18"/>
                <w:szCs w:val="18"/>
                <w:color w:val="auto"/>
              </w:rPr>
              <w:t>Long-term debt, excluding current maturities of long-term debt</w:t>
            </w:r>
          </w:p>
        </w:tc>
        <w:tc>
          <w:tcPr>
            <w:tcW w:w="280" w:type="dxa"/>
            <w:vAlign w:val="bottom"/>
            <w:shd w:val="clear" w:color="auto" w:fill="E2EEF6"/>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57,900</w:t>
            </w:r>
          </w:p>
        </w:tc>
        <w:tc>
          <w:tcPr>
            <w:tcW w:w="38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67,510</w:t>
            </w:r>
          </w:p>
        </w:tc>
      </w:tr>
      <w:tr>
        <w:trPr>
          <w:trHeight w:val="20"/>
        </w:trPr>
        <w:tc>
          <w:tcPr>
            <w:tcW w:w="320" w:type="dxa"/>
            <w:vAlign w:val="bottom"/>
          </w:tcPr>
          <w:p>
            <w:pPr>
              <w:spacing w:after="0" w:line="20" w:lineRule="exact"/>
              <w:rPr>
                <w:sz w:val="1"/>
                <w:szCs w:val="1"/>
                <w:color w:val="auto"/>
              </w:rPr>
            </w:pPr>
          </w:p>
        </w:tc>
        <w:tc>
          <w:tcPr>
            <w:tcW w:w="7740" w:type="dxa"/>
            <w:vAlign w:val="bottom"/>
            <w:tcBorders>
              <w:top w:val="single" w:sz="8" w:color="E2EEF6"/>
            </w:tcBorders>
            <w:shd w:val="clear" w:color="auto" w:fill="E2EEF6"/>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2EEF6"/>
            </w:tcBorders>
            <w:shd w:val="clear" w:color="auto" w:fill="E2EEF6"/>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r>
    </w:tbl>
    <w:p>
      <w:pPr>
        <w:spacing w:after="0" w:line="256" w:lineRule="exact"/>
        <w:rPr>
          <w:sz w:val="20"/>
          <w:szCs w:val="20"/>
          <w:color w:val="auto"/>
        </w:rPr>
      </w:pPr>
    </w:p>
    <w:p>
      <w:pPr>
        <w:jc w:val="both"/>
        <w:ind w:left="400"/>
        <w:spacing w:after="0" w:line="267" w:lineRule="auto"/>
        <w:rPr>
          <w:sz w:val="20"/>
          <w:szCs w:val="20"/>
          <w:color w:val="auto"/>
        </w:rPr>
      </w:pPr>
      <w:r>
        <w:rPr>
          <w:rFonts w:ascii="Arial" w:cs="Arial" w:eastAsia="Arial" w:hAnsi="Arial"/>
          <w:sz w:val="17"/>
          <w:szCs w:val="17"/>
          <w:color w:val="auto"/>
        </w:rPr>
        <w:t>On May 1, 2003 in connection with the purchase of SKF’s Veenendaal component manufacturing operations and SKF’s 23 percent interest in NN Europe, we entered into a $90,000 syndicated credit facility with AmSouth Bank (“AmSouth”) as the administrative agent and SunTrust Bank as the Euro loan agent for the lenders under which we borrowed $60,400 and 26,300 Euros ($29,600) (the “$90 million credit facility”). This financing arrangement replaced our prior credit facility with AmSouth and Hypo Vereinsbank Luxembourg, S.A. The credit facility as originally entered into consisted of a $30,000 revolver (“$30.0 million revolver”) originally expiring on March 15, 2005 and subsequently extended to March 31, 2006 and extended again to June 30, 2007 bearing interest at a floating rate equal to LIBOR (4.54% at December 31, 2005) plus an applicable margin of 1.25% to 2.0%, a $30,400 term loan expiring on May 1, 2008, bearing interest at a floating rate equal to LIBOR (4.54% at December 31, 2005) plus an applicable margin of 1.25% to 2.0% and a 26,300 Euro ($29,600) term loan (“26.3 million Euro term loan”) expiring on May 1, 2008 which bears interest at a floating rate equal to Euro LIBOR (2.49% at December 31, 2005) plus an applicable margin of 1.25% to 2.0%. All amounts owed under the $30,400 term loan were paid during the second quarter of 2004 with the proceeds from our $40,000 notes and we no longer have borrowing capacity under that portion of the $90,000 credit facility. The terms of the $30,000 revolver and the 26,300 Euro term loan remain unchanged except for the maturity date of the $30,000 revolver has been extended to June 30, 2007. The loan agreement contains customary financial and non-financial covenants. Such covenants specify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the Company’s business. The credit agreement is un-collateralized except for the pledge of stock of certain foreign subsidiaries. The net equity of the NN Europe Segment subsidiaries that have pledged their stock as collateral was $83,386 and this equity was included in the 2005 Consolidated Financial Statements. In connection with this refinancing, capitalized costs in the amount of $455 associated with the paid-off credit facilities were written-off during 2003 and are included as a component of other (income) expense. We incurred $1.1 million of debt issue costs as a result of entering into this credit facility which are being amortized over the life of the credit facility. The unamortized balance at December 31, 2005 was $0.4 million. We were in compliance with all such covenants as of December 31, 2005.</w:t>
      </w:r>
    </w:p>
    <w:p>
      <w:pPr>
        <w:spacing w:after="0" w:line="237"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70485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40" w:top="391" w:right="239" w:bottom="1440" w:gutter="0" w:footer="0" w:header="0"/>
        </w:sectPr>
      </w:pPr>
    </w:p>
    <w:bookmarkStart w:id="47" w:name="page48"/>
    <w:bookmarkEnd w:id="47"/>
    <w:p>
      <w:pPr>
        <w:jc w:val="center"/>
        <w:ind w:left="98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December 31, 2005, 2004 and 2003</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35" w:lineRule="exact"/>
        <w:rPr>
          <w:sz w:val="20"/>
          <w:szCs w:val="20"/>
          <w:color w:val="auto"/>
        </w:rPr>
      </w:pPr>
    </w:p>
    <w:p>
      <w:pPr>
        <w:jc w:val="both"/>
        <w:ind w:left="6"/>
        <w:spacing w:after="0" w:line="264" w:lineRule="auto"/>
        <w:rPr>
          <w:sz w:val="20"/>
          <w:szCs w:val="20"/>
          <w:color w:val="auto"/>
        </w:rPr>
      </w:pPr>
      <w:r>
        <w:rPr>
          <w:rFonts w:ascii="Arial" w:cs="Arial" w:eastAsia="Arial" w:hAnsi="Arial"/>
          <w:sz w:val="18"/>
          <w:szCs w:val="18"/>
          <w:color w:val="auto"/>
        </w:rPr>
        <w:t>In connection with the acquisition of KLF’s operations in Slovakia, on September 23, 2003 we entered into a $2,000 short-term unsecured promissory note (the “$2.0 million note”) with AmSouth as the lender. This note bore interest at the prime rate. All amounts owed under this note were paid during the second quarter of 2004 with the proceeds from our $40 million notes.</w:t>
      </w:r>
    </w:p>
    <w:p>
      <w:pPr>
        <w:spacing w:after="0" w:line="235" w:lineRule="exact"/>
        <w:rPr>
          <w:sz w:val="20"/>
          <w:szCs w:val="20"/>
          <w:color w:val="auto"/>
        </w:rPr>
      </w:pPr>
    </w:p>
    <w:p>
      <w:pPr>
        <w:jc w:val="both"/>
        <w:ind w:left="6"/>
        <w:spacing w:after="0" w:line="264" w:lineRule="auto"/>
        <w:rPr>
          <w:sz w:val="20"/>
          <w:szCs w:val="20"/>
          <w:color w:val="auto"/>
        </w:rPr>
      </w:pPr>
      <w:r>
        <w:rPr>
          <w:rFonts w:ascii="Arial" w:cs="Arial" w:eastAsia="Arial" w:hAnsi="Arial"/>
          <w:sz w:val="18"/>
          <w:szCs w:val="18"/>
          <w:color w:val="auto"/>
        </w:rPr>
        <w:t>On March 23, 2004 we entered into a $2,700 short-term promissory note (the “$2.7 million note”) with AmSouth Bank (“AmSouth”) as the lender. This note bore interest at the prime rate. This agreement was entered into to fund short term operating capital requirements. All amounts owed under this note were paid during the second quarter of 2004 with the proceeds from our $40 million notes.</w:t>
      </w:r>
    </w:p>
    <w:p>
      <w:pPr>
        <w:spacing w:after="0" w:line="235" w:lineRule="exact"/>
        <w:rPr>
          <w:sz w:val="20"/>
          <w:szCs w:val="20"/>
          <w:color w:val="auto"/>
        </w:rPr>
      </w:pPr>
    </w:p>
    <w:p>
      <w:pPr>
        <w:jc w:val="both"/>
        <w:ind w:left="6"/>
        <w:spacing w:after="0" w:line="283" w:lineRule="auto"/>
        <w:rPr>
          <w:sz w:val="20"/>
          <w:szCs w:val="20"/>
          <w:color w:val="auto"/>
        </w:rPr>
      </w:pPr>
      <w:r>
        <w:rPr>
          <w:rFonts w:ascii="Arial" w:cs="Arial" w:eastAsia="Arial" w:hAnsi="Arial"/>
          <w:sz w:val="16"/>
          <w:szCs w:val="16"/>
          <w:color w:val="auto"/>
        </w:rPr>
        <w:t>On April 26, 2004 we issued $40,000 aggregate principal amount of senior notes in a private placement (the “$40 million notes”). These notes bear interest at a fixed rate of 4.89% and mature on April 26, 2014. Interest is paid semi-annually. As of December 31, 2005, $40.0 million remained outstanding. Annual principal payments of approximately $5,714 begin on April 26, 2008 and extend through the date of maturity. Proceeds from this credit facility were used to repay our existing US dollar denominated term loan, $24,000, and repay a portion, of our borrowings under our US dollar denominated revolving credit facility, $13,000, which are both components of our $90 million credit facility, and to repay borrowings remaining under our $2.0 million note and our $2.7 million note of $2,000 and $1,000, respectively. The agreement contains customary financial and non-financial covenants. Such covenants specify that we must maintain certain liquidity measures. The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No event of default had occurred as of December 31, 2005. The notes are not collateralized except for the pledge of stock of certain foreign subsidiaries. The net equity of the</w:t>
      </w:r>
    </w:p>
    <w:p>
      <w:pPr>
        <w:spacing w:after="0" w:line="6" w:lineRule="exact"/>
        <w:rPr>
          <w:sz w:val="20"/>
          <w:szCs w:val="20"/>
          <w:color w:val="auto"/>
        </w:rPr>
      </w:pPr>
    </w:p>
    <w:p>
      <w:pPr>
        <w:jc w:val="both"/>
        <w:ind w:left="6" w:hanging="6"/>
        <w:spacing w:after="0" w:line="292" w:lineRule="auto"/>
        <w:tabs>
          <w:tab w:leader="none" w:pos="338" w:val="left"/>
        </w:tabs>
        <w:numPr>
          <w:ilvl w:val="0"/>
          <w:numId w:val="12"/>
        </w:numPr>
        <w:rPr>
          <w:rFonts w:ascii="Arial" w:cs="Arial" w:eastAsia="Arial" w:hAnsi="Arial"/>
          <w:sz w:val="16"/>
          <w:szCs w:val="16"/>
          <w:color w:val="auto"/>
        </w:rPr>
      </w:pPr>
      <w:r>
        <w:rPr>
          <w:rFonts w:ascii="Arial" w:cs="Arial" w:eastAsia="Arial" w:hAnsi="Arial"/>
          <w:sz w:val="16"/>
          <w:szCs w:val="16"/>
          <w:color w:val="auto"/>
        </w:rPr>
        <w:t>Europe Segment subsidiaries that have pledged their stock as collateral was $83,386 and this equity was included in the 2005 Consolidated Financial Statements. We incurred $845 of related costs as a result of issuing these notes which have been recorded as a component of other non-current assets and are being amortized over the term of the notes. The unamortized balance at December 31, 2005 was $0.7 million. In connection with the issuance of the $40 million notes, capitalized costs in the amount of approximately $260 associated with structuring of the $90 million credit facility were written off during the three months ended June 30, 2004 and are included as a component of other (income) expense.</w:t>
      </w:r>
    </w:p>
    <w:p>
      <w:pPr>
        <w:spacing w:after="0" w:line="217"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8680" w:type="dxa"/>
            <w:vAlign w:val="bottom"/>
            <w:gridSpan w:val="3"/>
          </w:tcPr>
          <w:p>
            <w:pPr>
              <w:spacing w:after="0"/>
              <w:rPr>
                <w:sz w:val="20"/>
                <w:szCs w:val="20"/>
                <w:color w:val="auto"/>
              </w:rPr>
            </w:pPr>
            <w:r>
              <w:rPr>
                <w:rFonts w:ascii="Arial" w:cs="Arial" w:eastAsia="Arial" w:hAnsi="Arial"/>
                <w:sz w:val="18"/>
                <w:szCs w:val="18"/>
                <w:color w:val="auto"/>
                <w:w w:val="91"/>
              </w:rPr>
              <w:t>The aggregate maturities of long-term debt for each of the five years subsequent to December 31, 2005 are as follows: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13"/>
        </w:trPr>
        <w:tc>
          <w:tcPr>
            <w:tcW w:w="6740" w:type="dxa"/>
            <w:vAlign w:val="bottom"/>
            <w:gridSpan w:val="2"/>
          </w:tcPr>
          <w:p>
            <w:pPr>
              <w:ind w:left="940"/>
              <w:spacing w:after="0"/>
              <w:rPr>
                <w:sz w:val="20"/>
                <w:szCs w:val="20"/>
                <w:color w:val="auto"/>
              </w:rPr>
            </w:pPr>
            <w:r>
              <w:rPr>
                <w:rFonts w:ascii="Arial" w:cs="Arial" w:eastAsia="Arial" w:hAnsi="Arial"/>
                <w:sz w:val="18"/>
                <w:szCs w:val="18"/>
                <w:color w:val="auto"/>
              </w:rPr>
              <w:t>2006</w:t>
            </w:r>
          </w:p>
        </w:tc>
        <w:tc>
          <w:tcPr>
            <w:tcW w:w="19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$ 4,668</w:t>
            </w:r>
          </w:p>
        </w:tc>
        <w:tc>
          <w:tcPr>
            <w:tcW w:w="20" w:type="dxa"/>
            <w:vAlign w:val="bottom"/>
          </w:tcPr>
          <w:p>
            <w:pPr>
              <w:spacing w:after="0"/>
              <w:rPr>
                <w:sz w:val="24"/>
                <w:szCs w:val="24"/>
                <w:color w:val="auto"/>
              </w:rPr>
            </w:pPr>
          </w:p>
        </w:tc>
      </w:tr>
      <w:tr>
        <w:trPr>
          <w:trHeight w:val="243"/>
        </w:trPr>
        <w:tc>
          <w:tcPr>
            <w:tcW w:w="940" w:type="dxa"/>
            <w:vAlign w:val="bottom"/>
          </w:tcPr>
          <w:p>
            <w:pPr>
              <w:spacing w:after="0"/>
              <w:rPr>
                <w:sz w:val="21"/>
                <w:szCs w:val="21"/>
                <w:color w:val="auto"/>
              </w:rPr>
            </w:pPr>
          </w:p>
        </w:tc>
        <w:tc>
          <w:tcPr>
            <w:tcW w:w="5800" w:type="dxa"/>
            <w:vAlign w:val="bottom"/>
            <w:shd w:val="clear" w:color="auto" w:fill="E2EEF6"/>
          </w:tcPr>
          <w:p>
            <w:pPr>
              <w:spacing w:after="0"/>
              <w:rPr>
                <w:sz w:val="20"/>
                <w:szCs w:val="20"/>
                <w:color w:val="auto"/>
              </w:rPr>
            </w:pPr>
            <w:r>
              <w:rPr>
                <w:rFonts w:ascii="Arial" w:cs="Arial" w:eastAsia="Arial" w:hAnsi="Arial"/>
                <w:sz w:val="18"/>
                <w:szCs w:val="18"/>
                <w:color w:val="auto"/>
              </w:rPr>
              <w:t>2007</w:t>
            </w:r>
          </w:p>
        </w:tc>
        <w:tc>
          <w:tcPr>
            <w:tcW w:w="1940" w:type="dxa"/>
            <w:vAlign w:val="bottom"/>
            <w:shd w:val="clear" w:color="auto" w:fill="E2EEF6"/>
          </w:tcPr>
          <w:p>
            <w:pPr>
              <w:spacing w:after="0"/>
              <w:rPr>
                <w:sz w:val="21"/>
                <w:szCs w:val="21"/>
                <w:color w:val="auto"/>
              </w:rPr>
            </w:pPr>
          </w:p>
        </w:tc>
        <w:tc>
          <w:tcPr>
            <w:tcW w:w="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17,900</w:t>
            </w:r>
          </w:p>
        </w:tc>
        <w:tc>
          <w:tcPr>
            <w:tcW w:w="20" w:type="dxa"/>
            <w:vAlign w:val="bottom"/>
          </w:tcPr>
          <w:p>
            <w:pPr>
              <w:spacing w:after="0"/>
              <w:rPr>
                <w:sz w:val="21"/>
                <w:szCs w:val="21"/>
                <w:color w:val="auto"/>
              </w:rPr>
            </w:pPr>
          </w:p>
        </w:tc>
      </w:tr>
      <w:tr>
        <w:trPr>
          <w:trHeight w:val="243"/>
        </w:trPr>
        <w:tc>
          <w:tcPr>
            <w:tcW w:w="6740" w:type="dxa"/>
            <w:vAlign w:val="bottom"/>
            <w:gridSpan w:val="2"/>
          </w:tcPr>
          <w:p>
            <w:pPr>
              <w:ind w:left="940"/>
              <w:spacing w:after="0"/>
              <w:rPr>
                <w:sz w:val="20"/>
                <w:szCs w:val="20"/>
                <w:color w:val="auto"/>
              </w:rPr>
            </w:pPr>
            <w:r>
              <w:rPr>
                <w:rFonts w:ascii="Arial" w:cs="Arial" w:eastAsia="Arial" w:hAnsi="Arial"/>
                <w:sz w:val="18"/>
                <w:szCs w:val="18"/>
                <w:color w:val="auto"/>
              </w:rPr>
              <w:t>2008</w:t>
            </w:r>
          </w:p>
        </w:tc>
        <w:tc>
          <w:tcPr>
            <w:tcW w:w="19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5,714</w:t>
            </w:r>
          </w:p>
        </w:tc>
        <w:tc>
          <w:tcPr>
            <w:tcW w:w="20" w:type="dxa"/>
            <w:vAlign w:val="bottom"/>
          </w:tcPr>
          <w:p>
            <w:pPr>
              <w:spacing w:after="0"/>
              <w:rPr>
                <w:sz w:val="21"/>
                <w:szCs w:val="21"/>
                <w:color w:val="auto"/>
              </w:rPr>
            </w:pPr>
          </w:p>
        </w:tc>
      </w:tr>
      <w:tr>
        <w:trPr>
          <w:trHeight w:val="243"/>
        </w:trPr>
        <w:tc>
          <w:tcPr>
            <w:tcW w:w="940" w:type="dxa"/>
            <w:vAlign w:val="bottom"/>
          </w:tcPr>
          <w:p>
            <w:pPr>
              <w:spacing w:after="0"/>
              <w:rPr>
                <w:sz w:val="21"/>
                <w:szCs w:val="21"/>
                <w:color w:val="auto"/>
              </w:rPr>
            </w:pPr>
          </w:p>
        </w:tc>
        <w:tc>
          <w:tcPr>
            <w:tcW w:w="5800" w:type="dxa"/>
            <w:vAlign w:val="bottom"/>
            <w:shd w:val="clear" w:color="auto" w:fill="E2EEF6"/>
          </w:tcPr>
          <w:p>
            <w:pPr>
              <w:spacing w:after="0"/>
              <w:rPr>
                <w:sz w:val="20"/>
                <w:szCs w:val="20"/>
                <w:color w:val="auto"/>
              </w:rPr>
            </w:pPr>
            <w:r>
              <w:rPr>
                <w:rFonts w:ascii="Arial" w:cs="Arial" w:eastAsia="Arial" w:hAnsi="Arial"/>
                <w:sz w:val="18"/>
                <w:szCs w:val="18"/>
                <w:color w:val="auto"/>
              </w:rPr>
              <w:t>2009</w:t>
            </w:r>
          </w:p>
        </w:tc>
        <w:tc>
          <w:tcPr>
            <w:tcW w:w="1940" w:type="dxa"/>
            <w:vAlign w:val="bottom"/>
            <w:shd w:val="clear" w:color="auto" w:fill="E2EEF6"/>
          </w:tcPr>
          <w:p>
            <w:pPr>
              <w:spacing w:after="0"/>
              <w:rPr>
                <w:sz w:val="21"/>
                <w:szCs w:val="21"/>
                <w:color w:val="auto"/>
              </w:rPr>
            </w:pPr>
          </w:p>
        </w:tc>
        <w:tc>
          <w:tcPr>
            <w:tcW w:w="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5,714</w:t>
            </w:r>
          </w:p>
        </w:tc>
        <w:tc>
          <w:tcPr>
            <w:tcW w:w="20" w:type="dxa"/>
            <w:vAlign w:val="bottom"/>
          </w:tcPr>
          <w:p>
            <w:pPr>
              <w:spacing w:after="0"/>
              <w:rPr>
                <w:sz w:val="21"/>
                <w:szCs w:val="21"/>
                <w:color w:val="auto"/>
              </w:rPr>
            </w:pPr>
          </w:p>
        </w:tc>
      </w:tr>
      <w:tr>
        <w:trPr>
          <w:trHeight w:val="243"/>
        </w:trPr>
        <w:tc>
          <w:tcPr>
            <w:tcW w:w="6740" w:type="dxa"/>
            <w:vAlign w:val="bottom"/>
            <w:gridSpan w:val="2"/>
          </w:tcPr>
          <w:p>
            <w:pPr>
              <w:ind w:left="940"/>
              <w:spacing w:after="0"/>
              <w:rPr>
                <w:sz w:val="20"/>
                <w:szCs w:val="20"/>
                <w:color w:val="auto"/>
              </w:rPr>
            </w:pPr>
            <w:r>
              <w:rPr>
                <w:rFonts w:ascii="Arial" w:cs="Arial" w:eastAsia="Arial" w:hAnsi="Arial"/>
                <w:sz w:val="18"/>
                <w:szCs w:val="18"/>
                <w:color w:val="auto"/>
              </w:rPr>
              <w:t>2010</w:t>
            </w:r>
          </w:p>
        </w:tc>
        <w:tc>
          <w:tcPr>
            <w:tcW w:w="19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5,714</w:t>
            </w:r>
          </w:p>
        </w:tc>
        <w:tc>
          <w:tcPr>
            <w:tcW w:w="20" w:type="dxa"/>
            <w:vAlign w:val="bottom"/>
          </w:tcPr>
          <w:p>
            <w:pPr>
              <w:spacing w:after="0"/>
              <w:rPr>
                <w:sz w:val="21"/>
                <w:szCs w:val="21"/>
                <w:color w:val="auto"/>
              </w:rPr>
            </w:pPr>
          </w:p>
        </w:tc>
      </w:tr>
      <w:tr>
        <w:trPr>
          <w:trHeight w:val="230"/>
        </w:trPr>
        <w:tc>
          <w:tcPr>
            <w:tcW w:w="940" w:type="dxa"/>
            <w:vAlign w:val="bottom"/>
          </w:tcPr>
          <w:p>
            <w:pPr>
              <w:spacing w:after="0"/>
              <w:rPr>
                <w:sz w:val="19"/>
                <w:szCs w:val="19"/>
                <w:color w:val="auto"/>
              </w:rPr>
            </w:pPr>
          </w:p>
        </w:tc>
        <w:tc>
          <w:tcPr>
            <w:tcW w:w="580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Thereafter</w:t>
            </w:r>
          </w:p>
        </w:tc>
        <w:tc>
          <w:tcPr>
            <w:tcW w:w="1940" w:type="dxa"/>
            <w:vAlign w:val="bottom"/>
            <w:tcBorders>
              <w:bottom w:val="single" w:sz="8" w:color="auto"/>
            </w:tcBorders>
            <w:shd w:val="clear" w:color="auto" w:fill="E2EEF6"/>
          </w:tcPr>
          <w:p>
            <w:pPr>
              <w:spacing w:after="0"/>
              <w:rPr>
                <w:sz w:val="19"/>
                <w:szCs w:val="19"/>
                <w:color w:val="auto"/>
              </w:rPr>
            </w:pPr>
          </w:p>
        </w:tc>
        <w:tc>
          <w:tcPr>
            <w:tcW w:w="8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22,858</w:t>
            </w:r>
          </w:p>
        </w:tc>
        <w:tc>
          <w:tcPr>
            <w:tcW w:w="20" w:type="dxa"/>
            <w:vAlign w:val="bottom"/>
          </w:tcPr>
          <w:p>
            <w:pPr>
              <w:spacing w:after="0"/>
              <w:rPr>
                <w:sz w:val="19"/>
                <w:szCs w:val="19"/>
                <w:color w:val="auto"/>
              </w:rPr>
            </w:pPr>
          </w:p>
        </w:tc>
      </w:tr>
      <w:tr>
        <w:trPr>
          <w:trHeight w:val="210"/>
        </w:trPr>
        <w:tc>
          <w:tcPr>
            <w:tcW w:w="94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0" w:type="dxa"/>
            <w:vAlign w:val="bottom"/>
          </w:tcPr>
          <w:p>
            <w:pPr>
              <w:jc w:val="right"/>
              <w:spacing w:after="0"/>
              <w:rPr>
                <w:sz w:val="20"/>
                <w:szCs w:val="20"/>
                <w:color w:val="auto"/>
              </w:rPr>
            </w:pPr>
            <w:r>
              <w:rPr>
                <w:rFonts w:ascii="Arial" w:cs="Arial" w:eastAsia="Arial" w:hAnsi="Arial"/>
                <w:sz w:val="18"/>
                <w:szCs w:val="18"/>
                <w:color w:val="auto"/>
              </w:rPr>
              <w:t>$ 62,568</w:t>
            </w: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left="6"/>
        <w:spacing w:after="0" w:line="271" w:lineRule="auto"/>
        <w:rPr>
          <w:sz w:val="20"/>
          <w:szCs w:val="20"/>
          <w:color w:val="auto"/>
        </w:rPr>
      </w:pPr>
      <w:r>
        <w:rPr>
          <w:rFonts w:ascii="Arial" w:cs="Arial" w:eastAsia="Arial" w:hAnsi="Arial"/>
          <w:sz w:val="17"/>
          <w:szCs w:val="17"/>
          <w:color w:val="auto"/>
        </w:rPr>
        <w:t>On June 1, 2004, our wholly owned subsidiary, NN Asia, entered into a twenty year lease agreement with Kunshan Tian Li Steel Structure Co. LTD for the lease of land and building (approximately 110,000 square feet) in the Kunshan Economic and Technology Development Zone, Jiangsu, The People’s Republic of China. The building was newly constructed and we began usage of the leased property October 1, 2005. The agreement satisfied the requirements of a capital lease at June 1, 2004 and we recorded the lease as a capital lease in our consolidated financial statements effective October 1, 2005. The fair value of the land and building are estimated to be approximately $408 and $1,509, respectively and undiscounted annual lease payments of approximately $224 (approximately $4,482 aggregate non-discounted lease payments over the twenty year term). The lease is cancelable after the fifth, ninth, and fourteenth years without payment or penalty by the Company. In addition, after the end of year five we can buy the land for its ascribed fair value and the building for actual cost less depreciation.</w:t>
      </w:r>
    </w:p>
    <w:p>
      <w:pPr>
        <w:spacing w:after="0" w:line="229" w:lineRule="exact"/>
        <w:rPr>
          <w:sz w:val="20"/>
          <w:szCs w:val="20"/>
          <w:color w:val="auto"/>
        </w:rPr>
      </w:pPr>
    </w:p>
    <w:p>
      <w:pPr>
        <w:jc w:val="center"/>
        <w:ind w:right="474"/>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70485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6"/>
          </w:cols>
          <w:pgMar w:left="734" w:top="391" w:right="239" w:bottom="1440" w:gutter="0" w:footer="0" w:header="0"/>
        </w:sectPr>
      </w:pPr>
    </w:p>
    <w:bookmarkStart w:id="48" w:name="page49"/>
    <w:bookmarkEnd w:id="48"/>
    <w:p>
      <w:pPr>
        <w:jc w:val="center"/>
        <w:ind w:left="50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December 31, 2005, 2004 and 2003</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6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Below are the minimum future lease payments under the capital lease together with the present value of the net minimum lease payments as of</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December 31, 2005:</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6600" w:type="dxa"/>
            <w:vAlign w:val="bottom"/>
          </w:tcPr>
          <w:p>
            <w:pPr>
              <w:ind w:left="3320"/>
              <w:spacing w:after="0"/>
              <w:rPr>
                <w:sz w:val="20"/>
                <w:szCs w:val="20"/>
                <w:color w:val="auto"/>
              </w:rPr>
            </w:pPr>
            <w:r>
              <w:rPr>
                <w:rFonts w:ascii="Arial" w:cs="Arial" w:eastAsia="Arial" w:hAnsi="Arial"/>
                <w:sz w:val="18"/>
                <w:szCs w:val="18"/>
                <w:b w:val="1"/>
                <w:bCs w:val="1"/>
                <w:color w:val="auto"/>
              </w:rPr>
              <w:t>Year ended December 31</w:t>
            </w:r>
          </w:p>
        </w:tc>
        <w:tc>
          <w:tcPr>
            <w:tcW w:w="19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6600" w:type="dxa"/>
            <w:vAlign w:val="bottom"/>
            <w:shd w:val="clear" w:color="auto" w:fill="E2EEF6"/>
          </w:tcPr>
          <w:p>
            <w:pPr>
              <w:spacing w:after="0"/>
              <w:rPr>
                <w:sz w:val="20"/>
                <w:szCs w:val="20"/>
                <w:color w:val="auto"/>
              </w:rPr>
            </w:pPr>
            <w:r>
              <w:rPr>
                <w:rFonts w:ascii="Arial" w:cs="Arial" w:eastAsia="Arial" w:hAnsi="Arial"/>
                <w:sz w:val="18"/>
                <w:szCs w:val="18"/>
                <w:color w:val="auto"/>
              </w:rPr>
              <w:t>2006</w:t>
            </w:r>
          </w:p>
        </w:tc>
        <w:tc>
          <w:tcPr>
            <w:tcW w:w="1940" w:type="dxa"/>
            <w:vAlign w:val="bottom"/>
            <w:shd w:val="clear" w:color="auto" w:fill="E2EEF6"/>
          </w:tcPr>
          <w:p>
            <w:pPr>
              <w:jc w:val="center"/>
              <w:ind w:left="410"/>
              <w:spacing w:after="0"/>
              <w:rPr>
                <w:sz w:val="20"/>
                <w:szCs w:val="20"/>
                <w:color w:val="auto"/>
              </w:rPr>
            </w:pPr>
            <w:r>
              <w:rPr>
                <w:rFonts w:ascii="Arial" w:cs="Arial" w:eastAsia="Arial" w:hAnsi="Arial"/>
                <w:sz w:val="18"/>
                <w:szCs w:val="18"/>
                <w:color w:val="auto"/>
                <w:w w:val="89"/>
              </w:rPr>
              <w:t>$224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2007</w:t>
            </w:r>
          </w:p>
        </w:tc>
        <w:tc>
          <w:tcPr>
            <w:tcW w:w="1940" w:type="dxa"/>
            <w:vAlign w:val="bottom"/>
          </w:tcPr>
          <w:p>
            <w:pPr>
              <w:jc w:val="center"/>
              <w:ind w:left="410"/>
              <w:spacing w:after="0"/>
              <w:rPr>
                <w:sz w:val="20"/>
                <w:szCs w:val="20"/>
                <w:color w:val="auto"/>
              </w:rPr>
            </w:pPr>
            <w:r>
              <w:rPr>
                <w:rFonts w:ascii="Arial" w:cs="Arial" w:eastAsia="Arial" w:hAnsi="Arial"/>
                <w:sz w:val="18"/>
                <w:szCs w:val="18"/>
                <w:color w:val="auto"/>
                <w:w w:val="93"/>
              </w:rPr>
              <w:t>224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600" w:type="dxa"/>
            <w:vAlign w:val="bottom"/>
            <w:shd w:val="clear" w:color="auto" w:fill="E2EEF6"/>
          </w:tcPr>
          <w:p>
            <w:pPr>
              <w:spacing w:after="0"/>
              <w:rPr>
                <w:sz w:val="20"/>
                <w:szCs w:val="20"/>
                <w:color w:val="auto"/>
              </w:rPr>
            </w:pPr>
            <w:r>
              <w:rPr>
                <w:rFonts w:ascii="Arial" w:cs="Arial" w:eastAsia="Arial" w:hAnsi="Arial"/>
                <w:sz w:val="18"/>
                <w:szCs w:val="18"/>
                <w:color w:val="auto"/>
              </w:rPr>
              <w:t>2008</w:t>
            </w:r>
          </w:p>
        </w:tc>
        <w:tc>
          <w:tcPr>
            <w:tcW w:w="1940" w:type="dxa"/>
            <w:vAlign w:val="bottom"/>
            <w:shd w:val="clear" w:color="auto" w:fill="E2EEF6"/>
          </w:tcPr>
          <w:p>
            <w:pPr>
              <w:jc w:val="center"/>
              <w:ind w:left="410"/>
              <w:spacing w:after="0"/>
              <w:rPr>
                <w:sz w:val="20"/>
                <w:szCs w:val="20"/>
                <w:color w:val="auto"/>
              </w:rPr>
            </w:pPr>
            <w:r>
              <w:rPr>
                <w:rFonts w:ascii="Arial" w:cs="Arial" w:eastAsia="Arial" w:hAnsi="Arial"/>
                <w:sz w:val="18"/>
                <w:szCs w:val="18"/>
                <w:color w:val="auto"/>
                <w:w w:val="93"/>
              </w:rPr>
              <w:t>224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2009</w:t>
            </w:r>
          </w:p>
        </w:tc>
        <w:tc>
          <w:tcPr>
            <w:tcW w:w="1940" w:type="dxa"/>
            <w:vAlign w:val="bottom"/>
          </w:tcPr>
          <w:p>
            <w:pPr>
              <w:jc w:val="center"/>
              <w:ind w:left="410"/>
              <w:spacing w:after="0"/>
              <w:rPr>
                <w:sz w:val="20"/>
                <w:szCs w:val="20"/>
                <w:color w:val="auto"/>
              </w:rPr>
            </w:pPr>
            <w:r>
              <w:rPr>
                <w:rFonts w:ascii="Arial" w:cs="Arial" w:eastAsia="Arial" w:hAnsi="Arial"/>
                <w:sz w:val="18"/>
                <w:szCs w:val="18"/>
                <w:color w:val="auto"/>
                <w:w w:val="93"/>
              </w:rPr>
              <w:t>224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600" w:type="dxa"/>
            <w:vAlign w:val="bottom"/>
            <w:shd w:val="clear" w:color="auto" w:fill="E2EEF6"/>
          </w:tcPr>
          <w:p>
            <w:pPr>
              <w:spacing w:after="0"/>
              <w:rPr>
                <w:sz w:val="20"/>
                <w:szCs w:val="20"/>
                <w:color w:val="auto"/>
              </w:rPr>
            </w:pPr>
            <w:r>
              <w:rPr>
                <w:rFonts w:ascii="Arial" w:cs="Arial" w:eastAsia="Arial" w:hAnsi="Arial"/>
                <w:sz w:val="18"/>
                <w:szCs w:val="18"/>
                <w:color w:val="auto"/>
              </w:rPr>
              <w:t>2010</w:t>
            </w:r>
          </w:p>
        </w:tc>
        <w:tc>
          <w:tcPr>
            <w:tcW w:w="1940" w:type="dxa"/>
            <w:vAlign w:val="bottom"/>
            <w:shd w:val="clear" w:color="auto" w:fill="E2EEF6"/>
          </w:tcPr>
          <w:p>
            <w:pPr>
              <w:jc w:val="center"/>
              <w:ind w:left="410"/>
              <w:spacing w:after="0"/>
              <w:rPr>
                <w:sz w:val="20"/>
                <w:szCs w:val="20"/>
                <w:color w:val="auto"/>
              </w:rPr>
            </w:pPr>
            <w:r>
              <w:rPr>
                <w:rFonts w:ascii="Arial" w:cs="Arial" w:eastAsia="Arial" w:hAnsi="Arial"/>
                <w:sz w:val="18"/>
                <w:szCs w:val="18"/>
                <w:color w:val="auto"/>
                <w:w w:val="93"/>
              </w:rPr>
              <w:t>224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Thereafter</w:t>
            </w:r>
          </w:p>
        </w:tc>
        <w:tc>
          <w:tcPr>
            <w:tcW w:w="194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88"/>
              </w:rPr>
              <w:t>3,305</w:t>
            </w:r>
          </w:p>
        </w:tc>
        <w:tc>
          <w:tcPr>
            <w:tcW w:w="1440" w:type="dxa"/>
            <w:vAlign w:val="bottom"/>
          </w:tcPr>
          <w:p>
            <w:pPr>
              <w:spacing w:after="0"/>
              <w:rPr>
                <w:sz w:val="18"/>
                <w:szCs w:val="18"/>
                <w:color w:val="auto"/>
              </w:rPr>
            </w:pPr>
          </w:p>
        </w:tc>
      </w:tr>
      <w:tr>
        <w:trPr>
          <w:trHeight w:val="210"/>
        </w:trPr>
        <w:tc>
          <w:tcPr>
            <w:tcW w:w="1440" w:type="dxa"/>
            <w:vAlign w:val="bottom"/>
          </w:tcPr>
          <w:p>
            <w:pPr>
              <w:spacing w:after="0"/>
              <w:rPr>
                <w:sz w:val="18"/>
                <w:szCs w:val="18"/>
                <w:color w:val="auto"/>
              </w:rPr>
            </w:pPr>
          </w:p>
        </w:tc>
        <w:tc>
          <w:tcPr>
            <w:tcW w:w="6600" w:type="dxa"/>
            <w:vAlign w:val="bottom"/>
            <w:shd w:val="clear" w:color="auto" w:fill="E2EEF6"/>
          </w:tcPr>
          <w:p>
            <w:pPr>
              <w:spacing w:after="0"/>
              <w:rPr>
                <w:sz w:val="20"/>
                <w:szCs w:val="20"/>
                <w:color w:val="auto"/>
              </w:rPr>
            </w:pPr>
            <w:r>
              <w:rPr>
                <w:rFonts w:ascii="Arial" w:cs="Arial" w:eastAsia="Arial" w:hAnsi="Arial"/>
                <w:sz w:val="18"/>
                <w:szCs w:val="18"/>
                <w:color w:val="auto"/>
              </w:rPr>
              <w:t>Total minimum lease payments</w:t>
            </w:r>
          </w:p>
        </w:tc>
        <w:tc>
          <w:tcPr>
            <w:tcW w:w="1940" w:type="dxa"/>
            <w:vAlign w:val="bottom"/>
            <w:shd w:val="clear" w:color="auto" w:fill="E2EEF6"/>
          </w:tcPr>
          <w:p>
            <w:pPr>
              <w:jc w:val="center"/>
              <w:ind w:left="410"/>
              <w:spacing w:after="0"/>
              <w:rPr>
                <w:sz w:val="20"/>
                <w:szCs w:val="20"/>
                <w:color w:val="auto"/>
              </w:rPr>
            </w:pPr>
            <w:r>
              <w:rPr>
                <w:rFonts w:ascii="Arial" w:cs="Arial" w:eastAsia="Arial" w:hAnsi="Arial"/>
                <w:sz w:val="18"/>
                <w:szCs w:val="18"/>
                <w:color w:val="auto"/>
                <w:w w:val="88"/>
              </w:rPr>
              <w:t>4,425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Less interest included in payments above</w:t>
            </w:r>
          </w:p>
        </w:tc>
        <w:tc>
          <w:tcPr>
            <w:tcW w:w="194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1"/>
              </w:rPr>
              <w:t>(2,516)</w:t>
            </w:r>
          </w:p>
        </w:tc>
        <w:tc>
          <w:tcPr>
            <w:tcW w:w="1440" w:type="dxa"/>
            <w:vAlign w:val="bottom"/>
          </w:tcPr>
          <w:p>
            <w:pPr>
              <w:spacing w:after="0"/>
              <w:rPr>
                <w:sz w:val="18"/>
                <w:szCs w:val="18"/>
                <w:color w:val="auto"/>
              </w:rPr>
            </w:pPr>
          </w:p>
        </w:tc>
      </w:tr>
      <w:tr>
        <w:trPr>
          <w:trHeight w:val="250"/>
        </w:trPr>
        <w:tc>
          <w:tcPr>
            <w:tcW w:w="1440" w:type="dxa"/>
            <w:vAlign w:val="bottom"/>
          </w:tcPr>
          <w:p>
            <w:pPr>
              <w:spacing w:after="0"/>
              <w:rPr>
                <w:sz w:val="21"/>
                <w:szCs w:val="21"/>
                <w:color w:val="auto"/>
              </w:rPr>
            </w:pPr>
          </w:p>
        </w:tc>
        <w:tc>
          <w:tcPr>
            <w:tcW w:w="660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Present value of minimum lease payments at 12/31/05</w:t>
            </w:r>
          </w:p>
        </w:tc>
        <w:tc>
          <w:tcPr>
            <w:tcW w:w="1940" w:type="dxa"/>
            <w:vAlign w:val="bottom"/>
            <w:tcBorders>
              <w:bottom w:val="single" w:sz="8" w:color="auto"/>
            </w:tcBorders>
            <w:shd w:val="clear" w:color="auto" w:fill="E2EEF6"/>
          </w:tcPr>
          <w:p>
            <w:pPr>
              <w:jc w:val="center"/>
              <w:ind w:left="410"/>
              <w:spacing w:after="0"/>
              <w:rPr>
                <w:sz w:val="20"/>
                <w:szCs w:val="20"/>
                <w:color w:val="auto"/>
              </w:rPr>
            </w:pPr>
            <w:r>
              <w:rPr>
                <w:rFonts w:ascii="Arial" w:cs="Arial" w:eastAsia="Arial" w:hAnsi="Arial"/>
                <w:sz w:val="18"/>
                <w:szCs w:val="18"/>
                <w:color w:val="auto"/>
                <w:w w:val="87"/>
              </w:rPr>
              <w:t>$1,909</w:t>
            </w:r>
          </w:p>
        </w:tc>
        <w:tc>
          <w:tcPr>
            <w:tcW w:w="1440" w:type="dxa"/>
            <w:vAlign w:val="bottom"/>
          </w:tcPr>
          <w:p>
            <w:pPr>
              <w:spacing w:after="0"/>
              <w:rPr>
                <w:sz w:val="21"/>
                <w:szCs w:val="21"/>
                <w:color w:val="auto"/>
              </w:rPr>
            </w:pPr>
          </w:p>
        </w:tc>
      </w:tr>
      <w:tr>
        <w:trPr>
          <w:trHeight w:val="414"/>
        </w:trPr>
        <w:tc>
          <w:tcPr>
            <w:tcW w:w="1440" w:type="dxa"/>
            <w:vAlign w:val="bottom"/>
          </w:tcPr>
          <w:p>
            <w:pPr>
              <w:spacing w:after="0"/>
              <w:rPr>
                <w:sz w:val="24"/>
                <w:szCs w:val="24"/>
                <w:color w:val="auto"/>
              </w:rPr>
            </w:pPr>
          </w:p>
        </w:tc>
        <w:tc>
          <w:tcPr>
            <w:tcW w:w="6600" w:type="dxa"/>
            <w:vAlign w:val="bottom"/>
          </w:tcPr>
          <w:p>
            <w:pPr>
              <w:ind w:left="4200"/>
              <w:spacing w:after="0"/>
              <w:rPr>
                <w:sz w:val="20"/>
                <w:szCs w:val="20"/>
                <w:color w:val="auto"/>
              </w:rPr>
            </w:pPr>
            <w:r>
              <w:rPr>
                <w:rFonts w:ascii="Arial" w:cs="Arial" w:eastAsia="Arial" w:hAnsi="Arial"/>
                <w:sz w:val="14"/>
                <w:szCs w:val="14"/>
                <w:color w:val="auto"/>
              </w:rPr>
              <w:t>49</w:t>
            </w:r>
          </w:p>
        </w:tc>
        <w:tc>
          <w:tcPr>
            <w:tcW w:w="19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03"/>
        </w:trPr>
        <w:tc>
          <w:tcPr>
            <w:tcW w:w="1440" w:type="dxa"/>
            <w:vAlign w:val="bottom"/>
            <w:tcBorders>
              <w:bottom w:val="single" w:sz="8" w:color="808080"/>
            </w:tcBorders>
          </w:tcPr>
          <w:p>
            <w:pPr>
              <w:spacing w:after="0"/>
              <w:rPr>
                <w:sz w:val="8"/>
                <w:szCs w:val="8"/>
                <w:color w:val="auto"/>
              </w:rPr>
            </w:pPr>
          </w:p>
        </w:tc>
        <w:tc>
          <w:tcPr>
            <w:tcW w:w="6600" w:type="dxa"/>
            <w:vAlign w:val="bottom"/>
            <w:tcBorders>
              <w:bottom w:val="single" w:sz="8" w:color="808080"/>
            </w:tcBorders>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9" w:name="page50"/>
    <w:bookmarkEnd w:id="49"/>
    <w:p>
      <w:pPr>
        <w:jc w:val="center"/>
        <w:ind w:left="50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December 31, 2005, 2004 and 2003</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6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9) Employee Benefit Plans</w:t>
      </w:r>
    </w:p>
    <w:p>
      <w:pPr>
        <w:spacing w:after="0" w:line="283" w:lineRule="exact"/>
        <w:rPr>
          <w:sz w:val="20"/>
          <w:szCs w:val="20"/>
          <w:color w:val="auto"/>
        </w:rPr>
      </w:pPr>
    </w:p>
    <w:p>
      <w:pPr>
        <w:jc w:val="both"/>
        <w:ind w:left="500"/>
        <w:spacing w:after="0" w:line="270" w:lineRule="auto"/>
        <w:rPr>
          <w:sz w:val="20"/>
          <w:szCs w:val="20"/>
          <w:color w:val="auto"/>
        </w:rPr>
      </w:pPr>
      <w:r>
        <w:rPr>
          <w:rFonts w:ascii="Arial" w:cs="Arial" w:eastAsia="Arial" w:hAnsi="Arial"/>
          <w:sz w:val="17"/>
          <w:szCs w:val="17"/>
          <w:color w:val="auto"/>
        </w:rPr>
        <w:t>We have one defined contribution 401(k) profit sharing plan covering substantially all employees of the Domestic Ball and Roller and Plastic and Rubber Components Segments. All employees are eligible for the plan on the first day of the month following their employment date. A participant may elect to contribute between 1% and 60% of compensation to the plan, subject to Internal Revenue Service (“IRS”) dollar limitations. Participants age 50 and older may defer an additional amount up to the applicable IRS Catch Up Provision Limit. The Company provides a matching contribution which is determined on an individual, participating company basis. Currently, the matching contribution for employees of the Domestic Ball and Roller Segment is the higher of five hundred dollars or 50% of the first 4% of compensation. The matching contribution for IMC employees is 25% of the first 6% of compensation and the matching contribution for Delta employees is 50% of the first 6% of compensation. All participants are immediately vested at 100%. Contributions by the Company for the Domestic Ball and Roller Segment were $139, $134, and $126 in 2005, 2004 and 2003, respectively. Contributions by the Company for the Plastic and Rubber Components Segment were $128, $133 and $126 in 2005, 2004 and 2003, respectively.</w:t>
      </w:r>
    </w:p>
    <w:p>
      <w:pPr>
        <w:spacing w:after="0" w:line="232" w:lineRule="exact"/>
        <w:rPr>
          <w:sz w:val="20"/>
          <w:szCs w:val="20"/>
          <w:color w:val="auto"/>
        </w:rPr>
      </w:pPr>
    </w:p>
    <w:p>
      <w:pPr>
        <w:ind w:left="500" w:right="60"/>
        <w:spacing w:after="0" w:line="277" w:lineRule="auto"/>
        <w:rPr>
          <w:sz w:val="20"/>
          <w:szCs w:val="20"/>
          <w:color w:val="auto"/>
        </w:rPr>
      </w:pPr>
      <w:r>
        <w:rPr>
          <w:rFonts w:ascii="Arial" w:cs="Arial" w:eastAsia="Arial" w:hAnsi="Arial"/>
          <w:sz w:val="18"/>
          <w:szCs w:val="18"/>
          <w:color w:val="auto"/>
        </w:rPr>
        <w:t>The Company has a defined benefit pension plan covering its Eltmann, Germany facility employees (a NN Europe division). The benefits are based on the expected years of service including the rate of compensation increase. The plan is unfunded.</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Following is a summary of the funded status and changes in the projected benefit obligation for the defined benefit pension plan during 2005 and 2004:</w:t>
      </w:r>
    </w:p>
    <w:p>
      <w:pPr>
        <w:spacing w:after="0" w:line="298" w:lineRule="exact"/>
        <w:rPr>
          <w:sz w:val="20"/>
          <w:szCs w:val="20"/>
          <w:color w:val="auto"/>
        </w:rPr>
      </w:pPr>
    </w:p>
    <w:p>
      <w:pPr>
        <w:ind w:left="7740"/>
        <w:spacing w:after="0"/>
        <w:tabs>
          <w:tab w:leader="none" w:pos="9220" w:val="left"/>
        </w:tabs>
        <w:rPr>
          <w:sz w:val="20"/>
          <w:szCs w:val="20"/>
          <w:color w:val="auto"/>
        </w:rPr>
      </w:pPr>
      <w:r>
        <w:rPr>
          <w:rFonts w:ascii="Arial" w:cs="Arial" w:eastAsia="Arial" w:hAnsi="Arial"/>
          <w:sz w:val="18"/>
          <w:szCs w:val="18"/>
          <w:b w:val="1"/>
          <w:bCs w:val="1"/>
          <w:color w:val="auto"/>
        </w:rPr>
        <w:t>2005</w:t>
      </w:r>
      <w:r>
        <w:rPr>
          <w:sz w:val="20"/>
          <w:szCs w:val="20"/>
          <w:color w:val="auto"/>
        </w:rPr>
        <w:tab/>
      </w:r>
      <w:r>
        <w:rPr>
          <w:rFonts w:ascii="Arial" w:cs="Arial" w:eastAsia="Arial" w:hAnsi="Arial"/>
          <w:sz w:val="18"/>
          <w:szCs w:val="18"/>
          <w:b w:val="1"/>
          <w:bCs w:val="1"/>
          <w:color w:val="auto"/>
        </w:rPr>
        <w:t>2004</w:t>
      </w:r>
    </w:p>
    <w:p>
      <w:pPr>
        <w:spacing w:after="0" w:line="36"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Reconciliation of Funded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-127635</wp:posOffset>
            </wp:positionV>
            <wp:extent cx="5428615"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28615" cy="16319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p>
      <w:pPr>
        <w:spacing w:after="0" w:line="4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Benefit obligation</w:t>
      </w:r>
    </w:p>
    <w:p>
      <w:pPr>
        <w:spacing w:after="0" w:line="3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Fair value of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-121920</wp:posOffset>
            </wp:positionV>
            <wp:extent cx="5428615"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28615" cy="154305"/>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Funded status</w:t>
      </w:r>
    </w:p>
    <w:p>
      <w:pPr>
        <w:spacing w:after="0" w:line="3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Unrecognized net actuarial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-121920</wp:posOffset>
            </wp:positionV>
            <wp:extent cx="5428615"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28615" cy="154305"/>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Additional minimum liability</w:t>
      </w:r>
    </w:p>
    <w:p>
      <w:pPr>
        <w:spacing w:after="0" w:line="36"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Net amount recognized under Accrued Pension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-107315</wp:posOffset>
            </wp:positionV>
            <wp:extent cx="5428615"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28615" cy="16319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Change in projected benefit obligation:</w:t>
      </w:r>
    </w:p>
    <w:p>
      <w:pPr>
        <w:spacing w:after="0" w:line="4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Benefit obligation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-121920</wp:posOffset>
            </wp:positionV>
            <wp:extent cx="5428615"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28615" cy="154305"/>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Service cost</w:t>
      </w:r>
    </w:p>
    <w:p>
      <w:pPr>
        <w:spacing w:after="0" w:line="3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Interest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-121920</wp:posOffset>
            </wp:positionV>
            <wp:extent cx="5428615"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28615" cy="154305"/>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Benefits paid</w:t>
      </w:r>
    </w:p>
    <w:p>
      <w:pPr>
        <w:spacing w:after="0" w:line="3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Effect of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-121920</wp:posOffset>
            </wp:positionV>
            <wp:extent cx="5428615"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28615" cy="154305"/>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Actuarial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31750</wp:posOffset>
            </wp:positionV>
            <wp:extent cx="5428615"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28615" cy="154305"/>
                    </a:xfrm>
                    <a:prstGeom prst="rect">
                      <a:avLst/>
                    </a:prstGeom>
                    <a:noFill/>
                  </pic:spPr>
                </pic:pic>
              </a:graphicData>
            </a:graphic>
          </wp:anchor>
        </w:drawing>
      </w:r>
    </w:p>
    <w:p>
      <w:pPr>
        <w:spacing w:after="0" w:line="25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Benefit obligation at December 31</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380" w:hanging="129"/>
        <w:spacing w:after="0"/>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(5,616)</w:t>
      </w:r>
    </w:p>
    <w:p>
      <w:pPr>
        <w:spacing w:after="0" w:line="34" w:lineRule="exact"/>
        <w:rPr>
          <w:rFonts w:ascii="Arial" w:cs="Arial" w:eastAsia="Arial" w:hAnsi="Arial"/>
          <w:sz w:val="17"/>
          <w:szCs w:val="17"/>
          <w:color w:val="auto"/>
        </w:rPr>
      </w:pPr>
    </w:p>
    <w:p>
      <w:pPr>
        <w:ind w:left="800"/>
        <w:spacing w:after="0"/>
        <w:rPr>
          <w:rFonts w:ascii="Arial" w:cs="Arial" w:eastAsia="Arial" w:hAnsi="Arial"/>
          <w:sz w:val="17"/>
          <w:szCs w:val="17"/>
          <w:color w:val="auto"/>
        </w:rPr>
      </w:pPr>
      <w:r>
        <w:rPr>
          <w:rFonts w:ascii="Arial" w:cs="Arial" w:eastAsia="Arial" w:hAnsi="Arial"/>
          <w:sz w:val="17"/>
          <w:szCs w:val="17"/>
          <w:color w:val="auto"/>
        </w:rPr>
        <w:t>--</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(5,616)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1,668</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(1,191)</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(5,139)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-116205</wp:posOffset>
            </wp:positionV>
            <wp:extent cx="8750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26035</wp:posOffset>
            </wp:positionV>
            <wp:extent cx="8921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63" w:lineRule="exact"/>
        <w:rPr>
          <w:sz w:val="20"/>
          <w:szCs w:val="20"/>
          <w:color w:val="auto"/>
        </w:rPr>
      </w:pPr>
    </w:p>
    <w:p>
      <w:pPr>
        <w:ind w:left="480" w:hanging="136"/>
        <w:spacing w:after="0"/>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4,957</w:t>
      </w:r>
    </w:p>
    <w:p>
      <w:pPr>
        <w:spacing w:after="0" w:line="47"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110</w:t>
      </w:r>
    </w:p>
    <w:p>
      <w:pPr>
        <w:spacing w:after="0" w:line="4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230</w:t>
      </w:r>
    </w:p>
    <w:p>
      <w:pPr>
        <w:spacing w:after="0" w:line="3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(60)</w:t>
      </w:r>
    </w:p>
    <w:p>
      <w:pPr>
        <w:spacing w:after="0" w:line="3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(647)</w:t>
      </w:r>
    </w:p>
    <w:p>
      <w:pPr>
        <w:spacing w:after="0" w:line="3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23495</wp:posOffset>
            </wp:positionV>
            <wp:extent cx="8921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$ 5,616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22225</wp:posOffset>
            </wp:positionV>
            <wp:extent cx="8921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92175"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39370</wp:posOffset>
            </wp:positionV>
            <wp:extent cx="8921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300" w:hanging="131"/>
        <w:spacing w:after="0"/>
        <w:tabs>
          <w:tab w:leader="none" w:pos="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(4,957)</w:t>
      </w:r>
    </w:p>
    <w:p>
      <w:pPr>
        <w:spacing w:after="0" w:line="46"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7"/>
          <w:szCs w:val="17"/>
          <w:color w:val="auto"/>
        </w:rPr>
        <w:t>--</w:t>
      </w:r>
    </w:p>
    <w:p>
      <w:pPr>
        <w:spacing w:after="0" w:line="60" w:lineRule="exact"/>
        <w:rPr>
          <w:sz w:val="20"/>
          <w:szCs w:val="20"/>
          <w:color w:val="auto"/>
        </w:rPr>
      </w:pPr>
    </w:p>
    <w:p>
      <w:pPr>
        <w:jc w:val="right"/>
        <w:ind w:right="1440"/>
        <w:spacing w:after="0"/>
        <w:rPr>
          <w:sz w:val="20"/>
          <w:szCs w:val="20"/>
          <w:color w:val="auto"/>
        </w:rPr>
      </w:pPr>
      <w:r>
        <w:rPr>
          <w:rFonts w:ascii="Arial" w:cs="Arial" w:eastAsia="Arial" w:hAnsi="Arial"/>
          <w:sz w:val="18"/>
          <w:szCs w:val="18"/>
          <w:color w:val="auto"/>
        </w:rPr>
        <w:t>(4,957)</w:t>
      </w:r>
    </w:p>
    <w:p>
      <w:pPr>
        <w:spacing w:after="0" w:line="36" w:lineRule="exact"/>
        <w:rPr>
          <w:sz w:val="20"/>
          <w:szCs w:val="20"/>
          <w:color w:val="auto"/>
        </w:rPr>
      </w:pPr>
    </w:p>
    <w:p>
      <w:pPr>
        <w:jc w:val="right"/>
        <w:ind w:right="1440"/>
        <w:spacing w:after="0"/>
        <w:rPr>
          <w:sz w:val="20"/>
          <w:szCs w:val="20"/>
          <w:color w:val="auto"/>
        </w:rPr>
      </w:pPr>
      <w:r>
        <w:rPr>
          <w:rFonts w:ascii="Arial" w:cs="Arial" w:eastAsia="Arial" w:hAnsi="Arial"/>
          <w:sz w:val="18"/>
          <w:szCs w:val="18"/>
          <w:color w:val="auto"/>
        </w:rPr>
        <w:t>751</w:t>
      </w:r>
    </w:p>
    <w:p>
      <w:pPr>
        <w:spacing w:after="0" w:line="23" w:lineRule="exact"/>
        <w:rPr>
          <w:sz w:val="20"/>
          <w:szCs w:val="20"/>
          <w:color w:val="auto"/>
        </w:rPr>
      </w:pPr>
    </w:p>
    <w:p>
      <w:pPr>
        <w:jc w:val="right"/>
        <w:ind w:right="1440"/>
        <w:spacing w:after="0"/>
        <w:rPr>
          <w:sz w:val="20"/>
          <w:szCs w:val="20"/>
          <w:color w:val="auto"/>
        </w:rPr>
      </w:pPr>
      <w:r>
        <w:rPr>
          <w:rFonts w:ascii="Arial" w:cs="Arial" w:eastAsia="Arial" w:hAnsi="Arial"/>
          <w:sz w:val="18"/>
          <w:szCs w:val="18"/>
          <w:color w:val="auto"/>
        </w:rPr>
        <w:t>(327)</w:t>
      </w:r>
    </w:p>
    <w:p>
      <w:pPr>
        <w:spacing w:after="0" w:line="23" w:lineRule="exact"/>
        <w:rPr>
          <w:sz w:val="20"/>
          <w:szCs w:val="20"/>
          <w:color w:val="auto"/>
        </w:rPr>
      </w:pPr>
    </w:p>
    <w:p>
      <w:pPr>
        <w:jc w:val="right"/>
        <w:ind w:right="1440"/>
        <w:spacing w:after="0"/>
        <w:rPr>
          <w:sz w:val="20"/>
          <w:szCs w:val="20"/>
          <w:color w:val="auto"/>
        </w:rPr>
      </w:pPr>
      <w:r>
        <w:rPr>
          <w:rFonts w:ascii="Arial" w:cs="Arial" w:eastAsia="Arial" w:hAnsi="Arial"/>
          <w:sz w:val="18"/>
          <w:szCs w:val="18"/>
          <w:color w:val="auto"/>
        </w:rPr>
        <w:t>$ (4,533)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-130810</wp:posOffset>
            </wp:positionV>
            <wp:extent cx="7200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26035</wp:posOffset>
            </wp:positionV>
            <wp:extent cx="8147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63" w:lineRule="exact"/>
        <w:rPr>
          <w:sz w:val="20"/>
          <w:szCs w:val="20"/>
          <w:color w:val="auto"/>
        </w:rPr>
      </w:pPr>
    </w:p>
    <w:p>
      <w:pPr>
        <w:ind w:left="420" w:hanging="131"/>
        <w:spacing w:after="0"/>
        <w:tabs>
          <w:tab w:leader="none" w:pos="4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4,196</w:t>
      </w:r>
    </w:p>
    <w:p>
      <w:pPr>
        <w:spacing w:after="0" w:line="70" w:lineRule="exact"/>
        <w:rPr>
          <w:rFonts w:ascii="Arial" w:cs="Arial" w:eastAsia="Arial" w:hAnsi="Arial"/>
          <w:sz w:val="15"/>
          <w:szCs w:val="15"/>
          <w:color w:val="auto"/>
        </w:rPr>
      </w:pPr>
    </w:p>
    <w:p>
      <w:pPr>
        <w:ind w:left="560"/>
        <w:spacing w:after="0"/>
        <w:rPr>
          <w:rFonts w:ascii="Arial" w:cs="Arial" w:eastAsia="Arial" w:hAnsi="Arial"/>
          <w:sz w:val="15"/>
          <w:szCs w:val="15"/>
          <w:color w:val="auto"/>
        </w:rPr>
      </w:pPr>
      <w:r>
        <w:rPr>
          <w:rFonts w:ascii="Arial" w:cs="Arial" w:eastAsia="Arial" w:hAnsi="Arial"/>
          <w:sz w:val="15"/>
          <w:szCs w:val="15"/>
          <w:color w:val="auto"/>
        </w:rPr>
        <w:t>119</w:t>
      </w:r>
    </w:p>
    <w:p>
      <w:pPr>
        <w:spacing w:after="0" w:line="70" w:lineRule="exact"/>
        <w:rPr>
          <w:rFonts w:ascii="Arial" w:cs="Arial" w:eastAsia="Arial" w:hAnsi="Arial"/>
          <w:sz w:val="15"/>
          <w:szCs w:val="15"/>
          <w:color w:val="auto"/>
        </w:rPr>
      </w:pPr>
    </w:p>
    <w:p>
      <w:pPr>
        <w:ind w:left="560"/>
        <w:spacing w:after="0"/>
        <w:rPr>
          <w:rFonts w:ascii="Arial" w:cs="Arial" w:eastAsia="Arial" w:hAnsi="Arial"/>
          <w:sz w:val="15"/>
          <w:szCs w:val="15"/>
          <w:color w:val="auto"/>
        </w:rPr>
      </w:pPr>
      <w:r>
        <w:rPr>
          <w:rFonts w:ascii="Arial" w:cs="Arial" w:eastAsia="Arial" w:hAnsi="Arial"/>
          <w:sz w:val="15"/>
          <w:szCs w:val="15"/>
          <w:color w:val="auto"/>
        </w:rPr>
        <w:t>242</w:t>
      </w:r>
    </w:p>
    <w:p>
      <w:pPr>
        <w:spacing w:after="0" w:line="70"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6"/>
          <w:szCs w:val="16"/>
          <w:color w:val="auto"/>
        </w:rPr>
        <w:t>(65)</w:t>
      </w:r>
    </w:p>
    <w:p>
      <w:pPr>
        <w:spacing w:after="0" w:line="59" w:lineRule="exact"/>
        <w:rPr>
          <w:rFonts w:ascii="Arial" w:cs="Arial" w:eastAsia="Arial" w:hAnsi="Arial"/>
          <w:sz w:val="15"/>
          <w:szCs w:val="15"/>
          <w:color w:val="auto"/>
        </w:rPr>
      </w:pPr>
    </w:p>
    <w:p>
      <w:pPr>
        <w:ind w:left="560"/>
        <w:spacing w:after="0"/>
        <w:rPr>
          <w:rFonts w:ascii="Arial" w:cs="Arial" w:eastAsia="Arial" w:hAnsi="Arial"/>
          <w:sz w:val="15"/>
          <w:szCs w:val="15"/>
          <w:color w:val="auto"/>
        </w:rPr>
      </w:pPr>
      <w:r>
        <w:rPr>
          <w:rFonts w:ascii="Arial" w:cs="Arial" w:eastAsia="Arial" w:hAnsi="Arial"/>
          <w:sz w:val="15"/>
          <w:szCs w:val="15"/>
          <w:color w:val="auto"/>
        </w:rPr>
        <w:t>329</w:t>
      </w:r>
    </w:p>
    <w:p>
      <w:pPr>
        <w:spacing w:after="0" w:line="70" w:lineRule="exact"/>
        <w:rPr>
          <w:rFonts w:ascii="Arial" w:cs="Arial" w:eastAsia="Arial" w:hAnsi="Arial"/>
          <w:sz w:val="15"/>
          <w:szCs w:val="15"/>
          <w:color w:val="auto"/>
        </w:rPr>
      </w:pPr>
    </w:p>
    <w:p>
      <w:pPr>
        <w:ind w:left="560"/>
        <w:spacing w:after="0"/>
        <w:rPr>
          <w:rFonts w:ascii="Arial" w:cs="Arial" w:eastAsia="Arial" w:hAnsi="Arial"/>
          <w:sz w:val="15"/>
          <w:szCs w:val="15"/>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45085</wp:posOffset>
            </wp:positionV>
            <wp:extent cx="8147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94" w:lineRule="exact"/>
        <w:rPr>
          <w:sz w:val="20"/>
          <w:szCs w:val="20"/>
          <w:color w:val="auto"/>
        </w:rPr>
      </w:pPr>
    </w:p>
    <w:p>
      <w:pPr>
        <w:jc w:val="right"/>
        <w:ind w:right="1440"/>
        <w:spacing w:after="0"/>
        <w:rPr>
          <w:sz w:val="20"/>
          <w:szCs w:val="20"/>
          <w:color w:val="auto"/>
        </w:rPr>
      </w:pPr>
      <w:r>
        <w:rPr>
          <w:rFonts w:ascii="Arial" w:cs="Arial" w:eastAsia="Arial" w:hAnsi="Arial"/>
          <w:sz w:val="18"/>
          <w:szCs w:val="18"/>
          <w:color w:val="auto"/>
        </w:rPr>
        <w:t>$4,957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8147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31750</wp:posOffset>
            </wp:positionV>
            <wp:extent cx="8147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980" w:space="720"/>
            <w:col w:w="920" w:space="540"/>
            <w:col w:w="2260"/>
          </w:cols>
          <w:pgMar w:left="240" w:top="391" w:right="239" w:bottom="1440" w:gutter="0" w:footer="0" w:header="0"/>
          <w:type w:val="continuous"/>
        </w:sectPr>
      </w:pP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2004</w:t>
            </w:r>
          </w:p>
        </w:tc>
        <w:tc>
          <w:tcPr>
            <w:tcW w:w="16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2003</w:t>
            </w:r>
          </w:p>
        </w:tc>
        <w:tc>
          <w:tcPr>
            <w:tcW w:w="160" w:type="dxa"/>
            <w:vAlign w:val="bottom"/>
          </w:tcPr>
          <w:p>
            <w:pPr>
              <w:spacing w:after="0"/>
              <w:rPr>
                <w:sz w:val="20"/>
                <w:szCs w:val="20"/>
                <w:color w:val="auto"/>
              </w:rPr>
            </w:pPr>
          </w:p>
        </w:tc>
      </w:tr>
      <w:tr>
        <w:trPr>
          <w:trHeight w:val="237"/>
        </w:trPr>
        <w:tc>
          <w:tcPr>
            <w:tcW w:w="5020" w:type="dxa"/>
            <w:vAlign w:val="bottom"/>
          </w:tcPr>
          <w:p>
            <w:pPr>
              <w:spacing w:after="0"/>
              <w:rPr>
                <w:sz w:val="20"/>
                <w:szCs w:val="20"/>
                <w:color w:val="auto"/>
              </w:rPr>
            </w:pPr>
            <w:r>
              <w:rPr>
                <w:rFonts w:ascii="Arial" w:cs="Arial" w:eastAsia="Arial" w:hAnsi="Arial"/>
                <w:sz w:val="18"/>
                <w:szCs w:val="18"/>
                <w:b w:val="1"/>
                <w:bCs w:val="1"/>
                <w:color w:val="auto"/>
              </w:rPr>
              <w:t>Weighted-average assumptions as of December 31:</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50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Discount rate</w:t>
            </w:r>
          </w:p>
        </w:tc>
        <w:tc>
          <w:tcPr>
            <w:tcW w:w="118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4.25%</w:t>
            </w:r>
          </w:p>
        </w:tc>
        <w:tc>
          <w:tcPr>
            <w:tcW w:w="118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5.25%</w:t>
            </w:r>
          </w:p>
        </w:tc>
        <w:tc>
          <w:tcPr>
            <w:tcW w:w="116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5020" w:type="dxa"/>
            <w:vAlign w:val="bottom"/>
          </w:tcPr>
          <w:p>
            <w:pPr>
              <w:ind w:left="160"/>
              <w:spacing w:after="0"/>
              <w:rPr>
                <w:sz w:val="20"/>
                <w:szCs w:val="20"/>
                <w:color w:val="auto"/>
              </w:rPr>
            </w:pPr>
            <w:r>
              <w:rPr>
                <w:rFonts w:ascii="Arial" w:cs="Arial" w:eastAsia="Arial" w:hAnsi="Arial"/>
                <w:sz w:val="18"/>
                <w:szCs w:val="18"/>
                <w:color w:val="auto"/>
              </w:rPr>
              <w:t>Rate of compensation increase</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 - 2.5%</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1.3%-2.5%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1.3%-2.5%</w:t>
            </w:r>
          </w:p>
        </w:tc>
      </w:tr>
      <w:tr>
        <w:trPr>
          <w:trHeight w:val="243"/>
        </w:trPr>
        <w:tc>
          <w:tcPr>
            <w:tcW w:w="50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Measurement date</w:t>
            </w:r>
          </w:p>
        </w:tc>
        <w:tc>
          <w:tcPr>
            <w:tcW w:w="11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10/31/05</w:t>
            </w:r>
          </w:p>
        </w:tc>
        <w:tc>
          <w:tcPr>
            <w:tcW w:w="11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10/31/04</w:t>
            </w:r>
          </w:p>
        </w:tc>
        <w:tc>
          <w:tcPr>
            <w:tcW w:w="116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10/31/03</w:t>
            </w:r>
          </w:p>
        </w:tc>
      </w:tr>
    </w:tbl>
    <w:p>
      <w:pPr>
        <w:spacing w:after="0" w:line="25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determining the pension discount rate to be used for the Company's German defined benefit plan, the Company utilizes the German Federal Reserve Bank yield curve for high quality corporate bonds.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7660" w:type="dxa"/>
            <w:vAlign w:val="bottom"/>
            <w:gridSpan w:val="2"/>
          </w:tcPr>
          <w:p>
            <w:pPr>
              <w:jc w:val="center"/>
              <w:ind w:left="1290"/>
              <w:spacing w:after="0"/>
              <w:rPr>
                <w:sz w:val="20"/>
                <w:szCs w:val="20"/>
                <w:color w:val="auto"/>
              </w:rPr>
            </w:pPr>
            <w:r>
              <w:rPr>
                <w:rFonts w:ascii="Arial" w:cs="Arial" w:eastAsia="Arial" w:hAnsi="Arial"/>
                <w:sz w:val="18"/>
                <w:szCs w:val="18"/>
                <w:b w:val="1"/>
                <w:bCs w:val="1"/>
                <w:color w:val="auto"/>
                <w:w w:val="95"/>
              </w:rPr>
              <w:t>NN, Inc.</w:t>
            </w:r>
          </w:p>
        </w:tc>
        <w:tc>
          <w:tcPr>
            <w:tcW w:w="8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7660" w:type="dxa"/>
            <w:vAlign w:val="bottom"/>
            <w:gridSpan w:val="2"/>
          </w:tcPr>
          <w:p>
            <w:pPr>
              <w:jc w:val="center"/>
              <w:ind w:left="127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8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7660" w:type="dxa"/>
            <w:vAlign w:val="bottom"/>
            <w:gridSpan w:val="2"/>
          </w:tcPr>
          <w:p>
            <w:pPr>
              <w:jc w:val="center"/>
              <w:ind w:left="1290"/>
              <w:spacing w:after="0"/>
              <w:rPr>
                <w:sz w:val="20"/>
                <w:szCs w:val="20"/>
                <w:color w:val="auto"/>
              </w:rPr>
            </w:pPr>
            <w:r>
              <w:rPr>
                <w:rFonts w:ascii="Arial" w:cs="Arial" w:eastAsia="Arial" w:hAnsi="Arial"/>
                <w:sz w:val="18"/>
                <w:szCs w:val="18"/>
                <w:b w:val="1"/>
                <w:bCs w:val="1"/>
                <w:color w:val="auto"/>
                <w:w w:val="89"/>
              </w:rPr>
              <w:t>December 31, 2005, 2004 and 2003</w:t>
            </w:r>
          </w:p>
        </w:tc>
        <w:tc>
          <w:tcPr>
            <w:tcW w:w="880" w:type="dxa"/>
            <w:vAlign w:val="bottom"/>
          </w:tcPr>
          <w:p>
            <w:pPr>
              <w:spacing w:after="0"/>
              <w:rPr>
                <w:sz w:val="18"/>
                <w:szCs w:val="18"/>
                <w:color w:val="auto"/>
              </w:rPr>
            </w:pPr>
          </w:p>
        </w:tc>
      </w:tr>
      <w:tr>
        <w:trPr>
          <w:trHeight w:val="234"/>
        </w:trPr>
        <w:tc>
          <w:tcPr>
            <w:tcW w:w="1440" w:type="dxa"/>
            <w:vAlign w:val="bottom"/>
          </w:tcPr>
          <w:p>
            <w:pPr>
              <w:spacing w:after="0"/>
              <w:rPr>
                <w:sz w:val="20"/>
                <w:szCs w:val="20"/>
                <w:color w:val="auto"/>
              </w:rPr>
            </w:pPr>
          </w:p>
        </w:tc>
        <w:tc>
          <w:tcPr>
            <w:tcW w:w="7660" w:type="dxa"/>
            <w:vAlign w:val="bottom"/>
            <w:gridSpan w:val="2"/>
          </w:tcPr>
          <w:p>
            <w:pPr>
              <w:jc w:val="center"/>
              <w:ind w:left="1290"/>
              <w:spacing w:after="0"/>
              <w:rPr>
                <w:sz w:val="20"/>
                <w:szCs w:val="20"/>
                <w:color w:val="auto"/>
              </w:rPr>
            </w:pPr>
            <w:r>
              <w:rPr>
                <w:rFonts w:ascii="Arial" w:cs="Arial" w:eastAsia="Arial" w:hAnsi="Arial"/>
                <w:sz w:val="18"/>
                <w:szCs w:val="18"/>
                <w:b w:val="1"/>
                <w:bCs w:val="1"/>
                <w:color w:val="auto"/>
                <w:w w:val="88"/>
              </w:rPr>
              <w:t>(In thousands, except per share data)</w:t>
            </w:r>
          </w:p>
        </w:tc>
        <w:tc>
          <w:tcPr>
            <w:tcW w:w="880" w:type="dxa"/>
            <w:vAlign w:val="bottom"/>
          </w:tcPr>
          <w:p>
            <w:pPr>
              <w:spacing w:after="0"/>
              <w:rPr>
                <w:sz w:val="20"/>
                <w:szCs w:val="20"/>
                <w:color w:val="auto"/>
              </w:rPr>
            </w:pPr>
          </w:p>
        </w:tc>
      </w:tr>
      <w:tr>
        <w:trPr>
          <w:trHeight w:val="486"/>
        </w:trPr>
        <w:tc>
          <w:tcPr>
            <w:tcW w:w="9100" w:type="dxa"/>
            <w:vAlign w:val="bottom"/>
            <w:gridSpan w:val="3"/>
          </w:tcPr>
          <w:p>
            <w:pPr>
              <w:spacing w:after="0"/>
              <w:rPr>
                <w:sz w:val="20"/>
                <w:szCs w:val="20"/>
                <w:color w:val="auto"/>
              </w:rPr>
            </w:pPr>
            <w:r>
              <w:rPr>
                <w:rFonts w:ascii="Arial" w:cs="Arial" w:eastAsia="Arial" w:hAnsi="Arial"/>
                <w:sz w:val="18"/>
                <w:szCs w:val="18"/>
                <w:color w:val="auto"/>
              </w:rPr>
              <w:t>The expected pension benefit payments for the next ten fiscal years are as follows:</w:t>
            </w:r>
          </w:p>
        </w:tc>
        <w:tc>
          <w:tcPr>
            <w:tcW w:w="880" w:type="dxa"/>
            <w:vAlign w:val="bottom"/>
          </w:tcPr>
          <w:p>
            <w:pPr>
              <w:spacing w:after="0"/>
              <w:rPr>
                <w:sz w:val="24"/>
                <w:szCs w:val="24"/>
                <w:color w:val="auto"/>
              </w:rPr>
            </w:pPr>
          </w:p>
        </w:tc>
      </w:tr>
      <w:tr>
        <w:trPr>
          <w:trHeight w:val="493"/>
        </w:trPr>
        <w:tc>
          <w:tcPr>
            <w:tcW w:w="14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96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Pension Benefits</w:t>
            </w:r>
          </w:p>
        </w:tc>
        <w:tc>
          <w:tcPr>
            <w:tcW w:w="880" w:type="dxa"/>
            <w:vAlign w:val="bottom"/>
            <w:tcBorders>
              <w:bottom w:val="single" w:sz="8" w:color="auto"/>
            </w:tcBorders>
          </w:tcPr>
          <w:p>
            <w:pPr>
              <w:spacing w:after="0"/>
              <w:rPr>
                <w:sz w:val="24"/>
                <w:szCs w:val="24"/>
                <w:color w:val="auto"/>
              </w:rPr>
            </w:pPr>
          </w:p>
        </w:tc>
      </w:tr>
      <w:tr>
        <w:trPr>
          <w:trHeight w:val="243"/>
        </w:trPr>
        <w:tc>
          <w:tcPr>
            <w:tcW w:w="1440" w:type="dxa"/>
            <w:vAlign w:val="bottom"/>
          </w:tcPr>
          <w:p>
            <w:pPr>
              <w:spacing w:after="0"/>
              <w:rPr>
                <w:sz w:val="21"/>
                <w:szCs w:val="21"/>
                <w:color w:val="auto"/>
              </w:rPr>
            </w:pPr>
          </w:p>
        </w:tc>
        <w:tc>
          <w:tcPr>
            <w:tcW w:w="4700" w:type="dxa"/>
            <w:vAlign w:val="bottom"/>
            <w:shd w:val="clear" w:color="auto" w:fill="E2EEF6"/>
          </w:tcPr>
          <w:p>
            <w:pPr>
              <w:ind w:left="480"/>
              <w:spacing w:after="0"/>
              <w:rPr>
                <w:sz w:val="20"/>
                <w:szCs w:val="20"/>
                <w:color w:val="auto"/>
              </w:rPr>
            </w:pPr>
            <w:r>
              <w:rPr>
                <w:rFonts w:ascii="Arial" w:cs="Arial" w:eastAsia="Arial" w:hAnsi="Arial"/>
                <w:sz w:val="18"/>
                <w:szCs w:val="18"/>
                <w:color w:val="auto"/>
              </w:rPr>
              <w:t>2006</w:t>
            </w:r>
          </w:p>
        </w:tc>
        <w:tc>
          <w:tcPr>
            <w:tcW w:w="2960" w:type="dxa"/>
            <w:vAlign w:val="bottom"/>
            <w:shd w:val="clear" w:color="auto" w:fill="E2EEF6"/>
          </w:tcPr>
          <w:p>
            <w:pPr>
              <w:spacing w:after="0"/>
              <w:rPr>
                <w:sz w:val="21"/>
                <w:szCs w:val="21"/>
                <w:color w:val="auto"/>
              </w:rPr>
            </w:pP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$ 61</w:t>
            </w:r>
          </w:p>
        </w:tc>
      </w:tr>
      <w:tr>
        <w:trPr>
          <w:trHeight w:val="230"/>
        </w:trPr>
        <w:tc>
          <w:tcPr>
            <w:tcW w:w="1440" w:type="dxa"/>
            <w:vAlign w:val="bottom"/>
          </w:tcPr>
          <w:p>
            <w:pPr>
              <w:spacing w:after="0"/>
              <w:rPr>
                <w:sz w:val="20"/>
                <w:szCs w:val="20"/>
                <w:color w:val="auto"/>
              </w:rPr>
            </w:pPr>
          </w:p>
        </w:tc>
        <w:tc>
          <w:tcPr>
            <w:tcW w:w="4700" w:type="dxa"/>
            <w:vAlign w:val="bottom"/>
          </w:tcPr>
          <w:p>
            <w:pPr>
              <w:ind w:left="480"/>
              <w:spacing w:after="0"/>
              <w:rPr>
                <w:sz w:val="20"/>
                <w:szCs w:val="20"/>
                <w:color w:val="auto"/>
              </w:rPr>
            </w:pPr>
            <w:r>
              <w:rPr>
                <w:rFonts w:ascii="Arial" w:cs="Arial" w:eastAsia="Arial" w:hAnsi="Arial"/>
                <w:sz w:val="18"/>
                <w:szCs w:val="18"/>
                <w:color w:val="auto"/>
              </w:rPr>
              <w:t>2007</w:t>
            </w:r>
          </w:p>
        </w:tc>
        <w:tc>
          <w:tcPr>
            <w:tcW w:w="29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56"/>
        </w:trPr>
        <w:tc>
          <w:tcPr>
            <w:tcW w:w="1440" w:type="dxa"/>
            <w:vAlign w:val="bottom"/>
          </w:tcPr>
          <w:p>
            <w:pPr>
              <w:spacing w:after="0"/>
              <w:rPr>
                <w:sz w:val="22"/>
                <w:szCs w:val="22"/>
                <w:color w:val="auto"/>
              </w:rPr>
            </w:pPr>
          </w:p>
        </w:tc>
        <w:tc>
          <w:tcPr>
            <w:tcW w:w="4700" w:type="dxa"/>
            <w:vAlign w:val="bottom"/>
            <w:shd w:val="clear" w:color="auto" w:fill="E2EEF6"/>
          </w:tcPr>
          <w:p>
            <w:pPr>
              <w:ind w:left="480"/>
              <w:spacing w:after="0"/>
              <w:rPr>
                <w:sz w:val="20"/>
                <w:szCs w:val="20"/>
                <w:color w:val="auto"/>
              </w:rPr>
            </w:pPr>
            <w:r>
              <w:rPr>
                <w:rFonts w:ascii="Arial" w:cs="Arial" w:eastAsia="Arial" w:hAnsi="Arial"/>
                <w:sz w:val="18"/>
                <w:szCs w:val="18"/>
                <w:color w:val="auto"/>
              </w:rPr>
              <w:t>2008</w:t>
            </w:r>
          </w:p>
        </w:tc>
        <w:tc>
          <w:tcPr>
            <w:tcW w:w="2960" w:type="dxa"/>
            <w:vAlign w:val="bottom"/>
            <w:shd w:val="clear" w:color="auto" w:fill="E2EEF6"/>
          </w:tcPr>
          <w:p>
            <w:pPr>
              <w:spacing w:after="0"/>
              <w:rPr>
                <w:sz w:val="22"/>
                <w:szCs w:val="22"/>
                <w:color w:val="auto"/>
              </w:rPr>
            </w:pP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1440" w:type="dxa"/>
            <w:vAlign w:val="bottom"/>
          </w:tcPr>
          <w:p>
            <w:pPr>
              <w:spacing w:after="0"/>
              <w:rPr>
                <w:sz w:val="20"/>
                <w:szCs w:val="20"/>
                <w:color w:val="auto"/>
              </w:rPr>
            </w:pPr>
          </w:p>
        </w:tc>
        <w:tc>
          <w:tcPr>
            <w:tcW w:w="4700" w:type="dxa"/>
            <w:vAlign w:val="bottom"/>
          </w:tcPr>
          <w:p>
            <w:pPr>
              <w:ind w:left="480"/>
              <w:spacing w:after="0"/>
              <w:rPr>
                <w:sz w:val="20"/>
                <w:szCs w:val="20"/>
                <w:color w:val="auto"/>
              </w:rPr>
            </w:pPr>
            <w:r>
              <w:rPr>
                <w:rFonts w:ascii="Arial" w:cs="Arial" w:eastAsia="Arial" w:hAnsi="Arial"/>
                <w:sz w:val="18"/>
                <w:szCs w:val="18"/>
                <w:color w:val="auto"/>
              </w:rPr>
              <w:t>2009</w:t>
            </w:r>
          </w:p>
        </w:tc>
        <w:tc>
          <w:tcPr>
            <w:tcW w:w="29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56"/>
        </w:trPr>
        <w:tc>
          <w:tcPr>
            <w:tcW w:w="1440" w:type="dxa"/>
            <w:vAlign w:val="bottom"/>
          </w:tcPr>
          <w:p>
            <w:pPr>
              <w:spacing w:after="0"/>
              <w:rPr>
                <w:sz w:val="22"/>
                <w:szCs w:val="22"/>
                <w:color w:val="auto"/>
              </w:rPr>
            </w:pPr>
          </w:p>
        </w:tc>
        <w:tc>
          <w:tcPr>
            <w:tcW w:w="4700" w:type="dxa"/>
            <w:vAlign w:val="bottom"/>
            <w:shd w:val="clear" w:color="auto" w:fill="E2EEF6"/>
          </w:tcPr>
          <w:p>
            <w:pPr>
              <w:ind w:left="480"/>
              <w:spacing w:after="0"/>
              <w:rPr>
                <w:sz w:val="20"/>
                <w:szCs w:val="20"/>
                <w:color w:val="auto"/>
              </w:rPr>
            </w:pPr>
            <w:r>
              <w:rPr>
                <w:rFonts w:ascii="Arial" w:cs="Arial" w:eastAsia="Arial" w:hAnsi="Arial"/>
                <w:sz w:val="18"/>
                <w:szCs w:val="18"/>
                <w:color w:val="auto"/>
              </w:rPr>
              <w:t>2010</w:t>
            </w:r>
          </w:p>
        </w:tc>
        <w:tc>
          <w:tcPr>
            <w:tcW w:w="2960" w:type="dxa"/>
            <w:vAlign w:val="bottom"/>
            <w:shd w:val="clear" w:color="auto" w:fill="E2EEF6"/>
          </w:tcPr>
          <w:p>
            <w:pPr>
              <w:spacing w:after="0"/>
              <w:rPr>
                <w:sz w:val="22"/>
                <w:szCs w:val="22"/>
                <w:color w:val="auto"/>
              </w:rPr>
            </w:pP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186</w:t>
            </w:r>
          </w:p>
        </w:tc>
      </w:tr>
      <w:tr>
        <w:trPr>
          <w:trHeight w:val="230"/>
        </w:trPr>
        <w:tc>
          <w:tcPr>
            <w:tcW w:w="1440" w:type="dxa"/>
            <w:vAlign w:val="bottom"/>
          </w:tcPr>
          <w:p>
            <w:pPr>
              <w:spacing w:after="0"/>
              <w:rPr>
                <w:sz w:val="20"/>
                <w:szCs w:val="20"/>
                <w:color w:val="auto"/>
              </w:rPr>
            </w:pPr>
          </w:p>
        </w:tc>
        <w:tc>
          <w:tcPr>
            <w:tcW w:w="4700" w:type="dxa"/>
            <w:vAlign w:val="bottom"/>
          </w:tcPr>
          <w:p>
            <w:pPr>
              <w:ind w:left="480"/>
              <w:spacing w:after="0"/>
              <w:rPr>
                <w:sz w:val="20"/>
                <w:szCs w:val="20"/>
                <w:color w:val="auto"/>
              </w:rPr>
            </w:pPr>
            <w:r>
              <w:rPr>
                <w:rFonts w:ascii="Arial" w:cs="Arial" w:eastAsia="Arial" w:hAnsi="Arial"/>
                <w:sz w:val="18"/>
                <w:szCs w:val="18"/>
                <w:color w:val="auto"/>
              </w:rPr>
              <w:t>2011-2015</w:t>
            </w:r>
          </w:p>
        </w:tc>
        <w:tc>
          <w:tcPr>
            <w:tcW w:w="29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1,259</w:t>
            </w:r>
          </w:p>
        </w:tc>
      </w:tr>
    </w:tbl>
    <w:p>
      <w:pPr>
        <w:spacing w:after="0" w:line="283"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4920" w:type="dxa"/>
            <w:vAlign w:val="bottom"/>
            <w:tcBorders>
              <w:bottom w:val="single" w:sz="8" w:color="E2EEF6"/>
            </w:tcBorders>
            <w:shd w:val="clear" w:color="auto" w:fill="E2EEF6"/>
          </w:tcPr>
          <w:p>
            <w:pPr>
              <w:spacing w:after="0"/>
              <w:rPr>
                <w:sz w:val="19"/>
                <w:szCs w:val="19"/>
                <w:color w:val="auto"/>
              </w:rPr>
            </w:pPr>
          </w:p>
        </w:tc>
        <w:tc>
          <w:tcPr>
            <w:tcW w:w="8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2005</w:t>
            </w:r>
          </w:p>
        </w:tc>
        <w:tc>
          <w:tcPr>
            <w:tcW w:w="420" w:type="dxa"/>
            <w:vAlign w:val="bottom"/>
            <w:tcBorders>
              <w:bottom w:val="single" w:sz="8" w:color="auto"/>
            </w:tcBorders>
            <w:shd w:val="clear" w:color="auto" w:fill="E2EEF6"/>
          </w:tcPr>
          <w:p>
            <w:pPr>
              <w:spacing w:after="0"/>
              <w:rPr>
                <w:sz w:val="19"/>
                <w:szCs w:val="19"/>
                <w:color w:val="auto"/>
              </w:rPr>
            </w:pPr>
          </w:p>
        </w:tc>
        <w:tc>
          <w:tcPr>
            <w:tcW w:w="80" w:type="dxa"/>
            <w:vAlign w:val="bottom"/>
            <w:tcBorders>
              <w:bottom w:val="single" w:sz="8" w:color="E2EEF6"/>
            </w:tcBorders>
            <w:shd w:val="clear" w:color="auto" w:fill="E2EEF6"/>
          </w:tcPr>
          <w:p>
            <w:pPr>
              <w:spacing w:after="0"/>
              <w:rPr>
                <w:sz w:val="19"/>
                <w:szCs w:val="19"/>
                <w:color w:val="auto"/>
              </w:rPr>
            </w:pPr>
          </w:p>
        </w:tc>
        <w:tc>
          <w:tcPr>
            <w:tcW w:w="1120" w:type="dxa"/>
            <w:vAlign w:val="bottom"/>
            <w:tcBorders>
              <w:bottom w:val="single" w:sz="8" w:color="auto"/>
            </w:tcBorders>
            <w:shd w:val="clear" w:color="auto" w:fill="E2EEF6"/>
          </w:tcPr>
          <w:p>
            <w:pPr>
              <w:jc w:val="right"/>
              <w:ind w:right="290"/>
              <w:spacing w:after="0"/>
              <w:rPr>
                <w:sz w:val="20"/>
                <w:szCs w:val="20"/>
                <w:color w:val="auto"/>
              </w:rPr>
            </w:pPr>
            <w:r>
              <w:rPr>
                <w:rFonts w:ascii="Arial" w:cs="Arial" w:eastAsia="Arial" w:hAnsi="Arial"/>
                <w:sz w:val="18"/>
                <w:szCs w:val="18"/>
                <w:b w:val="1"/>
                <w:bCs w:val="1"/>
                <w:color w:val="auto"/>
              </w:rPr>
              <w:t>2004</w:t>
            </w:r>
          </w:p>
        </w:tc>
        <w:tc>
          <w:tcPr>
            <w:tcW w:w="80" w:type="dxa"/>
            <w:vAlign w:val="bottom"/>
            <w:tcBorders>
              <w:bottom w:val="single" w:sz="8" w:color="E2EEF6"/>
            </w:tcBorders>
            <w:shd w:val="clear" w:color="auto" w:fill="E2EEF6"/>
          </w:tcPr>
          <w:p>
            <w:pPr>
              <w:spacing w:after="0"/>
              <w:rPr>
                <w:sz w:val="19"/>
                <w:szCs w:val="19"/>
                <w:color w:val="auto"/>
              </w:rPr>
            </w:pPr>
          </w:p>
        </w:tc>
        <w:tc>
          <w:tcPr>
            <w:tcW w:w="1120" w:type="dxa"/>
            <w:vAlign w:val="bottom"/>
            <w:tcBorders>
              <w:bottom w:val="single" w:sz="8" w:color="auto"/>
            </w:tcBorders>
            <w:shd w:val="clear" w:color="auto" w:fill="E2EEF6"/>
          </w:tcPr>
          <w:p>
            <w:pPr>
              <w:jc w:val="right"/>
              <w:ind w:right="290"/>
              <w:spacing w:after="0"/>
              <w:rPr>
                <w:sz w:val="20"/>
                <w:szCs w:val="20"/>
                <w:color w:val="auto"/>
              </w:rPr>
            </w:pPr>
            <w:r>
              <w:rPr>
                <w:rFonts w:ascii="Arial" w:cs="Arial" w:eastAsia="Arial" w:hAnsi="Arial"/>
                <w:sz w:val="18"/>
                <w:szCs w:val="18"/>
                <w:b w:val="1"/>
                <w:bCs w:val="1"/>
                <w:color w:val="auto"/>
              </w:rPr>
              <w:t>2003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720" w:type="dxa"/>
            <w:vAlign w:val="bottom"/>
            <w:gridSpan w:val="2"/>
            <w:shd w:val="clear" w:color="auto" w:fill="E2EEF6"/>
          </w:tcPr>
          <w:p>
            <w:pPr>
              <w:ind w:left="160"/>
              <w:spacing w:after="0"/>
              <w:rPr>
                <w:sz w:val="20"/>
                <w:szCs w:val="20"/>
                <w:color w:val="auto"/>
              </w:rPr>
            </w:pPr>
            <w:r>
              <w:rPr>
                <w:rFonts w:ascii="Arial" w:cs="Arial" w:eastAsia="Arial" w:hAnsi="Arial"/>
                <w:sz w:val="18"/>
                <w:szCs w:val="18"/>
                <w:color w:val="auto"/>
              </w:rPr>
              <w:t>Service cost</w:t>
            </w:r>
          </w:p>
        </w:tc>
        <w:tc>
          <w:tcPr>
            <w:tcW w:w="5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w w:val="88"/>
              </w:rPr>
              <w:t>$ 110</w:t>
            </w:r>
          </w:p>
        </w:tc>
        <w:tc>
          <w:tcPr>
            <w:tcW w:w="12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$ 119</w:t>
            </w: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$ 120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20" w:type="dxa"/>
            <w:vAlign w:val="bottom"/>
            <w:gridSpan w:val="2"/>
          </w:tcPr>
          <w:p>
            <w:pPr>
              <w:ind w:left="160"/>
              <w:spacing w:after="0"/>
              <w:rPr>
                <w:sz w:val="20"/>
                <w:szCs w:val="20"/>
                <w:color w:val="auto"/>
              </w:rPr>
            </w:pPr>
            <w:r>
              <w:rPr>
                <w:rFonts w:ascii="Arial" w:cs="Arial" w:eastAsia="Arial" w:hAnsi="Arial"/>
                <w:sz w:val="18"/>
                <w:szCs w:val="18"/>
                <w:color w:val="auto"/>
              </w:rPr>
              <w:t>Interest cost on projected benefit obligation</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230</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c>
          <w:tcPr>
            <w:tcW w:w="1120" w:type="dxa"/>
            <w:vAlign w:val="bottom"/>
          </w:tcPr>
          <w:p>
            <w:pPr>
              <w:jc w:val="right"/>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5720" w:type="dxa"/>
            <w:vAlign w:val="bottom"/>
            <w:tcBorders>
              <w:bottom w:val="single" w:sz="8" w:color="E2EEF6"/>
            </w:tcBorders>
            <w:gridSpan w:val="2"/>
            <w:shd w:val="clear" w:color="auto" w:fill="E2EEF6"/>
          </w:tcPr>
          <w:p>
            <w:pPr>
              <w:ind w:left="160"/>
              <w:spacing w:after="0"/>
              <w:rPr>
                <w:sz w:val="20"/>
                <w:szCs w:val="20"/>
                <w:color w:val="auto"/>
              </w:rPr>
            </w:pPr>
            <w:r>
              <w:rPr>
                <w:rFonts w:ascii="Arial" w:cs="Arial" w:eastAsia="Arial" w:hAnsi="Arial"/>
                <w:sz w:val="18"/>
                <w:szCs w:val="18"/>
                <w:color w:val="auto"/>
              </w:rPr>
              <w:t>Amortization of net loss</w:t>
            </w:r>
          </w:p>
        </w:tc>
        <w:tc>
          <w:tcPr>
            <w:tcW w:w="500" w:type="dxa"/>
            <w:vAlign w:val="bottom"/>
            <w:tcBorders>
              <w:bottom w:val="single" w:sz="8" w:color="E2EEF6"/>
            </w:tcBorders>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11</w:t>
            </w:r>
          </w:p>
        </w:tc>
        <w:tc>
          <w:tcPr>
            <w:tcW w:w="1200" w:type="dxa"/>
            <w:vAlign w:val="bottom"/>
            <w:tcBorders>
              <w:bottom w:val="single" w:sz="8" w:color="E2EEF6"/>
            </w:tcBorders>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9</w:t>
            </w:r>
          </w:p>
        </w:tc>
        <w:tc>
          <w:tcPr>
            <w:tcW w:w="112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920" w:type="dxa"/>
            <w:vAlign w:val="bottom"/>
            <w:tcBorders>
              <w:top w:val="single" w:sz="8" w:color="E2EEF6"/>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0" w:type="dxa"/>
            <w:vAlign w:val="bottom"/>
            <w:tcBorders>
              <w:top w:val="single" w:sz="8" w:color="E2EEF6"/>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0" w:type="dxa"/>
            <w:vAlign w:val="bottom"/>
            <w:tcBorders>
              <w:top w:val="single" w:sz="8" w:color="E2EEF6"/>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E2EEF6"/>
            </w:tcBorders>
            <w:shd w:val="clear" w:color="auto" w:fill="E2EEF6"/>
          </w:tcPr>
          <w:p>
            <w:pPr>
              <w:ind w:left="160"/>
              <w:spacing w:after="0"/>
              <w:rPr>
                <w:sz w:val="20"/>
                <w:szCs w:val="20"/>
                <w:color w:val="auto"/>
              </w:rPr>
            </w:pPr>
            <w:r>
              <w:rPr>
                <w:rFonts w:ascii="Arial" w:cs="Arial" w:eastAsia="Arial" w:hAnsi="Arial"/>
                <w:sz w:val="18"/>
                <w:szCs w:val="18"/>
                <w:color w:val="auto"/>
              </w:rPr>
              <w:t>Net periodic pension benefit cost</w:t>
            </w:r>
          </w:p>
        </w:tc>
        <w:tc>
          <w:tcPr>
            <w:tcW w:w="800" w:type="dxa"/>
            <w:vAlign w:val="bottom"/>
            <w:tcBorders>
              <w:bottom w:val="single" w:sz="8" w:color="auto"/>
            </w:tcBorders>
            <w:shd w:val="clear" w:color="auto" w:fill="E2EEF6"/>
          </w:tcPr>
          <w:p>
            <w:pPr>
              <w:spacing w:after="0"/>
              <w:rPr>
                <w:sz w:val="22"/>
                <w:szCs w:val="22"/>
                <w:color w:val="auto"/>
              </w:rPr>
            </w:pPr>
          </w:p>
        </w:tc>
        <w:tc>
          <w:tcPr>
            <w:tcW w:w="4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88"/>
              </w:rPr>
              <w:t>$ 351</w:t>
            </w:r>
          </w:p>
        </w:tc>
        <w:tc>
          <w:tcPr>
            <w:tcW w:w="80" w:type="dxa"/>
            <w:vAlign w:val="bottom"/>
            <w:tcBorders>
              <w:bottom w:val="single" w:sz="8" w:color="E2EEF6"/>
            </w:tcBorders>
            <w:shd w:val="clear" w:color="auto" w:fill="E2EEF6"/>
          </w:tcPr>
          <w:p>
            <w:pPr>
              <w:spacing w:after="0"/>
              <w:rPr>
                <w:sz w:val="22"/>
                <w:szCs w:val="22"/>
                <w:color w:val="auto"/>
              </w:rPr>
            </w:pPr>
          </w:p>
        </w:tc>
        <w:tc>
          <w:tcPr>
            <w:tcW w:w="11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$ 370</w:t>
            </w:r>
          </w:p>
        </w:tc>
        <w:tc>
          <w:tcPr>
            <w:tcW w:w="80" w:type="dxa"/>
            <w:vAlign w:val="bottom"/>
            <w:tcBorders>
              <w:bottom w:val="single" w:sz="8" w:color="E2EEF6"/>
            </w:tcBorders>
            <w:shd w:val="clear" w:color="auto" w:fill="E2EEF6"/>
          </w:tcPr>
          <w:p>
            <w:pPr>
              <w:spacing w:after="0"/>
              <w:rPr>
                <w:sz w:val="22"/>
                <w:szCs w:val="22"/>
                <w:color w:val="auto"/>
              </w:rPr>
            </w:pPr>
          </w:p>
        </w:tc>
        <w:tc>
          <w:tcPr>
            <w:tcW w:w="11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$ 355</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expect to make any contributions to the plan in 2006 or thereafter in excess of the pension benefit payments listed above.</w:t>
      </w:r>
    </w:p>
    <w:p>
      <w:pPr>
        <w:spacing w:after="0" w:line="27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Severance Indemnity</w:t>
      </w:r>
    </w:p>
    <w:p>
      <w:pPr>
        <w:spacing w:after="0" w:line="283" w:lineRule="exact"/>
        <w:rPr>
          <w:sz w:val="20"/>
          <w:szCs w:val="20"/>
          <w:color w:val="auto"/>
        </w:rPr>
      </w:pPr>
    </w:p>
    <w:p>
      <w:pPr>
        <w:ind w:left="500" w:right="160"/>
        <w:spacing w:after="0" w:line="277" w:lineRule="auto"/>
        <w:rPr>
          <w:sz w:val="20"/>
          <w:szCs w:val="20"/>
          <w:color w:val="auto"/>
        </w:rPr>
      </w:pPr>
      <w:r>
        <w:rPr>
          <w:rFonts w:ascii="Arial" w:cs="Arial" w:eastAsia="Arial" w:hAnsi="Arial"/>
          <w:sz w:val="18"/>
          <w:szCs w:val="18"/>
          <w:color w:val="auto"/>
        </w:rPr>
        <w:t>In accordance with Italian law, the Company has an unfunded severance plan under which all employees are entitled to receive severance indemnities (Trattamento di Fine Rapporto or “TFR”) upon termination of their employment.</w:t>
      </w:r>
    </w:p>
    <w:p>
      <w:pPr>
        <w:spacing w:after="0" w:line="224" w:lineRule="exact"/>
        <w:rPr>
          <w:sz w:val="20"/>
          <w:szCs w:val="20"/>
          <w:color w:val="auto"/>
        </w:rPr>
      </w:pPr>
    </w:p>
    <w:p>
      <w:pPr>
        <w:ind w:left="500" w:right="80"/>
        <w:spacing w:after="0" w:line="257" w:lineRule="auto"/>
        <w:rPr>
          <w:sz w:val="20"/>
          <w:szCs w:val="20"/>
          <w:color w:val="auto"/>
        </w:rPr>
      </w:pPr>
      <w:r>
        <w:rPr>
          <w:rFonts w:ascii="Arial" w:cs="Arial" w:eastAsia="Arial" w:hAnsi="Arial"/>
          <w:sz w:val="18"/>
          <w:szCs w:val="18"/>
          <w:color w:val="auto"/>
        </w:rPr>
        <w:t>The amount payable is based on salary paid and increases in cost of living. The severance indemnities accrue approximately at the rate of 1/13.5 of the gross salaries paid during the year, and are revalued applying a cost of living factor established by the Italian Government. The amounts accrued become payable upon termination of the individual employee, for any reason, e.g., retirement, dismissal or reduction in work force. Employees are fully vested in TFR benefits after their first year of service. The amounts shown in the table below represent the actual liability at December 31, 2005 and 2004 reported under Accrued Pension.</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details the changes in Italian severance indemnity for the years ended December 31, 2005 and 2004:</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Beginning balance</w:t>
            </w:r>
          </w:p>
        </w:tc>
        <w:tc>
          <w:tcPr>
            <w:tcW w:w="3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(7,503)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(7,156)</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3140" w:type="dxa"/>
            <w:vAlign w:val="bottom"/>
            <w:shd w:val="clear" w:color="auto" w:fill="E2EEF6"/>
          </w:tcPr>
          <w:p>
            <w:pPr>
              <w:ind w:left="160"/>
              <w:spacing w:after="0"/>
              <w:rPr>
                <w:sz w:val="20"/>
                <w:szCs w:val="20"/>
                <w:color w:val="auto"/>
              </w:rPr>
            </w:pPr>
            <w:r>
              <w:rPr>
                <w:rFonts w:ascii="Arial" w:cs="Arial" w:eastAsia="Arial" w:hAnsi="Arial"/>
                <w:sz w:val="18"/>
                <w:szCs w:val="18"/>
                <w:color w:val="auto"/>
              </w:rPr>
              <w:t>Amounts accrued</w:t>
            </w:r>
          </w:p>
        </w:tc>
        <w:tc>
          <w:tcPr>
            <w:tcW w:w="294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9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(983)</w:t>
            </w:r>
          </w:p>
        </w:tc>
        <w:tc>
          <w:tcPr>
            <w:tcW w:w="260" w:type="dxa"/>
            <w:vAlign w:val="bottom"/>
            <w:shd w:val="clear" w:color="auto" w:fill="E2EEF6"/>
          </w:tcPr>
          <w:p>
            <w:pPr>
              <w:spacing w:after="0"/>
              <w:rPr>
                <w:sz w:val="21"/>
                <w:szCs w:val="21"/>
                <w:color w:val="auto"/>
              </w:rPr>
            </w:pPr>
          </w:p>
        </w:tc>
        <w:tc>
          <w:tcPr>
            <w:tcW w:w="84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(958)</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Payments to employees</w:t>
            </w:r>
          </w:p>
        </w:tc>
        <w:tc>
          <w:tcPr>
            <w:tcW w:w="2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718</w:t>
            </w:r>
          </w:p>
        </w:tc>
        <w:tc>
          <w:tcPr>
            <w:tcW w:w="26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1,050</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3140" w:type="dxa"/>
            <w:vAlign w:val="bottom"/>
            <w:shd w:val="clear" w:color="auto" w:fill="E2EEF6"/>
          </w:tcPr>
          <w:p>
            <w:pPr>
              <w:ind w:left="160"/>
              <w:spacing w:after="0"/>
              <w:rPr>
                <w:sz w:val="20"/>
                <w:szCs w:val="20"/>
                <w:color w:val="auto"/>
              </w:rPr>
            </w:pPr>
            <w:r>
              <w:rPr>
                <w:rFonts w:ascii="Arial" w:cs="Arial" w:eastAsia="Arial" w:hAnsi="Arial"/>
                <w:sz w:val="18"/>
                <w:szCs w:val="18"/>
                <w:color w:val="auto"/>
              </w:rPr>
              <w:t>Payments to pension funds</w:t>
            </w:r>
          </w:p>
        </w:tc>
        <w:tc>
          <w:tcPr>
            <w:tcW w:w="294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94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E2EEF6"/>
          </w:tcPr>
          <w:p>
            <w:pPr>
              <w:spacing w:after="0"/>
              <w:rPr>
                <w:sz w:val="21"/>
                <w:szCs w:val="21"/>
                <w:color w:val="auto"/>
              </w:rPr>
            </w:pPr>
          </w:p>
        </w:tc>
        <w:tc>
          <w:tcPr>
            <w:tcW w:w="84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37</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Tax prepayments</w:t>
            </w:r>
          </w:p>
        </w:tc>
        <w:tc>
          <w:tcPr>
            <w:tcW w:w="2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3140" w:type="dxa"/>
            <w:vAlign w:val="bottom"/>
            <w:shd w:val="clear" w:color="auto" w:fill="E2EEF6"/>
          </w:tcPr>
          <w:p>
            <w:pPr>
              <w:ind w:left="160"/>
              <w:spacing w:after="0"/>
              <w:rPr>
                <w:sz w:val="20"/>
                <w:szCs w:val="20"/>
                <w:color w:val="auto"/>
              </w:rPr>
            </w:pPr>
            <w:r>
              <w:rPr>
                <w:rFonts w:ascii="Arial" w:cs="Arial" w:eastAsia="Arial" w:hAnsi="Arial"/>
                <w:sz w:val="18"/>
                <w:szCs w:val="18"/>
                <w:color w:val="auto"/>
              </w:rPr>
              <w:t>Foreign Exchange</w:t>
            </w:r>
          </w:p>
        </w:tc>
        <w:tc>
          <w:tcPr>
            <w:tcW w:w="294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7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985</w:t>
            </w:r>
          </w:p>
        </w:tc>
        <w:tc>
          <w:tcPr>
            <w:tcW w:w="16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84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(542)</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140" w:type="dxa"/>
            <w:vAlign w:val="bottom"/>
            <w:shd w:val="clear" w:color="auto" w:fill="E2EEF6"/>
          </w:tcPr>
          <w:p>
            <w:pPr>
              <w:spacing w:after="0" w:line="20" w:lineRule="exact"/>
              <w:rPr>
                <w:sz w:val="1"/>
                <w:szCs w:val="1"/>
                <w:color w:val="auto"/>
              </w:rPr>
            </w:pPr>
          </w:p>
        </w:tc>
        <w:tc>
          <w:tcPr>
            <w:tcW w:w="2940" w:type="dxa"/>
            <w:vAlign w:val="bottom"/>
            <w:shd w:val="clear" w:color="auto" w:fill="E2EEF6"/>
          </w:tcPr>
          <w:p>
            <w:pPr>
              <w:spacing w:after="0" w:line="20" w:lineRule="exact"/>
              <w:rPr>
                <w:sz w:val="1"/>
                <w:szCs w:val="1"/>
                <w:color w:val="auto"/>
              </w:rPr>
            </w:pPr>
          </w:p>
        </w:tc>
        <w:tc>
          <w:tcPr>
            <w:tcW w:w="180" w:type="dxa"/>
            <w:vAlign w:val="bottom"/>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E2EEF6"/>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E2EEF6"/>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4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Ending Balance</w:t>
            </w:r>
          </w:p>
        </w:tc>
        <w:tc>
          <w:tcPr>
            <w:tcW w:w="3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(6,644)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(7,503)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940" w:type="dxa"/>
            <w:vAlign w:val="bottom"/>
            <w:vMerge w:val="restart"/>
          </w:tcPr>
          <w:p>
            <w:pPr>
              <w:jc w:val="right"/>
              <w:ind w:right="1656"/>
              <w:spacing w:after="0"/>
              <w:rPr>
                <w:sz w:val="20"/>
                <w:szCs w:val="20"/>
                <w:color w:val="auto"/>
              </w:rPr>
            </w:pPr>
            <w:r>
              <w:rPr>
                <w:rFonts w:ascii="Arial" w:cs="Arial" w:eastAsia="Arial" w:hAnsi="Arial"/>
                <w:sz w:val="14"/>
                <w:szCs w:val="14"/>
                <w:color w:val="auto"/>
              </w:rPr>
              <w:t>51</w:t>
            </w: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14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440" w:type="dxa"/>
            <w:vAlign w:val="bottom"/>
            <w:tcBorders>
              <w:bottom w:val="single" w:sz="8" w:color="808080"/>
            </w:tcBorders>
          </w:tcPr>
          <w:p>
            <w:pPr>
              <w:spacing w:after="0"/>
              <w:rPr>
                <w:sz w:val="8"/>
                <w:szCs w:val="8"/>
                <w:color w:val="auto"/>
              </w:rPr>
            </w:pPr>
          </w:p>
        </w:tc>
        <w:tc>
          <w:tcPr>
            <w:tcW w:w="3140" w:type="dxa"/>
            <w:vAlign w:val="bottom"/>
            <w:tcBorders>
              <w:bottom w:val="single" w:sz="8" w:color="808080"/>
            </w:tcBorders>
          </w:tcPr>
          <w:p>
            <w:pPr>
              <w:spacing w:after="0"/>
              <w:rPr>
                <w:sz w:val="8"/>
                <w:szCs w:val="8"/>
                <w:color w:val="auto"/>
              </w:rPr>
            </w:pPr>
          </w:p>
        </w:tc>
        <w:tc>
          <w:tcPr>
            <w:tcW w:w="29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1" w:name="page52"/>
    <w:bookmarkEnd w:id="51"/>
    <w:p>
      <w:pPr>
        <w:jc w:val="center"/>
        <w:ind w:left="50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December 31, 2005, 2004 and 2003</w:t>
      </w:r>
    </w:p>
    <w:p>
      <w:pPr>
        <w:spacing w:after="0" w:line="9"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(In thousands, except per share data</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Incentive Plan</w:t>
      </w:r>
    </w:p>
    <w:p>
      <w:pPr>
        <w:spacing w:after="0" w:line="265" w:lineRule="exact"/>
        <w:rPr>
          <w:sz w:val="20"/>
          <w:szCs w:val="20"/>
          <w:color w:val="auto"/>
        </w:rPr>
      </w:pPr>
    </w:p>
    <w:p>
      <w:pPr>
        <w:ind w:left="500"/>
        <w:spacing w:after="0" w:line="257" w:lineRule="auto"/>
        <w:rPr>
          <w:sz w:val="20"/>
          <w:szCs w:val="20"/>
          <w:color w:val="auto"/>
        </w:rPr>
      </w:pPr>
      <w:r>
        <w:rPr>
          <w:rFonts w:ascii="Arial" w:cs="Arial" w:eastAsia="Arial" w:hAnsi="Arial"/>
          <w:sz w:val="18"/>
          <w:szCs w:val="18"/>
          <w:color w:val="auto"/>
        </w:rPr>
        <w:t>The Company has a Stock Incentive Plan under which 2,450 shares of the Company’s common stock are reserved for issuance to officers and key employees of the Company. Awards or grants under the plan may be made in the form of incentive and nonqualified stock options, stock appreciation rights, and restricted stock. The stock options must be issued with an exercise price not less than the fair market value of the Common Stock on the date of grant. The awards or grants under the plan may have various vesting and expiration periods as determined at the discretion of the committee administering the plan.</w:t>
      </w:r>
    </w:p>
    <w:p>
      <w:pPr>
        <w:spacing w:after="0" w:line="242" w:lineRule="exact"/>
        <w:rPr>
          <w:sz w:val="20"/>
          <w:szCs w:val="20"/>
          <w:color w:val="auto"/>
        </w:rPr>
      </w:pPr>
    </w:p>
    <w:p>
      <w:pPr>
        <w:ind w:left="500" w:right="240"/>
        <w:spacing w:after="0" w:line="277" w:lineRule="auto"/>
        <w:rPr>
          <w:sz w:val="20"/>
          <w:szCs w:val="20"/>
          <w:color w:val="auto"/>
        </w:rPr>
      </w:pPr>
      <w:r>
        <w:rPr>
          <w:rFonts w:ascii="Arial" w:cs="Arial" w:eastAsia="Arial" w:hAnsi="Arial"/>
          <w:sz w:val="18"/>
          <w:szCs w:val="18"/>
          <w:color w:val="auto"/>
        </w:rPr>
        <w:t>A summary of the status of the Company’s stock option plan as described above as of December 31, 2005, 2004 and 2003, and changes during the years ended on those dates is presented below:</w:t>
      </w:r>
    </w:p>
    <w:p>
      <w:pPr>
        <w:spacing w:after="0" w:line="275"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8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0"/>
                <w:szCs w:val="20"/>
                <w:color w:val="auto"/>
              </w:rPr>
            </w:pPr>
          </w:p>
        </w:tc>
        <w:tc>
          <w:tcPr>
            <w:tcW w:w="17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0"/>
                <w:szCs w:val="20"/>
                <w:color w:val="auto"/>
              </w:rPr>
            </w:pPr>
          </w:p>
        </w:tc>
        <w:tc>
          <w:tcPr>
            <w:tcW w:w="17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2003</w:t>
            </w:r>
          </w:p>
        </w:tc>
        <w:tc>
          <w:tcPr>
            <w:tcW w:w="80" w:type="dxa"/>
            <w:vAlign w:val="bottom"/>
          </w:tcPr>
          <w:p>
            <w:pPr>
              <w:spacing w:after="0"/>
              <w:rPr>
                <w:sz w:val="20"/>
                <w:szCs w:val="20"/>
                <w:color w:val="auto"/>
              </w:rPr>
            </w:pPr>
          </w:p>
        </w:tc>
      </w:tr>
      <w:tr>
        <w:trPr>
          <w:trHeight w:val="191"/>
        </w:trPr>
        <w:tc>
          <w:tcPr>
            <w:tcW w:w="2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Weighted-</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Weighted-</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6"/>
                <w:szCs w:val="16"/>
                <w:color w:val="auto"/>
              </w:rPr>
            </w:pPr>
          </w:p>
        </w:tc>
      </w:tr>
      <w:tr>
        <w:trPr>
          <w:trHeight w:val="216"/>
        </w:trPr>
        <w:tc>
          <w:tcPr>
            <w:tcW w:w="2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average</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average</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2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exercise</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exercise</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exercise</w:t>
            </w:r>
          </w:p>
        </w:tc>
      </w:tr>
      <w:tr>
        <w:trPr>
          <w:trHeight w:val="216"/>
        </w:trPr>
        <w:tc>
          <w:tcPr>
            <w:tcW w:w="2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price</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price</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price</w:t>
            </w:r>
          </w:p>
        </w:tc>
      </w:tr>
      <w:tr>
        <w:trPr>
          <w:trHeight w:val="234"/>
        </w:trPr>
        <w:tc>
          <w:tcPr>
            <w:tcW w:w="292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Shares</w:t>
            </w:r>
          </w:p>
        </w:tc>
        <w:tc>
          <w:tcPr>
            <w:tcW w:w="9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Per share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Shares</w:t>
            </w:r>
          </w:p>
        </w:tc>
        <w:tc>
          <w:tcPr>
            <w:tcW w:w="9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per share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Shares</w:t>
            </w:r>
          </w:p>
        </w:tc>
        <w:tc>
          <w:tcPr>
            <w:tcW w:w="9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per share</w:t>
            </w:r>
          </w:p>
        </w:tc>
      </w:tr>
      <w:tr>
        <w:trPr>
          <w:trHeight w:val="237"/>
        </w:trPr>
        <w:tc>
          <w:tcPr>
            <w:tcW w:w="2920" w:type="dxa"/>
            <w:vAlign w:val="bottom"/>
            <w:shd w:val="clear" w:color="auto" w:fill="E2EEF6"/>
          </w:tcPr>
          <w:p>
            <w:pPr>
              <w:spacing w:after="0"/>
              <w:rPr>
                <w:sz w:val="20"/>
                <w:szCs w:val="20"/>
                <w:color w:val="auto"/>
              </w:rPr>
            </w:pPr>
          </w:p>
        </w:tc>
        <w:tc>
          <w:tcPr>
            <w:tcW w:w="860" w:type="dxa"/>
            <w:vAlign w:val="bottom"/>
            <w:tcBorders>
              <w:top w:val="single" w:sz="8" w:color="auto"/>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100" w:type="dxa"/>
            <w:vAlign w:val="bottom"/>
            <w:tcBorders>
              <w:top w:val="single" w:sz="8" w:color="auto"/>
            </w:tcBorders>
            <w:shd w:val="clear" w:color="auto" w:fill="E2EEF6"/>
          </w:tcPr>
          <w:p>
            <w:pPr>
              <w:spacing w:after="0"/>
              <w:rPr>
                <w:sz w:val="20"/>
                <w:szCs w:val="20"/>
                <w:color w:val="auto"/>
              </w:rPr>
            </w:pPr>
          </w:p>
        </w:tc>
        <w:tc>
          <w:tcPr>
            <w:tcW w:w="780" w:type="dxa"/>
            <w:vAlign w:val="bottom"/>
            <w:tcBorders>
              <w:top w:val="single" w:sz="8" w:color="auto"/>
            </w:tcBorders>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840" w:type="dxa"/>
            <w:vAlign w:val="bottom"/>
            <w:tcBorders>
              <w:top w:val="single" w:sz="8" w:color="auto"/>
            </w:tcBorders>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120" w:type="dxa"/>
            <w:vAlign w:val="bottom"/>
            <w:tcBorders>
              <w:top w:val="single" w:sz="8" w:color="auto"/>
            </w:tcBorders>
            <w:shd w:val="clear" w:color="auto" w:fill="E2EEF6"/>
          </w:tcPr>
          <w:p>
            <w:pPr>
              <w:spacing w:after="0"/>
              <w:rPr>
                <w:sz w:val="20"/>
                <w:szCs w:val="20"/>
                <w:color w:val="auto"/>
              </w:rPr>
            </w:pPr>
          </w:p>
        </w:tc>
        <w:tc>
          <w:tcPr>
            <w:tcW w:w="740" w:type="dxa"/>
            <w:vAlign w:val="bottom"/>
            <w:tcBorders>
              <w:top w:val="single" w:sz="8" w:color="auto"/>
            </w:tcBorders>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840" w:type="dxa"/>
            <w:vAlign w:val="bottom"/>
            <w:tcBorders>
              <w:top w:val="single" w:sz="8" w:color="auto"/>
            </w:tcBorders>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100" w:type="dxa"/>
            <w:vAlign w:val="bottom"/>
            <w:tcBorders>
              <w:top w:val="single" w:sz="8" w:color="auto"/>
            </w:tcBorders>
            <w:shd w:val="clear" w:color="auto" w:fill="E2EEF6"/>
          </w:tcPr>
          <w:p>
            <w:pPr>
              <w:spacing w:after="0"/>
              <w:rPr>
                <w:sz w:val="20"/>
                <w:szCs w:val="20"/>
                <w:color w:val="auto"/>
              </w:rPr>
            </w:pPr>
          </w:p>
        </w:tc>
        <w:tc>
          <w:tcPr>
            <w:tcW w:w="740" w:type="dxa"/>
            <w:vAlign w:val="bottom"/>
            <w:tcBorders>
              <w:top w:val="single" w:sz="8" w:color="auto"/>
            </w:tcBorders>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r>
      <w:tr>
        <w:trPr>
          <w:trHeight w:val="243"/>
        </w:trPr>
        <w:tc>
          <w:tcPr>
            <w:tcW w:w="2920" w:type="dxa"/>
            <w:vAlign w:val="bottom"/>
          </w:tcPr>
          <w:p>
            <w:pPr>
              <w:spacing w:after="0"/>
              <w:rPr>
                <w:sz w:val="20"/>
                <w:szCs w:val="20"/>
                <w:color w:val="auto"/>
              </w:rPr>
            </w:pPr>
            <w:r>
              <w:rPr>
                <w:rFonts w:ascii="Arial" w:cs="Arial" w:eastAsia="Arial" w:hAnsi="Arial"/>
                <w:sz w:val="18"/>
                <w:szCs w:val="18"/>
                <w:color w:val="auto"/>
              </w:rPr>
              <w:t>Outstanding at beginning of year</w:t>
            </w:r>
          </w:p>
        </w:tc>
        <w:tc>
          <w:tcPr>
            <w:tcW w:w="860" w:type="dxa"/>
            <w:vAlign w:val="bottom"/>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8.82</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1,251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7.53</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7.33</w:t>
            </w:r>
          </w:p>
        </w:tc>
      </w:tr>
      <w:tr>
        <w:trPr>
          <w:trHeight w:val="243"/>
        </w:trPr>
        <w:tc>
          <w:tcPr>
            <w:tcW w:w="2920" w:type="dxa"/>
            <w:vAlign w:val="bottom"/>
            <w:shd w:val="clear" w:color="auto" w:fill="E2EEF6"/>
          </w:tcPr>
          <w:p>
            <w:pPr>
              <w:spacing w:after="0"/>
              <w:rPr>
                <w:sz w:val="21"/>
                <w:szCs w:val="21"/>
                <w:color w:val="auto"/>
              </w:rPr>
            </w:pPr>
          </w:p>
        </w:tc>
        <w:tc>
          <w:tcPr>
            <w:tcW w:w="8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78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8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7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8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7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r>
      <w:tr>
        <w:trPr>
          <w:trHeight w:val="243"/>
        </w:trPr>
        <w:tc>
          <w:tcPr>
            <w:tcW w:w="292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11.61</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12.62</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10.67</w:t>
            </w:r>
          </w:p>
        </w:tc>
      </w:tr>
      <w:tr>
        <w:trPr>
          <w:trHeight w:val="243"/>
        </w:trPr>
        <w:tc>
          <w:tcPr>
            <w:tcW w:w="2920" w:type="dxa"/>
            <w:vAlign w:val="bottom"/>
            <w:shd w:val="clear" w:color="auto" w:fill="E2EEF6"/>
          </w:tcPr>
          <w:p>
            <w:pPr>
              <w:spacing w:after="0"/>
              <w:rPr>
                <w:sz w:val="21"/>
                <w:szCs w:val="21"/>
                <w:color w:val="auto"/>
              </w:rPr>
            </w:pPr>
          </w:p>
        </w:tc>
        <w:tc>
          <w:tcPr>
            <w:tcW w:w="8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78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8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7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8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7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r>
      <w:tr>
        <w:trPr>
          <w:trHeight w:val="243"/>
        </w:trPr>
        <w:tc>
          <w:tcPr>
            <w:tcW w:w="2920" w:type="dxa"/>
            <w:vAlign w:val="bottom"/>
          </w:tcPr>
          <w:p>
            <w:pPr>
              <w:spacing w:after="0"/>
              <w:rPr>
                <w:sz w:val="20"/>
                <w:szCs w:val="20"/>
                <w:color w:val="auto"/>
              </w:rPr>
            </w:pPr>
            <w:r>
              <w:rPr>
                <w:rFonts w:ascii="Arial" w:cs="Arial" w:eastAsia="Arial" w:hAnsi="Arial"/>
                <w:sz w:val="18"/>
                <w:szCs w:val="18"/>
                <w:color w:val="auto"/>
              </w:rPr>
              <w:t>Exercised</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7.55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7.12</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6.74</w:t>
            </w:r>
          </w:p>
        </w:tc>
      </w:tr>
      <w:tr>
        <w:trPr>
          <w:trHeight w:val="243"/>
        </w:trPr>
        <w:tc>
          <w:tcPr>
            <w:tcW w:w="2920" w:type="dxa"/>
            <w:vAlign w:val="bottom"/>
            <w:shd w:val="clear" w:color="auto" w:fill="E2EEF6"/>
          </w:tcPr>
          <w:p>
            <w:pPr>
              <w:spacing w:after="0"/>
              <w:rPr>
                <w:sz w:val="21"/>
                <w:szCs w:val="21"/>
                <w:color w:val="auto"/>
              </w:rPr>
            </w:pPr>
          </w:p>
        </w:tc>
        <w:tc>
          <w:tcPr>
            <w:tcW w:w="8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78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8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7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8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7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r>
      <w:tr>
        <w:trPr>
          <w:trHeight w:val="243"/>
        </w:trPr>
        <w:tc>
          <w:tcPr>
            <w:tcW w:w="2920" w:type="dxa"/>
            <w:vAlign w:val="bottom"/>
          </w:tcPr>
          <w:p>
            <w:pPr>
              <w:spacing w:after="0"/>
              <w:rPr>
                <w:sz w:val="20"/>
                <w:szCs w:val="20"/>
                <w:color w:val="auto"/>
              </w:rPr>
            </w:pPr>
            <w:r>
              <w:rPr>
                <w:rFonts w:ascii="Arial" w:cs="Arial" w:eastAsia="Arial" w:hAnsi="Arial"/>
                <w:sz w:val="18"/>
                <w:szCs w:val="18"/>
                <w:color w:val="auto"/>
              </w:rPr>
              <w:t>Forfeited</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12.50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11.48</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7.63</w:t>
            </w:r>
          </w:p>
        </w:tc>
      </w:tr>
      <w:tr>
        <w:trPr>
          <w:trHeight w:val="237"/>
        </w:trPr>
        <w:tc>
          <w:tcPr>
            <w:tcW w:w="2920" w:type="dxa"/>
            <w:vAlign w:val="bottom"/>
            <w:shd w:val="clear" w:color="auto" w:fill="E2EEF6"/>
          </w:tcPr>
          <w:p>
            <w:pPr>
              <w:spacing w:after="0"/>
              <w:rPr>
                <w:sz w:val="20"/>
                <w:szCs w:val="20"/>
                <w:color w:val="auto"/>
              </w:rPr>
            </w:pPr>
          </w:p>
        </w:tc>
        <w:tc>
          <w:tcPr>
            <w:tcW w:w="860" w:type="dxa"/>
            <w:vAlign w:val="bottom"/>
            <w:tcBorders>
              <w:top w:val="single" w:sz="8" w:color="auto"/>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78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840" w:type="dxa"/>
            <w:vAlign w:val="bottom"/>
            <w:tcBorders>
              <w:top w:val="single" w:sz="8" w:color="auto"/>
            </w:tcBorders>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7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840" w:type="dxa"/>
            <w:vAlign w:val="bottom"/>
            <w:tcBorders>
              <w:top w:val="single" w:sz="8" w:color="auto"/>
            </w:tcBorders>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7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r>
      <w:tr>
        <w:trPr>
          <w:trHeight w:val="243"/>
        </w:trPr>
        <w:tc>
          <w:tcPr>
            <w:tcW w:w="292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86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9.56</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1,559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8.82</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7.53</w:t>
            </w:r>
          </w:p>
        </w:tc>
      </w:tr>
      <w:tr>
        <w:trPr>
          <w:trHeight w:val="20"/>
        </w:trPr>
        <w:tc>
          <w:tcPr>
            <w:tcW w:w="29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2920" w:type="dxa"/>
            <w:vAlign w:val="bottom"/>
            <w:shd w:val="clear" w:color="auto" w:fill="E2EEF6"/>
          </w:tcPr>
          <w:p>
            <w:pPr>
              <w:spacing w:after="0"/>
              <w:rPr>
                <w:sz w:val="19"/>
                <w:szCs w:val="19"/>
                <w:color w:val="auto"/>
              </w:rPr>
            </w:pPr>
          </w:p>
        </w:tc>
        <w:tc>
          <w:tcPr>
            <w:tcW w:w="86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780" w:type="dxa"/>
            <w:vAlign w:val="bottom"/>
            <w:shd w:val="clear" w:color="auto" w:fill="E2EEF6"/>
          </w:tcPr>
          <w:p>
            <w:pPr>
              <w:spacing w:after="0"/>
              <w:rPr>
                <w:sz w:val="19"/>
                <w:szCs w:val="19"/>
                <w:color w:val="auto"/>
              </w:rPr>
            </w:pPr>
          </w:p>
        </w:tc>
        <w:tc>
          <w:tcPr>
            <w:tcW w:w="80" w:type="dxa"/>
            <w:vAlign w:val="bottom"/>
            <w:shd w:val="clear" w:color="auto" w:fill="E2EEF6"/>
          </w:tcPr>
          <w:p>
            <w:pPr>
              <w:spacing w:after="0"/>
              <w:rPr>
                <w:sz w:val="19"/>
                <w:szCs w:val="19"/>
                <w:color w:val="auto"/>
              </w:rPr>
            </w:pPr>
          </w:p>
        </w:tc>
        <w:tc>
          <w:tcPr>
            <w:tcW w:w="840" w:type="dxa"/>
            <w:vAlign w:val="bottom"/>
            <w:shd w:val="clear" w:color="auto" w:fill="E2EEF6"/>
          </w:tcPr>
          <w:p>
            <w:pPr>
              <w:spacing w:after="0"/>
              <w:rPr>
                <w:sz w:val="19"/>
                <w:szCs w:val="19"/>
                <w:color w:val="auto"/>
              </w:rPr>
            </w:pPr>
          </w:p>
        </w:tc>
        <w:tc>
          <w:tcPr>
            <w:tcW w:w="8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740" w:type="dxa"/>
            <w:vAlign w:val="bottom"/>
            <w:shd w:val="clear" w:color="auto" w:fill="E2EEF6"/>
          </w:tcPr>
          <w:p>
            <w:pPr>
              <w:spacing w:after="0"/>
              <w:rPr>
                <w:sz w:val="19"/>
                <w:szCs w:val="19"/>
                <w:color w:val="auto"/>
              </w:rPr>
            </w:pPr>
          </w:p>
        </w:tc>
        <w:tc>
          <w:tcPr>
            <w:tcW w:w="80" w:type="dxa"/>
            <w:vAlign w:val="bottom"/>
            <w:shd w:val="clear" w:color="auto" w:fill="E2EEF6"/>
          </w:tcPr>
          <w:p>
            <w:pPr>
              <w:spacing w:after="0"/>
              <w:rPr>
                <w:sz w:val="19"/>
                <w:szCs w:val="19"/>
                <w:color w:val="auto"/>
              </w:rPr>
            </w:pPr>
          </w:p>
        </w:tc>
        <w:tc>
          <w:tcPr>
            <w:tcW w:w="840" w:type="dxa"/>
            <w:vAlign w:val="bottom"/>
            <w:shd w:val="clear" w:color="auto" w:fill="E2EEF6"/>
          </w:tcPr>
          <w:p>
            <w:pPr>
              <w:spacing w:after="0"/>
              <w:rPr>
                <w:sz w:val="19"/>
                <w:szCs w:val="19"/>
                <w:color w:val="auto"/>
              </w:rPr>
            </w:pPr>
          </w:p>
        </w:tc>
        <w:tc>
          <w:tcPr>
            <w:tcW w:w="8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740" w:type="dxa"/>
            <w:vAlign w:val="bottom"/>
            <w:shd w:val="clear" w:color="auto" w:fill="E2EEF6"/>
          </w:tcPr>
          <w:p>
            <w:pPr>
              <w:spacing w:after="0"/>
              <w:rPr>
                <w:sz w:val="19"/>
                <w:szCs w:val="19"/>
                <w:color w:val="auto"/>
              </w:rPr>
            </w:pPr>
          </w:p>
        </w:tc>
        <w:tc>
          <w:tcPr>
            <w:tcW w:w="80" w:type="dxa"/>
            <w:vAlign w:val="bottom"/>
            <w:shd w:val="clear" w:color="auto" w:fill="E2EEF6"/>
          </w:tcPr>
          <w:p>
            <w:pPr>
              <w:spacing w:after="0"/>
              <w:rPr>
                <w:sz w:val="19"/>
                <w:szCs w:val="19"/>
                <w:color w:val="auto"/>
              </w:rPr>
            </w:pPr>
          </w:p>
        </w:tc>
      </w:tr>
      <w:tr>
        <w:trPr>
          <w:trHeight w:val="243"/>
        </w:trPr>
        <w:tc>
          <w:tcPr>
            <w:tcW w:w="2920" w:type="dxa"/>
            <w:vAlign w:val="bottom"/>
          </w:tcPr>
          <w:p>
            <w:pPr>
              <w:spacing w:after="0"/>
              <w:rPr>
                <w:sz w:val="20"/>
                <w:szCs w:val="20"/>
                <w:color w:val="auto"/>
              </w:rPr>
            </w:pPr>
            <w:r>
              <w:rPr>
                <w:rFonts w:ascii="Arial" w:cs="Arial" w:eastAsia="Arial" w:hAnsi="Arial"/>
                <w:sz w:val="18"/>
                <w:szCs w:val="18"/>
                <w:color w:val="auto"/>
              </w:rPr>
              <w:t>Options exercisable at year-end</w:t>
            </w:r>
          </w:p>
        </w:tc>
        <w:tc>
          <w:tcPr>
            <w:tcW w:w="86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9.56</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7.84</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7.27</w:t>
            </w:r>
          </w:p>
        </w:tc>
      </w:tr>
      <w:tr>
        <w:trPr>
          <w:trHeight w:val="20"/>
        </w:trPr>
        <w:tc>
          <w:tcPr>
            <w:tcW w:w="29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vesting of 420 options outstanding, with strike prices ranging from $10.67 to $12.62, were accelerated on December 16, 2005 and these shares became fully vested at that date. The 2005 proforma compensation expense from vesting these options was approximately $672 after tax and is reported only in the proforma schedule below. As the exercise prices were above the market value of the stock at the date of acceleration, there was no compensation expense recognized in the 2005 financial statements. These options were vested primarily to reduce compensation expense that would be recorded upon the adoption of FAS 123 (R) on January 1, 2006.</w:t>
      </w:r>
    </w:p>
    <w:p>
      <w:pPr>
        <w:spacing w:after="0" w:line="242"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We have elected to continue accounting for our stock option compensation plan using the intrinsic value based method under APB Opinion No. 25 and accordingly have not recorded compensation expense for stock options for each of the three years ended December 31, 2005, 2004, and 2003.</w:t>
      </w:r>
    </w:p>
    <w:p>
      <w:pPr>
        <w:spacing w:after="0" w:line="17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Had compensation cost for the Company’s stock compensation plan been determined based on the fair value at the option grant dates consistent with the method of SFAS No. 123 and SFAS No. 148, the Company’s net income and earnings per share would have been as follows: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64" w:right="399" w:bottom="1440" w:gutter="0" w:footer="0" w:header="0"/>
        </w:sectPr>
      </w:pPr>
    </w:p>
    <w:bookmarkStart w:id="52" w:name="page53"/>
    <w:bookmarkEnd w:id="52"/>
    <w:p>
      <w:pPr>
        <w:jc w:val="center"/>
        <w:ind w:right="-1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2005, 2004 and 2003</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84"/>
        </w:trPr>
        <w:tc>
          <w:tcPr>
            <w:tcW w:w="5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2004</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2003</w:t>
            </w:r>
          </w:p>
        </w:tc>
      </w:tr>
      <w:tr>
        <w:trPr>
          <w:trHeight w:val="20"/>
        </w:trPr>
        <w:tc>
          <w:tcPr>
            <w:tcW w:w="5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060" w:type="dxa"/>
            <w:vAlign w:val="bottom"/>
            <w:shd w:val="clear" w:color="auto" w:fill="E2EEF6"/>
          </w:tcPr>
          <w:p>
            <w:pPr>
              <w:spacing w:after="0"/>
              <w:rPr>
                <w:sz w:val="20"/>
                <w:szCs w:val="20"/>
                <w:color w:val="auto"/>
              </w:rPr>
            </w:pPr>
            <w:r>
              <w:rPr>
                <w:rFonts w:ascii="Arial" w:cs="Arial" w:eastAsia="Arial" w:hAnsi="Arial"/>
                <w:sz w:val="18"/>
                <w:szCs w:val="18"/>
                <w:color w:val="auto"/>
              </w:rPr>
              <w:t>Net income - as reported</w:t>
            </w:r>
          </w:p>
        </w:tc>
        <w:tc>
          <w:tcPr>
            <w:tcW w:w="300" w:type="dxa"/>
            <w:vAlign w:val="bottom"/>
            <w:shd w:val="clear" w:color="auto" w:fill="E2EEF6"/>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15,012</w:t>
            </w:r>
          </w:p>
        </w:tc>
        <w:tc>
          <w:tcPr>
            <w:tcW w:w="160" w:type="dxa"/>
            <w:vAlign w:val="bottom"/>
            <w:shd w:val="clear" w:color="auto" w:fill="E2EEF6"/>
          </w:tcPr>
          <w:p>
            <w:pPr>
              <w:spacing w:after="0"/>
              <w:rPr>
                <w:sz w:val="20"/>
                <w:szCs w:val="20"/>
                <w:color w:val="auto"/>
              </w:rPr>
            </w:pPr>
          </w:p>
        </w:tc>
        <w:tc>
          <w:tcPr>
            <w:tcW w:w="340" w:type="dxa"/>
            <w:vAlign w:val="bottom"/>
            <w:shd w:val="clear" w:color="auto" w:fill="E2EEF6"/>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7,102</w:t>
            </w:r>
          </w:p>
        </w:tc>
        <w:tc>
          <w:tcPr>
            <w:tcW w:w="160" w:type="dxa"/>
            <w:vAlign w:val="bottom"/>
            <w:shd w:val="clear" w:color="auto" w:fill="E2EEF6"/>
          </w:tcPr>
          <w:p>
            <w:pPr>
              <w:spacing w:after="0"/>
              <w:rPr>
                <w:sz w:val="20"/>
                <w:szCs w:val="20"/>
                <w:color w:val="auto"/>
              </w:rPr>
            </w:pPr>
          </w:p>
        </w:tc>
        <w:tc>
          <w:tcPr>
            <w:tcW w:w="420" w:type="dxa"/>
            <w:vAlign w:val="bottom"/>
            <w:shd w:val="clear" w:color="auto" w:fill="E2EEF6"/>
          </w:tcPr>
          <w:p>
            <w:pPr>
              <w:jc w:val="right"/>
              <w:ind w:right="2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10,178</w:t>
            </w:r>
          </w:p>
        </w:tc>
      </w:tr>
      <w:tr>
        <w:trPr>
          <w:trHeight w:val="202"/>
        </w:trPr>
        <w:tc>
          <w:tcPr>
            <w:tcW w:w="5060" w:type="dxa"/>
            <w:vAlign w:val="bottom"/>
          </w:tcPr>
          <w:p>
            <w:pPr>
              <w:spacing w:after="0" w:line="201" w:lineRule="exact"/>
              <w:rPr>
                <w:sz w:val="20"/>
                <w:szCs w:val="20"/>
                <w:color w:val="auto"/>
              </w:rPr>
            </w:pPr>
            <w:r>
              <w:rPr>
                <w:rFonts w:ascii="Arial" w:cs="Arial" w:eastAsia="Arial" w:hAnsi="Arial"/>
                <w:sz w:val="18"/>
                <w:szCs w:val="18"/>
                <w:color w:val="auto"/>
                <w:w w:val="96"/>
              </w:rPr>
              <w:t>Stock based compensation costs (income) for options only, net of</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060" w:type="dxa"/>
            <w:vAlign w:val="bottom"/>
          </w:tcPr>
          <w:p>
            <w:pPr>
              <w:ind w:left="320"/>
              <w:spacing w:after="0"/>
              <w:rPr>
                <w:sz w:val="20"/>
                <w:szCs w:val="20"/>
                <w:color w:val="auto"/>
              </w:rPr>
            </w:pPr>
            <w:r>
              <w:rPr>
                <w:rFonts w:ascii="Arial" w:cs="Arial" w:eastAsia="Arial" w:hAnsi="Arial"/>
                <w:sz w:val="18"/>
                <w:szCs w:val="18"/>
                <w:color w:val="auto"/>
              </w:rPr>
              <w:t>income tax, included in net income as reported</w:t>
            </w:r>
          </w:p>
        </w:tc>
        <w:tc>
          <w:tcPr>
            <w:tcW w:w="3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3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r>
      <w:tr>
        <w:trPr>
          <w:trHeight w:val="202"/>
        </w:trPr>
        <w:tc>
          <w:tcPr>
            <w:tcW w:w="5060" w:type="dxa"/>
            <w:vAlign w:val="bottom"/>
            <w:shd w:val="clear" w:color="auto" w:fill="E2EEF6"/>
          </w:tcPr>
          <w:p>
            <w:pPr>
              <w:spacing w:after="0" w:line="201" w:lineRule="exact"/>
              <w:rPr>
                <w:sz w:val="20"/>
                <w:szCs w:val="20"/>
                <w:color w:val="auto"/>
              </w:rPr>
            </w:pPr>
            <w:r>
              <w:rPr>
                <w:rFonts w:ascii="Arial" w:cs="Arial" w:eastAsia="Arial" w:hAnsi="Arial"/>
                <w:sz w:val="18"/>
                <w:szCs w:val="18"/>
                <w:color w:val="auto"/>
              </w:rPr>
              <w:t>Stock based compensation costs, net of income tax, that would</w:t>
            </w:r>
          </w:p>
        </w:tc>
        <w:tc>
          <w:tcPr>
            <w:tcW w:w="300" w:type="dxa"/>
            <w:vAlign w:val="bottom"/>
            <w:shd w:val="clear" w:color="auto" w:fill="E2EEF6"/>
          </w:tcPr>
          <w:p>
            <w:pPr>
              <w:spacing w:after="0"/>
              <w:rPr>
                <w:sz w:val="17"/>
                <w:szCs w:val="17"/>
                <w:color w:val="auto"/>
              </w:rPr>
            </w:pPr>
          </w:p>
        </w:tc>
        <w:tc>
          <w:tcPr>
            <w:tcW w:w="740" w:type="dxa"/>
            <w:vAlign w:val="bottom"/>
            <w:shd w:val="clear" w:color="auto" w:fill="E2EEF6"/>
          </w:tcPr>
          <w:p>
            <w:pPr>
              <w:spacing w:after="0"/>
              <w:rPr>
                <w:sz w:val="17"/>
                <w:szCs w:val="17"/>
                <w:color w:val="auto"/>
              </w:rPr>
            </w:pPr>
          </w:p>
        </w:tc>
        <w:tc>
          <w:tcPr>
            <w:tcW w:w="160" w:type="dxa"/>
            <w:vAlign w:val="bottom"/>
            <w:shd w:val="clear" w:color="auto" w:fill="E2EEF6"/>
          </w:tcPr>
          <w:p>
            <w:pPr>
              <w:spacing w:after="0"/>
              <w:rPr>
                <w:sz w:val="17"/>
                <w:szCs w:val="17"/>
                <w:color w:val="auto"/>
              </w:rPr>
            </w:pPr>
          </w:p>
        </w:tc>
        <w:tc>
          <w:tcPr>
            <w:tcW w:w="340" w:type="dxa"/>
            <w:vAlign w:val="bottom"/>
            <w:shd w:val="clear" w:color="auto" w:fill="E2EEF6"/>
          </w:tcPr>
          <w:p>
            <w:pPr>
              <w:spacing w:after="0"/>
              <w:rPr>
                <w:sz w:val="17"/>
                <w:szCs w:val="17"/>
                <w:color w:val="auto"/>
              </w:rPr>
            </w:pPr>
          </w:p>
        </w:tc>
        <w:tc>
          <w:tcPr>
            <w:tcW w:w="680" w:type="dxa"/>
            <w:vAlign w:val="bottom"/>
            <w:shd w:val="clear" w:color="auto" w:fill="E2EEF6"/>
          </w:tcPr>
          <w:p>
            <w:pPr>
              <w:spacing w:after="0"/>
              <w:rPr>
                <w:sz w:val="17"/>
                <w:szCs w:val="17"/>
                <w:color w:val="auto"/>
              </w:rPr>
            </w:pPr>
          </w:p>
        </w:tc>
        <w:tc>
          <w:tcPr>
            <w:tcW w:w="160" w:type="dxa"/>
            <w:vAlign w:val="bottom"/>
            <w:shd w:val="clear" w:color="auto" w:fill="E2EEF6"/>
          </w:tcPr>
          <w:p>
            <w:pPr>
              <w:spacing w:after="0"/>
              <w:rPr>
                <w:sz w:val="17"/>
                <w:szCs w:val="17"/>
                <w:color w:val="auto"/>
              </w:rPr>
            </w:pPr>
          </w:p>
        </w:tc>
        <w:tc>
          <w:tcPr>
            <w:tcW w:w="420" w:type="dxa"/>
            <w:vAlign w:val="bottom"/>
            <w:shd w:val="clear" w:color="auto" w:fill="E2EEF6"/>
          </w:tcPr>
          <w:p>
            <w:pPr>
              <w:spacing w:after="0"/>
              <w:rPr>
                <w:sz w:val="17"/>
                <w:szCs w:val="17"/>
                <w:color w:val="auto"/>
              </w:rPr>
            </w:pPr>
          </w:p>
        </w:tc>
        <w:tc>
          <w:tcPr>
            <w:tcW w:w="600" w:type="dxa"/>
            <w:vAlign w:val="bottom"/>
            <w:shd w:val="clear" w:color="auto" w:fill="E2EEF6"/>
          </w:tcPr>
          <w:p>
            <w:pPr>
              <w:spacing w:after="0"/>
              <w:rPr>
                <w:sz w:val="17"/>
                <w:szCs w:val="17"/>
                <w:color w:val="auto"/>
              </w:rPr>
            </w:pPr>
          </w:p>
        </w:tc>
        <w:tc>
          <w:tcPr>
            <w:tcW w:w="80" w:type="dxa"/>
            <w:vAlign w:val="bottom"/>
            <w:shd w:val="clear" w:color="auto" w:fill="E2EEF6"/>
          </w:tcPr>
          <w:p>
            <w:pPr>
              <w:spacing w:after="0"/>
              <w:rPr>
                <w:sz w:val="17"/>
                <w:szCs w:val="17"/>
                <w:color w:val="auto"/>
              </w:rPr>
            </w:pPr>
          </w:p>
        </w:tc>
      </w:tr>
      <w:tr>
        <w:trPr>
          <w:trHeight w:val="216"/>
        </w:trPr>
        <w:tc>
          <w:tcPr>
            <w:tcW w:w="5060" w:type="dxa"/>
            <w:vAlign w:val="bottom"/>
            <w:shd w:val="clear" w:color="auto" w:fill="E2EEF6"/>
          </w:tcPr>
          <w:p>
            <w:pPr>
              <w:ind w:left="320"/>
              <w:spacing w:after="0"/>
              <w:rPr>
                <w:sz w:val="20"/>
                <w:szCs w:val="20"/>
                <w:color w:val="auto"/>
              </w:rPr>
            </w:pPr>
            <w:r>
              <w:rPr>
                <w:rFonts w:ascii="Arial" w:cs="Arial" w:eastAsia="Arial" w:hAnsi="Arial"/>
                <w:sz w:val="18"/>
                <w:szCs w:val="18"/>
                <w:color w:val="auto"/>
                <w:w w:val="96"/>
              </w:rPr>
              <w:t>have been included in net income if the fair value method had</w:t>
            </w:r>
          </w:p>
        </w:tc>
        <w:tc>
          <w:tcPr>
            <w:tcW w:w="300" w:type="dxa"/>
            <w:vAlign w:val="bottom"/>
            <w:shd w:val="clear" w:color="auto" w:fill="E2EEF6"/>
          </w:tcPr>
          <w:p>
            <w:pPr>
              <w:spacing w:after="0"/>
              <w:rPr>
                <w:sz w:val="18"/>
                <w:szCs w:val="18"/>
                <w:color w:val="auto"/>
              </w:rPr>
            </w:pPr>
          </w:p>
        </w:tc>
        <w:tc>
          <w:tcPr>
            <w:tcW w:w="740" w:type="dxa"/>
            <w:vAlign w:val="bottom"/>
            <w:shd w:val="clear" w:color="auto" w:fill="E2EEF6"/>
          </w:tcPr>
          <w:p>
            <w:pPr>
              <w:spacing w:after="0"/>
              <w:rPr>
                <w:sz w:val="18"/>
                <w:szCs w:val="18"/>
                <w:color w:val="auto"/>
              </w:rPr>
            </w:pPr>
          </w:p>
        </w:tc>
        <w:tc>
          <w:tcPr>
            <w:tcW w:w="160" w:type="dxa"/>
            <w:vAlign w:val="bottom"/>
            <w:shd w:val="clear" w:color="auto" w:fill="E2EEF6"/>
          </w:tcPr>
          <w:p>
            <w:pPr>
              <w:spacing w:after="0"/>
              <w:rPr>
                <w:sz w:val="18"/>
                <w:szCs w:val="18"/>
                <w:color w:val="auto"/>
              </w:rPr>
            </w:pPr>
          </w:p>
        </w:tc>
        <w:tc>
          <w:tcPr>
            <w:tcW w:w="340" w:type="dxa"/>
            <w:vAlign w:val="bottom"/>
            <w:shd w:val="clear" w:color="auto" w:fill="E2EEF6"/>
          </w:tcPr>
          <w:p>
            <w:pPr>
              <w:spacing w:after="0"/>
              <w:rPr>
                <w:sz w:val="18"/>
                <w:szCs w:val="18"/>
                <w:color w:val="auto"/>
              </w:rPr>
            </w:pPr>
          </w:p>
        </w:tc>
        <w:tc>
          <w:tcPr>
            <w:tcW w:w="680" w:type="dxa"/>
            <w:vAlign w:val="bottom"/>
            <w:shd w:val="clear" w:color="auto" w:fill="E2EEF6"/>
          </w:tcPr>
          <w:p>
            <w:pPr>
              <w:spacing w:after="0"/>
              <w:rPr>
                <w:sz w:val="18"/>
                <w:szCs w:val="18"/>
                <w:color w:val="auto"/>
              </w:rPr>
            </w:pPr>
          </w:p>
        </w:tc>
        <w:tc>
          <w:tcPr>
            <w:tcW w:w="160" w:type="dxa"/>
            <w:vAlign w:val="bottom"/>
            <w:shd w:val="clear" w:color="auto" w:fill="E2EEF6"/>
          </w:tcPr>
          <w:p>
            <w:pPr>
              <w:spacing w:after="0"/>
              <w:rPr>
                <w:sz w:val="18"/>
                <w:szCs w:val="18"/>
                <w:color w:val="auto"/>
              </w:rPr>
            </w:pPr>
          </w:p>
        </w:tc>
        <w:tc>
          <w:tcPr>
            <w:tcW w:w="420" w:type="dxa"/>
            <w:vAlign w:val="bottom"/>
            <w:shd w:val="clear" w:color="auto" w:fill="E2EEF6"/>
          </w:tcPr>
          <w:p>
            <w:pPr>
              <w:spacing w:after="0"/>
              <w:rPr>
                <w:sz w:val="18"/>
                <w:szCs w:val="18"/>
                <w:color w:val="auto"/>
              </w:rPr>
            </w:pPr>
          </w:p>
        </w:tc>
        <w:tc>
          <w:tcPr>
            <w:tcW w:w="600" w:type="dxa"/>
            <w:vAlign w:val="bottom"/>
            <w:shd w:val="clear" w:color="auto" w:fill="E2EEF6"/>
          </w:tcPr>
          <w:p>
            <w:pPr>
              <w:spacing w:after="0"/>
              <w:rPr>
                <w:sz w:val="18"/>
                <w:szCs w:val="18"/>
                <w:color w:val="auto"/>
              </w:rPr>
            </w:pPr>
          </w:p>
        </w:tc>
        <w:tc>
          <w:tcPr>
            <w:tcW w:w="80" w:type="dxa"/>
            <w:vAlign w:val="bottom"/>
            <w:shd w:val="clear" w:color="auto" w:fill="E2EEF6"/>
          </w:tcPr>
          <w:p>
            <w:pPr>
              <w:spacing w:after="0"/>
              <w:rPr>
                <w:sz w:val="18"/>
                <w:szCs w:val="18"/>
                <w:color w:val="auto"/>
              </w:rPr>
            </w:pPr>
          </w:p>
        </w:tc>
      </w:tr>
      <w:tr>
        <w:trPr>
          <w:trHeight w:val="257"/>
        </w:trPr>
        <w:tc>
          <w:tcPr>
            <w:tcW w:w="5060" w:type="dxa"/>
            <w:vAlign w:val="bottom"/>
            <w:shd w:val="clear" w:color="auto" w:fill="E2EEF6"/>
          </w:tcPr>
          <w:p>
            <w:pPr>
              <w:ind w:left="320"/>
              <w:spacing w:after="0"/>
              <w:rPr>
                <w:sz w:val="20"/>
                <w:szCs w:val="20"/>
                <w:color w:val="auto"/>
              </w:rPr>
            </w:pPr>
            <w:r>
              <w:rPr>
                <w:rFonts w:ascii="Arial" w:cs="Arial" w:eastAsia="Arial" w:hAnsi="Arial"/>
                <w:sz w:val="18"/>
                <w:szCs w:val="18"/>
                <w:color w:val="auto"/>
              </w:rPr>
              <w:t>been applied</w:t>
            </w:r>
          </w:p>
        </w:tc>
        <w:tc>
          <w:tcPr>
            <w:tcW w:w="300" w:type="dxa"/>
            <w:vAlign w:val="bottom"/>
            <w:shd w:val="clear" w:color="auto" w:fill="E2EEF6"/>
          </w:tcPr>
          <w:p>
            <w:pPr>
              <w:spacing w:after="0"/>
              <w:rPr>
                <w:sz w:val="22"/>
                <w:szCs w:val="22"/>
                <w:color w:val="auto"/>
              </w:rPr>
            </w:pPr>
          </w:p>
        </w:tc>
        <w:tc>
          <w:tcPr>
            <w:tcW w:w="9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(860)</w:t>
            </w:r>
          </w:p>
        </w:tc>
        <w:tc>
          <w:tcPr>
            <w:tcW w:w="340" w:type="dxa"/>
            <w:vAlign w:val="bottom"/>
            <w:shd w:val="clear" w:color="auto" w:fill="E2EEF6"/>
          </w:tcPr>
          <w:p>
            <w:pPr>
              <w:spacing w:after="0"/>
              <w:rPr>
                <w:sz w:val="22"/>
                <w:szCs w:val="22"/>
                <w:color w:val="auto"/>
              </w:rPr>
            </w:pPr>
          </w:p>
        </w:tc>
        <w:tc>
          <w:tcPr>
            <w:tcW w:w="8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(494)</w:t>
            </w:r>
          </w:p>
        </w:tc>
        <w:tc>
          <w:tcPr>
            <w:tcW w:w="420" w:type="dxa"/>
            <w:vAlign w:val="bottom"/>
            <w:shd w:val="clear" w:color="auto" w:fill="E2EEF6"/>
          </w:tcPr>
          <w:p>
            <w:pPr>
              <w:spacing w:after="0"/>
              <w:rPr>
                <w:sz w:val="22"/>
                <w:szCs w:val="22"/>
                <w:color w:val="auto"/>
              </w:rPr>
            </w:pPr>
          </w:p>
        </w:tc>
        <w:tc>
          <w:tcPr>
            <w:tcW w:w="68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(1,001)</w:t>
            </w:r>
          </w:p>
        </w:tc>
      </w:tr>
      <w:tr>
        <w:trPr>
          <w:trHeight w:val="20"/>
        </w:trPr>
        <w:tc>
          <w:tcPr>
            <w:tcW w:w="5060" w:type="dxa"/>
            <w:vAlign w:val="bottom"/>
            <w:shd w:val="clear" w:color="auto" w:fill="E2EEF6"/>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E2EEF6"/>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E2EEF6"/>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E2EEF6"/>
          </w:tcPr>
          <w:p>
            <w:pPr>
              <w:spacing w:after="0" w:line="20" w:lineRule="exact"/>
              <w:rPr>
                <w:sz w:val="1"/>
                <w:szCs w:val="1"/>
                <w:color w:val="auto"/>
              </w:rPr>
            </w:pPr>
          </w:p>
        </w:tc>
      </w:tr>
      <w:tr>
        <w:trPr>
          <w:trHeight w:val="237"/>
        </w:trPr>
        <w:tc>
          <w:tcPr>
            <w:tcW w:w="5060" w:type="dxa"/>
            <w:vAlign w:val="bottom"/>
          </w:tcPr>
          <w:p>
            <w:pPr>
              <w:spacing w:after="0"/>
              <w:rPr>
                <w:sz w:val="20"/>
                <w:szCs w:val="20"/>
                <w:color w:val="auto"/>
              </w:rPr>
            </w:pPr>
            <w:r>
              <w:rPr>
                <w:rFonts w:ascii="Arial" w:cs="Arial" w:eastAsia="Arial" w:hAnsi="Arial"/>
                <w:sz w:val="18"/>
                <w:szCs w:val="18"/>
                <w:color w:val="auto"/>
              </w:rPr>
              <w:t>Net income - proforma</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13,970</w:t>
            </w:r>
          </w:p>
        </w:tc>
        <w:tc>
          <w:tcPr>
            <w:tcW w:w="160" w:type="dxa"/>
            <w:vAlign w:val="bottom"/>
          </w:tcPr>
          <w:p>
            <w:pPr>
              <w:spacing w:after="0"/>
              <w:rPr>
                <w:sz w:val="20"/>
                <w:szCs w:val="20"/>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6,635</w:t>
            </w:r>
          </w:p>
        </w:tc>
        <w:tc>
          <w:tcPr>
            <w:tcW w:w="16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9,337</w:t>
            </w:r>
          </w:p>
        </w:tc>
      </w:tr>
      <w:tr>
        <w:trPr>
          <w:trHeight w:val="20"/>
        </w:trPr>
        <w:tc>
          <w:tcPr>
            <w:tcW w:w="5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506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74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340" w:type="dxa"/>
            <w:vAlign w:val="bottom"/>
            <w:shd w:val="clear" w:color="auto" w:fill="E2EEF6"/>
          </w:tcPr>
          <w:p>
            <w:pPr>
              <w:spacing w:after="0"/>
              <w:rPr>
                <w:sz w:val="19"/>
                <w:szCs w:val="19"/>
                <w:color w:val="auto"/>
              </w:rPr>
            </w:pPr>
          </w:p>
        </w:tc>
        <w:tc>
          <w:tcPr>
            <w:tcW w:w="68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420" w:type="dxa"/>
            <w:vAlign w:val="bottom"/>
            <w:shd w:val="clear" w:color="auto" w:fill="E2EEF6"/>
          </w:tcPr>
          <w:p>
            <w:pPr>
              <w:spacing w:after="0"/>
              <w:rPr>
                <w:sz w:val="19"/>
                <w:szCs w:val="19"/>
                <w:color w:val="auto"/>
              </w:rPr>
            </w:pPr>
          </w:p>
        </w:tc>
        <w:tc>
          <w:tcPr>
            <w:tcW w:w="600" w:type="dxa"/>
            <w:vAlign w:val="bottom"/>
            <w:shd w:val="clear" w:color="auto" w:fill="E2EEF6"/>
          </w:tcPr>
          <w:p>
            <w:pPr>
              <w:spacing w:after="0"/>
              <w:rPr>
                <w:sz w:val="19"/>
                <w:szCs w:val="19"/>
                <w:color w:val="auto"/>
              </w:rPr>
            </w:pPr>
          </w:p>
        </w:tc>
        <w:tc>
          <w:tcPr>
            <w:tcW w:w="80" w:type="dxa"/>
            <w:vAlign w:val="bottom"/>
            <w:shd w:val="clear" w:color="auto" w:fill="E2EEF6"/>
          </w:tcPr>
          <w:p>
            <w:pPr>
              <w:spacing w:after="0"/>
              <w:rPr>
                <w:sz w:val="19"/>
                <w:szCs w:val="19"/>
                <w:color w:val="auto"/>
              </w:rPr>
            </w:pP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Earnings per share - as reported</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0.88</w:t>
            </w:r>
          </w:p>
        </w:tc>
        <w:tc>
          <w:tcPr>
            <w:tcW w:w="160" w:type="dxa"/>
            <w:vAlign w:val="bottom"/>
          </w:tcPr>
          <w:p>
            <w:pPr>
              <w:spacing w:after="0"/>
              <w:rPr>
                <w:sz w:val="21"/>
                <w:szCs w:val="21"/>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0.42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0.64</w:t>
            </w:r>
          </w:p>
        </w:tc>
      </w:tr>
      <w:tr>
        <w:trPr>
          <w:trHeight w:val="202"/>
        </w:trPr>
        <w:tc>
          <w:tcPr>
            <w:tcW w:w="5060" w:type="dxa"/>
            <w:vAlign w:val="bottom"/>
            <w:shd w:val="clear" w:color="auto" w:fill="E2EEF6"/>
          </w:tcPr>
          <w:p>
            <w:pPr>
              <w:spacing w:after="0" w:line="201" w:lineRule="exact"/>
              <w:rPr>
                <w:sz w:val="20"/>
                <w:szCs w:val="20"/>
                <w:color w:val="auto"/>
              </w:rPr>
            </w:pPr>
            <w:r>
              <w:rPr>
                <w:rFonts w:ascii="Arial" w:cs="Arial" w:eastAsia="Arial" w:hAnsi="Arial"/>
                <w:sz w:val="18"/>
                <w:szCs w:val="18"/>
                <w:color w:val="auto"/>
                <w:w w:val="93"/>
              </w:rPr>
              <w:t>Stock based compensation costs, net of income tax, included in net</w:t>
            </w:r>
          </w:p>
        </w:tc>
        <w:tc>
          <w:tcPr>
            <w:tcW w:w="300" w:type="dxa"/>
            <w:vAlign w:val="bottom"/>
            <w:shd w:val="clear" w:color="auto" w:fill="E2EEF6"/>
          </w:tcPr>
          <w:p>
            <w:pPr>
              <w:spacing w:after="0"/>
              <w:rPr>
                <w:sz w:val="17"/>
                <w:szCs w:val="17"/>
                <w:color w:val="auto"/>
              </w:rPr>
            </w:pPr>
          </w:p>
        </w:tc>
        <w:tc>
          <w:tcPr>
            <w:tcW w:w="740" w:type="dxa"/>
            <w:vAlign w:val="bottom"/>
            <w:shd w:val="clear" w:color="auto" w:fill="E2EEF6"/>
          </w:tcPr>
          <w:p>
            <w:pPr>
              <w:spacing w:after="0"/>
              <w:rPr>
                <w:sz w:val="17"/>
                <w:szCs w:val="17"/>
                <w:color w:val="auto"/>
              </w:rPr>
            </w:pPr>
          </w:p>
        </w:tc>
        <w:tc>
          <w:tcPr>
            <w:tcW w:w="160" w:type="dxa"/>
            <w:vAlign w:val="bottom"/>
            <w:shd w:val="clear" w:color="auto" w:fill="E2EEF6"/>
          </w:tcPr>
          <w:p>
            <w:pPr>
              <w:spacing w:after="0"/>
              <w:rPr>
                <w:sz w:val="17"/>
                <w:szCs w:val="17"/>
                <w:color w:val="auto"/>
              </w:rPr>
            </w:pPr>
          </w:p>
        </w:tc>
        <w:tc>
          <w:tcPr>
            <w:tcW w:w="340" w:type="dxa"/>
            <w:vAlign w:val="bottom"/>
            <w:shd w:val="clear" w:color="auto" w:fill="E2EEF6"/>
          </w:tcPr>
          <w:p>
            <w:pPr>
              <w:spacing w:after="0"/>
              <w:rPr>
                <w:sz w:val="17"/>
                <w:szCs w:val="17"/>
                <w:color w:val="auto"/>
              </w:rPr>
            </w:pPr>
          </w:p>
        </w:tc>
        <w:tc>
          <w:tcPr>
            <w:tcW w:w="680" w:type="dxa"/>
            <w:vAlign w:val="bottom"/>
            <w:shd w:val="clear" w:color="auto" w:fill="E2EEF6"/>
          </w:tcPr>
          <w:p>
            <w:pPr>
              <w:spacing w:after="0"/>
              <w:rPr>
                <w:sz w:val="17"/>
                <w:szCs w:val="17"/>
                <w:color w:val="auto"/>
              </w:rPr>
            </w:pPr>
          </w:p>
        </w:tc>
        <w:tc>
          <w:tcPr>
            <w:tcW w:w="160" w:type="dxa"/>
            <w:vAlign w:val="bottom"/>
            <w:shd w:val="clear" w:color="auto" w:fill="E2EEF6"/>
          </w:tcPr>
          <w:p>
            <w:pPr>
              <w:spacing w:after="0"/>
              <w:rPr>
                <w:sz w:val="17"/>
                <w:szCs w:val="17"/>
                <w:color w:val="auto"/>
              </w:rPr>
            </w:pPr>
          </w:p>
        </w:tc>
        <w:tc>
          <w:tcPr>
            <w:tcW w:w="420" w:type="dxa"/>
            <w:vAlign w:val="bottom"/>
            <w:shd w:val="clear" w:color="auto" w:fill="E2EEF6"/>
          </w:tcPr>
          <w:p>
            <w:pPr>
              <w:spacing w:after="0"/>
              <w:rPr>
                <w:sz w:val="17"/>
                <w:szCs w:val="17"/>
                <w:color w:val="auto"/>
              </w:rPr>
            </w:pPr>
          </w:p>
        </w:tc>
        <w:tc>
          <w:tcPr>
            <w:tcW w:w="600" w:type="dxa"/>
            <w:vAlign w:val="bottom"/>
            <w:shd w:val="clear" w:color="auto" w:fill="E2EEF6"/>
          </w:tcPr>
          <w:p>
            <w:pPr>
              <w:spacing w:after="0"/>
              <w:rPr>
                <w:sz w:val="17"/>
                <w:szCs w:val="17"/>
                <w:color w:val="auto"/>
              </w:rPr>
            </w:pPr>
          </w:p>
        </w:tc>
        <w:tc>
          <w:tcPr>
            <w:tcW w:w="80" w:type="dxa"/>
            <w:vAlign w:val="bottom"/>
            <w:shd w:val="clear" w:color="auto" w:fill="E2EEF6"/>
          </w:tcPr>
          <w:p>
            <w:pPr>
              <w:spacing w:after="0"/>
              <w:rPr>
                <w:sz w:val="17"/>
                <w:szCs w:val="17"/>
                <w:color w:val="auto"/>
              </w:rPr>
            </w:pPr>
          </w:p>
        </w:tc>
      </w:tr>
      <w:tr>
        <w:trPr>
          <w:trHeight w:val="230"/>
        </w:trPr>
        <w:tc>
          <w:tcPr>
            <w:tcW w:w="5060" w:type="dxa"/>
            <w:vAlign w:val="bottom"/>
            <w:shd w:val="clear" w:color="auto" w:fill="E2EEF6"/>
          </w:tcPr>
          <w:p>
            <w:pPr>
              <w:ind w:left="320"/>
              <w:spacing w:after="0"/>
              <w:rPr>
                <w:sz w:val="20"/>
                <w:szCs w:val="20"/>
                <w:color w:val="auto"/>
              </w:rPr>
            </w:pPr>
            <w:r>
              <w:rPr>
                <w:rFonts w:ascii="Arial" w:cs="Arial" w:eastAsia="Arial" w:hAnsi="Arial"/>
                <w:sz w:val="18"/>
                <w:szCs w:val="18"/>
                <w:color w:val="auto"/>
              </w:rPr>
              <w:t>income as reported</w:t>
            </w:r>
          </w:p>
        </w:tc>
        <w:tc>
          <w:tcPr>
            <w:tcW w:w="300" w:type="dxa"/>
            <w:vAlign w:val="bottom"/>
            <w:shd w:val="clear" w:color="auto" w:fill="E2EEF6"/>
          </w:tcPr>
          <w:p>
            <w:pPr>
              <w:spacing w:after="0"/>
              <w:rPr>
                <w:sz w:val="20"/>
                <w:szCs w:val="20"/>
                <w:color w:val="auto"/>
              </w:rPr>
            </w:pPr>
          </w:p>
        </w:tc>
        <w:tc>
          <w:tcPr>
            <w:tcW w:w="9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(0.01)</w:t>
            </w:r>
          </w:p>
        </w:tc>
        <w:tc>
          <w:tcPr>
            <w:tcW w:w="340" w:type="dxa"/>
            <w:vAlign w:val="bottom"/>
            <w:shd w:val="clear" w:color="auto" w:fill="E2EEF6"/>
          </w:tcPr>
          <w:p>
            <w:pPr>
              <w:spacing w:after="0"/>
              <w:rPr>
                <w:sz w:val="20"/>
                <w:szCs w:val="20"/>
                <w:color w:val="auto"/>
              </w:rPr>
            </w:pPr>
          </w:p>
        </w:tc>
        <w:tc>
          <w:tcPr>
            <w:tcW w:w="84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E2EEF6"/>
          </w:tcPr>
          <w:p>
            <w:pPr>
              <w:spacing w:after="0"/>
              <w:rPr>
                <w:sz w:val="20"/>
                <w:szCs w:val="20"/>
                <w:color w:val="auto"/>
              </w:rPr>
            </w:pPr>
          </w:p>
        </w:tc>
        <w:tc>
          <w:tcPr>
            <w:tcW w:w="6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0.01</w:t>
            </w:r>
          </w:p>
        </w:tc>
      </w:tr>
      <w:tr>
        <w:trPr>
          <w:trHeight w:val="202"/>
        </w:trPr>
        <w:tc>
          <w:tcPr>
            <w:tcW w:w="5060" w:type="dxa"/>
            <w:vAlign w:val="bottom"/>
          </w:tcPr>
          <w:p>
            <w:pPr>
              <w:spacing w:after="0" w:line="201" w:lineRule="exact"/>
              <w:rPr>
                <w:sz w:val="20"/>
                <w:szCs w:val="20"/>
                <w:color w:val="auto"/>
              </w:rPr>
            </w:pPr>
            <w:r>
              <w:rPr>
                <w:rFonts w:ascii="Arial" w:cs="Arial" w:eastAsia="Arial" w:hAnsi="Arial"/>
                <w:sz w:val="18"/>
                <w:szCs w:val="18"/>
                <w:color w:val="auto"/>
              </w:rPr>
              <w:t>Stock based compensation costs, net of income tax, that would</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060" w:type="dxa"/>
            <w:vAlign w:val="bottom"/>
          </w:tcPr>
          <w:p>
            <w:pPr>
              <w:ind w:left="320"/>
              <w:spacing w:after="0"/>
              <w:rPr>
                <w:sz w:val="20"/>
                <w:szCs w:val="20"/>
                <w:color w:val="auto"/>
              </w:rPr>
            </w:pPr>
            <w:r>
              <w:rPr>
                <w:rFonts w:ascii="Arial" w:cs="Arial" w:eastAsia="Arial" w:hAnsi="Arial"/>
                <w:sz w:val="18"/>
                <w:szCs w:val="18"/>
                <w:color w:val="auto"/>
                <w:w w:val="96"/>
              </w:rPr>
              <w:t>have been included in net income if the fair value method had</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5060" w:type="dxa"/>
            <w:vAlign w:val="bottom"/>
          </w:tcPr>
          <w:p>
            <w:pPr>
              <w:ind w:left="320"/>
              <w:spacing w:after="0"/>
              <w:rPr>
                <w:sz w:val="20"/>
                <w:szCs w:val="20"/>
                <w:color w:val="auto"/>
              </w:rPr>
            </w:pPr>
            <w:r>
              <w:rPr>
                <w:rFonts w:ascii="Arial" w:cs="Arial" w:eastAsia="Arial" w:hAnsi="Arial"/>
                <w:sz w:val="18"/>
                <w:szCs w:val="18"/>
                <w:color w:val="auto"/>
              </w:rPr>
              <w:t>been applied</w:t>
            </w:r>
          </w:p>
        </w:tc>
        <w:tc>
          <w:tcPr>
            <w:tcW w:w="3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34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42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r>
      <w:tr>
        <w:trPr>
          <w:trHeight w:val="20"/>
        </w:trPr>
        <w:tc>
          <w:tcPr>
            <w:tcW w:w="5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5060" w:type="dxa"/>
            <w:vAlign w:val="bottom"/>
            <w:shd w:val="clear" w:color="auto" w:fill="E2EEF6"/>
          </w:tcPr>
          <w:p>
            <w:pPr>
              <w:spacing w:after="0"/>
              <w:rPr>
                <w:sz w:val="20"/>
                <w:szCs w:val="20"/>
                <w:color w:val="auto"/>
              </w:rPr>
            </w:pPr>
            <w:r>
              <w:rPr>
                <w:rFonts w:ascii="Arial" w:cs="Arial" w:eastAsia="Arial" w:hAnsi="Arial"/>
                <w:sz w:val="18"/>
                <w:szCs w:val="18"/>
                <w:color w:val="auto"/>
              </w:rPr>
              <w:t>Earnings per share - proforma</w:t>
            </w:r>
          </w:p>
        </w:tc>
        <w:tc>
          <w:tcPr>
            <w:tcW w:w="300" w:type="dxa"/>
            <w:vAlign w:val="bottom"/>
            <w:shd w:val="clear" w:color="auto" w:fill="E2EEF6"/>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0.82</w:t>
            </w:r>
          </w:p>
        </w:tc>
        <w:tc>
          <w:tcPr>
            <w:tcW w:w="160" w:type="dxa"/>
            <w:vAlign w:val="bottom"/>
            <w:shd w:val="clear" w:color="auto" w:fill="E2EEF6"/>
          </w:tcPr>
          <w:p>
            <w:pPr>
              <w:spacing w:after="0"/>
              <w:rPr>
                <w:sz w:val="24"/>
                <w:szCs w:val="24"/>
                <w:color w:val="auto"/>
              </w:rPr>
            </w:pPr>
          </w:p>
        </w:tc>
        <w:tc>
          <w:tcPr>
            <w:tcW w:w="340" w:type="dxa"/>
            <w:vAlign w:val="bottom"/>
            <w:shd w:val="clear" w:color="auto" w:fill="E2EEF6"/>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E2EEF6"/>
          </w:tcPr>
          <w:p>
            <w:pPr>
              <w:spacing w:after="0"/>
              <w:rPr>
                <w:sz w:val="24"/>
                <w:szCs w:val="24"/>
                <w:color w:val="auto"/>
              </w:rPr>
            </w:pPr>
          </w:p>
        </w:tc>
        <w:tc>
          <w:tcPr>
            <w:tcW w:w="420" w:type="dxa"/>
            <w:vAlign w:val="bottom"/>
            <w:shd w:val="clear" w:color="auto" w:fill="E2EEF6"/>
          </w:tcPr>
          <w:p>
            <w:pPr>
              <w:jc w:val="right"/>
              <w:ind w:right="2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0.59</w:t>
            </w:r>
          </w:p>
        </w:tc>
      </w:tr>
      <w:tr>
        <w:trPr>
          <w:trHeight w:val="224"/>
        </w:trPr>
        <w:tc>
          <w:tcPr>
            <w:tcW w:w="5060" w:type="dxa"/>
            <w:vAlign w:val="bottom"/>
            <w:tcBorders>
              <w:top w:val="single" w:sz="8" w:color="E2EEF6"/>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Borders>
              <w:top w:val="single" w:sz="8" w:color="E2EEF6"/>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Borders>
              <w:top w:val="single" w:sz="8" w:color="E2EEF6"/>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Borders>
              <w:top w:val="single" w:sz="8" w:color="E2EEF6"/>
            </w:tcBorders>
          </w:tcPr>
          <w:p>
            <w:pPr>
              <w:spacing w:after="0"/>
              <w:rPr>
                <w:sz w:val="19"/>
                <w:szCs w:val="19"/>
                <w:color w:val="auto"/>
              </w:rPr>
            </w:pPr>
          </w:p>
        </w:tc>
      </w:tr>
      <w:tr>
        <w:trPr>
          <w:trHeight w:val="243"/>
        </w:trPr>
        <w:tc>
          <w:tcPr>
            <w:tcW w:w="5060" w:type="dxa"/>
            <w:vAlign w:val="bottom"/>
            <w:shd w:val="clear" w:color="auto" w:fill="E2EEF6"/>
          </w:tcPr>
          <w:p>
            <w:pPr>
              <w:spacing w:after="0"/>
              <w:rPr>
                <w:sz w:val="20"/>
                <w:szCs w:val="20"/>
                <w:color w:val="auto"/>
              </w:rPr>
            </w:pPr>
            <w:r>
              <w:rPr>
                <w:rFonts w:ascii="Arial" w:cs="Arial" w:eastAsia="Arial" w:hAnsi="Arial"/>
                <w:sz w:val="18"/>
                <w:szCs w:val="18"/>
                <w:color w:val="auto"/>
              </w:rPr>
              <w:t>Earnings per share-assuming dilution - as reported</w:t>
            </w:r>
          </w:p>
        </w:tc>
        <w:tc>
          <w:tcPr>
            <w:tcW w:w="300" w:type="dxa"/>
            <w:vAlign w:val="bottom"/>
            <w:shd w:val="clear" w:color="auto" w:fill="E2EEF6"/>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0.87</w:t>
            </w:r>
          </w:p>
        </w:tc>
        <w:tc>
          <w:tcPr>
            <w:tcW w:w="160" w:type="dxa"/>
            <w:vAlign w:val="bottom"/>
            <w:shd w:val="clear" w:color="auto" w:fill="E2EEF6"/>
          </w:tcPr>
          <w:p>
            <w:pPr>
              <w:spacing w:after="0"/>
              <w:rPr>
                <w:sz w:val="21"/>
                <w:szCs w:val="21"/>
                <w:color w:val="auto"/>
              </w:rPr>
            </w:pPr>
          </w:p>
        </w:tc>
        <w:tc>
          <w:tcPr>
            <w:tcW w:w="340" w:type="dxa"/>
            <w:vAlign w:val="bottom"/>
            <w:shd w:val="clear" w:color="auto" w:fill="E2EEF6"/>
          </w:tcPr>
          <w:p>
            <w:pPr>
              <w:jc w:val="right"/>
              <w:ind w:right="18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0.41</w:t>
            </w:r>
          </w:p>
        </w:tc>
        <w:tc>
          <w:tcPr>
            <w:tcW w:w="420" w:type="dxa"/>
            <w:vAlign w:val="bottom"/>
            <w:shd w:val="clear" w:color="auto" w:fill="E2EEF6"/>
          </w:tcPr>
          <w:p>
            <w:pPr>
              <w:jc w:val="right"/>
              <w:ind w:right="2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0.62</w:t>
            </w:r>
          </w:p>
        </w:tc>
      </w:tr>
      <w:tr>
        <w:trPr>
          <w:trHeight w:val="202"/>
        </w:trPr>
        <w:tc>
          <w:tcPr>
            <w:tcW w:w="5060" w:type="dxa"/>
            <w:vAlign w:val="bottom"/>
          </w:tcPr>
          <w:p>
            <w:pPr>
              <w:spacing w:after="0" w:line="201" w:lineRule="exact"/>
              <w:rPr>
                <w:sz w:val="20"/>
                <w:szCs w:val="20"/>
                <w:color w:val="auto"/>
              </w:rPr>
            </w:pPr>
            <w:r>
              <w:rPr>
                <w:rFonts w:ascii="Arial" w:cs="Arial" w:eastAsia="Arial" w:hAnsi="Arial"/>
                <w:sz w:val="18"/>
                <w:szCs w:val="18"/>
                <w:color w:val="auto"/>
                <w:w w:val="93"/>
              </w:rPr>
              <w:t>Stock based compensation costs, net of income tax, included in net</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060" w:type="dxa"/>
            <w:vAlign w:val="bottom"/>
          </w:tcPr>
          <w:p>
            <w:pPr>
              <w:ind w:left="320"/>
              <w:spacing w:after="0"/>
              <w:rPr>
                <w:sz w:val="20"/>
                <w:szCs w:val="20"/>
                <w:color w:val="auto"/>
              </w:rPr>
            </w:pPr>
            <w:r>
              <w:rPr>
                <w:rFonts w:ascii="Arial" w:cs="Arial" w:eastAsia="Arial" w:hAnsi="Arial"/>
                <w:sz w:val="18"/>
                <w:szCs w:val="18"/>
                <w:color w:val="auto"/>
              </w:rPr>
              <w:t>income as reported</w:t>
            </w:r>
          </w:p>
        </w:tc>
        <w:tc>
          <w:tcPr>
            <w:tcW w:w="3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3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r>
      <w:tr>
        <w:trPr>
          <w:trHeight w:val="202"/>
        </w:trPr>
        <w:tc>
          <w:tcPr>
            <w:tcW w:w="5060" w:type="dxa"/>
            <w:vAlign w:val="bottom"/>
            <w:shd w:val="clear" w:color="auto" w:fill="E2EEF6"/>
          </w:tcPr>
          <w:p>
            <w:pPr>
              <w:spacing w:after="0" w:line="201" w:lineRule="exact"/>
              <w:rPr>
                <w:sz w:val="20"/>
                <w:szCs w:val="20"/>
                <w:color w:val="auto"/>
              </w:rPr>
            </w:pPr>
            <w:r>
              <w:rPr>
                <w:rFonts w:ascii="Arial" w:cs="Arial" w:eastAsia="Arial" w:hAnsi="Arial"/>
                <w:sz w:val="18"/>
                <w:szCs w:val="18"/>
                <w:color w:val="auto"/>
              </w:rPr>
              <w:t>Stock based compensation costs, net of income tax, that would</w:t>
            </w:r>
          </w:p>
        </w:tc>
        <w:tc>
          <w:tcPr>
            <w:tcW w:w="300" w:type="dxa"/>
            <w:vAlign w:val="bottom"/>
            <w:shd w:val="clear" w:color="auto" w:fill="E2EEF6"/>
          </w:tcPr>
          <w:p>
            <w:pPr>
              <w:spacing w:after="0"/>
              <w:rPr>
                <w:sz w:val="17"/>
                <w:szCs w:val="17"/>
                <w:color w:val="auto"/>
              </w:rPr>
            </w:pPr>
          </w:p>
        </w:tc>
        <w:tc>
          <w:tcPr>
            <w:tcW w:w="740" w:type="dxa"/>
            <w:vAlign w:val="bottom"/>
            <w:shd w:val="clear" w:color="auto" w:fill="E2EEF6"/>
          </w:tcPr>
          <w:p>
            <w:pPr>
              <w:spacing w:after="0"/>
              <w:rPr>
                <w:sz w:val="17"/>
                <w:szCs w:val="17"/>
                <w:color w:val="auto"/>
              </w:rPr>
            </w:pPr>
          </w:p>
        </w:tc>
        <w:tc>
          <w:tcPr>
            <w:tcW w:w="160" w:type="dxa"/>
            <w:vAlign w:val="bottom"/>
            <w:shd w:val="clear" w:color="auto" w:fill="E2EEF6"/>
          </w:tcPr>
          <w:p>
            <w:pPr>
              <w:spacing w:after="0"/>
              <w:rPr>
                <w:sz w:val="17"/>
                <w:szCs w:val="17"/>
                <w:color w:val="auto"/>
              </w:rPr>
            </w:pPr>
          </w:p>
        </w:tc>
        <w:tc>
          <w:tcPr>
            <w:tcW w:w="340" w:type="dxa"/>
            <w:vAlign w:val="bottom"/>
            <w:shd w:val="clear" w:color="auto" w:fill="E2EEF6"/>
          </w:tcPr>
          <w:p>
            <w:pPr>
              <w:spacing w:after="0"/>
              <w:rPr>
                <w:sz w:val="17"/>
                <w:szCs w:val="17"/>
                <w:color w:val="auto"/>
              </w:rPr>
            </w:pPr>
          </w:p>
        </w:tc>
        <w:tc>
          <w:tcPr>
            <w:tcW w:w="680" w:type="dxa"/>
            <w:vAlign w:val="bottom"/>
            <w:shd w:val="clear" w:color="auto" w:fill="E2EEF6"/>
          </w:tcPr>
          <w:p>
            <w:pPr>
              <w:spacing w:after="0"/>
              <w:rPr>
                <w:sz w:val="17"/>
                <w:szCs w:val="17"/>
                <w:color w:val="auto"/>
              </w:rPr>
            </w:pPr>
          </w:p>
        </w:tc>
        <w:tc>
          <w:tcPr>
            <w:tcW w:w="160" w:type="dxa"/>
            <w:vAlign w:val="bottom"/>
            <w:shd w:val="clear" w:color="auto" w:fill="E2EEF6"/>
          </w:tcPr>
          <w:p>
            <w:pPr>
              <w:spacing w:after="0"/>
              <w:rPr>
                <w:sz w:val="17"/>
                <w:szCs w:val="17"/>
                <w:color w:val="auto"/>
              </w:rPr>
            </w:pPr>
          </w:p>
        </w:tc>
        <w:tc>
          <w:tcPr>
            <w:tcW w:w="420" w:type="dxa"/>
            <w:vAlign w:val="bottom"/>
            <w:shd w:val="clear" w:color="auto" w:fill="E2EEF6"/>
          </w:tcPr>
          <w:p>
            <w:pPr>
              <w:spacing w:after="0"/>
              <w:rPr>
                <w:sz w:val="17"/>
                <w:szCs w:val="17"/>
                <w:color w:val="auto"/>
              </w:rPr>
            </w:pPr>
          </w:p>
        </w:tc>
        <w:tc>
          <w:tcPr>
            <w:tcW w:w="600" w:type="dxa"/>
            <w:vAlign w:val="bottom"/>
            <w:shd w:val="clear" w:color="auto" w:fill="E2EEF6"/>
          </w:tcPr>
          <w:p>
            <w:pPr>
              <w:spacing w:after="0"/>
              <w:rPr>
                <w:sz w:val="17"/>
                <w:szCs w:val="17"/>
                <w:color w:val="auto"/>
              </w:rPr>
            </w:pPr>
          </w:p>
        </w:tc>
        <w:tc>
          <w:tcPr>
            <w:tcW w:w="80" w:type="dxa"/>
            <w:vAlign w:val="bottom"/>
            <w:shd w:val="clear" w:color="auto" w:fill="E2EEF6"/>
          </w:tcPr>
          <w:p>
            <w:pPr>
              <w:spacing w:after="0"/>
              <w:rPr>
                <w:sz w:val="17"/>
                <w:szCs w:val="17"/>
                <w:color w:val="auto"/>
              </w:rPr>
            </w:pPr>
          </w:p>
        </w:tc>
      </w:tr>
      <w:tr>
        <w:trPr>
          <w:trHeight w:val="216"/>
        </w:trPr>
        <w:tc>
          <w:tcPr>
            <w:tcW w:w="5060" w:type="dxa"/>
            <w:vAlign w:val="bottom"/>
            <w:shd w:val="clear" w:color="auto" w:fill="E2EEF6"/>
          </w:tcPr>
          <w:p>
            <w:pPr>
              <w:ind w:left="320"/>
              <w:spacing w:after="0"/>
              <w:rPr>
                <w:sz w:val="20"/>
                <w:szCs w:val="20"/>
                <w:color w:val="auto"/>
              </w:rPr>
            </w:pPr>
            <w:r>
              <w:rPr>
                <w:rFonts w:ascii="Arial" w:cs="Arial" w:eastAsia="Arial" w:hAnsi="Arial"/>
                <w:sz w:val="18"/>
                <w:szCs w:val="18"/>
                <w:color w:val="auto"/>
                <w:w w:val="96"/>
              </w:rPr>
              <w:t>have been included in net income if the fair value method had</w:t>
            </w:r>
          </w:p>
        </w:tc>
        <w:tc>
          <w:tcPr>
            <w:tcW w:w="300" w:type="dxa"/>
            <w:vAlign w:val="bottom"/>
            <w:shd w:val="clear" w:color="auto" w:fill="E2EEF6"/>
          </w:tcPr>
          <w:p>
            <w:pPr>
              <w:spacing w:after="0"/>
              <w:rPr>
                <w:sz w:val="18"/>
                <w:szCs w:val="18"/>
                <w:color w:val="auto"/>
              </w:rPr>
            </w:pPr>
          </w:p>
        </w:tc>
        <w:tc>
          <w:tcPr>
            <w:tcW w:w="740" w:type="dxa"/>
            <w:vAlign w:val="bottom"/>
            <w:shd w:val="clear" w:color="auto" w:fill="E2EEF6"/>
          </w:tcPr>
          <w:p>
            <w:pPr>
              <w:spacing w:after="0"/>
              <w:rPr>
                <w:sz w:val="18"/>
                <w:szCs w:val="18"/>
                <w:color w:val="auto"/>
              </w:rPr>
            </w:pPr>
          </w:p>
        </w:tc>
        <w:tc>
          <w:tcPr>
            <w:tcW w:w="160" w:type="dxa"/>
            <w:vAlign w:val="bottom"/>
            <w:shd w:val="clear" w:color="auto" w:fill="E2EEF6"/>
          </w:tcPr>
          <w:p>
            <w:pPr>
              <w:spacing w:after="0"/>
              <w:rPr>
                <w:sz w:val="18"/>
                <w:szCs w:val="18"/>
                <w:color w:val="auto"/>
              </w:rPr>
            </w:pPr>
          </w:p>
        </w:tc>
        <w:tc>
          <w:tcPr>
            <w:tcW w:w="340" w:type="dxa"/>
            <w:vAlign w:val="bottom"/>
            <w:shd w:val="clear" w:color="auto" w:fill="E2EEF6"/>
          </w:tcPr>
          <w:p>
            <w:pPr>
              <w:spacing w:after="0"/>
              <w:rPr>
                <w:sz w:val="18"/>
                <w:szCs w:val="18"/>
                <w:color w:val="auto"/>
              </w:rPr>
            </w:pPr>
          </w:p>
        </w:tc>
        <w:tc>
          <w:tcPr>
            <w:tcW w:w="680" w:type="dxa"/>
            <w:vAlign w:val="bottom"/>
            <w:shd w:val="clear" w:color="auto" w:fill="E2EEF6"/>
          </w:tcPr>
          <w:p>
            <w:pPr>
              <w:spacing w:after="0"/>
              <w:rPr>
                <w:sz w:val="18"/>
                <w:szCs w:val="18"/>
                <w:color w:val="auto"/>
              </w:rPr>
            </w:pPr>
          </w:p>
        </w:tc>
        <w:tc>
          <w:tcPr>
            <w:tcW w:w="160" w:type="dxa"/>
            <w:vAlign w:val="bottom"/>
            <w:shd w:val="clear" w:color="auto" w:fill="E2EEF6"/>
          </w:tcPr>
          <w:p>
            <w:pPr>
              <w:spacing w:after="0"/>
              <w:rPr>
                <w:sz w:val="18"/>
                <w:szCs w:val="18"/>
                <w:color w:val="auto"/>
              </w:rPr>
            </w:pPr>
          </w:p>
        </w:tc>
        <w:tc>
          <w:tcPr>
            <w:tcW w:w="420" w:type="dxa"/>
            <w:vAlign w:val="bottom"/>
            <w:shd w:val="clear" w:color="auto" w:fill="E2EEF6"/>
          </w:tcPr>
          <w:p>
            <w:pPr>
              <w:spacing w:after="0"/>
              <w:rPr>
                <w:sz w:val="18"/>
                <w:szCs w:val="18"/>
                <w:color w:val="auto"/>
              </w:rPr>
            </w:pPr>
          </w:p>
        </w:tc>
        <w:tc>
          <w:tcPr>
            <w:tcW w:w="600" w:type="dxa"/>
            <w:vAlign w:val="bottom"/>
            <w:shd w:val="clear" w:color="auto" w:fill="E2EEF6"/>
          </w:tcPr>
          <w:p>
            <w:pPr>
              <w:spacing w:after="0"/>
              <w:rPr>
                <w:sz w:val="18"/>
                <w:szCs w:val="18"/>
                <w:color w:val="auto"/>
              </w:rPr>
            </w:pPr>
          </w:p>
        </w:tc>
        <w:tc>
          <w:tcPr>
            <w:tcW w:w="80" w:type="dxa"/>
            <w:vAlign w:val="bottom"/>
            <w:shd w:val="clear" w:color="auto" w:fill="E2EEF6"/>
          </w:tcPr>
          <w:p>
            <w:pPr>
              <w:spacing w:after="0"/>
              <w:rPr>
                <w:sz w:val="18"/>
                <w:szCs w:val="18"/>
                <w:color w:val="auto"/>
              </w:rPr>
            </w:pPr>
          </w:p>
        </w:tc>
      </w:tr>
      <w:tr>
        <w:trPr>
          <w:trHeight w:val="257"/>
        </w:trPr>
        <w:tc>
          <w:tcPr>
            <w:tcW w:w="5060" w:type="dxa"/>
            <w:vAlign w:val="bottom"/>
            <w:shd w:val="clear" w:color="auto" w:fill="E2EEF6"/>
          </w:tcPr>
          <w:p>
            <w:pPr>
              <w:ind w:left="320"/>
              <w:spacing w:after="0"/>
              <w:rPr>
                <w:sz w:val="20"/>
                <w:szCs w:val="20"/>
                <w:color w:val="auto"/>
              </w:rPr>
            </w:pPr>
            <w:r>
              <w:rPr>
                <w:rFonts w:ascii="Arial" w:cs="Arial" w:eastAsia="Arial" w:hAnsi="Arial"/>
                <w:sz w:val="18"/>
                <w:szCs w:val="18"/>
                <w:color w:val="auto"/>
              </w:rPr>
              <w:t>been applied</w:t>
            </w:r>
          </w:p>
        </w:tc>
        <w:tc>
          <w:tcPr>
            <w:tcW w:w="300" w:type="dxa"/>
            <w:vAlign w:val="bottom"/>
            <w:shd w:val="clear" w:color="auto" w:fill="E2EEF6"/>
          </w:tcPr>
          <w:p>
            <w:pPr>
              <w:spacing w:after="0"/>
              <w:rPr>
                <w:sz w:val="22"/>
                <w:szCs w:val="22"/>
                <w:color w:val="auto"/>
              </w:rPr>
            </w:pPr>
          </w:p>
        </w:tc>
        <w:tc>
          <w:tcPr>
            <w:tcW w:w="9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(0.05)</w:t>
            </w:r>
          </w:p>
        </w:tc>
        <w:tc>
          <w:tcPr>
            <w:tcW w:w="340" w:type="dxa"/>
            <w:vAlign w:val="bottom"/>
            <w:shd w:val="clear" w:color="auto" w:fill="E2EEF6"/>
          </w:tcPr>
          <w:p>
            <w:pPr>
              <w:spacing w:after="0"/>
              <w:rPr>
                <w:sz w:val="22"/>
                <w:szCs w:val="22"/>
                <w:color w:val="auto"/>
              </w:rPr>
            </w:pPr>
          </w:p>
        </w:tc>
        <w:tc>
          <w:tcPr>
            <w:tcW w:w="8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(0.02)</w:t>
            </w:r>
          </w:p>
        </w:tc>
        <w:tc>
          <w:tcPr>
            <w:tcW w:w="420" w:type="dxa"/>
            <w:vAlign w:val="bottom"/>
            <w:shd w:val="clear" w:color="auto" w:fill="E2EEF6"/>
          </w:tcPr>
          <w:p>
            <w:pPr>
              <w:spacing w:after="0"/>
              <w:rPr>
                <w:sz w:val="22"/>
                <w:szCs w:val="22"/>
                <w:color w:val="auto"/>
              </w:rPr>
            </w:pPr>
          </w:p>
        </w:tc>
        <w:tc>
          <w:tcPr>
            <w:tcW w:w="68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(0.06)</w:t>
            </w:r>
          </w:p>
        </w:tc>
      </w:tr>
      <w:tr>
        <w:trPr>
          <w:trHeight w:val="20"/>
        </w:trPr>
        <w:tc>
          <w:tcPr>
            <w:tcW w:w="5060" w:type="dxa"/>
            <w:vAlign w:val="bottom"/>
            <w:shd w:val="clear" w:color="auto" w:fill="E2EEF6"/>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E2EEF6"/>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E2EEF6"/>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E2EEF6"/>
          </w:tcPr>
          <w:p>
            <w:pPr>
              <w:spacing w:after="0" w:line="20" w:lineRule="exact"/>
              <w:rPr>
                <w:sz w:val="1"/>
                <w:szCs w:val="1"/>
                <w:color w:val="auto"/>
              </w:rPr>
            </w:pPr>
          </w:p>
        </w:tc>
      </w:tr>
      <w:tr>
        <w:trPr>
          <w:trHeight w:val="237"/>
        </w:trPr>
        <w:tc>
          <w:tcPr>
            <w:tcW w:w="5060" w:type="dxa"/>
            <w:vAlign w:val="bottom"/>
          </w:tcPr>
          <w:p>
            <w:pPr>
              <w:spacing w:after="0"/>
              <w:rPr>
                <w:sz w:val="20"/>
                <w:szCs w:val="20"/>
                <w:color w:val="auto"/>
              </w:rPr>
            </w:pPr>
            <w:r>
              <w:rPr>
                <w:rFonts w:ascii="Arial" w:cs="Arial" w:eastAsia="Arial" w:hAnsi="Arial"/>
                <w:sz w:val="18"/>
                <w:szCs w:val="18"/>
                <w:color w:val="auto"/>
              </w:rPr>
              <w:t>Earnings per share - assuming dilution-proforma</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0.81</w:t>
            </w:r>
          </w:p>
        </w:tc>
        <w:tc>
          <w:tcPr>
            <w:tcW w:w="160" w:type="dxa"/>
            <w:vAlign w:val="bottom"/>
          </w:tcPr>
          <w:p>
            <w:pPr>
              <w:spacing w:after="0"/>
              <w:rPr>
                <w:sz w:val="20"/>
                <w:szCs w:val="20"/>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0.57</w:t>
            </w:r>
          </w:p>
        </w:tc>
      </w:tr>
      <w:tr>
        <w:trPr>
          <w:trHeight w:val="20"/>
        </w:trPr>
        <w:tc>
          <w:tcPr>
            <w:tcW w:w="5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each option grant was estimated based on actual information available through December 31, 2005, 2004 and 2003 using the Black Scholes option-pricing model with the following assumptions:</w:t>
      </w:r>
    </w:p>
    <w:p>
      <w:pPr>
        <w:spacing w:after="0" w:line="224" w:lineRule="exact"/>
        <w:rPr>
          <w:sz w:val="20"/>
          <w:szCs w:val="20"/>
          <w:color w:val="auto"/>
        </w:rPr>
      </w:pPr>
    </w:p>
    <w:tbl>
      <w:tblPr>
        <w:tblLayout w:type="fixed"/>
        <w:tblInd w:w="500" w:type="dxa"/>
        <w:tblCellMar>
          <w:top w:w="0" w:type="dxa"/>
          <w:left w:w="0" w:type="dxa"/>
          <w:bottom w:w="0" w:type="dxa"/>
          <w:right w:w="0" w:type="dxa"/>
        </w:tblCellMar>
      </w:tblPr>
      <w:tr>
        <w:trPr>
          <w:trHeight w:val="243"/>
        </w:trPr>
        <w:tc>
          <w:tcPr>
            <w:tcW w:w="2160" w:type="dxa"/>
            <w:vAlign w:val="bottom"/>
          </w:tcPr>
          <w:p>
            <w:pPr>
              <w:spacing w:after="0"/>
              <w:rPr>
                <w:sz w:val="20"/>
                <w:szCs w:val="20"/>
                <w:color w:val="auto"/>
              </w:rPr>
            </w:pPr>
            <w:r>
              <w:rPr>
                <w:rFonts w:ascii="Arial" w:cs="Arial" w:eastAsia="Arial" w:hAnsi="Arial"/>
                <w:sz w:val="18"/>
                <w:szCs w:val="18"/>
                <w:color w:val="auto"/>
              </w:rPr>
              <w:t>Term</w:t>
            </w:r>
          </w:p>
        </w:tc>
        <w:tc>
          <w:tcPr>
            <w:tcW w:w="5860" w:type="dxa"/>
            <w:vAlign w:val="bottom"/>
          </w:tcPr>
          <w:p>
            <w:pPr>
              <w:ind w:left="620"/>
              <w:spacing w:after="0"/>
              <w:rPr>
                <w:sz w:val="20"/>
                <w:szCs w:val="20"/>
                <w:color w:val="auto"/>
              </w:rPr>
            </w:pPr>
            <w:r>
              <w:rPr>
                <w:rFonts w:ascii="Arial" w:cs="Arial" w:eastAsia="Arial" w:hAnsi="Arial"/>
                <w:sz w:val="18"/>
                <w:szCs w:val="18"/>
                <w:color w:val="auto"/>
              </w:rPr>
              <w:t>Vesting period</w:t>
            </w:r>
          </w:p>
        </w:tc>
      </w:tr>
      <w:tr>
        <w:trPr>
          <w:trHeight w:val="243"/>
        </w:trPr>
        <w:tc>
          <w:tcPr>
            <w:tcW w:w="21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5860" w:type="dxa"/>
            <w:vAlign w:val="bottom"/>
          </w:tcPr>
          <w:p>
            <w:pPr>
              <w:ind w:left="620"/>
              <w:spacing w:after="0"/>
              <w:rPr>
                <w:sz w:val="20"/>
                <w:szCs w:val="20"/>
                <w:color w:val="auto"/>
              </w:rPr>
            </w:pPr>
            <w:r>
              <w:rPr>
                <w:rFonts w:ascii="Arial" w:cs="Arial" w:eastAsia="Arial" w:hAnsi="Arial"/>
                <w:sz w:val="18"/>
                <w:szCs w:val="18"/>
                <w:color w:val="auto"/>
              </w:rPr>
              <w:t>4.35%, 3.25%, and 3.38% for 2005, 2004 and 2003, respectively</w:t>
            </w:r>
          </w:p>
        </w:tc>
      </w:tr>
      <w:tr>
        <w:trPr>
          <w:trHeight w:val="243"/>
        </w:trPr>
        <w:tc>
          <w:tcPr>
            <w:tcW w:w="2160" w:type="dxa"/>
            <w:vAlign w:val="bottom"/>
          </w:tcPr>
          <w:p>
            <w:pPr>
              <w:spacing w:after="0"/>
              <w:rPr>
                <w:sz w:val="20"/>
                <w:szCs w:val="20"/>
                <w:color w:val="auto"/>
              </w:rPr>
            </w:pPr>
            <w:r>
              <w:rPr>
                <w:rFonts w:ascii="Arial" w:cs="Arial" w:eastAsia="Arial" w:hAnsi="Arial"/>
                <w:sz w:val="18"/>
                <w:szCs w:val="18"/>
                <w:color w:val="auto"/>
              </w:rPr>
              <w:t>Dividend yield</w:t>
            </w:r>
          </w:p>
        </w:tc>
        <w:tc>
          <w:tcPr>
            <w:tcW w:w="5860" w:type="dxa"/>
            <w:vAlign w:val="bottom"/>
          </w:tcPr>
          <w:p>
            <w:pPr>
              <w:ind w:left="620"/>
              <w:spacing w:after="0"/>
              <w:rPr>
                <w:sz w:val="20"/>
                <w:szCs w:val="20"/>
                <w:color w:val="auto"/>
              </w:rPr>
            </w:pPr>
            <w:r>
              <w:rPr>
                <w:rFonts w:ascii="Arial" w:cs="Arial" w:eastAsia="Arial" w:hAnsi="Arial"/>
                <w:sz w:val="18"/>
                <w:szCs w:val="18"/>
                <w:color w:val="auto"/>
                <w:w w:val="90"/>
              </w:rPr>
              <w:t>3.02%, 2.42%, and 3.7% annually for 2005, 2004 and 2003, respectively</w:t>
            </w:r>
          </w:p>
        </w:tc>
      </w:tr>
      <w:tr>
        <w:trPr>
          <w:trHeight w:val="257"/>
        </w:trPr>
        <w:tc>
          <w:tcPr>
            <w:tcW w:w="2160" w:type="dxa"/>
            <w:vAlign w:val="bottom"/>
          </w:tcPr>
          <w:p>
            <w:pPr>
              <w:spacing w:after="0"/>
              <w:rPr>
                <w:sz w:val="20"/>
                <w:szCs w:val="20"/>
                <w:color w:val="auto"/>
              </w:rPr>
            </w:pPr>
            <w:r>
              <w:rPr>
                <w:rFonts w:ascii="Arial" w:cs="Arial" w:eastAsia="Arial" w:hAnsi="Arial"/>
                <w:sz w:val="18"/>
                <w:szCs w:val="18"/>
                <w:color w:val="auto"/>
              </w:rPr>
              <w:t>Volatility</w:t>
            </w:r>
          </w:p>
        </w:tc>
        <w:tc>
          <w:tcPr>
            <w:tcW w:w="5860" w:type="dxa"/>
            <w:vAlign w:val="bottom"/>
          </w:tcPr>
          <w:p>
            <w:pPr>
              <w:ind w:left="620"/>
              <w:spacing w:after="0"/>
              <w:rPr>
                <w:sz w:val="20"/>
                <w:szCs w:val="20"/>
                <w:color w:val="auto"/>
              </w:rPr>
            </w:pPr>
            <w:r>
              <w:rPr>
                <w:rFonts w:ascii="Arial" w:cs="Arial" w:eastAsia="Arial" w:hAnsi="Arial"/>
                <w:sz w:val="18"/>
                <w:szCs w:val="18"/>
                <w:color w:val="auto"/>
              </w:rPr>
              <w:t>44.6%, 48.4%, and 49.8% for 2005, 2004 and 2003, respectively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2005, 2004 and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0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information about stock options outstanding at December 31, 2005:</w:t>
      </w:r>
    </w:p>
    <w:p>
      <w:pPr>
        <w:spacing w:after="0" w:line="329"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880" w:type="dxa"/>
            <w:vAlign w:val="bottom"/>
            <w:gridSpan w:val="8"/>
          </w:tcPr>
          <w:p>
            <w:pPr>
              <w:ind w:left="620"/>
              <w:spacing w:after="0"/>
              <w:rPr>
                <w:sz w:val="20"/>
                <w:szCs w:val="20"/>
                <w:color w:val="auto"/>
              </w:rPr>
            </w:pPr>
            <w:r>
              <w:rPr>
                <w:rFonts w:ascii="Arial" w:cs="Arial" w:eastAsia="Arial" w:hAnsi="Arial"/>
                <w:sz w:val="18"/>
                <w:szCs w:val="18"/>
                <w:b w:val="1"/>
                <w:bCs w:val="1"/>
                <w:color w:val="auto"/>
              </w:rPr>
              <w:t>Options outstanding</w:t>
            </w:r>
          </w:p>
        </w:tc>
        <w:tc>
          <w:tcPr>
            <w:tcW w:w="184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94"/>
              </w:rPr>
              <w:t>Options exercisable</w:t>
            </w:r>
          </w:p>
        </w:tc>
        <w:tc>
          <w:tcPr>
            <w:tcW w:w="0" w:type="dxa"/>
            <w:vAlign w:val="bottom"/>
          </w:tcPr>
          <w:p>
            <w:pPr>
              <w:spacing w:after="0"/>
              <w:rPr>
                <w:sz w:val="1"/>
                <w:szCs w:val="1"/>
                <w:color w:val="auto"/>
              </w:rPr>
            </w:pPr>
          </w:p>
        </w:tc>
      </w:tr>
      <w:tr>
        <w:trPr>
          <w:trHeight w:val="191"/>
        </w:trPr>
        <w:tc>
          <w:tcPr>
            <w:tcW w:w="4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center"/>
              <w:ind w:right="60"/>
              <w:spacing w:after="0" w:line="191" w:lineRule="exact"/>
              <w:rPr>
                <w:sz w:val="20"/>
                <w:szCs w:val="20"/>
                <w:color w:val="auto"/>
              </w:rPr>
            </w:pPr>
            <w:r>
              <w:rPr>
                <w:rFonts w:ascii="Arial" w:cs="Arial" w:eastAsia="Arial" w:hAnsi="Arial"/>
                <w:sz w:val="18"/>
                <w:szCs w:val="18"/>
                <w:b w:val="1"/>
                <w:bCs w:val="1"/>
                <w:color w:val="auto"/>
                <w:w w:val="89"/>
              </w:rPr>
              <w:t>Weighted-</w:t>
            </w:r>
          </w:p>
        </w:tc>
        <w:tc>
          <w:tcPr>
            <w:tcW w:w="86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Weighted-</w:t>
            </w:r>
          </w:p>
        </w:tc>
        <w:tc>
          <w:tcPr>
            <w:tcW w:w="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9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18"/>
                <w:szCs w:val="18"/>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average</w:t>
            </w:r>
          </w:p>
        </w:tc>
        <w:tc>
          <w:tcPr>
            <w:tcW w:w="12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average</w:t>
            </w: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9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outstanding</w:t>
            </w:r>
          </w:p>
        </w:tc>
        <w:tc>
          <w:tcPr>
            <w:tcW w:w="40" w:type="dxa"/>
            <w:vAlign w:val="bottom"/>
          </w:tcPr>
          <w:p>
            <w:pPr>
              <w:spacing w:after="0"/>
              <w:rPr>
                <w:sz w:val="18"/>
                <w:szCs w:val="18"/>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remaining</w:t>
            </w:r>
          </w:p>
        </w:tc>
        <w:tc>
          <w:tcPr>
            <w:tcW w:w="12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exercise</w:t>
            </w: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exercisable</w:t>
            </w:r>
          </w:p>
        </w:tc>
        <w:tc>
          <w:tcPr>
            <w:tcW w:w="10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exercise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4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Range of exercise prices per share</w:t>
            </w:r>
          </w:p>
        </w:tc>
        <w:tc>
          <w:tcPr>
            <w:tcW w:w="9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at</w:t>
            </w:r>
          </w:p>
        </w:tc>
        <w:tc>
          <w:tcPr>
            <w:tcW w:w="10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0"/>
              </w:rPr>
              <w:t>contractual</w:t>
            </w:r>
          </w:p>
        </w:tc>
        <w:tc>
          <w:tcPr>
            <w:tcW w:w="12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price</w:t>
            </w: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at</w:t>
            </w:r>
          </w:p>
        </w:tc>
        <w:tc>
          <w:tcPr>
            <w:tcW w:w="10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price</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3400" w:type="dxa"/>
            <w:vAlign w:val="bottom"/>
            <w:vMerge w:val="continue"/>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12/31/2005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life</w:t>
            </w:r>
          </w:p>
        </w:tc>
        <w:tc>
          <w:tcPr>
            <w:tcW w:w="9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per share</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12/31/2005</w:t>
            </w:r>
          </w:p>
        </w:tc>
        <w:tc>
          <w:tcPr>
            <w:tcW w:w="80" w:type="dxa"/>
            <w:vAlign w:val="bottom"/>
          </w:tcPr>
          <w:p>
            <w:pPr>
              <w:spacing w:after="0"/>
              <w:rPr>
                <w:sz w:val="20"/>
                <w:szCs w:val="20"/>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Per share</w:t>
            </w: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 w:type="dxa"/>
            <w:vAlign w:val="bottom"/>
            <w:shd w:val="clear" w:color="auto" w:fill="E2EEF6"/>
          </w:tcPr>
          <w:p>
            <w:pPr>
              <w:jc w:val="right"/>
              <w:spacing w:after="0"/>
              <w:rPr>
                <w:sz w:val="20"/>
                <w:szCs w:val="20"/>
                <w:color w:val="auto"/>
              </w:rPr>
            </w:pPr>
            <w:r>
              <w:rPr>
                <w:rFonts w:ascii="Arial" w:cs="Arial" w:eastAsia="Arial" w:hAnsi="Arial"/>
                <w:sz w:val="18"/>
                <w:szCs w:val="18"/>
                <w:color w:val="auto"/>
                <w:w w:val="84"/>
              </w:rPr>
              <w:t>$5.63</w:t>
            </w:r>
          </w:p>
        </w:tc>
        <w:tc>
          <w:tcPr>
            <w:tcW w:w="3400" w:type="dxa"/>
            <w:vAlign w:val="bottom"/>
            <w:shd w:val="clear" w:color="auto" w:fill="E2EEF6"/>
          </w:tcPr>
          <w:p>
            <w:pPr>
              <w:ind w:left="20"/>
              <w:spacing w:after="0"/>
              <w:rPr>
                <w:sz w:val="20"/>
                <w:szCs w:val="20"/>
                <w:color w:val="auto"/>
              </w:rPr>
            </w:pPr>
            <w:r>
              <w:rPr>
                <w:rFonts w:ascii="Arial" w:cs="Arial" w:eastAsia="Arial" w:hAnsi="Arial"/>
                <w:sz w:val="18"/>
                <w:szCs w:val="18"/>
                <w:color w:val="auto"/>
              </w:rPr>
              <w:t>- $9.75</w:t>
            </w:r>
          </w:p>
        </w:tc>
        <w:tc>
          <w:tcPr>
            <w:tcW w:w="94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206</w:t>
            </w:r>
          </w:p>
        </w:tc>
        <w:tc>
          <w:tcPr>
            <w:tcW w:w="40" w:type="dxa"/>
            <w:vAlign w:val="bottom"/>
            <w:shd w:val="clear" w:color="auto" w:fill="E2EEF6"/>
          </w:tcPr>
          <w:p>
            <w:pPr>
              <w:spacing w:after="0"/>
              <w:rPr>
                <w:sz w:val="21"/>
                <w:szCs w:val="21"/>
                <w:color w:val="auto"/>
              </w:rPr>
            </w:pPr>
          </w:p>
        </w:tc>
        <w:tc>
          <w:tcPr>
            <w:tcW w:w="1080" w:type="dxa"/>
            <w:vAlign w:val="bottom"/>
            <w:gridSpan w:val="3"/>
            <w:shd w:val="clear" w:color="auto" w:fill="E2EEF6"/>
          </w:tcPr>
          <w:p>
            <w:pPr>
              <w:ind w:left="240"/>
              <w:spacing w:after="0"/>
              <w:rPr>
                <w:sz w:val="20"/>
                <w:szCs w:val="20"/>
                <w:color w:val="auto"/>
              </w:rPr>
            </w:pPr>
            <w:r>
              <w:rPr>
                <w:rFonts w:ascii="Arial" w:cs="Arial" w:eastAsia="Arial" w:hAnsi="Arial"/>
                <w:sz w:val="18"/>
                <w:szCs w:val="18"/>
                <w:color w:val="auto"/>
                <w:w w:val="92"/>
              </w:rPr>
              <w:t>3.9 years $</w:t>
            </w:r>
          </w:p>
        </w:tc>
        <w:tc>
          <w:tcPr>
            <w:tcW w:w="82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6.02</w:t>
            </w:r>
          </w:p>
        </w:tc>
        <w:tc>
          <w:tcPr>
            <w:tcW w:w="92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shd w:val="clear" w:color="auto" w:fill="E2EEF6"/>
          </w:tcPr>
          <w:p>
            <w:pPr>
              <w:jc w:val="right"/>
              <w:spacing w:after="0"/>
              <w:rPr>
                <w:sz w:val="20"/>
                <w:szCs w:val="20"/>
                <w:color w:val="auto"/>
              </w:rPr>
            </w:pPr>
            <w:r>
              <w:rPr>
                <w:rFonts w:ascii="Arial" w:cs="Arial" w:eastAsia="Arial" w:hAnsi="Arial"/>
                <w:sz w:val="18"/>
                <w:szCs w:val="18"/>
                <w:color w:val="auto"/>
                <w:w w:val="84"/>
              </w:rPr>
              <w:t>$7.63</w:t>
            </w:r>
          </w:p>
        </w:tc>
        <w:tc>
          <w:tcPr>
            <w:tcW w:w="3400" w:type="dxa"/>
            <w:vAlign w:val="bottom"/>
            <w:shd w:val="clear" w:color="auto" w:fill="E2EEF6"/>
          </w:tcPr>
          <w:p>
            <w:pPr>
              <w:ind w:left="20"/>
              <w:spacing w:after="0"/>
              <w:rPr>
                <w:sz w:val="20"/>
                <w:szCs w:val="20"/>
                <w:color w:val="auto"/>
              </w:rPr>
            </w:pPr>
            <w:r>
              <w:rPr>
                <w:rFonts w:ascii="Arial" w:cs="Arial" w:eastAsia="Arial" w:hAnsi="Arial"/>
                <w:sz w:val="18"/>
                <w:szCs w:val="18"/>
                <w:color w:val="auto"/>
              </w:rPr>
              <w:t>- $12.62</w:t>
            </w:r>
          </w:p>
        </w:tc>
        <w:tc>
          <w:tcPr>
            <w:tcW w:w="9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1,197</w:t>
            </w:r>
          </w:p>
        </w:tc>
        <w:tc>
          <w:tcPr>
            <w:tcW w:w="40" w:type="dxa"/>
            <w:vAlign w:val="bottom"/>
            <w:shd w:val="clear" w:color="auto" w:fill="E2EEF6"/>
          </w:tcPr>
          <w:p>
            <w:pPr>
              <w:spacing w:after="0"/>
              <w:rPr>
                <w:sz w:val="21"/>
                <w:szCs w:val="21"/>
                <w:color w:val="auto"/>
              </w:rPr>
            </w:pPr>
          </w:p>
        </w:tc>
        <w:tc>
          <w:tcPr>
            <w:tcW w:w="40" w:type="dxa"/>
            <w:vAlign w:val="bottom"/>
            <w:shd w:val="clear" w:color="auto" w:fill="E2EEF6"/>
          </w:tcPr>
          <w:p>
            <w:pPr>
              <w:spacing w:after="0"/>
              <w:rPr>
                <w:sz w:val="21"/>
                <w:szCs w:val="21"/>
                <w:color w:val="auto"/>
              </w:rPr>
            </w:pPr>
          </w:p>
        </w:tc>
        <w:tc>
          <w:tcPr>
            <w:tcW w:w="1080" w:type="dxa"/>
            <w:vAlign w:val="bottom"/>
            <w:gridSpan w:val="3"/>
            <w:shd w:val="clear" w:color="auto" w:fill="E2EEF6"/>
          </w:tcPr>
          <w:p>
            <w:pPr>
              <w:ind w:left="240"/>
              <w:spacing w:after="0"/>
              <w:rPr>
                <w:sz w:val="20"/>
                <w:szCs w:val="20"/>
                <w:color w:val="auto"/>
              </w:rPr>
            </w:pPr>
            <w:r>
              <w:rPr>
                <w:rFonts w:ascii="Arial" w:cs="Arial" w:eastAsia="Arial" w:hAnsi="Arial"/>
                <w:sz w:val="18"/>
                <w:szCs w:val="18"/>
                <w:color w:val="auto"/>
                <w:w w:val="92"/>
              </w:rPr>
              <w:t>7.6 years $</w:t>
            </w:r>
          </w:p>
        </w:tc>
        <w:tc>
          <w:tcPr>
            <w:tcW w:w="82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10.17</w:t>
            </w:r>
          </w:p>
        </w:tc>
        <w:tc>
          <w:tcPr>
            <w:tcW w:w="92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All options granted in the period January 1, 1999 through December 31, 2005 are fully vested as of December 31, 2005 due in part to the acceleration of the vesting of shares mentioned above. The exercise price of each option equals the market price of the Company’s stock on the date of grant, and an option’s maximum term is 10 years. Certain options granted in July 1999 were deemed to be repriced options under the applicable accounting requirements. These options, which were fully vested as of the effective date of FASB Interpretation No. 44, are treated under variable accounting. Accordingly, compensation expense is recognized, to the extent the market price of the Company’s stock exceeds $10.50 at the end of each year. The Company recognized a reduction in compensation expense of $285 during 2005 and increases to compensation expense of $42 during 2004 and $250 during 2003.</w:t>
      </w:r>
    </w:p>
    <w:p>
      <w:pPr>
        <w:spacing w:after="0" w:line="243"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On July 5, 2005, the Company issued 53 shares of restricted stock awards to certain senior management employees. The stock price at the date of issuance was $12.70. Compensation expense related to the issuance is being recognized ratably over the three year vesting period, and approximated $206 in compensation expense was recognized for the year ended December 31, 2005.</w:t>
      </w:r>
    </w:p>
    <w:p>
      <w:pPr>
        <w:spacing w:after="0" w:line="235" w:lineRule="exact"/>
        <w:rPr>
          <w:sz w:val="20"/>
          <w:szCs w:val="20"/>
          <w:color w:val="auto"/>
        </w:rPr>
      </w:pPr>
    </w:p>
    <w:p>
      <w:pPr>
        <w:jc w:val="both"/>
        <w:ind w:left="640" w:firstLine="59"/>
        <w:spacing w:after="0" w:line="259" w:lineRule="auto"/>
        <w:rPr>
          <w:sz w:val="20"/>
          <w:szCs w:val="20"/>
          <w:color w:val="auto"/>
        </w:rPr>
      </w:pPr>
      <w:r>
        <w:rPr>
          <w:rFonts w:ascii="Arial" w:cs="Arial" w:eastAsia="Arial" w:hAnsi="Arial"/>
          <w:sz w:val="18"/>
          <w:szCs w:val="18"/>
          <w:color w:val="auto"/>
        </w:rPr>
        <w:t>On August 4, 1998 the Company’s Board of Directors authorized the repurchase of up to 740 shares of its Common Stock, equaling 5% of the company’s issued and outstanding shares as of August 4, 1998. The Company has not repurchased any shares under this program through December 31, 2005. Subsequent to year end, this stock repurchase plan has been replaced with a new plan within which the Company is authorized to repurchase up to $10 million in common stock (see below.)</w:t>
      </w:r>
    </w:p>
    <w:p>
      <w:pPr>
        <w:spacing w:after="0" w:line="241"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color w:val="auto"/>
        </w:rPr>
        <w:t>Subsequent to year-end, the Company’s Board of Directors authorized a stock repurchase program under which the Company is authorized to repurchase up to $10 million in common stock of the Company, during the next 18 months in the open market or in private transactions, in accordance with applicable laws and regulations. This amount represents approximately 5% of the Company’s outstanding stock. As of the date of this report, no shares had been repurchased under the program.</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Goodwill</w:t>
      </w:r>
    </w:p>
    <w:p>
      <w:pPr>
        <w:spacing w:after="0" w:line="283" w:lineRule="exact"/>
        <w:rPr>
          <w:sz w:val="20"/>
          <w:szCs w:val="20"/>
          <w:color w:val="auto"/>
        </w:rPr>
      </w:pPr>
    </w:p>
    <w:p>
      <w:pPr>
        <w:jc w:val="both"/>
        <w:ind w:left="480"/>
        <w:spacing w:after="0" w:line="255" w:lineRule="auto"/>
        <w:rPr>
          <w:sz w:val="20"/>
          <w:szCs w:val="20"/>
          <w:color w:val="auto"/>
        </w:rPr>
      </w:pPr>
      <w:r>
        <w:rPr>
          <w:rFonts w:ascii="Arial" w:cs="Arial" w:eastAsia="Arial" w:hAnsi="Arial"/>
          <w:sz w:val="18"/>
          <w:szCs w:val="18"/>
          <w:color w:val="auto"/>
        </w:rPr>
        <w:t>We completed our annual goodwill impairment review during the fourth quarter of 2005, 2004 and 2003. In performing the impairment reviews for 2005, the Company estimated the fair values of the reporting units from discounting each segments’ future cash flows. In 2004 and 2003, the Company estimated the fair values of the reporting units by using a method that incorporated valuations derived from EBITDA multiples based upon market multiples and recent capital market transactions and also incorporated valuations determined by each segment’s discounted future cash flows. As of October 1, 2005 and 2004, the annual review dates, there was no impairment to goodwill as the fair values of the reporting units exceeded their carrying values of the reporting units.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21" w:right="239" w:bottom="1440" w:gutter="0" w:footer="0" w:header="0"/>
        </w:sectPr>
      </w:pPr>
    </w:p>
    <w:bookmarkStart w:id="54" w:name="page55"/>
    <w:bookmarkEnd w:id="54"/>
    <w:p>
      <w:pPr>
        <w:jc w:val="center"/>
        <w:ind w:left="50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December 31, 2005, 2004 and 2003</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3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changes in the carrying amount of goodwill for the years ended December 31, 2005 and 2004 are as follows:</w:t>
      </w:r>
    </w:p>
    <w:p>
      <w:pPr>
        <w:spacing w:after="0" w:line="200" w:lineRule="exact"/>
        <w:rPr>
          <w:sz w:val="20"/>
          <w:szCs w:val="20"/>
          <w:color w:val="auto"/>
        </w:rPr>
      </w:pPr>
    </w:p>
    <w:p>
      <w:pPr>
        <w:spacing w:after="0" w:line="345"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Plastic and</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Rubber</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In thousands</w:t>
            </w:r>
          </w:p>
        </w:tc>
        <w:tc>
          <w:tcPr>
            <w:tcW w:w="12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Components</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8"/>
              </w:rPr>
              <w:t>NN Europe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Segment</w:t>
            </w:r>
          </w:p>
        </w:tc>
        <w:tc>
          <w:tcPr>
            <w:tcW w:w="12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Segment</w:t>
            </w:r>
          </w:p>
        </w:tc>
        <w:tc>
          <w:tcPr>
            <w:tcW w:w="20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60" w:type="dxa"/>
            <w:vAlign w:val="bottom"/>
            <w:shd w:val="clear" w:color="auto" w:fill="E2EEF6"/>
          </w:tcPr>
          <w:p>
            <w:pPr>
              <w:ind w:left="480"/>
              <w:spacing w:after="0"/>
              <w:rPr>
                <w:sz w:val="20"/>
                <w:szCs w:val="20"/>
                <w:color w:val="auto"/>
              </w:rPr>
            </w:pPr>
            <w:r>
              <w:rPr>
                <w:rFonts w:ascii="Arial" w:cs="Arial" w:eastAsia="Arial" w:hAnsi="Arial"/>
                <w:sz w:val="18"/>
                <w:szCs w:val="18"/>
                <w:color w:val="auto"/>
              </w:rPr>
              <w:t>Balance as of January 1, 2004</w:t>
            </w:r>
          </w:p>
        </w:tc>
        <w:tc>
          <w:tcPr>
            <w:tcW w:w="8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25,755</w:t>
            </w:r>
          </w:p>
        </w:tc>
        <w:tc>
          <w:tcPr>
            <w:tcW w:w="160" w:type="dxa"/>
            <w:vAlign w:val="bottom"/>
            <w:shd w:val="clear" w:color="auto" w:fill="E2EEF6"/>
          </w:tcPr>
          <w:p>
            <w:pPr>
              <w:spacing w:after="0"/>
              <w:rPr>
                <w:sz w:val="21"/>
                <w:szCs w:val="21"/>
                <w:color w:val="auto"/>
              </w:rPr>
            </w:pPr>
          </w:p>
        </w:tc>
        <w:tc>
          <w:tcPr>
            <w:tcW w:w="12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17,138</w:t>
            </w:r>
          </w:p>
        </w:tc>
        <w:tc>
          <w:tcPr>
            <w:tcW w:w="2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42,893</w:t>
            </w:r>
          </w:p>
        </w:tc>
        <w:tc>
          <w:tcPr>
            <w:tcW w:w="0" w:type="dxa"/>
            <w:vAlign w:val="bottom"/>
          </w:tcPr>
          <w:p>
            <w:pPr>
              <w:spacing w:after="0"/>
              <w:rPr>
                <w:sz w:val="1"/>
                <w:szCs w:val="1"/>
                <w:color w:val="auto"/>
              </w:rPr>
            </w:pPr>
          </w:p>
        </w:tc>
      </w:tr>
      <w:tr>
        <w:trPr>
          <w:trHeight w:val="243"/>
        </w:trPr>
        <w:tc>
          <w:tcPr>
            <w:tcW w:w="5060" w:type="dxa"/>
            <w:vAlign w:val="bottom"/>
          </w:tcPr>
          <w:p>
            <w:pPr>
              <w:ind w:left="480"/>
              <w:spacing w:after="0"/>
              <w:rPr>
                <w:sz w:val="20"/>
                <w:szCs w:val="20"/>
                <w:color w:val="auto"/>
              </w:rPr>
            </w:pPr>
            <w:r>
              <w:rPr>
                <w:rFonts w:ascii="Arial" w:cs="Arial" w:eastAsia="Arial" w:hAnsi="Arial"/>
                <w:sz w:val="18"/>
                <w:szCs w:val="18"/>
                <w:color w:val="auto"/>
              </w:rPr>
              <w:t>Goodwill acquired</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shd w:val="clear" w:color="auto" w:fill="E2EEF6"/>
          </w:tcPr>
          <w:p>
            <w:pPr>
              <w:ind w:left="480"/>
              <w:spacing w:after="0"/>
              <w:rPr>
                <w:sz w:val="20"/>
                <w:szCs w:val="20"/>
                <w:color w:val="auto"/>
              </w:rPr>
            </w:pPr>
            <w:r>
              <w:rPr>
                <w:rFonts w:ascii="Arial" w:cs="Arial" w:eastAsia="Arial" w:hAnsi="Arial"/>
                <w:sz w:val="18"/>
                <w:szCs w:val="18"/>
                <w:color w:val="auto"/>
              </w:rPr>
              <w:t>Impairment losses</w:t>
            </w:r>
          </w:p>
        </w:tc>
        <w:tc>
          <w:tcPr>
            <w:tcW w:w="80" w:type="dxa"/>
            <w:vAlign w:val="bottom"/>
            <w:shd w:val="clear" w:color="auto" w:fill="E2EEF6"/>
          </w:tcPr>
          <w:p>
            <w:pPr>
              <w:spacing w:after="0"/>
              <w:rPr>
                <w:sz w:val="21"/>
                <w:szCs w:val="21"/>
                <w:color w:val="auto"/>
              </w:rPr>
            </w:pPr>
          </w:p>
        </w:tc>
        <w:tc>
          <w:tcPr>
            <w:tcW w:w="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6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2EEF6"/>
          </w:tcPr>
          <w:p>
            <w:pPr>
              <w:spacing w:after="0"/>
              <w:rPr>
                <w:sz w:val="21"/>
                <w:szCs w:val="21"/>
                <w:color w:val="auto"/>
              </w:rPr>
            </w:pPr>
          </w:p>
        </w:tc>
        <w:tc>
          <w:tcPr>
            <w:tcW w:w="9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Pr>
          <w:p>
            <w:pPr>
              <w:ind w:left="480"/>
              <w:spacing w:after="0"/>
              <w:rPr>
                <w:sz w:val="20"/>
                <w:szCs w:val="20"/>
                <w:color w:val="auto"/>
              </w:rPr>
            </w:pPr>
            <w:r>
              <w:rPr>
                <w:rFonts w:ascii="Arial" w:cs="Arial" w:eastAsia="Arial" w:hAnsi="Arial"/>
                <w:sz w:val="18"/>
                <w:szCs w:val="18"/>
                <w:color w:val="auto"/>
              </w:rPr>
              <w:t>Currency impacts</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1,564</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60" w:type="dxa"/>
            <w:vAlign w:val="bottom"/>
            <w:shd w:val="clear" w:color="auto" w:fill="E2EEF6"/>
          </w:tcPr>
          <w:p>
            <w:pPr>
              <w:spacing w:after="0"/>
              <w:rPr>
                <w:sz w:val="20"/>
                <w:szCs w:val="20"/>
                <w:color w:val="auto"/>
              </w:rPr>
            </w:pPr>
          </w:p>
        </w:tc>
        <w:tc>
          <w:tcPr>
            <w:tcW w:w="8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25,755</w:t>
            </w:r>
          </w:p>
        </w:tc>
        <w:tc>
          <w:tcPr>
            <w:tcW w:w="160" w:type="dxa"/>
            <w:vAlign w:val="bottom"/>
            <w:shd w:val="clear" w:color="auto" w:fill="E2EEF6"/>
          </w:tcPr>
          <w:p>
            <w:pPr>
              <w:spacing w:after="0"/>
              <w:rPr>
                <w:sz w:val="20"/>
                <w:szCs w:val="20"/>
                <w:color w:val="auto"/>
              </w:rPr>
            </w:pPr>
          </w:p>
        </w:tc>
        <w:tc>
          <w:tcPr>
            <w:tcW w:w="12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18,702</w:t>
            </w:r>
          </w:p>
        </w:tc>
        <w:tc>
          <w:tcPr>
            <w:tcW w:w="160" w:type="dxa"/>
            <w:vAlign w:val="bottom"/>
            <w:shd w:val="clear" w:color="auto" w:fill="E2EEF6"/>
          </w:tcPr>
          <w:p>
            <w:pPr>
              <w:spacing w:after="0"/>
              <w:rPr>
                <w:sz w:val="20"/>
                <w:szCs w:val="20"/>
                <w:color w:val="auto"/>
              </w:rPr>
            </w:pPr>
          </w:p>
        </w:tc>
        <w:tc>
          <w:tcPr>
            <w:tcW w:w="2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44,457</w:t>
            </w:r>
          </w:p>
        </w:tc>
        <w:tc>
          <w:tcPr>
            <w:tcW w:w="0" w:type="dxa"/>
            <w:vAlign w:val="bottom"/>
          </w:tcPr>
          <w:p>
            <w:pPr>
              <w:spacing w:after="0"/>
              <w:rPr>
                <w:sz w:val="1"/>
                <w:szCs w:val="1"/>
                <w:color w:val="auto"/>
              </w:rPr>
            </w:pPr>
          </w:p>
        </w:tc>
      </w:tr>
      <w:tr>
        <w:trPr>
          <w:trHeight w:val="243"/>
        </w:trPr>
        <w:tc>
          <w:tcPr>
            <w:tcW w:w="5060" w:type="dxa"/>
            <w:vAlign w:val="bottom"/>
          </w:tcPr>
          <w:p>
            <w:pPr>
              <w:ind w:left="480"/>
              <w:spacing w:after="0"/>
              <w:rPr>
                <w:sz w:val="20"/>
                <w:szCs w:val="20"/>
                <w:color w:val="auto"/>
              </w:rPr>
            </w:pPr>
            <w:r>
              <w:rPr>
                <w:rFonts w:ascii="Arial" w:cs="Arial" w:eastAsia="Arial" w:hAnsi="Arial"/>
                <w:sz w:val="18"/>
                <w:szCs w:val="18"/>
                <w:color w:val="auto"/>
              </w:rPr>
              <w:t>Balance as of January 1, 2005</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shd w:val="clear" w:color="auto" w:fill="E2EEF6"/>
          </w:tcPr>
          <w:p>
            <w:pPr>
              <w:ind w:left="480"/>
              <w:spacing w:after="0"/>
              <w:rPr>
                <w:sz w:val="20"/>
                <w:szCs w:val="20"/>
                <w:color w:val="auto"/>
              </w:rPr>
            </w:pPr>
            <w:r>
              <w:rPr>
                <w:rFonts w:ascii="Arial" w:cs="Arial" w:eastAsia="Arial" w:hAnsi="Arial"/>
                <w:sz w:val="18"/>
                <w:szCs w:val="18"/>
                <w:color w:val="auto"/>
              </w:rPr>
              <w:t>Goodwill acquired</w:t>
            </w:r>
          </w:p>
        </w:tc>
        <w:tc>
          <w:tcPr>
            <w:tcW w:w="80" w:type="dxa"/>
            <w:vAlign w:val="bottom"/>
            <w:shd w:val="clear" w:color="auto" w:fill="E2EEF6"/>
          </w:tcPr>
          <w:p>
            <w:pPr>
              <w:spacing w:after="0"/>
              <w:rPr>
                <w:sz w:val="21"/>
                <w:szCs w:val="21"/>
                <w:color w:val="auto"/>
              </w:rPr>
            </w:pPr>
          </w:p>
        </w:tc>
        <w:tc>
          <w:tcPr>
            <w:tcW w:w="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6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2EEF6"/>
          </w:tcPr>
          <w:p>
            <w:pPr>
              <w:spacing w:after="0"/>
              <w:rPr>
                <w:sz w:val="21"/>
                <w:szCs w:val="21"/>
                <w:color w:val="auto"/>
              </w:rPr>
            </w:pPr>
          </w:p>
        </w:tc>
        <w:tc>
          <w:tcPr>
            <w:tcW w:w="9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Pr>
          <w:p>
            <w:pPr>
              <w:ind w:left="480"/>
              <w:spacing w:after="0"/>
              <w:rPr>
                <w:sz w:val="20"/>
                <w:szCs w:val="20"/>
                <w:color w:val="auto"/>
              </w:rPr>
            </w:pPr>
            <w:r>
              <w:rPr>
                <w:rFonts w:ascii="Arial" w:cs="Arial" w:eastAsia="Arial" w:hAnsi="Arial"/>
                <w:sz w:val="18"/>
                <w:szCs w:val="18"/>
                <w:color w:val="auto"/>
              </w:rPr>
              <w:t>Impairment losses</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shd w:val="clear" w:color="auto" w:fill="E2EEF6"/>
          </w:tcPr>
          <w:p>
            <w:pPr>
              <w:ind w:left="480"/>
              <w:spacing w:after="0"/>
              <w:rPr>
                <w:sz w:val="20"/>
                <w:szCs w:val="20"/>
                <w:color w:val="auto"/>
              </w:rPr>
            </w:pPr>
            <w:r>
              <w:rPr>
                <w:rFonts w:ascii="Arial" w:cs="Arial" w:eastAsia="Arial" w:hAnsi="Arial"/>
                <w:sz w:val="18"/>
                <w:szCs w:val="18"/>
                <w:color w:val="auto"/>
              </w:rPr>
              <w:t>Currency impacts</w:t>
            </w:r>
          </w:p>
        </w:tc>
        <w:tc>
          <w:tcPr>
            <w:tcW w:w="80" w:type="dxa"/>
            <w:vAlign w:val="bottom"/>
            <w:shd w:val="clear" w:color="auto" w:fill="E2EEF6"/>
          </w:tcPr>
          <w:p>
            <w:pPr>
              <w:spacing w:after="0"/>
              <w:rPr>
                <w:sz w:val="21"/>
                <w:szCs w:val="21"/>
                <w:color w:val="auto"/>
              </w:rPr>
            </w:pPr>
          </w:p>
        </w:tc>
        <w:tc>
          <w:tcPr>
            <w:tcW w:w="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(2,809)</w:t>
            </w:r>
          </w:p>
        </w:tc>
        <w:tc>
          <w:tcPr>
            <w:tcW w:w="200" w:type="dxa"/>
            <w:vAlign w:val="bottom"/>
            <w:shd w:val="clear" w:color="auto" w:fill="E2EEF6"/>
          </w:tcPr>
          <w:p>
            <w:pPr>
              <w:spacing w:after="0"/>
              <w:rPr>
                <w:sz w:val="21"/>
                <w:szCs w:val="21"/>
                <w:color w:val="auto"/>
              </w:rPr>
            </w:pPr>
          </w:p>
        </w:tc>
        <w:tc>
          <w:tcPr>
            <w:tcW w:w="90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0"/>
        </w:trPr>
        <w:tc>
          <w:tcPr>
            <w:tcW w:w="5060" w:type="dxa"/>
            <w:vAlign w:val="bottom"/>
            <w:shd w:val="clear" w:color="auto" w:fill="E2EEF6"/>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E2EEF6"/>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E2EEF6"/>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E2EE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60" w:type="dxa"/>
            <w:vAlign w:val="bottom"/>
          </w:tcPr>
          <w:p>
            <w:pPr>
              <w:ind w:left="480"/>
              <w:spacing w:after="0"/>
              <w:rPr>
                <w:sz w:val="20"/>
                <w:szCs w:val="20"/>
                <w:color w:val="auto"/>
              </w:rPr>
            </w:pPr>
            <w:r>
              <w:rPr>
                <w:rFonts w:ascii="Arial" w:cs="Arial" w:eastAsia="Arial" w:hAnsi="Arial"/>
                <w:sz w:val="18"/>
                <w:szCs w:val="18"/>
                <w:color w:val="auto"/>
              </w:rPr>
              <w:t>Balance as of December 31, 2005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25,755</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15,893</w:t>
            </w:r>
          </w:p>
        </w:tc>
        <w:tc>
          <w:tcPr>
            <w:tcW w:w="1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41,648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200" w:lineRule="exact"/>
        <w:rPr>
          <w:sz w:val="20"/>
          <w:szCs w:val="20"/>
          <w:color w:val="auto"/>
        </w:rPr>
      </w:pPr>
    </w:p>
    <w:p>
      <w:pPr>
        <w:spacing w:after="0" w:line="353" w:lineRule="exact"/>
        <w:rPr>
          <w:sz w:val="20"/>
          <w:szCs w:val="20"/>
          <w:color w:val="auto"/>
        </w:rPr>
      </w:pPr>
    </w:p>
    <w:p>
      <w:pPr>
        <w:jc w:val="both"/>
        <w:ind w:left="640"/>
        <w:spacing w:after="0" w:line="287" w:lineRule="auto"/>
        <w:rPr>
          <w:sz w:val="20"/>
          <w:szCs w:val="20"/>
          <w:color w:val="auto"/>
        </w:rPr>
      </w:pPr>
      <w:r>
        <w:rPr>
          <w:rFonts w:ascii="Arial" w:cs="Arial" w:eastAsia="Arial" w:hAnsi="Arial"/>
          <w:sz w:val="16"/>
          <w:szCs w:val="16"/>
          <w:color w:val="auto"/>
        </w:rPr>
        <w:t>The Company determined its reportable segments under the provisions of SFAS No. 131, “Disclosures about Segments of an Enterprise and Related Information”. The Company’s reportable segments are based on differences in product lines and geographic locations. The three segments of the Company are defined as the Domestic Ball and Roller Segment, the NN Europe Segment, and the Plastic and Rubber Components Segment. The Domestic Ball and Roller Segment is comprised of two manufacturing facilities in the eastern United States. Additionally, costs related to our start-up operation in China and corporate office costs are included in the Domestic Ball &amp; Roller Segment. The NN Europe Segment is comprised of manufacturing facilities located in Europe, namely, Kilkenny, Ireland; Eltmann, Germany; Pinerolo, Italy; Veenendaal, The Netherlands; and Kysucke Nove Mesto, Slovakia. All of the facilities in the Domestic Ball and Roller and NN Europe Segments are engaged in the production of precision balls, rollers, and metal retainers and automotive specialty products used primarily in the bearing industry. The Plastic and Rubber Components Segment is comprised of four facilities: two located in Lubbock, Texas, which represents the IMC business acquired in July 1999, and two facilities located in Danielson, Connecticut, which represents the Delta Rubber business acquired in February 2001. These facilities are engaged in the production of plastic injection molded products for the bearing, automotive, instrumentation and fiber optic markets and precision rubber bearing seals for the bearing, automotive, industrial, agricultural, and aerospace markets.</w:t>
      </w:r>
    </w:p>
    <w:p>
      <w:pPr>
        <w:spacing w:after="0" w:line="223" w:lineRule="exact"/>
        <w:rPr>
          <w:sz w:val="20"/>
          <w:szCs w:val="20"/>
          <w:color w:val="auto"/>
        </w:rPr>
      </w:pPr>
    </w:p>
    <w:p>
      <w:pPr>
        <w:jc w:val="both"/>
        <w:ind w:left="640"/>
        <w:spacing w:after="0" w:line="297"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The Company evaluates segment performance based on profit or loss from operations after income taxes. The Company accounts for inter-segment sales and transfers at current market prices. During 2005, the NN Europe segment sold approximately $684 in semi-finished goods to the China start-up operation and the US Ball and Roller segment sold $166 of finished balls to the NN Europe segment. These sales and any resulting profit in inventory were eliminated as part of the consolidation process. The Company did not have any material inter-segment transactions during 2004 or 2003.</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91" w:right="239" w:bottom="1440" w:gutter="0" w:footer="0" w:header="0"/>
        </w:sectPr>
      </w:pPr>
    </w:p>
    <w:bookmarkStart w:id="55" w:name="page56"/>
    <w:bookmarkEnd w:id="55"/>
    <w:p>
      <w:pPr>
        <w:jc w:val="center"/>
        <w:ind w:right="44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December 31, 2005, 2004 and 2003</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0"/>
              </w:rPr>
              <w:t>December 31, 2005</w:t>
            </w: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86"/>
              </w:rPr>
              <w:t>December 31, 2004</w:t>
            </w: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86"/>
              </w:rPr>
              <w:t>December 31, 2003</w:t>
            </w:r>
          </w:p>
        </w:tc>
        <w:tc>
          <w:tcPr>
            <w:tcW w:w="580" w:type="dxa"/>
            <w:vAlign w:val="bottom"/>
          </w:tcPr>
          <w:p>
            <w:pPr>
              <w:spacing w:after="0"/>
              <w:rPr>
                <w:sz w:val="17"/>
                <w:szCs w:val="17"/>
                <w:color w:val="auto"/>
              </w:rPr>
            </w:pPr>
          </w:p>
        </w:tc>
      </w:tr>
      <w:tr>
        <w:trPr>
          <w:trHeight w:val="461"/>
        </w:trPr>
        <w:tc>
          <w:tcPr>
            <w:tcW w:w="10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Domestic</w:t>
            </w:r>
          </w:p>
        </w:tc>
        <w:tc>
          <w:tcPr>
            <w:tcW w:w="740" w:type="dxa"/>
            <w:vAlign w:val="bottom"/>
          </w:tcPr>
          <w:p>
            <w:pPr>
              <w:spacing w:after="0"/>
              <w:rPr>
                <w:sz w:val="24"/>
                <w:szCs w:val="24"/>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2"/>
              </w:rPr>
              <w:t>Plastic and</w:t>
            </w: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Domestic</w:t>
            </w:r>
          </w:p>
        </w:tc>
        <w:tc>
          <w:tcPr>
            <w:tcW w:w="740" w:type="dxa"/>
            <w:vAlign w:val="bottom"/>
          </w:tcPr>
          <w:p>
            <w:pPr>
              <w:spacing w:after="0"/>
              <w:rPr>
                <w:sz w:val="24"/>
                <w:szCs w:val="24"/>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4"/>
              </w:rPr>
              <w:t>Plastic and</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Domestic</w:t>
            </w:r>
          </w:p>
        </w:tc>
        <w:tc>
          <w:tcPr>
            <w:tcW w:w="740" w:type="dxa"/>
            <w:vAlign w:val="bottom"/>
          </w:tcPr>
          <w:p>
            <w:pPr>
              <w:spacing w:after="0"/>
              <w:rPr>
                <w:sz w:val="24"/>
                <w:szCs w:val="24"/>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4"/>
              </w:rPr>
              <w:t>Plastic and</w:t>
            </w:r>
          </w:p>
        </w:tc>
      </w:tr>
      <w:tr>
        <w:trPr>
          <w:trHeight w:val="216"/>
        </w:trPr>
        <w:tc>
          <w:tcPr>
            <w:tcW w:w="102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b w:val="1"/>
                <w:bCs w:val="1"/>
                <w:color w:val="auto"/>
              </w:rPr>
              <w:t>Ball and</w:t>
            </w:r>
          </w:p>
        </w:tc>
        <w:tc>
          <w:tcPr>
            <w:tcW w:w="740" w:type="dxa"/>
            <w:vAlign w:val="bottom"/>
          </w:tcPr>
          <w:p>
            <w:pPr>
              <w:ind w:left="20"/>
              <w:spacing w:after="0"/>
              <w:rPr>
                <w:sz w:val="20"/>
                <w:szCs w:val="20"/>
                <w:color w:val="auto"/>
              </w:rPr>
            </w:pPr>
            <w:r>
              <w:rPr>
                <w:rFonts w:ascii="Arial" w:cs="Arial" w:eastAsia="Arial" w:hAnsi="Arial"/>
                <w:sz w:val="18"/>
                <w:szCs w:val="18"/>
                <w:b w:val="1"/>
                <w:bCs w:val="1"/>
                <w:color w:val="auto"/>
              </w:rPr>
              <w:t>NN</w:t>
            </w: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Rubber</w:t>
            </w: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Ball and</w:t>
            </w:r>
          </w:p>
        </w:tc>
        <w:tc>
          <w:tcPr>
            <w:tcW w:w="740" w:type="dxa"/>
            <w:vAlign w:val="bottom"/>
          </w:tcPr>
          <w:p>
            <w:pPr>
              <w:spacing w:after="0"/>
              <w:rPr>
                <w:sz w:val="20"/>
                <w:szCs w:val="20"/>
                <w:color w:val="auto"/>
              </w:rPr>
            </w:pPr>
            <w:r>
              <w:rPr>
                <w:rFonts w:ascii="Arial" w:cs="Arial" w:eastAsia="Arial" w:hAnsi="Arial"/>
                <w:sz w:val="18"/>
                <w:szCs w:val="18"/>
                <w:b w:val="1"/>
                <w:bCs w:val="1"/>
                <w:color w:val="auto"/>
              </w:rPr>
              <w:t>NN</w:t>
            </w: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Rubber</w:t>
            </w:r>
          </w:p>
        </w:tc>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Ball and</w:t>
            </w:r>
          </w:p>
        </w:tc>
        <w:tc>
          <w:tcPr>
            <w:tcW w:w="740" w:type="dxa"/>
            <w:vAlign w:val="bottom"/>
          </w:tcPr>
          <w:p>
            <w:pPr>
              <w:ind w:left="20"/>
              <w:spacing w:after="0"/>
              <w:rPr>
                <w:sz w:val="20"/>
                <w:szCs w:val="20"/>
                <w:color w:val="auto"/>
              </w:rPr>
            </w:pPr>
            <w:r>
              <w:rPr>
                <w:rFonts w:ascii="Arial" w:cs="Arial" w:eastAsia="Arial" w:hAnsi="Arial"/>
                <w:sz w:val="18"/>
                <w:szCs w:val="18"/>
                <w:b w:val="1"/>
                <w:bCs w:val="1"/>
                <w:color w:val="auto"/>
              </w:rPr>
              <w:t>NN</w:t>
            </w: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Rubber</w:t>
            </w:r>
          </w:p>
        </w:tc>
      </w:tr>
      <w:tr>
        <w:trPr>
          <w:trHeight w:val="216"/>
        </w:trPr>
        <w:tc>
          <w:tcPr>
            <w:tcW w:w="102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b w:val="1"/>
                <w:bCs w:val="1"/>
                <w:color w:val="auto"/>
              </w:rPr>
              <w:t>Roller</w:t>
            </w:r>
          </w:p>
        </w:tc>
        <w:tc>
          <w:tcPr>
            <w:tcW w:w="740" w:type="dxa"/>
            <w:vAlign w:val="bottom"/>
          </w:tcPr>
          <w:p>
            <w:pPr>
              <w:ind w:left="20"/>
              <w:spacing w:after="0"/>
              <w:rPr>
                <w:sz w:val="20"/>
                <w:szCs w:val="20"/>
                <w:color w:val="auto"/>
              </w:rPr>
            </w:pPr>
            <w:r>
              <w:rPr>
                <w:rFonts w:ascii="Arial" w:cs="Arial" w:eastAsia="Arial" w:hAnsi="Arial"/>
                <w:sz w:val="18"/>
                <w:szCs w:val="18"/>
                <w:b w:val="1"/>
                <w:bCs w:val="1"/>
                <w:color w:val="auto"/>
              </w:rPr>
              <w:t>Europe</w:t>
            </w:r>
          </w:p>
        </w:tc>
        <w:tc>
          <w:tcPr>
            <w:tcW w:w="1940" w:type="dxa"/>
            <w:vAlign w:val="bottom"/>
            <w:gridSpan w:val="4"/>
          </w:tcPr>
          <w:p>
            <w:pPr>
              <w:ind w:left="20"/>
              <w:spacing w:after="0"/>
              <w:rPr>
                <w:sz w:val="20"/>
                <w:szCs w:val="20"/>
                <w:color w:val="auto"/>
              </w:rPr>
            </w:pPr>
            <w:r>
              <w:rPr>
                <w:rFonts w:ascii="Arial" w:cs="Arial" w:eastAsia="Arial" w:hAnsi="Arial"/>
                <w:sz w:val="18"/>
                <w:szCs w:val="18"/>
                <w:b w:val="1"/>
                <w:bCs w:val="1"/>
                <w:color w:val="auto"/>
              </w:rPr>
              <w:t>Components Roller</w:t>
            </w:r>
          </w:p>
        </w:tc>
        <w:tc>
          <w:tcPr>
            <w:tcW w:w="740" w:type="dxa"/>
            <w:vAlign w:val="bottom"/>
          </w:tcPr>
          <w:p>
            <w:pPr>
              <w:spacing w:after="0"/>
              <w:rPr>
                <w:sz w:val="20"/>
                <w:szCs w:val="20"/>
                <w:color w:val="auto"/>
              </w:rPr>
            </w:pPr>
            <w:r>
              <w:rPr>
                <w:rFonts w:ascii="Arial" w:cs="Arial" w:eastAsia="Arial" w:hAnsi="Arial"/>
                <w:sz w:val="18"/>
                <w:szCs w:val="18"/>
                <w:b w:val="1"/>
                <w:bCs w:val="1"/>
                <w:color w:val="auto"/>
              </w:rPr>
              <w:t>Europe</w:t>
            </w:r>
          </w:p>
        </w:tc>
        <w:tc>
          <w:tcPr>
            <w:tcW w:w="1840" w:type="dxa"/>
            <w:vAlign w:val="bottom"/>
            <w:gridSpan w:val="4"/>
          </w:tcPr>
          <w:p>
            <w:pPr>
              <w:ind w:left="20"/>
              <w:spacing w:after="0"/>
              <w:rPr>
                <w:sz w:val="20"/>
                <w:szCs w:val="20"/>
                <w:color w:val="auto"/>
              </w:rPr>
            </w:pPr>
            <w:r>
              <w:rPr>
                <w:rFonts w:ascii="Arial" w:cs="Arial" w:eastAsia="Arial" w:hAnsi="Arial"/>
                <w:sz w:val="18"/>
                <w:szCs w:val="18"/>
                <w:b w:val="1"/>
                <w:bCs w:val="1"/>
                <w:color w:val="auto"/>
              </w:rPr>
              <w:t>Components Roller</w:t>
            </w:r>
          </w:p>
        </w:tc>
        <w:tc>
          <w:tcPr>
            <w:tcW w:w="740" w:type="dxa"/>
            <w:vAlign w:val="bottom"/>
          </w:tcPr>
          <w:p>
            <w:pPr>
              <w:ind w:left="20"/>
              <w:spacing w:after="0"/>
              <w:rPr>
                <w:sz w:val="20"/>
                <w:szCs w:val="20"/>
                <w:color w:val="auto"/>
              </w:rPr>
            </w:pPr>
            <w:r>
              <w:rPr>
                <w:rFonts w:ascii="Arial" w:cs="Arial" w:eastAsia="Arial" w:hAnsi="Arial"/>
                <w:sz w:val="18"/>
                <w:szCs w:val="18"/>
                <w:b w:val="1"/>
                <w:bCs w:val="1"/>
                <w:color w:val="auto"/>
              </w:rPr>
              <w:t>Europe</w:t>
            </w: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Components</w:t>
            </w:r>
          </w:p>
        </w:tc>
      </w:tr>
      <w:tr>
        <w:trPr>
          <w:trHeight w:val="234"/>
        </w:trPr>
        <w:tc>
          <w:tcPr>
            <w:tcW w:w="102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Segment</w:t>
            </w:r>
          </w:p>
        </w:tc>
        <w:tc>
          <w:tcPr>
            <w:tcW w:w="1760" w:type="dxa"/>
            <w:vAlign w:val="bottom"/>
            <w:gridSpan w:val="3"/>
          </w:tcPr>
          <w:p>
            <w:pPr>
              <w:ind w:left="20"/>
              <w:spacing w:after="0"/>
              <w:rPr>
                <w:sz w:val="20"/>
                <w:szCs w:val="20"/>
                <w:color w:val="auto"/>
              </w:rPr>
            </w:pPr>
            <w:r>
              <w:rPr>
                <w:rFonts w:ascii="Arial" w:cs="Arial" w:eastAsia="Arial" w:hAnsi="Arial"/>
                <w:sz w:val="18"/>
                <w:szCs w:val="18"/>
                <w:b w:val="1"/>
                <w:bCs w:val="1"/>
                <w:color w:val="auto"/>
              </w:rPr>
              <w:t>Segment Segment</w:t>
            </w: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740" w:type="dxa"/>
            <w:vAlign w:val="bottom"/>
          </w:tcPr>
          <w:p>
            <w:pPr>
              <w:spacing w:after="0"/>
              <w:rPr>
                <w:sz w:val="20"/>
                <w:szCs w:val="20"/>
                <w:color w:val="auto"/>
              </w:rPr>
            </w:pPr>
            <w:r>
              <w:rPr>
                <w:rFonts w:ascii="Arial" w:cs="Arial" w:eastAsia="Arial" w:hAnsi="Arial"/>
                <w:sz w:val="18"/>
                <w:szCs w:val="18"/>
                <w:b w:val="1"/>
                <w:bCs w:val="1"/>
                <w:color w:val="auto"/>
                <w:w w:val="94"/>
              </w:rPr>
              <w:t>Segment</w:t>
            </w: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780" w:type="dxa"/>
            <w:vAlign w:val="bottom"/>
            <w:gridSpan w:val="2"/>
          </w:tcPr>
          <w:p>
            <w:pPr>
              <w:spacing w:after="0"/>
              <w:rPr>
                <w:sz w:val="20"/>
                <w:szCs w:val="20"/>
                <w:color w:val="auto"/>
              </w:rPr>
            </w:pPr>
            <w:r>
              <w:rPr>
                <w:rFonts w:ascii="Arial" w:cs="Arial" w:eastAsia="Arial" w:hAnsi="Arial"/>
                <w:sz w:val="18"/>
                <w:szCs w:val="18"/>
                <w:b w:val="1"/>
                <w:bCs w:val="1"/>
                <w:color w:val="auto"/>
                <w:w w:val="99"/>
              </w:rPr>
              <w:t>Segment</w:t>
            </w:r>
          </w:p>
        </w:tc>
        <w:tc>
          <w:tcPr>
            <w:tcW w:w="1800" w:type="dxa"/>
            <w:vAlign w:val="bottom"/>
            <w:gridSpan w:val="3"/>
          </w:tcPr>
          <w:p>
            <w:pPr>
              <w:ind w:left="20"/>
              <w:spacing w:after="0"/>
              <w:rPr>
                <w:sz w:val="20"/>
                <w:szCs w:val="20"/>
                <w:color w:val="auto"/>
              </w:rPr>
            </w:pPr>
            <w:r>
              <w:rPr>
                <w:rFonts w:ascii="Arial" w:cs="Arial" w:eastAsia="Arial" w:hAnsi="Arial"/>
                <w:sz w:val="18"/>
                <w:szCs w:val="18"/>
                <w:b w:val="1"/>
                <w:bCs w:val="1"/>
                <w:color w:val="auto"/>
              </w:rPr>
              <w:t>Segment Segment</w:t>
            </w:r>
          </w:p>
        </w:tc>
      </w:tr>
      <w:tr>
        <w:trPr>
          <w:trHeight w:val="243"/>
        </w:trPr>
        <w:tc>
          <w:tcPr>
            <w:tcW w:w="1020" w:type="dxa"/>
            <w:vAlign w:val="bottom"/>
            <w:shd w:val="clear" w:color="auto" w:fill="E2EEF6"/>
          </w:tcPr>
          <w:p>
            <w:pPr>
              <w:ind w:left="40"/>
              <w:spacing w:after="0"/>
              <w:rPr>
                <w:sz w:val="20"/>
                <w:szCs w:val="20"/>
                <w:color w:val="auto"/>
              </w:rPr>
            </w:pPr>
            <w:r>
              <w:rPr>
                <w:rFonts w:ascii="Arial" w:cs="Arial" w:eastAsia="Arial" w:hAnsi="Arial"/>
                <w:sz w:val="18"/>
                <w:szCs w:val="18"/>
                <w:color w:val="auto"/>
              </w:rPr>
              <w:t>Net sales</w:t>
            </w:r>
          </w:p>
        </w:tc>
        <w:tc>
          <w:tcPr>
            <w:tcW w:w="82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  66,088</w:t>
            </w: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w w:val="90"/>
              </w:rPr>
              <w:t>$197,397</w:t>
            </w:r>
          </w:p>
        </w:tc>
        <w:tc>
          <w:tcPr>
            <w:tcW w:w="500" w:type="dxa"/>
            <w:vAlign w:val="bottom"/>
            <w:shd w:val="clear" w:color="auto" w:fill="E2EEF6"/>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E2EEF6"/>
          </w:tcPr>
          <w:p>
            <w:pPr>
              <w:jc w:val="right"/>
              <w:spacing w:after="0"/>
              <w:rPr>
                <w:sz w:val="20"/>
                <w:szCs w:val="20"/>
                <w:color w:val="auto"/>
              </w:rPr>
            </w:pPr>
            <w:r>
              <w:rPr>
                <w:rFonts w:ascii="Arial" w:cs="Arial" w:eastAsia="Arial" w:hAnsi="Arial"/>
                <w:sz w:val="18"/>
                <w:szCs w:val="18"/>
                <w:color w:val="auto"/>
                <w:w w:val="83"/>
              </w:rPr>
              <w:t>57,902</w:t>
            </w:r>
          </w:p>
        </w:tc>
        <w:tc>
          <w:tcPr>
            <w:tcW w:w="92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   58,435</w:t>
            </w: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193,930</w:t>
            </w:r>
          </w:p>
        </w:tc>
        <w:tc>
          <w:tcPr>
            <w:tcW w:w="420" w:type="dxa"/>
            <w:vAlign w:val="bottom"/>
            <w:shd w:val="clear" w:color="auto" w:fill="E2EEF6"/>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51,724</w:t>
            </w:r>
          </w:p>
        </w:tc>
        <w:tc>
          <w:tcPr>
            <w:tcW w:w="78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w w:val="95"/>
              </w:rPr>
              <w:t>$  55,437</w:t>
            </w: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w w:val="93"/>
              </w:rPr>
              <w:t>$147,127</w:t>
            </w:r>
          </w:p>
        </w:tc>
        <w:tc>
          <w:tcPr>
            <w:tcW w:w="480" w:type="dxa"/>
            <w:vAlign w:val="bottom"/>
            <w:shd w:val="clear" w:color="auto" w:fill="E2EEF6"/>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2EEF6"/>
          </w:tcPr>
          <w:p>
            <w:pPr>
              <w:jc w:val="right"/>
              <w:spacing w:after="0"/>
              <w:rPr>
                <w:sz w:val="20"/>
                <w:szCs w:val="20"/>
                <w:color w:val="auto"/>
              </w:rPr>
            </w:pPr>
            <w:r>
              <w:rPr>
                <w:rFonts w:ascii="Arial" w:cs="Arial" w:eastAsia="Arial" w:hAnsi="Arial"/>
                <w:sz w:val="18"/>
                <w:szCs w:val="18"/>
                <w:color w:val="auto"/>
                <w:w w:val="90"/>
              </w:rPr>
              <w:t>50,898</w:t>
            </w:r>
          </w:p>
        </w:tc>
      </w:tr>
      <w:tr>
        <w:trPr>
          <w:trHeight w:val="202"/>
        </w:trPr>
        <w:tc>
          <w:tcPr>
            <w:tcW w:w="1020" w:type="dxa"/>
            <w:vAlign w:val="bottom"/>
          </w:tcPr>
          <w:p>
            <w:pPr>
              <w:ind w:left="40"/>
              <w:spacing w:after="0" w:line="201" w:lineRule="exact"/>
              <w:rPr>
                <w:sz w:val="20"/>
                <w:szCs w:val="20"/>
                <w:color w:val="auto"/>
              </w:rPr>
            </w:pPr>
            <w:r>
              <w:rPr>
                <w:rFonts w:ascii="Arial" w:cs="Arial" w:eastAsia="Arial" w:hAnsi="Arial"/>
                <w:sz w:val="18"/>
                <w:szCs w:val="18"/>
                <w:color w:val="auto"/>
              </w:rPr>
              <w:t>Interest</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expense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2,226</w:t>
            </w:r>
          </w:p>
        </w:tc>
        <w:tc>
          <w:tcPr>
            <w:tcW w:w="740" w:type="dxa"/>
            <w:vAlign w:val="bottom"/>
          </w:tcPr>
          <w:p>
            <w:pPr>
              <w:jc w:val="right"/>
              <w:spacing w:after="0"/>
              <w:rPr>
                <w:sz w:val="20"/>
                <w:szCs w:val="20"/>
                <w:color w:val="auto"/>
              </w:rPr>
            </w:pPr>
            <w:r>
              <w:rPr>
                <w:rFonts w:ascii="Arial" w:cs="Arial" w:eastAsia="Arial" w:hAnsi="Arial"/>
                <w:sz w:val="18"/>
                <w:szCs w:val="18"/>
                <w:color w:val="auto"/>
              </w:rPr>
              <w:t>585</w:t>
            </w:r>
          </w:p>
        </w:tc>
        <w:tc>
          <w:tcPr>
            <w:tcW w:w="5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1,639</w:t>
            </w:r>
          </w:p>
        </w:tc>
        <w:tc>
          <w:tcPr>
            <w:tcW w:w="740" w:type="dxa"/>
            <w:vAlign w:val="bottom"/>
          </w:tcPr>
          <w:p>
            <w:pPr>
              <w:jc w:val="right"/>
              <w:spacing w:after="0"/>
              <w:rPr>
                <w:sz w:val="20"/>
                <w:szCs w:val="20"/>
                <w:color w:val="auto"/>
              </w:rPr>
            </w:pPr>
            <w:r>
              <w:rPr>
                <w:rFonts w:ascii="Arial" w:cs="Arial" w:eastAsia="Arial" w:hAnsi="Arial"/>
                <w:sz w:val="18"/>
                <w:szCs w:val="18"/>
                <w:color w:val="auto"/>
              </w:rPr>
              <w:t>1,423</w:t>
            </w:r>
          </w:p>
        </w:tc>
        <w:tc>
          <w:tcPr>
            <w:tcW w:w="4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908</w:t>
            </w:r>
          </w:p>
        </w:tc>
        <w:tc>
          <w:tcPr>
            <w:tcW w:w="740" w:type="dxa"/>
            <w:vAlign w:val="bottom"/>
          </w:tcPr>
          <w:p>
            <w:pPr>
              <w:jc w:val="right"/>
              <w:spacing w:after="0"/>
              <w:rPr>
                <w:sz w:val="20"/>
                <w:szCs w:val="20"/>
                <w:color w:val="auto"/>
              </w:rPr>
            </w:pPr>
            <w:r>
              <w:rPr>
                <w:rFonts w:ascii="Arial" w:cs="Arial" w:eastAsia="Arial" w:hAnsi="Arial"/>
                <w:sz w:val="18"/>
                <w:szCs w:val="18"/>
                <w:color w:val="auto"/>
              </w:rPr>
              <w:t>1,401</w:t>
            </w:r>
          </w:p>
        </w:tc>
        <w:tc>
          <w:tcPr>
            <w:tcW w:w="4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1,083</w:t>
            </w:r>
          </w:p>
        </w:tc>
      </w:tr>
      <w:tr>
        <w:trPr>
          <w:trHeight w:val="202"/>
        </w:trPr>
        <w:tc>
          <w:tcPr>
            <w:tcW w:w="1020" w:type="dxa"/>
            <w:vAlign w:val="bottom"/>
            <w:shd w:val="clear" w:color="auto" w:fill="E2EEF6"/>
          </w:tcPr>
          <w:p>
            <w:pPr>
              <w:ind w:left="40"/>
              <w:spacing w:after="0" w:line="201" w:lineRule="exact"/>
              <w:rPr>
                <w:sz w:val="20"/>
                <w:szCs w:val="20"/>
                <w:color w:val="auto"/>
              </w:rPr>
            </w:pPr>
            <w:r>
              <w:rPr>
                <w:rFonts w:ascii="Arial" w:cs="Arial" w:eastAsia="Arial" w:hAnsi="Arial"/>
                <w:sz w:val="18"/>
                <w:szCs w:val="18"/>
                <w:color w:val="auto"/>
                <w:w w:val="94"/>
              </w:rPr>
              <w:t>Depreciation</w:t>
            </w:r>
          </w:p>
        </w:tc>
        <w:tc>
          <w:tcPr>
            <w:tcW w:w="540" w:type="dxa"/>
            <w:vAlign w:val="bottom"/>
            <w:shd w:val="clear" w:color="auto" w:fill="E2EEF6"/>
          </w:tcPr>
          <w:p>
            <w:pPr>
              <w:spacing w:after="0"/>
              <w:rPr>
                <w:sz w:val="17"/>
                <w:szCs w:val="17"/>
                <w:color w:val="auto"/>
              </w:rPr>
            </w:pPr>
          </w:p>
        </w:tc>
        <w:tc>
          <w:tcPr>
            <w:tcW w:w="280" w:type="dxa"/>
            <w:vAlign w:val="bottom"/>
            <w:shd w:val="clear" w:color="auto" w:fill="E2EEF6"/>
          </w:tcPr>
          <w:p>
            <w:pPr>
              <w:spacing w:after="0"/>
              <w:rPr>
                <w:sz w:val="17"/>
                <w:szCs w:val="17"/>
                <w:color w:val="auto"/>
              </w:rPr>
            </w:pPr>
          </w:p>
        </w:tc>
        <w:tc>
          <w:tcPr>
            <w:tcW w:w="740" w:type="dxa"/>
            <w:vAlign w:val="bottom"/>
            <w:shd w:val="clear" w:color="auto" w:fill="E2EEF6"/>
          </w:tcPr>
          <w:p>
            <w:pPr>
              <w:spacing w:after="0"/>
              <w:rPr>
                <w:sz w:val="17"/>
                <w:szCs w:val="17"/>
                <w:color w:val="auto"/>
              </w:rPr>
            </w:pPr>
          </w:p>
        </w:tc>
        <w:tc>
          <w:tcPr>
            <w:tcW w:w="500" w:type="dxa"/>
            <w:vAlign w:val="bottom"/>
            <w:shd w:val="clear" w:color="auto" w:fill="E2EEF6"/>
          </w:tcPr>
          <w:p>
            <w:pPr>
              <w:spacing w:after="0"/>
              <w:rPr>
                <w:sz w:val="17"/>
                <w:szCs w:val="17"/>
                <w:color w:val="auto"/>
              </w:rPr>
            </w:pPr>
          </w:p>
        </w:tc>
        <w:tc>
          <w:tcPr>
            <w:tcW w:w="520" w:type="dxa"/>
            <w:vAlign w:val="bottom"/>
            <w:shd w:val="clear" w:color="auto" w:fill="E2EEF6"/>
          </w:tcPr>
          <w:p>
            <w:pPr>
              <w:spacing w:after="0"/>
              <w:rPr>
                <w:sz w:val="17"/>
                <w:szCs w:val="17"/>
                <w:color w:val="auto"/>
              </w:rPr>
            </w:pPr>
          </w:p>
        </w:tc>
        <w:tc>
          <w:tcPr>
            <w:tcW w:w="600" w:type="dxa"/>
            <w:vAlign w:val="bottom"/>
            <w:shd w:val="clear" w:color="auto" w:fill="E2EEF6"/>
          </w:tcPr>
          <w:p>
            <w:pPr>
              <w:spacing w:after="0"/>
              <w:rPr>
                <w:sz w:val="17"/>
                <w:szCs w:val="17"/>
                <w:color w:val="auto"/>
              </w:rPr>
            </w:pPr>
          </w:p>
        </w:tc>
        <w:tc>
          <w:tcPr>
            <w:tcW w:w="320" w:type="dxa"/>
            <w:vAlign w:val="bottom"/>
            <w:shd w:val="clear" w:color="auto" w:fill="E2EEF6"/>
          </w:tcPr>
          <w:p>
            <w:pPr>
              <w:spacing w:after="0"/>
              <w:rPr>
                <w:sz w:val="17"/>
                <w:szCs w:val="17"/>
                <w:color w:val="auto"/>
              </w:rPr>
            </w:pPr>
          </w:p>
        </w:tc>
        <w:tc>
          <w:tcPr>
            <w:tcW w:w="740" w:type="dxa"/>
            <w:vAlign w:val="bottom"/>
            <w:shd w:val="clear" w:color="auto" w:fill="E2EEF6"/>
          </w:tcPr>
          <w:p>
            <w:pPr>
              <w:spacing w:after="0"/>
              <w:rPr>
                <w:sz w:val="17"/>
                <w:szCs w:val="17"/>
                <w:color w:val="auto"/>
              </w:rPr>
            </w:pPr>
          </w:p>
        </w:tc>
        <w:tc>
          <w:tcPr>
            <w:tcW w:w="420" w:type="dxa"/>
            <w:vAlign w:val="bottom"/>
            <w:shd w:val="clear" w:color="auto" w:fill="E2EEF6"/>
          </w:tcPr>
          <w:p>
            <w:pPr>
              <w:spacing w:after="0"/>
              <w:rPr>
                <w:sz w:val="17"/>
                <w:szCs w:val="17"/>
                <w:color w:val="auto"/>
              </w:rPr>
            </w:pPr>
          </w:p>
        </w:tc>
        <w:tc>
          <w:tcPr>
            <w:tcW w:w="640" w:type="dxa"/>
            <w:vAlign w:val="bottom"/>
            <w:shd w:val="clear" w:color="auto" w:fill="E2EEF6"/>
          </w:tcPr>
          <w:p>
            <w:pPr>
              <w:spacing w:after="0"/>
              <w:rPr>
                <w:sz w:val="17"/>
                <w:szCs w:val="17"/>
                <w:color w:val="auto"/>
              </w:rPr>
            </w:pPr>
          </w:p>
        </w:tc>
        <w:tc>
          <w:tcPr>
            <w:tcW w:w="520" w:type="dxa"/>
            <w:vAlign w:val="bottom"/>
            <w:shd w:val="clear" w:color="auto" w:fill="E2EEF6"/>
          </w:tcPr>
          <w:p>
            <w:pPr>
              <w:spacing w:after="0"/>
              <w:rPr>
                <w:sz w:val="17"/>
                <w:szCs w:val="17"/>
                <w:color w:val="auto"/>
              </w:rPr>
            </w:pPr>
          </w:p>
        </w:tc>
        <w:tc>
          <w:tcPr>
            <w:tcW w:w="260" w:type="dxa"/>
            <w:vAlign w:val="bottom"/>
            <w:shd w:val="clear" w:color="auto" w:fill="E2EEF6"/>
          </w:tcPr>
          <w:p>
            <w:pPr>
              <w:spacing w:after="0"/>
              <w:rPr>
                <w:sz w:val="17"/>
                <w:szCs w:val="17"/>
                <w:color w:val="auto"/>
              </w:rPr>
            </w:pPr>
          </w:p>
        </w:tc>
        <w:tc>
          <w:tcPr>
            <w:tcW w:w="740" w:type="dxa"/>
            <w:vAlign w:val="bottom"/>
            <w:shd w:val="clear" w:color="auto" w:fill="E2EEF6"/>
          </w:tcPr>
          <w:p>
            <w:pPr>
              <w:spacing w:after="0"/>
              <w:rPr>
                <w:sz w:val="17"/>
                <w:szCs w:val="17"/>
                <w:color w:val="auto"/>
              </w:rPr>
            </w:pPr>
          </w:p>
        </w:tc>
        <w:tc>
          <w:tcPr>
            <w:tcW w:w="480" w:type="dxa"/>
            <w:vAlign w:val="bottom"/>
            <w:shd w:val="clear" w:color="auto" w:fill="E2EEF6"/>
          </w:tcPr>
          <w:p>
            <w:pPr>
              <w:spacing w:after="0"/>
              <w:rPr>
                <w:sz w:val="17"/>
                <w:szCs w:val="17"/>
                <w:color w:val="auto"/>
              </w:rPr>
            </w:pPr>
          </w:p>
        </w:tc>
        <w:tc>
          <w:tcPr>
            <w:tcW w:w="580" w:type="dxa"/>
            <w:vAlign w:val="bottom"/>
            <w:shd w:val="clear" w:color="auto" w:fill="E2EEF6"/>
          </w:tcPr>
          <w:p>
            <w:pPr>
              <w:spacing w:after="0"/>
              <w:rPr>
                <w:sz w:val="17"/>
                <w:szCs w:val="17"/>
                <w:color w:val="auto"/>
              </w:rPr>
            </w:pPr>
          </w:p>
        </w:tc>
      </w:tr>
      <w:tr>
        <w:trPr>
          <w:trHeight w:val="216"/>
        </w:trPr>
        <w:tc>
          <w:tcPr>
            <w:tcW w:w="1020" w:type="dxa"/>
            <w:vAlign w:val="bottom"/>
            <w:shd w:val="clear" w:color="auto" w:fill="E2EEF6"/>
          </w:tcPr>
          <w:p>
            <w:pPr>
              <w:spacing w:after="0"/>
              <w:rPr>
                <w:sz w:val="20"/>
                <w:szCs w:val="20"/>
                <w:color w:val="auto"/>
              </w:rPr>
            </w:pPr>
            <w:r>
              <w:rPr>
                <w:rFonts w:ascii="Arial" w:cs="Arial" w:eastAsia="Arial" w:hAnsi="Arial"/>
                <w:sz w:val="18"/>
                <w:szCs w:val="18"/>
                <w:color w:val="auto"/>
              </w:rPr>
              <w:t>&amp;</w:t>
            </w:r>
          </w:p>
        </w:tc>
        <w:tc>
          <w:tcPr>
            <w:tcW w:w="540" w:type="dxa"/>
            <w:vAlign w:val="bottom"/>
            <w:shd w:val="clear" w:color="auto" w:fill="E2EEF6"/>
          </w:tcPr>
          <w:p>
            <w:pPr>
              <w:spacing w:after="0"/>
              <w:rPr>
                <w:sz w:val="18"/>
                <w:szCs w:val="18"/>
                <w:color w:val="auto"/>
              </w:rPr>
            </w:pPr>
          </w:p>
        </w:tc>
        <w:tc>
          <w:tcPr>
            <w:tcW w:w="280" w:type="dxa"/>
            <w:vAlign w:val="bottom"/>
            <w:shd w:val="clear" w:color="auto" w:fill="E2EEF6"/>
          </w:tcPr>
          <w:p>
            <w:pPr>
              <w:spacing w:after="0"/>
              <w:rPr>
                <w:sz w:val="18"/>
                <w:szCs w:val="18"/>
                <w:color w:val="auto"/>
              </w:rPr>
            </w:pPr>
          </w:p>
        </w:tc>
        <w:tc>
          <w:tcPr>
            <w:tcW w:w="740" w:type="dxa"/>
            <w:vAlign w:val="bottom"/>
            <w:shd w:val="clear" w:color="auto" w:fill="E2EEF6"/>
          </w:tcPr>
          <w:p>
            <w:pPr>
              <w:spacing w:after="0"/>
              <w:rPr>
                <w:sz w:val="18"/>
                <w:szCs w:val="18"/>
                <w:color w:val="auto"/>
              </w:rPr>
            </w:pPr>
          </w:p>
        </w:tc>
        <w:tc>
          <w:tcPr>
            <w:tcW w:w="500" w:type="dxa"/>
            <w:vAlign w:val="bottom"/>
            <w:shd w:val="clear" w:color="auto" w:fill="E2EEF6"/>
          </w:tcPr>
          <w:p>
            <w:pPr>
              <w:spacing w:after="0"/>
              <w:rPr>
                <w:sz w:val="18"/>
                <w:szCs w:val="18"/>
                <w:color w:val="auto"/>
              </w:rPr>
            </w:pPr>
          </w:p>
        </w:tc>
        <w:tc>
          <w:tcPr>
            <w:tcW w:w="520" w:type="dxa"/>
            <w:vAlign w:val="bottom"/>
            <w:shd w:val="clear" w:color="auto" w:fill="E2EEF6"/>
          </w:tcPr>
          <w:p>
            <w:pPr>
              <w:spacing w:after="0"/>
              <w:rPr>
                <w:sz w:val="18"/>
                <w:szCs w:val="18"/>
                <w:color w:val="auto"/>
              </w:rPr>
            </w:pPr>
          </w:p>
        </w:tc>
        <w:tc>
          <w:tcPr>
            <w:tcW w:w="600" w:type="dxa"/>
            <w:vAlign w:val="bottom"/>
            <w:shd w:val="clear" w:color="auto" w:fill="E2EEF6"/>
          </w:tcPr>
          <w:p>
            <w:pPr>
              <w:spacing w:after="0"/>
              <w:rPr>
                <w:sz w:val="18"/>
                <w:szCs w:val="18"/>
                <w:color w:val="auto"/>
              </w:rPr>
            </w:pPr>
          </w:p>
        </w:tc>
        <w:tc>
          <w:tcPr>
            <w:tcW w:w="320" w:type="dxa"/>
            <w:vAlign w:val="bottom"/>
            <w:shd w:val="clear" w:color="auto" w:fill="E2EEF6"/>
          </w:tcPr>
          <w:p>
            <w:pPr>
              <w:spacing w:after="0"/>
              <w:rPr>
                <w:sz w:val="18"/>
                <w:szCs w:val="18"/>
                <w:color w:val="auto"/>
              </w:rPr>
            </w:pPr>
          </w:p>
        </w:tc>
        <w:tc>
          <w:tcPr>
            <w:tcW w:w="740" w:type="dxa"/>
            <w:vAlign w:val="bottom"/>
            <w:shd w:val="clear" w:color="auto" w:fill="E2EEF6"/>
          </w:tcPr>
          <w:p>
            <w:pPr>
              <w:spacing w:after="0"/>
              <w:rPr>
                <w:sz w:val="18"/>
                <w:szCs w:val="18"/>
                <w:color w:val="auto"/>
              </w:rPr>
            </w:pPr>
          </w:p>
        </w:tc>
        <w:tc>
          <w:tcPr>
            <w:tcW w:w="420" w:type="dxa"/>
            <w:vAlign w:val="bottom"/>
            <w:shd w:val="clear" w:color="auto" w:fill="E2EEF6"/>
          </w:tcPr>
          <w:p>
            <w:pPr>
              <w:spacing w:after="0"/>
              <w:rPr>
                <w:sz w:val="18"/>
                <w:szCs w:val="18"/>
                <w:color w:val="auto"/>
              </w:rPr>
            </w:pPr>
          </w:p>
        </w:tc>
        <w:tc>
          <w:tcPr>
            <w:tcW w:w="640" w:type="dxa"/>
            <w:vAlign w:val="bottom"/>
            <w:shd w:val="clear" w:color="auto" w:fill="E2EEF6"/>
          </w:tcPr>
          <w:p>
            <w:pPr>
              <w:spacing w:after="0"/>
              <w:rPr>
                <w:sz w:val="18"/>
                <w:szCs w:val="18"/>
                <w:color w:val="auto"/>
              </w:rPr>
            </w:pPr>
          </w:p>
        </w:tc>
        <w:tc>
          <w:tcPr>
            <w:tcW w:w="520" w:type="dxa"/>
            <w:vAlign w:val="bottom"/>
            <w:shd w:val="clear" w:color="auto" w:fill="E2EEF6"/>
          </w:tcPr>
          <w:p>
            <w:pPr>
              <w:spacing w:after="0"/>
              <w:rPr>
                <w:sz w:val="18"/>
                <w:szCs w:val="18"/>
                <w:color w:val="auto"/>
              </w:rPr>
            </w:pPr>
          </w:p>
        </w:tc>
        <w:tc>
          <w:tcPr>
            <w:tcW w:w="260" w:type="dxa"/>
            <w:vAlign w:val="bottom"/>
            <w:shd w:val="clear" w:color="auto" w:fill="E2EEF6"/>
          </w:tcPr>
          <w:p>
            <w:pPr>
              <w:spacing w:after="0"/>
              <w:rPr>
                <w:sz w:val="18"/>
                <w:szCs w:val="18"/>
                <w:color w:val="auto"/>
              </w:rPr>
            </w:pPr>
          </w:p>
        </w:tc>
        <w:tc>
          <w:tcPr>
            <w:tcW w:w="740" w:type="dxa"/>
            <w:vAlign w:val="bottom"/>
            <w:shd w:val="clear" w:color="auto" w:fill="E2EEF6"/>
          </w:tcPr>
          <w:p>
            <w:pPr>
              <w:spacing w:after="0"/>
              <w:rPr>
                <w:sz w:val="18"/>
                <w:szCs w:val="18"/>
                <w:color w:val="auto"/>
              </w:rPr>
            </w:pPr>
          </w:p>
        </w:tc>
        <w:tc>
          <w:tcPr>
            <w:tcW w:w="480" w:type="dxa"/>
            <w:vAlign w:val="bottom"/>
            <w:shd w:val="clear" w:color="auto" w:fill="E2EEF6"/>
          </w:tcPr>
          <w:p>
            <w:pPr>
              <w:spacing w:after="0"/>
              <w:rPr>
                <w:sz w:val="18"/>
                <w:szCs w:val="18"/>
                <w:color w:val="auto"/>
              </w:rPr>
            </w:pPr>
          </w:p>
        </w:tc>
        <w:tc>
          <w:tcPr>
            <w:tcW w:w="580" w:type="dxa"/>
            <w:vAlign w:val="bottom"/>
            <w:shd w:val="clear" w:color="auto" w:fill="E2EEF6"/>
          </w:tcPr>
          <w:p>
            <w:pPr>
              <w:spacing w:after="0"/>
              <w:rPr>
                <w:sz w:val="18"/>
                <w:szCs w:val="18"/>
                <w:color w:val="auto"/>
              </w:rPr>
            </w:pPr>
          </w:p>
        </w:tc>
      </w:tr>
      <w:tr>
        <w:trPr>
          <w:trHeight w:val="230"/>
        </w:trPr>
        <w:tc>
          <w:tcPr>
            <w:tcW w:w="1020" w:type="dxa"/>
            <w:vAlign w:val="bottom"/>
            <w:shd w:val="clear" w:color="auto" w:fill="E2EEF6"/>
          </w:tcPr>
          <w:p>
            <w:pPr>
              <w:spacing w:after="0"/>
              <w:rPr>
                <w:sz w:val="20"/>
                <w:szCs w:val="20"/>
                <w:color w:val="auto"/>
              </w:rPr>
            </w:pPr>
            <w:r>
              <w:rPr>
                <w:rFonts w:ascii="Arial" w:cs="Arial" w:eastAsia="Arial" w:hAnsi="Arial"/>
                <w:sz w:val="18"/>
                <w:szCs w:val="18"/>
                <w:color w:val="auto"/>
              </w:rPr>
              <w:t>amortization</w:t>
            </w:r>
          </w:p>
        </w:tc>
        <w:tc>
          <w:tcPr>
            <w:tcW w:w="82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3,572</w:t>
            </w: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10,278</w:t>
            </w:r>
          </w:p>
        </w:tc>
        <w:tc>
          <w:tcPr>
            <w:tcW w:w="500" w:type="dxa"/>
            <w:vAlign w:val="bottom"/>
            <w:shd w:val="clear" w:color="auto" w:fill="E2EEF6"/>
          </w:tcPr>
          <w:p>
            <w:pPr>
              <w:spacing w:after="0"/>
              <w:rPr>
                <w:sz w:val="20"/>
                <w:szCs w:val="20"/>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2,481</w:t>
            </w:r>
          </w:p>
        </w:tc>
        <w:tc>
          <w:tcPr>
            <w:tcW w:w="92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3,662</w:t>
            </w: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9,893</w:t>
            </w:r>
          </w:p>
        </w:tc>
        <w:tc>
          <w:tcPr>
            <w:tcW w:w="420" w:type="dxa"/>
            <w:vAlign w:val="bottom"/>
            <w:shd w:val="clear" w:color="auto" w:fill="E2EEF6"/>
          </w:tcPr>
          <w:p>
            <w:pPr>
              <w:spacing w:after="0"/>
              <w:rPr>
                <w:sz w:val="20"/>
                <w:szCs w:val="20"/>
                <w:color w:val="auto"/>
              </w:rPr>
            </w:pPr>
          </w:p>
        </w:tc>
        <w:tc>
          <w:tcPr>
            <w:tcW w:w="6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2,578</w:t>
            </w:r>
          </w:p>
        </w:tc>
        <w:tc>
          <w:tcPr>
            <w:tcW w:w="78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3,610</w:t>
            </w: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7,546</w:t>
            </w:r>
          </w:p>
        </w:tc>
        <w:tc>
          <w:tcPr>
            <w:tcW w:w="480" w:type="dxa"/>
            <w:vAlign w:val="bottom"/>
            <w:shd w:val="clear" w:color="auto" w:fill="E2EEF6"/>
          </w:tcPr>
          <w:p>
            <w:pPr>
              <w:spacing w:after="0"/>
              <w:rPr>
                <w:sz w:val="20"/>
                <w:szCs w:val="20"/>
                <w:color w:val="auto"/>
              </w:rPr>
            </w:pPr>
          </w:p>
        </w:tc>
        <w:tc>
          <w:tcPr>
            <w:tcW w:w="5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2,535</w:t>
            </w:r>
          </w:p>
        </w:tc>
      </w:tr>
      <w:tr>
        <w:trPr>
          <w:trHeight w:val="202"/>
        </w:trPr>
        <w:tc>
          <w:tcPr>
            <w:tcW w:w="1020" w:type="dxa"/>
            <w:vAlign w:val="bottom"/>
          </w:tcPr>
          <w:p>
            <w:pPr>
              <w:ind w:left="40"/>
              <w:spacing w:after="0" w:line="201" w:lineRule="exact"/>
              <w:rPr>
                <w:sz w:val="20"/>
                <w:szCs w:val="20"/>
                <w:color w:val="auto"/>
              </w:rPr>
            </w:pPr>
            <w:r>
              <w:rPr>
                <w:rFonts w:ascii="Arial" w:cs="Arial" w:eastAsia="Arial" w:hAnsi="Arial"/>
                <w:sz w:val="18"/>
                <w:szCs w:val="18"/>
                <w:color w:val="auto"/>
              </w:rPr>
              <w:t>Income tax</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expense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(benefit)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1,351</w:t>
            </w:r>
          </w:p>
        </w:tc>
        <w:tc>
          <w:tcPr>
            <w:tcW w:w="740" w:type="dxa"/>
            <w:vAlign w:val="bottom"/>
          </w:tcPr>
          <w:p>
            <w:pPr>
              <w:jc w:val="right"/>
              <w:spacing w:after="0"/>
              <w:rPr>
                <w:sz w:val="20"/>
                <w:szCs w:val="20"/>
                <w:color w:val="auto"/>
              </w:rPr>
            </w:pPr>
            <w:r>
              <w:rPr>
                <w:rFonts w:ascii="Arial" w:cs="Arial" w:eastAsia="Arial" w:hAnsi="Arial"/>
                <w:sz w:val="18"/>
                <w:szCs w:val="18"/>
                <w:color w:val="auto"/>
              </w:rPr>
              <w:t>7,426</w:t>
            </w:r>
          </w:p>
        </w:tc>
        <w:tc>
          <w:tcPr>
            <w:tcW w:w="5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1,143</w:t>
            </w:r>
          </w:p>
        </w:tc>
        <w:tc>
          <w:tcPr>
            <w:tcW w:w="740" w:type="dxa"/>
            <w:vAlign w:val="bottom"/>
          </w:tcPr>
          <w:p>
            <w:pPr>
              <w:jc w:val="right"/>
              <w:spacing w:after="0"/>
              <w:rPr>
                <w:sz w:val="20"/>
                <w:szCs w:val="20"/>
                <w:color w:val="auto"/>
              </w:rPr>
            </w:pPr>
            <w:r>
              <w:rPr>
                <w:rFonts w:ascii="Arial" w:cs="Arial" w:eastAsia="Arial" w:hAnsi="Arial"/>
                <w:sz w:val="18"/>
                <w:szCs w:val="18"/>
                <w:color w:val="auto"/>
              </w:rPr>
              <w:t>4,546</w:t>
            </w:r>
          </w:p>
        </w:tc>
        <w:tc>
          <w:tcPr>
            <w:tcW w:w="4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2,117</w:t>
            </w:r>
          </w:p>
        </w:tc>
        <w:tc>
          <w:tcPr>
            <w:tcW w:w="740" w:type="dxa"/>
            <w:vAlign w:val="bottom"/>
          </w:tcPr>
          <w:p>
            <w:pPr>
              <w:jc w:val="right"/>
              <w:spacing w:after="0"/>
              <w:rPr>
                <w:sz w:val="20"/>
                <w:szCs w:val="20"/>
                <w:color w:val="auto"/>
              </w:rPr>
            </w:pPr>
            <w:r>
              <w:rPr>
                <w:rFonts w:ascii="Arial" w:cs="Arial" w:eastAsia="Arial" w:hAnsi="Arial"/>
                <w:sz w:val="18"/>
                <w:szCs w:val="18"/>
                <w:color w:val="auto"/>
              </w:rPr>
              <w:t>4,858</w:t>
            </w:r>
          </w:p>
        </w:tc>
        <w:tc>
          <w:tcPr>
            <w:tcW w:w="4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(1,249)</w:t>
            </w:r>
          </w:p>
        </w:tc>
      </w:tr>
      <w:tr>
        <w:trPr>
          <w:trHeight w:val="202"/>
        </w:trPr>
        <w:tc>
          <w:tcPr>
            <w:tcW w:w="1020" w:type="dxa"/>
            <w:vAlign w:val="bottom"/>
            <w:shd w:val="clear" w:color="auto" w:fill="E2EEF6"/>
          </w:tcPr>
          <w:p>
            <w:pPr>
              <w:ind w:left="40"/>
              <w:spacing w:after="0" w:line="201" w:lineRule="exact"/>
              <w:rPr>
                <w:sz w:val="20"/>
                <w:szCs w:val="20"/>
                <w:color w:val="auto"/>
              </w:rPr>
            </w:pPr>
            <w:r>
              <w:rPr>
                <w:rFonts w:ascii="Arial" w:cs="Arial" w:eastAsia="Arial" w:hAnsi="Arial"/>
                <w:sz w:val="18"/>
                <w:szCs w:val="18"/>
                <w:color w:val="auto"/>
              </w:rPr>
              <w:t>Segment</w:t>
            </w:r>
          </w:p>
        </w:tc>
        <w:tc>
          <w:tcPr>
            <w:tcW w:w="540" w:type="dxa"/>
            <w:vAlign w:val="bottom"/>
            <w:shd w:val="clear" w:color="auto" w:fill="E2EEF6"/>
          </w:tcPr>
          <w:p>
            <w:pPr>
              <w:spacing w:after="0"/>
              <w:rPr>
                <w:sz w:val="17"/>
                <w:szCs w:val="17"/>
                <w:color w:val="auto"/>
              </w:rPr>
            </w:pPr>
          </w:p>
        </w:tc>
        <w:tc>
          <w:tcPr>
            <w:tcW w:w="280" w:type="dxa"/>
            <w:vAlign w:val="bottom"/>
            <w:shd w:val="clear" w:color="auto" w:fill="E2EEF6"/>
          </w:tcPr>
          <w:p>
            <w:pPr>
              <w:spacing w:after="0"/>
              <w:rPr>
                <w:sz w:val="17"/>
                <w:szCs w:val="17"/>
                <w:color w:val="auto"/>
              </w:rPr>
            </w:pPr>
          </w:p>
        </w:tc>
        <w:tc>
          <w:tcPr>
            <w:tcW w:w="740" w:type="dxa"/>
            <w:vAlign w:val="bottom"/>
            <w:shd w:val="clear" w:color="auto" w:fill="E2EEF6"/>
          </w:tcPr>
          <w:p>
            <w:pPr>
              <w:spacing w:after="0"/>
              <w:rPr>
                <w:sz w:val="17"/>
                <w:szCs w:val="17"/>
                <w:color w:val="auto"/>
              </w:rPr>
            </w:pPr>
          </w:p>
        </w:tc>
        <w:tc>
          <w:tcPr>
            <w:tcW w:w="500" w:type="dxa"/>
            <w:vAlign w:val="bottom"/>
            <w:shd w:val="clear" w:color="auto" w:fill="E2EEF6"/>
          </w:tcPr>
          <w:p>
            <w:pPr>
              <w:spacing w:after="0"/>
              <w:rPr>
                <w:sz w:val="17"/>
                <w:szCs w:val="17"/>
                <w:color w:val="auto"/>
              </w:rPr>
            </w:pPr>
          </w:p>
        </w:tc>
        <w:tc>
          <w:tcPr>
            <w:tcW w:w="520" w:type="dxa"/>
            <w:vAlign w:val="bottom"/>
            <w:shd w:val="clear" w:color="auto" w:fill="E2EEF6"/>
          </w:tcPr>
          <w:p>
            <w:pPr>
              <w:spacing w:after="0"/>
              <w:rPr>
                <w:sz w:val="17"/>
                <w:szCs w:val="17"/>
                <w:color w:val="auto"/>
              </w:rPr>
            </w:pPr>
          </w:p>
        </w:tc>
        <w:tc>
          <w:tcPr>
            <w:tcW w:w="600" w:type="dxa"/>
            <w:vAlign w:val="bottom"/>
            <w:shd w:val="clear" w:color="auto" w:fill="E2EEF6"/>
          </w:tcPr>
          <w:p>
            <w:pPr>
              <w:spacing w:after="0"/>
              <w:rPr>
                <w:sz w:val="17"/>
                <w:szCs w:val="17"/>
                <w:color w:val="auto"/>
              </w:rPr>
            </w:pPr>
          </w:p>
        </w:tc>
        <w:tc>
          <w:tcPr>
            <w:tcW w:w="320" w:type="dxa"/>
            <w:vAlign w:val="bottom"/>
            <w:shd w:val="clear" w:color="auto" w:fill="E2EEF6"/>
          </w:tcPr>
          <w:p>
            <w:pPr>
              <w:spacing w:after="0"/>
              <w:rPr>
                <w:sz w:val="17"/>
                <w:szCs w:val="17"/>
                <w:color w:val="auto"/>
              </w:rPr>
            </w:pPr>
          </w:p>
        </w:tc>
        <w:tc>
          <w:tcPr>
            <w:tcW w:w="740" w:type="dxa"/>
            <w:vAlign w:val="bottom"/>
            <w:shd w:val="clear" w:color="auto" w:fill="E2EEF6"/>
          </w:tcPr>
          <w:p>
            <w:pPr>
              <w:spacing w:after="0"/>
              <w:rPr>
                <w:sz w:val="17"/>
                <w:szCs w:val="17"/>
                <w:color w:val="auto"/>
              </w:rPr>
            </w:pPr>
          </w:p>
        </w:tc>
        <w:tc>
          <w:tcPr>
            <w:tcW w:w="420" w:type="dxa"/>
            <w:vAlign w:val="bottom"/>
            <w:shd w:val="clear" w:color="auto" w:fill="E2EEF6"/>
          </w:tcPr>
          <w:p>
            <w:pPr>
              <w:spacing w:after="0"/>
              <w:rPr>
                <w:sz w:val="17"/>
                <w:szCs w:val="17"/>
                <w:color w:val="auto"/>
              </w:rPr>
            </w:pPr>
          </w:p>
        </w:tc>
        <w:tc>
          <w:tcPr>
            <w:tcW w:w="640" w:type="dxa"/>
            <w:vAlign w:val="bottom"/>
            <w:shd w:val="clear" w:color="auto" w:fill="E2EEF6"/>
          </w:tcPr>
          <w:p>
            <w:pPr>
              <w:spacing w:after="0"/>
              <w:rPr>
                <w:sz w:val="17"/>
                <w:szCs w:val="17"/>
                <w:color w:val="auto"/>
              </w:rPr>
            </w:pPr>
          </w:p>
        </w:tc>
        <w:tc>
          <w:tcPr>
            <w:tcW w:w="520" w:type="dxa"/>
            <w:vAlign w:val="bottom"/>
            <w:shd w:val="clear" w:color="auto" w:fill="E2EEF6"/>
          </w:tcPr>
          <w:p>
            <w:pPr>
              <w:spacing w:after="0"/>
              <w:rPr>
                <w:sz w:val="17"/>
                <w:szCs w:val="17"/>
                <w:color w:val="auto"/>
              </w:rPr>
            </w:pPr>
          </w:p>
        </w:tc>
        <w:tc>
          <w:tcPr>
            <w:tcW w:w="260" w:type="dxa"/>
            <w:vAlign w:val="bottom"/>
            <w:shd w:val="clear" w:color="auto" w:fill="E2EEF6"/>
          </w:tcPr>
          <w:p>
            <w:pPr>
              <w:spacing w:after="0"/>
              <w:rPr>
                <w:sz w:val="17"/>
                <w:szCs w:val="17"/>
                <w:color w:val="auto"/>
              </w:rPr>
            </w:pPr>
          </w:p>
        </w:tc>
        <w:tc>
          <w:tcPr>
            <w:tcW w:w="740" w:type="dxa"/>
            <w:vAlign w:val="bottom"/>
            <w:shd w:val="clear" w:color="auto" w:fill="E2EEF6"/>
          </w:tcPr>
          <w:p>
            <w:pPr>
              <w:spacing w:after="0"/>
              <w:rPr>
                <w:sz w:val="17"/>
                <w:szCs w:val="17"/>
                <w:color w:val="auto"/>
              </w:rPr>
            </w:pPr>
          </w:p>
        </w:tc>
        <w:tc>
          <w:tcPr>
            <w:tcW w:w="480" w:type="dxa"/>
            <w:vAlign w:val="bottom"/>
            <w:shd w:val="clear" w:color="auto" w:fill="E2EEF6"/>
          </w:tcPr>
          <w:p>
            <w:pPr>
              <w:spacing w:after="0"/>
              <w:rPr>
                <w:sz w:val="17"/>
                <w:szCs w:val="17"/>
                <w:color w:val="auto"/>
              </w:rPr>
            </w:pPr>
          </w:p>
        </w:tc>
        <w:tc>
          <w:tcPr>
            <w:tcW w:w="580" w:type="dxa"/>
            <w:vAlign w:val="bottom"/>
            <w:shd w:val="clear" w:color="auto" w:fill="E2EEF6"/>
          </w:tcPr>
          <w:p>
            <w:pPr>
              <w:spacing w:after="0"/>
              <w:rPr>
                <w:sz w:val="17"/>
                <w:szCs w:val="17"/>
                <w:color w:val="auto"/>
              </w:rPr>
            </w:pPr>
          </w:p>
        </w:tc>
      </w:tr>
      <w:tr>
        <w:trPr>
          <w:trHeight w:val="216"/>
        </w:trPr>
        <w:tc>
          <w:tcPr>
            <w:tcW w:w="1020" w:type="dxa"/>
            <w:vAlign w:val="bottom"/>
            <w:shd w:val="clear" w:color="auto" w:fill="E2EEF6"/>
          </w:tcPr>
          <w:p>
            <w:pPr>
              <w:spacing w:after="0"/>
              <w:rPr>
                <w:sz w:val="20"/>
                <w:szCs w:val="20"/>
                <w:color w:val="auto"/>
              </w:rPr>
            </w:pPr>
            <w:r>
              <w:rPr>
                <w:rFonts w:ascii="Arial" w:cs="Arial" w:eastAsia="Arial" w:hAnsi="Arial"/>
                <w:sz w:val="18"/>
                <w:szCs w:val="18"/>
                <w:color w:val="auto"/>
              </w:rPr>
              <w:t>profit</w:t>
            </w:r>
          </w:p>
        </w:tc>
        <w:tc>
          <w:tcPr>
            <w:tcW w:w="540" w:type="dxa"/>
            <w:vAlign w:val="bottom"/>
            <w:shd w:val="clear" w:color="auto" w:fill="E2EEF6"/>
          </w:tcPr>
          <w:p>
            <w:pPr>
              <w:spacing w:after="0"/>
              <w:rPr>
                <w:sz w:val="18"/>
                <w:szCs w:val="18"/>
                <w:color w:val="auto"/>
              </w:rPr>
            </w:pPr>
          </w:p>
        </w:tc>
        <w:tc>
          <w:tcPr>
            <w:tcW w:w="280" w:type="dxa"/>
            <w:vAlign w:val="bottom"/>
            <w:shd w:val="clear" w:color="auto" w:fill="E2EEF6"/>
          </w:tcPr>
          <w:p>
            <w:pPr>
              <w:spacing w:after="0"/>
              <w:rPr>
                <w:sz w:val="18"/>
                <w:szCs w:val="18"/>
                <w:color w:val="auto"/>
              </w:rPr>
            </w:pPr>
          </w:p>
        </w:tc>
        <w:tc>
          <w:tcPr>
            <w:tcW w:w="740" w:type="dxa"/>
            <w:vAlign w:val="bottom"/>
            <w:shd w:val="clear" w:color="auto" w:fill="E2EEF6"/>
          </w:tcPr>
          <w:p>
            <w:pPr>
              <w:spacing w:after="0"/>
              <w:rPr>
                <w:sz w:val="18"/>
                <w:szCs w:val="18"/>
                <w:color w:val="auto"/>
              </w:rPr>
            </w:pPr>
          </w:p>
        </w:tc>
        <w:tc>
          <w:tcPr>
            <w:tcW w:w="500" w:type="dxa"/>
            <w:vAlign w:val="bottom"/>
            <w:shd w:val="clear" w:color="auto" w:fill="E2EEF6"/>
          </w:tcPr>
          <w:p>
            <w:pPr>
              <w:spacing w:after="0"/>
              <w:rPr>
                <w:sz w:val="18"/>
                <w:szCs w:val="18"/>
                <w:color w:val="auto"/>
              </w:rPr>
            </w:pPr>
          </w:p>
        </w:tc>
        <w:tc>
          <w:tcPr>
            <w:tcW w:w="520" w:type="dxa"/>
            <w:vAlign w:val="bottom"/>
            <w:shd w:val="clear" w:color="auto" w:fill="E2EEF6"/>
          </w:tcPr>
          <w:p>
            <w:pPr>
              <w:spacing w:after="0"/>
              <w:rPr>
                <w:sz w:val="18"/>
                <w:szCs w:val="18"/>
                <w:color w:val="auto"/>
              </w:rPr>
            </w:pPr>
          </w:p>
        </w:tc>
        <w:tc>
          <w:tcPr>
            <w:tcW w:w="600" w:type="dxa"/>
            <w:vAlign w:val="bottom"/>
            <w:shd w:val="clear" w:color="auto" w:fill="E2EEF6"/>
          </w:tcPr>
          <w:p>
            <w:pPr>
              <w:spacing w:after="0"/>
              <w:rPr>
                <w:sz w:val="18"/>
                <w:szCs w:val="18"/>
                <w:color w:val="auto"/>
              </w:rPr>
            </w:pPr>
          </w:p>
        </w:tc>
        <w:tc>
          <w:tcPr>
            <w:tcW w:w="320" w:type="dxa"/>
            <w:vAlign w:val="bottom"/>
            <w:shd w:val="clear" w:color="auto" w:fill="E2EEF6"/>
          </w:tcPr>
          <w:p>
            <w:pPr>
              <w:spacing w:after="0"/>
              <w:rPr>
                <w:sz w:val="18"/>
                <w:szCs w:val="18"/>
                <w:color w:val="auto"/>
              </w:rPr>
            </w:pPr>
          </w:p>
        </w:tc>
        <w:tc>
          <w:tcPr>
            <w:tcW w:w="740" w:type="dxa"/>
            <w:vAlign w:val="bottom"/>
            <w:shd w:val="clear" w:color="auto" w:fill="E2EEF6"/>
          </w:tcPr>
          <w:p>
            <w:pPr>
              <w:spacing w:after="0"/>
              <w:rPr>
                <w:sz w:val="18"/>
                <w:szCs w:val="18"/>
                <w:color w:val="auto"/>
              </w:rPr>
            </w:pPr>
          </w:p>
        </w:tc>
        <w:tc>
          <w:tcPr>
            <w:tcW w:w="420" w:type="dxa"/>
            <w:vAlign w:val="bottom"/>
            <w:shd w:val="clear" w:color="auto" w:fill="E2EEF6"/>
          </w:tcPr>
          <w:p>
            <w:pPr>
              <w:spacing w:after="0"/>
              <w:rPr>
                <w:sz w:val="18"/>
                <w:szCs w:val="18"/>
                <w:color w:val="auto"/>
              </w:rPr>
            </w:pPr>
          </w:p>
        </w:tc>
        <w:tc>
          <w:tcPr>
            <w:tcW w:w="640" w:type="dxa"/>
            <w:vAlign w:val="bottom"/>
            <w:shd w:val="clear" w:color="auto" w:fill="E2EEF6"/>
          </w:tcPr>
          <w:p>
            <w:pPr>
              <w:spacing w:after="0"/>
              <w:rPr>
                <w:sz w:val="18"/>
                <w:szCs w:val="18"/>
                <w:color w:val="auto"/>
              </w:rPr>
            </w:pPr>
          </w:p>
        </w:tc>
        <w:tc>
          <w:tcPr>
            <w:tcW w:w="520" w:type="dxa"/>
            <w:vAlign w:val="bottom"/>
            <w:shd w:val="clear" w:color="auto" w:fill="E2EEF6"/>
          </w:tcPr>
          <w:p>
            <w:pPr>
              <w:spacing w:after="0"/>
              <w:rPr>
                <w:sz w:val="18"/>
                <w:szCs w:val="18"/>
                <w:color w:val="auto"/>
              </w:rPr>
            </w:pPr>
          </w:p>
        </w:tc>
        <w:tc>
          <w:tcPr>
            <w:tcW w:w="260" w:type="dxa"/>
            <w:vAlign w:val="bottom"/>
            <w:shd w:val="clear" w:color="auto" w:fill="E2EEF6"/>
          </w:tcPr>
          <w:p>
            <w:pPr>
              <w:spacing w:after="0"/>
              <w:rPr>
                <w:sz w:val="18"/>
                <w:szCs w:val="18"/>
                <w:color w:val="auto"/>
              </w:rPr>
            </w:pPr>
          </w:p>
        </w:tc>
        <w:tc>
          <w:tcPr>
            <w:tcW w:w="740" w:type="dxa"/>
            <w:vAlign w:val="bottom"/>
            <w:shd w:val="clear" w:color="auto" w:fill="E2EEF6"/>
          </w:tcPr>
          <w:p>
            <w:pPr>
              <w:spacing w:after="0"/>
              <w:rPr>
                <w:sz w:val="18"/>
                <w:szCs w:val="18"/>
                <w:color w:val="auto"/>
              </w:rPr>
            </w:pPr>
          </w:p>
        </w:tc>
        <w:tc>
          <w:tcPr>
            <w:tcW w:w="480" w:type="dxa"/>
            <w:vAlign w:val="bottom"/>
            <w:shd w:val="clear" w:color="auto" w:fill="E2EEF6"/>
          </w:tcPr>
          <w:p>
            <w:pPr>
              <w:spacing w:after="0"/>
              <w:rPr>
                <w:sz w:val="18"/>
                <w:szCs w:val="18"/>
                <w:color w:val="auto"/>
              </w:rPr>
            </w:pPr>
          </w:p>
        </w:tc>
        <w:tc>
          <w:tcPr>
            <w:tcW w:w="580" w:type="dxa"/>
            <w:vAlign w:val="bottom"/>
            <w:shd w:val="clear" w:color="auto" w:fill="E2EEF6"/>
          </w:tcPr>
          <w:p>
            <w:pPr>
              <w:spacing w:after="0"/>
              <w:rPr>
                <w:sz w:val="18"/>
                <w:szCs w:val="18"/>
                <w:color w:val="auto"/>
              </w:rPr>
            </w:pPr>
          </w:p>
        </w:tc>
      </w:tr>
      <w:tr>
        <w:trPr>
          <w:trHeight w:val="230"/>
        </w:trPr>
        <w:tc>
          <w:tcPr>
            <w:tcW w:w="1020" w:type="dxa"/>
            <w:vAlign w:val="bottom"/>
            <w:shd w:val="clear" w:color="auto" w:fill="E2EEF6"/>
          </w:tcPr>
          <w:p>
            <w:pPr>
              <w:spacing w:after="0"/>
              <w:rPr>
                <w:sz w:val="20"/>
                <w:szCs w:val="20"/>
                <w:color w:val="auto"/>
              </w:rPr>
            </w:pPr>
            <w:r>
              <w:rPr>
                <w:rFonts w:ascii="Arial" w:cs="Arial" w:eastAsia="Arial" w:hAnsi="Arial"/>
                <w:sz w:val="18"/>
                <w:szCs w:val="18"/>
                <w:color w:val="auto"/>
              </w:rPr>
              <w:t>(loss)</w:t>
            </w:r>
          </w:p>
        </w:tc>
        <w:tc>
          <w:tcPr>
            <w:tcW w:w="82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1,275</w:t>
            </w: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12,064</w:t>
            </w:r>
          </w:p>
        </w:tc>
        <w:tc>
          <w:tcPr>
            <w:tcW w:w="500" w:type="dxa"/>
            <w:vAlign w:val="bottom"/>
            <w:shd w:val="clear" w:color="auto" w:fill="E2EEF6"/>
          </w:tcPr>
          <w:p>
            <w:pPr>
              <w:spacing w:after="0"/>
              <w:rPr>
                <w:sz w:val="20"/>
                <w:szCs w:val="20"/>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1,673</w:t>
            </w:r>
          </w:p>
        </w:tc>
        <w:tc>
          <w:tcPr>
            <w:tcW w:w="92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(1,930)</w:t>
            </w: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7,308</w:t>
            </w:r>
          </w:p>
        </w:tc>
        <w:tc>
          <w:tcPr>
            <w:tcW w:w="420" w:type="dxa"/>
            <w:vAlign w:val="bottom"/>
            <w:shd w:val="clear" w:color="auto" w:fill="E2EEF6"/>
          </w:tcPr>
          <w:p>
            <w:pPr>
              <w:spacing w:after="0"/>
              <w:rPr>
                <w:sz w:val="20"/>
                <w:szCs w:val="20"/>
                <w:color w:val="auto"/>
              </w:rPr>
            </w:pPr>
          </w:p>
        </w:tc>
        <w:tc>
          <w:tcPr>
            <w:tcW w:w="6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1,724</w:t>
            </w:r>
          </w:p>
        </w:tc>
        <w:tc>
          <w:tcPr>
            <w:tcW w:w="78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2,003</w:t>
            </w: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7,492</w:t>
            </w:r>
          </w:p>
        </w:tc>
        <w:tc>
          <w:tcPr>
            <w:tcW w:w="480" w:type="dxa"/>
            <w:vAlign w:val="bottom"/>
            <w:shd w:val="clear" w:color="auto" w:fill="E2EEF6"/>
          </w:tcPr>
          <w:p>
            <w:pPr>
              <w:spacing w:after="0"/>
              <w:rPr>
                <w:sz w:val="20"/>
                <w:szCs w:val="20"/>
                <w:color w:val="auto"/>
              </w:rPr>
            </w:pPr>
          </w:p>
        </w:tc>
        <w:tc>
          <w:tcPr>
            <w:tcW w:w="5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683</w:t>
            </w:r>
          </w:p>
        </w:tc>
      </w:tr>
      <w:tr>
        <w:trPr>
          <w:trHeight w:val="202"/>
        </w:trPr>
        <w:tc>
          <w:tcPr>
            <w:tcW w:w="1020" w:type="dxa"/>
            <w:vAlign w:val="bottom"/>
          </w:tcPr>
          <w:p>
            <w:pPr>
              <w:ind w:left="40"/>
              <w:spacing w:after="0" w:line="201" w:lineRule="exact"/>
              <w:rPr>
                <w:sz w:val="20"/>
                <w:szCs w:val="20"/>
                <w:color w:val="auto"/>
              </w:rPr>
            </w:pPr>
            <w:r>
              <w:rPr>
                <w:rFonts w:ascii="Arial" w:cs="Arial" w:eastAsia="Arial" w:hAnsi="Arial"/>
                <w:sz w:val="18"/>
                <w:szCs w:val="18"/>
                <w:color w:val="auto"/>
              </w:rPr>
              <w:t>Segment</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assets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57,638</w:t>
            </w:r>
          </w:p>
        </w:tc>
        <w:tc>
          <w:tcPr>
            <w:tcW w:w="740" w:type="dxa"/>
            <w:vAlign w:val="bottom"/>
          </w:tcPr>
          <w:p>
            <w:pPr>
              <w:jc w:val="right"/>
              <w:spacing w:after="0"/>
              <w:rPr>
                <w:sz w:val="20"/>
                <w:szCs w:val="20"/>
                <w:color w:val="auto"/>
              </w:rPr>
            </w:pPr>
            <w:r>
              <w:rPr>
                <w:rFonts w:ascii="Arial" w:cs="Arial" w:eastAsia="Arial" w:hAnsi="Arial"/>
                <w:sz w:val="18"/>
                <w:szCs w:val="18"/>
                <w:color w:val="auto"/>
              </w:rPr>
              <w:t>156,276</w:t>
            </w:r>
          </w:p>
        </w:tc>
        <w:tc>
          <w:tcPr>
            <w:tcW w:w="5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55,741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50,142</w:t>
            </w:r>
          </w:p>
        </w:tc>
        <w:tc>
          <w:tcPr>
            <w:tcW w:w="740" w:type="dxa"/>
            <w:vAlign w:val="bottom"/>
          </w:tcPr>
          <w:p>
            <w:pPr>
              <w:jc w:val="right"/>
              <w:spacing w:after="0"/>
              <w:rPr>
                <w:sz w:val="20"/>
                <w:szCs w:val="20"/>
                <w:color w:val="auto"/>
              </w:rPr>
            </w:pPr>
            <w:r>
              <w:rPr>
                <w:rFonts w:ascii="Arial" w:cs="Arial" w:eastAsia="Arial" w:hAnsi="Arial"/>
                <w:sz w:val="18"/>
                <w:szCs w:val="18"/>
                <w:color w:val="auto"/>
              </w:rPr>
              <w:t>177,951</w:t>
            </w:r>
          </w:p>
        </w:tc>
        <w:tc>
          <w:tcPr>
            <w:tcW w:w="4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60,249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55,420</w:t>
            </w:r>
          </w:p>
        </w:tc>
        <w:tc>
          <w:tcPr>
            <w:tcW w:w="740" w:type="dxa"/>
            <w:vAlign w:val="bottom"/>
          </w:tcPr>
          <w:p>
            <w:pPr>
              <w:jc w:val="right"/>
              <w:spacing w:after="0"/>
              <w:rPr>
                <w:sz w:val="20"/>
                <w:szCs w:val="20"/>
                <w:color w:val="auto"/>
              </w:rPr>
            </w:pPr>
            <w:r>
              <w:rPr>
                <w:rFonts w:ascii="Arial" w:cs="Arial" w:eastAsia="Arial" w:hAnsi="Arial"/>
                <w:sz w:val="18"/>
                <w:szCs w:val="18"/>
                <w:color w:val="auto"/>
              </w:rPr>
              <w:t>154,889</w:t>
            </w:r>
          </w:p>
        </w:tc>
        <w:tc>
          <w:tcPr>
            <w:tcW w:w="4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57,590</w:t>
            </w:r>
          </w:p>
        </w:tc>
      </w:tr>
      <w:tr>
        <w:trPr>
          <w:trHeight w:val="202"/>
        </w:trPr>
        <w:tc>
          <w:tcPr>
            <w:tcW w:w="1020" w:type="dxa"/>
            <w:vAlign w:val="bottom"/>
            <w:shd w:val="clear" w:color="auto" w:fill="E2EEF6"/>
          </w:tcPr>
          <w:p>
            <w:pPr>
              <w:ind w:left="40"/>
              <w:spacing w:after="0" w:line="201" w:lineRule="exact"/>
              <w:rPr>
                <w:sz w:val="20"/>
                <w:szCs w:val="20"/>
                <w:color w:val="auto"/>
              </w:rPr>
            </w:pPr>
            <w:r>
              <w:rPr>
                <w:rFonts w:ascii="Arial" w:cs="Arial" w:eastAsia="Arial" w:hAnsi="Arial"/>
                <w:sz w:val="18"/>
                <w:szCs w:val="18"/>
                <w:color w:val="auto"/>
                <w:w w:val="91"/>
              </w:rPr>
              <w:t>Expenditures</w:t>
            </w:r>
          </w:p>
        </w:tc>
        <w:tc>
          <w:tcPr>
            <w:tcW w:w="540" w:type="dxa"/>
            <w:vAlign w:val="bottom"/>
            <w:shd w:val="clear" w:color="auto" w:fill="E2EEF6"/>
          </w:tcPr>
          <w:p>
            <w:pPr>
              <w:spacing w:after="0"/>
              <w:rPr>
                <w:sz w:val="17"/>
                <w:szCs w:val="17"/>
                <w:color w:val="auto"/>
              </w:rPr>
            </w:pPr>
          </w:p>
        </w:tc>
        <w:tc>
          <w:tcPr>
            <w:tcW w:w="280" w:type="dxa"/>
            <w:vAlign w:val="bottom"/>
            <w:shd w:val="clear" w:color="auto" w:fill="E2EEF6"/>
          </w:tcPr>
          <w:p>
            <w:pPr>
              <w:spacing w:after="0"/>
              <w:rPr>
                <w:sz w:val="17"/>
                <w:szCs w:val="17"/>
                <w:color w:val="auto"/>
              </w:rPr>
            </w:pPr>
          </w:p>
        </w:tc>
        <w:tc>
          <w:tcPr>
            <w:tcW w:w="740" w:type="dxa"/>
            <w:vAlign w:val="bottom"/>
            <w:shd w:val="clear" w:color="auto" w:fill="E2EEF6"/>
          </w:tcPr>
          <w:p>
            <w:pPr>
              <w:spacing w:after="0"/>
              <w:rPr>
                <w:sz w:val="17"/>
                <w:szCs w:val="17"/>
                <w:color w:val="auto"/>
              </w:rPr>
            </w:pPr>
          </w:p>
        </w:tc>
        <w:tc>
          <w:tcPr>
            <w:tcW w:w="500" w:type="dxa"/>
            <w:vAlign w:val="bottom"/>
            <w:shd w:val="clear" w:color="auto" w:fill="E2EEF6"/>
          </w:tcPr>
          <w:p>
            <w:pPr>
              <w:spacing w:after="0"/>
              <w:rPr>
                <w:sz w:val="17"/>
                <w:szCs w:val="17"/>
                <w:color w:val="auto"/>
              </w:rPr>
            </w:pPr>
          </w:p>
        </w:tc>
        <w:tc>
          <w:tcPr>
            <w:tcW w:w="520" w:type="dxa"/>
            <w:vAlign w:val="bottom"/>
            <w:shd w:val="clear" w:color="auto" w:fill="E2EEF6"/>
          </w:tcPr>
          <w:p>
            <w:pPr>
              <w:spacing w:after="0"/>
              <w:rPr>
                <w:sz w:val="17"/>
                <w:szCs w:val="17"/>
                <w:color w:val="auto"/>
              </w:rPr>
            </w:pPr>
          </w:p>
        </w:tc>
        <w:tc>
          <w:tcPr>
            <w:tcW w:w="600" w:type="dxa"/>
            <w:vAlign w:val="bottom"/>
            <w:shd w:val="clear" w:color="auto" w:fill="E2EEF6"/>
          </w:tcPr>
          <w:p>
            <w:pPr>
              <w:spacing w:after="0"/>
              <w:rPr>
                <w:sz w:val="17"/>
                <w:szCs w:val="17"/>
                <w:color w:val="auto"/>
              </w:rPr>
            </w:pPr>
          </w:p>
        </w:tc>
        <w:tc>
          <w:tcPr>
            <w:tcW w:w="320" w:type="dxa"/>
            <w:vAlign w:val="bottom"/>
            <w:shd w:val="clear" w:color="auto" w:fill="E2EEF6"/>
          </w:tcPr>
          <w:p>
            <w:pPr>
              <w:spacing w:after="0"/>
              <w:rPr>
                <w:sz w:val="17"/>
                <w:szCs w:val="17"/>
                <w:color w:val="auto"/>
              </w:rPr>
            </w:pPr>
          </w:p>
        </w:tc>
        <w:tc>
          <w:tcPr>
            <w:tcW w:w="740" w:type="dxa"/>
            <w:vAlign w:val="bottom"/>
            <w:shd w:val="clear" w:color="auto" w:fill="E2EEF6"/>
          </w:tcPr>
          <w:p>
            <w:pPr>
              <w:spacing w:after="0"/>
              <w:rPr>
                <w:sz w:val="17"/>
                <w:szCs w:val="17"/>
                <w:color w:val="auto"/>
              </w:rPr>
            </w:pPr>
          </w:p>
        </w:tc>
        <w:tc>
          <w:tcPr>
            <w:tcW w:w="420" w:type="dxa"/>
            <w:vAlign w:val="bottom"/>
            <w:shd w:val="clear" w:color="auto" w:fill="E2EEF6"/>
          </w:tcPr>
          <w:p>
            <w:pPr>
              <w:spacing w:after="0"/>
              <w:rPr>
                <w:sz w:val="17"/>
                <w:szCs w:val="17"/>
                <w:color w:val="auto"/>
              </w:rPr>
            </w:pPr>
          </w:p>
        </w:tc>
        <w:tc>
          <w:tcPr>
            <w:tcW w:w="640" w:type="dxa"/>
            <w:vAlign w:val="bottom"/>
            <w:shd w:val="clear" w:color="auto" w:fill="E2EEF6"/>
          </w:tcPr>
          <w:p>
            <w:pPr>
              <w:spacing w:after="0"/>
              <w:rPr>
                <w:sz w:val="17"/>
                <w:szCs w:val="17"/>
                <w:color w:val="auto"/>
              </w:rPr>
            </w:pPr>
          </w:p>
        </w:tc>
        <w:tc>
          <w:tcPr>
            <w:tcW w:w="520" w:type="dxa"/>
            <w:vAlign w:val="bottom"/>
            <w:shd w:val="clear" w:color="auto" w:fill="E2EEF6"/>
          </w:tcPr>
          <w:p>
            <w:pPr>
              <w:spacing w:after="0"/>
              <w:rPr>
                <w:sz w:val="17"/>
                <w:szCs w:val="17"/>
                <w:color w:val="auto"/>
              </w:rPr>
            </w:pPr>
          </w:p>
        </w:tc>
        <w:tc>
          <w:tcPr>
            <w:tcW w:w="260" w:type="dxa"/>
            <w:vAlign w:val="bottom"/>
            <w:shd w:val="clear" w:color="auto" w:fill="E2EEF6"/>
          </w:tcPr>
          <w:p>
            <w:pPr>
              <w:spacing w:after="0"/>
              <w:rPr>
                <w:sz w:val="17"/>
                <w:szCs w:val="17"/>
                <w:color w:val="auto"/>
              </w:rPr>
            </w:pPr>
          </w:p>
        </w:tc>
        <w:tc>
          <w:tcPr>
            <w:tcW w:w="740" w:type="dxa"/>
            <w:vAlign w:val="bottom"/>
            <w:shd w:val="clear" w:color="auto" w:fill="E2EEF6"/>
          </w:tcPr>
          <w:p>
            <w:pPr>
              <w:spacing w:after="0"/>
              <w:rPr>
                <w:sz w:val="17"/>
                <w:szCs w:val="17"/>
                <w:color w:val="auto"/>
              </w:rPr>
            </w:pPr>
          </w:p>
        </w:tc>
        <w:tc>
          <w:tcPr>
            <w:tcW w:w="480" w:type="dxa"/>
            <w:vAlign w:val="bottom"/>
            <w:shd w:val="clear" w:color="auto" w:fill="E2EEF6"/>
          </w:tcPr>
          <w:p>
            <w:pPr>
              <w:spacing w:after="0"/>
              <w:rPr>
                <w:sz w:val="17"/>
                <w:szCs w:val="17"/>
                <w:color w:val="auto"/>
              </w:rPr>
            </w:pPr>
          </w:p>
        </w:tc>
        <w:tc>
          <w:tcPr>
            <w:tcW w:w="580" w:type="dxa"/>
            <w:vAlign w:val="bottom"/>
            <w:shd w:val="clear" w:color="auto" w:fill="E2EEF6"/>
          </w:tcPr>
          <w:p>
            <w:pPr>
              <w:spacing w:after="0"/>
              <w:rPr>
                <w:sz w:val="17"/>
                <w:szCs w:val="17"/>
                <w:color w:val="auto"/>
              </w:rPr>
            </w:pPr>
          </w:p>
        </w:tc>
      </w:tr>
      <w:tr>
        <w:trPr>
          <w:trHeight w:val="216"/>
        </w:trPr>
        <w:tc>
          <w:tcPr>
            <w:tcW w:w="1020" w:type="dxa"/>
            <w:vAlign w:val="bottom"/>
            <w:shd w:val="clear" w:color="auto" w:fill="E2EEF6"/>
          </w:tcPr>
          <w:p>
            <w:pPr>
              <w:spacing w:after="0"/>
              <w:rPr>
                <w:sz w:val="20"/>
                <w:szCs w:val="20"/>
                <w:color w:val="auto"/>
              </w:rPr>
            </w:pPr>
            <w:r>
              <w:rPr>
                <w:rFonts w:ascii="Arial" w:cs="Arial" w:eastAsia="Arial" w:hAnsi="Arial"/>
                <w:sz w:val="18"/>
                <w:szCs w:val="18"/>
                <w:color w:val="auto"/>
              </w:rPr>
              <w:t>for long-</w:t>
            </w:r>
          </w:p>
        </w:tc>
        <w:tc>
          <w:tcPr>
            <w:tcW w:w="540" w:type="dxa"/>
            <w:vAlign w:val="bottom"/>
            <w:shd w:val="clear" w:color="auto" w:fill="E2EEF6"/>
          </w:tcPr>
          <w:p>
            <w:pPr>
              <w:spacing w:after="0"/>
              <w:rPr>
                <w:sz w:val="18"/>
                <w:szCs w:val="18"/>
                <w:color w:val="auto"/>
              </w:rPr>
            </w:pPr>
          </w:p>
        </w:tc>
        <w:tc>
          <w:tcPr>
            <w:tcW w:w="280" w:type="dxa"/>
            <w:vAlign w:val="bottom"/>
            <w:shd w:val="clear" w:color="auto" w:fill="E2EEF6"/>
          </w:tcPr>
          <w:p>
            <w:pPr>
              <w:spacing w:after="0"/>
              <w:rPr>
                <w:sz w:val="18"/>
                <w:szCs w:val="18"/>
                <w:color w:val="auto"/>
              </w:rPr>
            </w:pPr>
          </w:p>
        </w:tc>
        <w:tc>
          <w:tcPr>
            <w:tcW w:w="740" w:type="dxa"/>
            <w:vAlign w:val="bottom"/>
            <w:shd w:val="clear" w:color="auto" w:fill="E2EEF6"/>
          </w:tcPr>
          <w:p>
            <w:pPr>
              <w:spacing w:after="0"/>
              <w:rPr>
                <w:sz w:val="18"/>
                <w:szCs w:val="18"/>
                <w:color w:val="auto"/>
              </w:rPr>
            </w:pPr>
          </w:p>
        </w:tc>
        <w:tc>
          <w:tcPr>
            <w:tcW w:w="500" w:type="dxa"/>
            <w:vAlign w:val="bottom"/>
            <w:shd w:val="clear" w:color="auto" w:fill="E2EEF6"/>
          </w:tcPr>
          <w:p>
            <w:pPr>
              <w:spacing w:after="0"/>
              <w:rPr>
                <w:sz w:val="18"/>
                <w:szCs w:val="18"/>
                <w:color w:val="auto"/>
              </w:rPr>
            </w:pPr>
          </w:p>
        </w:tc>
        <w:tc>
          <w:tcPr>
            <w:tcW w:w="520" w:type="dxa"/>
            <w:vAlign w:val="bottom"/>
            <w:shd w:val="clear" w:color="auto" w:fill="E2EEF6"/>
          </w:tcPr>
          <w:p>
            <w:pPr>
              <w:spacing w:after="0"/>
              <w:rPr>
                <w:sz w:val="18"/>
                <w:szCs w:val="18"/>
                <w:color w:val="auto"/>
              </w:rPr>
            </w:pPr>
          </w:p>
        </w:tc>
        <w:tc>
          <w:tcPr>
            <w:tcW w:w="600" w:type="dxa"/>
            <w:vAlign w:val="bottom"/>
            <w:shd w:val="clear" w:color="auto" w:fill="E2EEF6"/>
          </w:tcPr>
          <w:p>
            <w:pPr>
              <w:spacing w:after="0"/>
              <w:rPr>
                <w:sz w:val="18"/>
                <w:szCs w:val="18"/>
                <w:color w:val="auto"/>
              </w:rPr>
            </w:pPr>
          </w:p>
        </w:tc>
        <w:tc>
          <w:tcPr>
            <w:tcW w:w="320" w:type="dxa"/>
            <w:vAlign w:val="bottom"/>
            <w:shd w:val="clear" w:color="auto" w:fill="E2EEF6"/>
          </w:tcPr>
          <w:p>
            <w:pPr>
              <w:spacing w:after="0"/>
              <w:rPr>
                <w:sz w:val="18"/>
                <w:szCs w:val="18"/>
                <w:color w:val="auto"/>
              </w:rPr>
            </w:pPr>
          </w:p>
        </w:tc>
        <w:tc>
          <w:tcPr>
            <w:tcW w:w="740" w:type="dxa"/>
            <w:vAlign w:val="bottom"/>
            <w:shd w:val="clear" w:color="auto" w:fill="E2EEF6"/>
          </w:tcPr>
          <w:p>
            <w:pPr>
              <w:spacing w:after="0"/>
              <w:rPr>
                <w:sz w:val="18"/>
                <w:szCs w:val="18"/>
                <w:color w:val="auto"/>
              </w:rPr>
            </w:pPr>
          </w:p>
        </w:tc>
        <w:tc>
          <w:tcPr>
            <w:tcW w:w="420" w:type="dxa"/>
            <w:vAlign w:val="bottom"/>
            <w:shd w:val="clear" w:color="auto" w:fill="E2EEF6"/>
          </w:tcPr>
          <w:p>
            <w:pPr>
              <w:spacing w:after="0"/>
              <w:rPr>
                <w:sz w:val="18"/>
                <w:szCs w:val="18"/>
                <w:color w:val="auto"/>
              </w:rPr>
            </w:pPr>
          </w:p>
        </w:tc>
        <w:tc>
          <w:tcPr>
            <w:tcW w:w="640" w:type="dxa"/>
            <w:vAlign w:val="bottom"/>
            <w:shd w:val="clear" w:color="auto" w:fill="E2EEF6"/>
          </w:tcPr>
          <w:p>
            <w:pPr>
              <w:spacing w:after="0"/>
              <w:rPr>
                <w:sz w:val="18"/>
                <w:szCs w:val="18"/>
                <w:color w:val="auto"/>
              </w:rPr>
            </w:pPr>
          </w:p>
        </w:tc>
        <w:tc>
          <w:tcPr>
            <w:tcW w:w="520" w:type="dxa"/>
            <w:vAlign w:val="bottom"/>
            <w:shd w:val="clear" w:color="auto" w:fill="E2EEF6"/>
          </w:tcPr>
          <w:p>
            <w:pPr>
              <w:spacing w:after="0"/>
              <w:rPr>
                <w:sz w:val="18"/>
                <w:szCs w:val="18"/>
                <w:color w:val="auto"/>
              </w:rPr>
            </w:pPr>
          </w:p>
        </w:tc>
        <w:tc>
          <w:tcPr>
            <w:tcW w:w="260" w:type="dxa"/>
            <w:vAlign w:val="bottom"/>
            <w:shd w:val="clear" w:color="auto" w:fill="E2EEF6"/>
          </w:tcPr>
          <w:p>
            <w:pPr>
              <w:spacing w:after="0"/>
              <w:rPr>
                <w:sz w:val="18"/>
                <w:szCs w:val="18"/>
                <w:color w:val="auto"/>
              </w:rPr>
            </w:pPr>
          </w:p>
        </w:tc>
        <w:tc>
          <w:tcPr>
            <w:tcW w:w="740" w:type="dxa"/>
            <w:vAlign w:val="bottom"/>
            <w:shd w:val="clear" w:color="auto" w:fill="E2EEF6"/>
          </w:tcPr>
          <w:p>
            <w:pPr>
              <w:spacing w:after="0"/>
              <w:rPr>
                <w:sz w:val="18"/>
                <w:szCs w:val="18"/>
                <w:color w:val="auto"/>
              </w:rPr>
            </w:pPr>
          </w:p>
        </w:tc>
        <w:tc>
          <w:tcPr>
            <w:tcW w:w="480" w:type="dxa"/>
            <w:vAlign w:val="bottom"/>
            <w:shd w:val="clear" w:color="auto" w:fill="E2EEF6"/>
          </w:tcPr>
          <w:p>
            <w:pPr>
              <w:spacing w:after="0"/>
              <w:rPr>
                <w:sz w:val="18"/>
                <w:szCs w:val="18"/>
                <w:color w:val="auto"/>
              </w:rPr>
            </w:pPr>
          </w:p>
        </w:tc>
        <w:tc>
          <w:tcPr>
            <w:tcW w:w="580" w:type="dxa"/>
            <w:vAlign w:val="bottom"/>
            <w:shd w:val="clear" w:color="auto" w:fill="E2EEF6"/>
          </w:tcPr>
          <w:p>
            <w:pPr>
              <w:spacing w:after="0"/>
              <w:rPr>
                <w:sz w:val="18"/>
                <w:szCs w:val="18"/>
                <w:color w:val="auto"/>
              </w:rPr>
            </w:pPr>
          </w:p>
        </w:tc>
      </w:tr>
      <w:tr>
        <w:trPr>
          <w:trHeight w:val="230"/>
        </w:trPr>
        <w:tc>
          <w:tcPr>
            <w:tcW w:w="1020" w:type="dxa"/>
            <w:vAlign w:val="bottom"/>
            <w:shd w:val="clear" w:color="auto" w:fill="E2EEF6"/>
          </w:tcPr>
          <w:p>
            <w:pPr>
              <w:spacing w:after="0"/>
              <w:rPr>
                <w:sz w:val="20"/>
                <w:szCs w:val="20"/>
                <w:color w:val="auto"/>
              </w:rPr>
            </w:pPr>
            <w:r>
              <w:rPr>
                <w:rFonts w:ascii="Arial" w:cs="Arial" w:eastAsia="Arial" w:hAnsi="Arial"/>
                <w:sz w:val="18"/>
                <w:szCs w:val="18"/>
                <w:color w:val="auto"/>
              </w:rPr>
              <w:t>lived assets</w:t>
            </w:r>
          </w:p>
        </w:tc>
        <w:tc>
          <w:tcPr>
            <w:tcW w:w="82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5,942</w:t>
            </w: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10,061</w:t>
            </w:r>
          </w:p>
        </w:tc>
        <w:tc>
          <w:tcPr>
            <w:tcW w:w="500" w:type="dxa"/>
            <w:vAlign w:val="bottom"/>
            <w:shd w:val="clear" w:color="auto" w:fill="E2EEF6"/>
          </w:tcPr>
          <w:p>
            <w:pPr>
              <w:spacing w:after="0"/>
              <w:rPr>
                <w:sz w:val="20"/>
                <w:szCs w:val="20"/>
                <w:color w:val="auto"/>
              </w:rPr>
            </w:pPr>
          </w:p>
        </w:tc>
        <w:tc>
          <w:tcPr>
            <w:tcW w:w="5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726</w:t>
            </w:r>
          </w:p>
        </w:tc>
        <w:tc>
          <w:tcPr>
            <w:tcW w:w="92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3,238</w:t>
            </w: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8,021</w:t>
            </w:r>
          </w:p>
        </w:tc>
        <w:tc>
          <w:tcPr>
            <w:tcW w:w="420" w:type="dxa"/>
            <w:vAlign w:val="bottom"/>
            <w:shd w:val="clear" w:color="auto" w:fill="E2EEF6"/>
          </w:tcPr>
          <w:p>
            <w:pPr>
              <w:spacing w:after="0"/>
              <w:rPr>
                <w:sz w:val="20"/>
                <w:szCs w:val="20"/>
                <w:color w:val="auto"/>
              </w:rPr>
            </w:pPr>
          </w:p>
        </w:tc>
        <w:tc>
          <w:tcPr>
            <w:tcW w:w="6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903</w:t>
            </w:r>
          </w:p>
        </w:tc>
        <w:tc>
          <w:tcPr>
            <w:tcW w:w="78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2,948</w:t>
            </w: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5,609</w:t>
            </w:r>
          </w:p>
        </w:tc>
        <w:tc>
          <w:tcPr>
            <w:tcW w:w="480" w:type="dxa"/>
            <w:vAlign w:val="bottom"/>
            <w:shd w:val="clear" w:color="auto" w:fill="E2EEF6"/>
          </w:tcPr>
          <w:p>
            <w:pPr>
              <w:spacing w:after="0"/>
              <w:rPr>
                <w:sz w:val="20"/>
                <w:szCs w:val="20"/>
                <w:color w:val="auto"/>
              </w:rPr>
            </w:pPr>
          </w:p>
        </w:tc>
        <w:tc>
          <w:tcPr>
            <w:tcW w:w="5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2,872</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Sales to external customers and long-lived assets utilized by the Company were concentrated in the following geographical regions:</w:t>
      </w:r>
    </w:p>
    <w:p>
      <w:pPr>
        <w:spacing w:after="0" w:line="289"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2400" w:type="dxa"/>
            <w:vAlign w:val="bottom"/>
            <w:gridSpan w:val="4"/>
          </w:tcPr>
          <w:p>
            <w:pPr>
              <w:ind w:left="380"/>
              <w:spacing w:after="0"/>
              <w:rPr>
                <w:sz w:val="20"/>
                <w:szCs w:val="20"/>
                <w:color w:val="auto"/>
              </w:rPr>
            </w:pPr>
            <w:r>
              <w:rPr>
                <w:rFonts w:ascii="Arial" w:cs="Arial" w:eastAsia="Arial" w:hAnsi="Arial"/>
                <w:sz w:val="18"/>
                <w:szCs w:val="18"/>
                <w:b w:val="1"/>
                <w:bCs w:val="1"/>
                <w:color w:val="auto"/>
              </w:rPr>
              <w:t>December 31, 2005</w:t>
            </w:r>
          </w:p>
        </w:tc>
        <w:tc>
          <w:tcPr>
            <w:tcW w:w="2180" w:type="dxa"/>
            <w:vAlign w:val="bottom"/>
            <w:gridSpan w:val="4"/>
          </w:tcPr>
          <w:p>
            <w:pPr>
              <w:ind w:left="300"/>
              <w:spacing w:after="0"/>
              <w:rPr>
                <w:sz w:val="20"/>
                <w:szCs w:val="20"/>
                <w:color w:val="auto"/>
              </w:rPr>
            </w:pPr>
            <w:r>
              <w:rPr>
                <w:rFonts w:ascii="Arial" w:cs="Arial" w:eastAsia="Arial" w:hAnsi="Arial"/>
                <w:sz w:val="18"/>
                <w:szCs w:val="18"/>
                <w:b w:val="1"/>
                <w:bCs w:val="1"/>
                <w:color w:val="auto"/>
              </w:rPr>
              <w:t>December 31, 2004</w:t>
            </w:r>
          </w:p>
        </w:tc>
        <w:tc>
          <w:tcPr>
            <w:tcW w:w="2120" w:type="dxa"/>
            <w:vAlign w:val="bottom"/>
            <w:gridSpan w:val="4"/>
          </w:tcPr>
          <w:p>
            <w:pPr>
              <w:ind w:left="320"/>
              <w:spacing w:after="0"/>
              <w:rPr>
                <w:sz w:val="20"/>
                <w:szCs w:val="20"/>
                <w:color w:val="auto"/>
              </w:rPr>
            </w:pPr>
            <w:r>
              <w:rPr>
                <w:rFonts w:ascii="Arial" w:cs="Arial" w:eastAsia="Arial" w:hAnsi="Arial"/>
                <w:sz w:val="18"/>
                <w:szCs w:val="18"/>
                <w:b w:val="1"/>
                <w:bCs w:val="1"/>
                <w:color w:val="auto"/>
              </w:rPr>
              <w:t>December 31, 2003</w:t>
            </w:r>
          </w:p>
        </w:tc>
        <w:tc>
          <w:tcPr>
            <w:tcW w:w="0" w:type="dxa"/>
            <w:vAlign w:val="bottom"/>
          </w:tcPr>
          <w:p>
            <w:pPr>
              <w:spacing w:after="0"/>
              <w:rPr>
                <w:sz w:val="1"/>
                <w:szCs w:val="1"/>
                <w:color w:val="auto"/>
              </w:rPr>
            </w:pPr>
          </w:p>
        </w:tc>
      </w:tr>
      <w:tr>
        <w:trPr>
          <w:trHeight w:val="191"/>
        </w:trPr>
        <w:tc>
          <w:tcPr>
            <w:tcW w:w="18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Long-lived</w:t>
            </w:r>
          </w:p>
        </w:tc>
        <w:tc>
          <w:tcPr>
            <w:tcW w:w="2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Long-lived</w:t>
            </w: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Long-lived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1200" w:type="dxa"/>
            <w:vAlign w:val="bottom"/>
            <w:gridSpan w:val="2"/>
          </w:tcPr>
          <w:p>
            <w:pPr>
              <w:ind w:left="360"/>
              <w:spacing w:after="0"/>
              <w:rPr>
                <w:sz w:val="20"/>
                <w:szCs w:val="20"/>
                <w:color w:val="auto"/>
              </w:rPr>
            </w:pPr>
            <w:r>
              <w:rPr>
                <w:rFonts w:ascii="Arial" w:cs="Arial" w:eastAsia="Arial" w:hAnsi="Arial"/>
                <w:sz w:val="18"/>
                <w:szCs w:val="18"/>
                <w:b w:val="1"/>
                <w:bCs w:val="1"/>
                <w:color w:val="auto"/>
              </w:rPr>
              <w:t>Sales</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78"/>
              </w:rPr>
              <w:t>assets</w:t>
            </w:r>
          </w:p>
        </w:tc>
        <w:tc>
          <w:tcPr>
            <w:tcW w:w="1080" w:type="dxa"/>
            <w:vAlign w:val="bottom"/>
            <w:gridSpan w:val="2"/>
          </w:tcPr>
          <w:p>
            <w:pPr>
              <w:ind w:left="300"/>
              <w:spacing w:after="0"/>
              <w:rPr>
                <w:sz w:val="20"/>
                <w:szCs w:val="20"/>
                <w:color w:val="auto"/>
              </w:rPr>
            </w:pPr>
            <w:r>
              <w:rPr>
                <w:rFonts w:ascii="Arial" w:cs="Arial" w:eastAsia="Arial" w:hAnsi="Arial"/>
                <w:sz w:val="18"/>
                <w:szCs w:val="18"/>
                <w:b w:val="1"/>
                <w:bCs w:val="1"/>
                <w:color w:val="auto"/>
              </w:rPr>
              <w:t>Sales</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78"/>
              </w:rPr>
              <w:t>assets</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Sales</w:t>
            </w:r>
          </w:p>
        </w:tc>
        <w:tc>
          <w:tcPr>
            <w:tcW w:w="10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78"/>
              </w:rPr>
              <w:t>assets</w:t>
            </w:r>
          </w:p>
        </w:tc>
        <w:tc>
          <w:tcPr>
            <w:tcW w:w="0" w:type="dxa"/>
            <w:vAlign w:val="bottom"/>
          </w:tcPr>
          <w:p>
            <w:pPr>
              <w:spacing w:after="0"/>
              <w:rPr>
                <w:sz w:val="1"/>
                <w:szCs w:val="1"/>
                <w:color w:val="auto"/>
              </w:rPr>
            </w:pPr>
          </w:p>
        </w:tc>
      </w:tr>
      <w:tr>
        <w:trPr>
          <w:trHeight w:val="237"/>
        </w:trPr>
        <w:tc>
          <w:tcPr>
            <w:tcW w:w="186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E2EEF6"/>
          </w:tcPr>
          <w:p>
            <w:pPr>
              <w:spacing w:after="0"/>
              <w:rPr>
                <w:sz w:val="20"/>
                <w:szCs w:val="20"/>
                <w:color w:val="auto"/>
              </w:rPr>
            </w:pPr>
            <w:r>
              <w:rPr>
                <w:rFonts w:ascii="Arial" w:cs="Arial" w:eastAsia="Arial" w:hAnsi="Arial"/>
                <w:sz w:val="18"/>
                <w:szCs w:val="18"/>
                <w:color w:val="auto"/>
              </w:rPr>
              <w:t>United States</w:t>
            </w:r>
          </w:p>
        </w:tc>
        <w:tc>
          <w:tcPr>
            <w:tcW w:w="12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$77,763</w:t>
            </w:r>
          </w:p>
        </w:tc>
        <w:tc>
          <w:tcPr>
            <w:tcW w:w="120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$31,821</w:t>
            </w:r>
          </w:p>
        </w:tc>
        <w:tc>
          <w:tcPr>
            <w:tcW w:w="9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$74,228</w:t>
            </w:r>
          </w:p>
        </w:tc>
        <w:tc>
          <w:tcPr>
            <w:tcW w:w="100" w:type="dxa"/>
            <w:vAlign w:val="bottom"/>
            <w:shd w:val="clear" w:color="auto" w:fill="E2EEF6"/>
          </w:tcPr>
          <w:p>
            <w:pPr>
              <w:spacing w:after="0"/>
              <w:rPr>
                <w:sz w:val="21"/>
                <w:szCs w:val="21"/>
                <w:color w:val="auto"/>
              </w:rPr>
            </w:pPr>
          </w:p>
        </w:tc>
        <w:tc>
          <w:tcPr>
            <w:tcW w:w="11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$ 34,945</w:t>
            </w:r>
          </w:p>
        </w:tc>
        <w:tc>
          <w:tcPr>
            <w:tcW w:w="11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$ 67,756</w:t>
            </w:r>
          </w:p>
        </w:tc>
        <w:tc>
          <w:tcPr>
            <w:tcW w:w="10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$ 36,523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0"/>
                <w:szCs w:val="20"/>
                <w:color w:val="auto"/>
              </w:rPr>
            </w:pPr>
            <w:r>
              <w:rPr>
                <w:rFonts w:ascii="Arial" w:cs="Arial" w:eastAsia="Arial" w:hAnsi="Arial"/>
                <w:sz w:val="18"/>
                <w:szCs w:val="18"/>
                <w:color w:val="auto"/>
              </w:rPr>
              <w:t>Europe</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185,786</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81,348</w:t>
            </w:r>
          </w:p>
        </w:tc>
        <w:tc>
          <w:tcPr>
            <w:tcW w:w="980" w:type="dxa"/>
            <w:vAlign w:val="bottom"/>
          </w:tcPr>
          <w:p>
            <w:pPr>
              <w:jc w:val="right"/>
              <w:spacing w:after="0"/>
              <w:rPr>
                <w:sz w:val="20"/>
                <w:szCs w:val="20"/>
                <w:color w:val="auto"/>
              </w:rPr>
            </w:pPr>
            <w:r>
              <w:rPr>
                <w:rFonts w:ascii="Arial" w:cs="Arial" w:eastAsia="Arial" w:hAnsi="Arial"/>
                <w:sz w:val="18"/>
                <w:szCs w:val="18"/>
                <w:color w:val="auto"/>
              </w:rPr>
              <w:t>181,224</w:t>
            </w: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96,224</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134,914</w:t>
            </w:r>
          </w:p>
        </w:tc>
        <w:tc>
          <w:tcPr>
            <w:tcW w:w="1000" w:type="dxa"/>
            <w:vAlign w:val="bottom"/>
          </w:tcPr>
          <w:p>
            <w:pPr>
              <w:jc w:val="right"/>
              <w:spacing w:after="0"/>
              <w:rPr>
                <w:sz w:val="20"/>
                <w:szCs w:val="20"/>
                <w:color w:val="auto"/>
              </w:rPr>
            </w:pPr>
            <w:r>
              <w:rPr>
                <w:rFonts w:ascii="Arial" w:cs="Arial" w:eastAsia="Arial" w:hAnsi="Arial"/>
                <w:sz w:val="18"/>
                <w:szCs w:val="18"/>
                <w:color w:val="auto"/>
              </w:rPr>
              <w:t>92,473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E2EEF6"/>
          </w:tcPr>
          <w:p>
            <w:pPr>
              <w:spacing w:after="0"/>
              <w:rPr>
                <w:sz w:val="20"/>
                <w:szCs w:val="20"/>
                <w:color w:val="auto"/>
              </w:rPr>
            </w:pPr>
            <w:r>
              <w:rPr>
                <w:rFonts w:ascii="Arial" w:cs="Arial" w:eastAsia="Arial" w:hAnsi="Arial"/>
                <w:sz w:val="18"/>
                <w:szCs w:val="18"/>
                <w:color w:val="auto"/>
              </w:rPr>
              <w:t>Asia</w:t>
            </w:r>
          </w:p>
        </w:tc>
        <w:tc>
          <w:tcPr>
            <w:tcW w:w="12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19,689</w:t>
            </w:r>
          </w:p>
        </w:tc>
        <w:tc>
          <w:tcPr>
            <w:tcW w:w="120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5,660</w:t>
            </w:r>
          </w:p>
        </w:tc>
        <w:tc>
          <w:tcPr>
            <w:tcW w:w="10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18,763</w:t>
            </w:r>
          </w:p>
        </w:tc>
        <w:tc>
          <w:tcPr>
            <w:tcW w:w="11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17,512</w:t>
            </w:r>
          </w:p>
        </w:tc>
        <w:tc>
          <w:tcPr>
            <w:tcW w:w="10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0"/>
                <w:szCs w:val="20"/>
                <w:color w:val="auto"/>
              </w:rPr>
            </w:pPr>
            <w:r>
              <w:rPr>
                <w:rFonts w:ascii="Arial" w:cs="Arial" w:eastAsia="Arial" w:hAnsi="Arial"/>
                <w:sz w:val="18"/>
                <w:szCs w:val="18"/>
                <w:color w:val="auto"/>
              </w:rPr>
              <w:t>Canada</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8,835</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9,040</w:t>
            </w: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10,727</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E2EEF6"/>
          </w:tcPr>
          <w:p>
            <w:pPr>
              <w:spacing w:after="0"/>
              <w:rPr>
                <w:sz w:val="20"/>
                <w:szCs w:val="20"/>
                <w:color w:val="auto"/>
              </w:rPr>
            </w:pPr>
            <w:r>
              <w:rPr>
                <w:rFonts w:ascii="Arial" w:cs="Arial" w:eastAsia="Arial" w:hAnsi="Arial"/>
                <w:sz w:val="18"/>
                <w:szCs w:val="18"/>
                <w:color w:val="auto"/>
              </w:rPr>
              <w:t>Mexico/S.America</w:t>
            </w:r>
          </w:p>
        </w:tc>
        <w:tc>
          <w:tcPr>
            <w:tcW w:w="12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23,049</w:t>
            </w:r>
          </w:p>
        </w:tc>
        <w:tc>
          <w:tcPr>
            <w:tcW w:w="120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15,642</w:t>
            </w:r>
          </w:p>
        </w:tc>
        <w:tc>
          <w:tcPr>
            <w:tcW w:w="11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13,435</w:t>
            </w:r>
          </w:p>
        </w:tc>
        <w:tc>
          <w:tcPr>
            <w:tcW w:w="10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Other export</w:t>
            </w:r>
          </w:p>
        </w:tc>
        <w:tc>
          <w:tcPr>
            <w:tcW w:w="1120" w:type="dxa"/>
            <w:vAlign w:val="bottom"/>
          </w:tcPr>
          <w:p>
            <w:pPr>
              <w:jc w:val="right"/>
              <w:spacing w:after="0"/>
              <w:rPr>
                <w:sz w:val="20"/>
                <w:szCs w:val="20"/>
                <w:color w:val="auto"/>
              </w:rPr>
            </w:pPr>
            <w:r>
              <w:rPr>
                <w:rFonts w:ascii="Arial" w:cs="Arial" w:eastAsia="Arial" w:hAnsi="Arial"/>
                <w:sz w:val="18"/>
                <w:szCs w:val="18"/>
                <w:color w:val="auto"/>
              </w:rPr>
              <w:t>6,265</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5,192</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9,118</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60" w:type="dxa"/>
            <w:vAlign w:val="bottom"/>
            <w:shd w:val="clear" w:color="auto" w:fill="E2EEF6"/>
          </w:tcPr>
          <w:p>
            <w:pPr>
              <w:spacing w:after="0"/>
              <w:rPr>
                <w:sz w:val="20"/>
                <w:szCs w:val="20"/>
                <w:color w:val="auto"/>
              </w:rPr>
            </w:pPr>
            <w:r>
              <w:rPr>
                <w:rFonts w:ascii="Arial" w:cs="Arial" w:eastAsia="Arial" w:hAnsi="Arial"/>
                <w:sz w:val="18"/>
                <w:szCs w:val="18"/>
                <w:color w:val="auto"/>
              </w:rPr>
              <w:t>All foreign countries</w:t>
            </w: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243,624</w:t>
            </w:r>
          </w:p>
        </w:tc>
        <w:tc>
          <w:tcPr>
            <w:tcW w:w="80" w:type="dxa"/>
            <w:vAlign w:val="bottom"/>
            <w:shd w:val="clear" w:color="auto" w:fill="E2EEF6"/>
          </w:tcPr>
          <w:p>
            <w:pPr>
              <w:spacing w:after="0"/>
              <w:rPr>
                <w:sz w:val="19"/>
                <w:szCs w:val="19"/>
                <w:color w:val="auto"/>
              </w:rPr>
            </w:pPr>
          </w:p>
        </w:tc>
        <w:tc>
          <w:tcPr>
            <w:tcW w:w="10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87,008</w:t>
            </w:r>
          </w:p>
        </w:tc>
        <w:tc>
          <w:tcPr>
            <w:tcW w:w="200" w:type="dxa"/>
            <w:vAlign w:val="bottom"/>
            <w:shd w:val="clear" w:color="auto" w:fill="E2EEF6"/>
          </w:tcPr>
          <w:p>
            <w:pPr>
              <w:spacing w:after="0"/>
              <w:rPr>
                <w:sz w:val="19"/>
                <w:szCs w:val="19"/>
                <w:color w:val="auto"/>
              </w:rPr>
            </w:pPr>
          </w:p>
        </w:tc>
        <w:tc>
          <w:tcPr>
            <w:tcW w:w="9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229,861</w:t>
            </w:r>
          </w:p>
        </w:tc>
        <w:tc>
          <w:tcPr>
            <w:tcW w:w="100" w:type="dxa"/>
            <w:vAlign w:val="bottom"/>
            <w:shd w:val="clear" w:color="auto" w:fill="E2EEF6"/>
          </w:tcPr>
          <w:p>
            <w:pPr>
              <w:spacing w:after="0"/>
              <w:rPr>
                <w:sz w:val="19"/>
                <w:szCs w:val="19"/>
                <w:color w:val="auto"/>
              </w:rPr>
            </w:pPr>
          </w:p>
        </w:tc>
        <w:tc>
          <w:tcPr>
            <w:tcW w:w="10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96,224</w:t>
            </w:r>
          </w:p>
        </w:tc>
        <w:tc>
          <w:tcPr>
            <w:tcW w:w="100" w:type="dxa"/>
            <w:vAlign w:val="bottom"/>
            <w:shd w:val="clear" w:color="auto" w:fill="E2EEF6"/>
          </w:tcPr>
          <w:p>
            <w:pPr>
              <w:spacing w:after="0"/>
              <w:rPr>
                <w:sz w:val="19"/>
                <w:szCs w:val="19"/>
                <w:color w:val="auto"/>
              </w:rPr>
            </w:pPr>
          </w:p>
        </w:tc>
        <w:tc>
          <w:tcPr>
            <w:tcW w:w="11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185,706</w:t>
            </w:r>
          </w:p>
        </w:tc>
        <w:tc>
          <w:tcPr>
            <w:tcW w:w="10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92,473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60" w:type="dxa"/>
            <w:vAlign w:val="bottom"/>
            <w:tcBorders>
              <w:top w:val="single" w:sz="8" w:color="E2EEF6"/>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0" w:type="dxa"/>
            <w:vAlign w:val="bottom"/>
            <w:tcBorders>
              <w:top w:val="single" w:sz="8" w:color="E2EEF6"/>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0" w:type="dxa"/>
            <w:vAlign w:val="bottom"/>
            <w:tcBorders>
              <w:top w:val="single" w:sz="8" w:color="E2EEF6"/>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860" w:type="dxa"/>
            <w:vAlign w:val="bottom"/>
            <w:shd w:val="clear" w:color="auto" w:fill="E2EEF6"/>
          </w:tcPr>
          <w:p>
            <w:pPr>
              <w:spacing w:after="0"/>
              <w:rPr>
                <w:sz w:val="20"/>
                <w:szCs w:val="20"/>
                <w:color w:val="auto"/>
              </w:rPr>
            </w:pPr>
            <w:r>
              <w:rPr>
                <w:rFonts w:ascii="Arial" w:cs="Arial" w:eastAsia="Arial" w:hAnsi="Arial"/>
                <w:sz w:val="18"/>
                <w:szCs w:val="18"/>
                <w:color w:val="auto"/>
              </w:rPr>
              <w:t>Total</w:t>
            </w: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$ 321,387</w:t>
            </w:r>
          </w:p>
        </w:tc>
        <w:tc>
          <w:tcPr>
            <w:tcW w:w="80" w:type="dxa"/>
            <w:vAlign w:val="bottom"/>
            <w:shd w:val="clear" w:color="auto" w:fill="E2EEF6"/>
          </w:tcPr>
          <w:p>
            <w:pPr>
              <w:spacing w:after="0"/>
              <w:rPr>
                <w:sz w:val="20"/>
                <w:szCs w:val="20"/>
                <w:color w:val="auto"/>
              </w:rPr>
            </w:pPr>
          </w:p>
        </w:tc>
        <w:tc>
          <w:tcPr>
            <w:tcW w:w="10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$ 118,829</w:t>
            </w:r>
          </w:p>
        </w:tc>
        <w:tc>
          <w:tcPr>
            <w:tcW w:w="200" w:type="dxa"/>
            <w:vAlign w:val="bottom"/>
            <w:shd w:val="clear" w:color="auto" w:fill="E2EEF6"/>
          </w:tcPr>
          <w:p>
            <w:pPr>
              <w:spacing w:after="0"/>
              <w:rPr>
                <w:sz w:val="20"/>
                <w:szCs w:val="20"/>
                <w:color w:val="auto"/>
              </w:rPr>
            </w:pPr>
          </w:p>
        </w:tc>
        <w:tc>
          <w:tcPr>
            <w:tcW w:w="9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$ 304,089</w:t>
            </w:r>
          </w:p>
        </w:tc>
        <w:tc>
          <w:tcPr>
            <w:tcW w:w="100" w:type="dxa"/>
            <w:vAlign w:val="bottom"/>
            <w:shd w:val="clear" w:color="auto" w:fill="E2EEF6"/>
          </w:tcPr>
          <w:p>
            <w:pPr>
              <w:spacing w:after="0"/>
              <w:rPr>
                <w:sz w:val="20"/>
                <w:szCs w:val="20"/>
                <w:color w:val="auto"/>
              </w:rPr>
            </w:pPr>
          </w:p>
        </w:tc>
        <w:tc>
          <w:tcPr>
            <w:tcW w:w="10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$ 131,169</w:t>
            </w:r>
          </w:p>
        </w:tc>
        <w:tc>
          <w:tcPr>
            <w:tcW w:w="100" w:type="dxa"/>
            <w:vAlign w:val="bottom"/>
            <w:shd w:val="clear" w:color="auto" w:fill="E2EEF6"/>
          </w:tcPr>
          <w:p>
            <w:pPr>
              <w:spacing w:after="0"/>
              <w:rPr>
                <w:sz w:val="20"/>
                <w:szCs w:val="20"/>
                <w:color w:val="auto"/>
              </w:rPr>
            </w:pPr>
          </w:p>
        </w:tc>
        <w:tc>
          <w:tcPr>
            <w:tcW w:w="11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$ 253,462</w:t>
            </w:r>
          </w:p>
        </w:tc>
        <w:tc>
          <w:tcPr>
            <w:tcW w:w="10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$ 128,996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E2EEF6"/>
            </w:tcBorders>
            <w:shd w:val="clear" w:color="auto" w:fill="E2EEF6"/>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2EEF6"/>
            </w:tcBorders>
            <w:shd w:val="clear" w:color="auto" w:fill="E2EEF6"/>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2EEF6"/>
            </w:tcBorders>
            <w:shd w:val="clear" w:color="auto" w:fill="E2EEF6"/>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For the years ended December 31, 2005, 2004 and 2003, sales to SKF amounted to $151,175, $145,534, and $107,484, respectively, or 47.0% ,47.9%, and 42.4%, of consolidated revenues, respectively. For the years ended December 31, 2005, 2004 and 2003, sales to Schaeffler Group (INA) amounted to $41,399, $41,693, and $40,110 respectively or 12.9%, 13.7%, and 15.8% of consolidated revenues, respectively. For the years ended December 31, 2005, 2004, and 2003, sales to various divisions of The Timken Co. amounted to $20,376, $17,148, and $10,736 or 6.3%, 5.6%, and 4.2% of consolidated revenues respectively. None of the Company’s other customers accounted for more than 5% of our net sales in 2005, 2004 or 2003. SKF was the only customer with an Accounts Receivable concentration in excess of 10%. This outstanding balance as of December 31, 2005 &amp; 2004 was $16,151 and $21,458 respectively.</w:t>
      </w:r>
    </w:p>
    <w:p>
      <w:pPr>
        <w:spacing w:after="0" w:line="228"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70485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40" w:top="121" w:right="279" w:bottom="1440" w:gutter="0" w:footer="0" w:header="0"/>
        </w:sectPr>
      </w:pPr>
    </w:p>
    <w:bookmarkStart w:id="56" w:name="page57"/>
    <w:bookmarkEnd w:id="56"/>
    <w:p>
      <w:pPr>
        <w:jc w:val="center"/>
        <w:ind w:left="82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auto"/>
        </w:rPr>
        <w:t>December 31, 2005, 2004 and 2003</w:t>
      </w:r>
    </w:p>
    <w:p>
      <w:pPr>
        <w:spacing w:after="0" w:line="9"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35" w:lineRule="exact"/>
        <w:rPr>
          <w:sz w:val="20"/>
          <w:szCs w:val="20"/>
          <w:color w:val="auto"/>
        </w:rPr>
      </w:pPr>
    </w:p>
    <w:p>
      <w:pPr>
        <w:jc w:val="both"/>
        <w:ind w:left="640"/>
        <w:spacing w:after="0" w:line="297" w:lineRule="auto"/>
        <w:rPr>
          <w:sz w:val="20"/>
          <w:szCs w:val="20"/>
          <w:color w:val="auto"/>
        </w:rPr>
      </w:pPr>
      <w:r>
        <w:rPr>
          <w:rFonts w:ascii="Arial" w:cs="Arial" w:eastAsia="Arial" w:hAnsi="Arial"/>
          <w:sz w:val="16"/>
          <w:szCs w:val="16"/>
          <w:color w:val="auto"/>
        </w:rPr>
        <w:t>The Schaeffler Group (INA) and SKF agreements for precision steel balls expire on June 30, 2006 and July 31, 2006, respectively. Schaeffler Group (INA) has decided to in-source approximately $12 million of annual business to their internal ball manufacturing facility in Germany. This represents approximately 30% of the existing Schaeffler Group (INA) business. We are in the process of negotiating a long term supply agreement with Schaeffler Group (INA) for remaining business. In addition, we are in process of negotiating a new long term agreement with SKF to replace the one for precision balls that expires July 31, 2006. SKF has informally agreed in principle to carry the current agreement through to December 31, 2006.</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8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Income before provision for income taxes for the years ended December 31, 2005, 2004 and 2003 were as follows:</w:t>
      </w:r>
    </w:p>
    <w:p>
      <w:pPr>
        <w:spacing w:after="0" w:line="302"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0"/>
        </w:trPr>
        <w:tc>
          <w:tcPr>
            <w:tcW w:w="50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2004</w:t>
            </w:r>
          </w:p>
        </w:tc>
        <w:tc>
          <w:tcPr>
            <w:tcW w:w="1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2003</w:t>
            </w:r>
          </w:p>
        </w:tc>
        <w:tc>
          <w:tcPr>
            <w:tcW w:w="80" w:type="dxa"/>
            <w:vAlign w:val="bottom"/>
          </w:tcPr>
          <w:p>
            <w:pPr>
              <w:spacing w:after="0"/>
              <w:rPr>
                <w:sz w:val="23"/>
                <w:szCs w:val="23"/>
                <w:color w:val="auto"/>
              </w:rPr>
            </w:pPr>
          </w:p>
        </w:tc>
      </w:tr>
      <w:tr>
        <w:trPr>
          <w:trHeight w:val="237"/>
        </w:trPr>
        <w:tc>
          <w:tcPr>
            <w:tcW w:w="5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060" w:type="dxa"/>
            <w:vAlign w:val="bottom"/>
            <w:shd w:val="clear" w:color="auto" w:fill="E2EEF6"/>
          </w:tcPr>
          <w:p>
            <w:pPr>
              <w:spacing w:after="0"/>
              <w:rPr>
                <w:sz w:val="20"/>
                <w:szCs w:val="20"/>
                <w:color w:val="auto"/>
              </w:rPr>
            </w:pPr>
            <w:r>
              <w:rPr>
                <w:rFonts w:ascii="Arial" w:cs="Arial" w:eastAsia="Arial" w:hAnsi="Arial"/>
                <w:sz w:val="18"/>
                <w:szCs w:val="18"/>
                <w:color w:val="auto"/>
              </w:rPr>
              <w:t>Income before provision for income taxes:</w:t>
            </w:r>
          </w:p>
        </w:tc>
        <w:tc>
          <w:tcPr>
            <w:tcW w:w="200" w:type="dxa"/>
            <w:vAlign w:val="bottom"/>
            <w:shd w:val="clear" w:color="auto" w:fill="E2EEF6"/>
          </w:tcPr>
          <w:p>
            <w:pPr>
              <w:spacing w:after="0"/>
              <w:rPr>
                <w:sz w:val="21"/>
                <w:szCs w:val="21"/>
                <w:color w:val="auto"/>
              </w:rPr>
            </w:pPr>
          </w:p>
        </w:tc>
        <w:tc>
          <w:tcPr>
            <w:tcW w:w="84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82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320" w:type="dxa"/>
            <w:vAlign w:val="bottom"/>
            <w:shd w:val="clear" w:color="auto" w:fill="E2EEF6"/>
          </w:tcPr>
          <w:p>
            <w:pPr>
              <w:spacing w:after="0"/>
              <w:rPr>
                <w:sz w:val="21"/>
                <w:szCs w:val="21"/>
                <w:color w:val="auto"/>
              </w:rPr>
            </w:pPr>
          </w:p>
        </w:tc>
        <w:tc>
          <w:tcPr>
            <w:tcW w:w="70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United States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6,227</w:t>
            </w:r>
          </w:p>
        </w:tc>
        <w:tc>
          <w:tcPr>
            <w:tcW w:w="160" w:type="dxa"/>
            <w:vAlign w:val="bottom"/>
          </w:tcPr>
          <w:p>
            <w:pPr>
              <w:spacing w:after="0"/>
              <w:rPr>
                <w:sz w:val="21"/>
                <w:szCs w:val="21"/>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3,711</w:t>
            </w:r>
          </w:p>
        </w:tc>
      </w:tr>
      <w:tr>
        <w:trPr>
          <w:trHeight w:val="243"/>
        </w:trPr>
        <w:tc>
          <w:tcPr>
            <w:tcW w:w="5060" w:type="dxa"/>
            <w:vAlign w:val="bottom"/>
            <w:shd w:val="clear" w:color="auto" w:fill="E2EEF6"/>
          </w:tcPr>
          <w:p>
            <w:pPr>
              <w:spacing w:after="0"/>
              <w:rPr>
                <w:sz w:val="20"/>
                <w:szCs w:val="20"/>
                <w:color w:val="auto"/>
              </w:rPr>
            </w:pPr>
            <w:r>
              <w:rPr>
                <w:rFonts w:ascii="Arial" w:cs="Arial" w:eastAsia="Arial" w:hAnsi="Arial"/>
                <w:sz w:val="18"/>
                <w:szCs w:val="18"/>
                <w:color w:val="auto"/>
              </w:rPr>
              <w:t>Foreign</w:t>
            </w:r>
          </w:p>
        </w:tc>
        <w:tc>
          <w:tcPr>
            <w:tcW w:w="200" w:type="dxa"/>
            <w:vAlign w:val="bottom"/>
            <w:shd w:val="clear" w:color="auto" w:fill="E2EEF6"/>
          </w:tcPr>
          <w:p>
            <w:pPr>
              <w:spacing w:after="0"/>
              <w:rPr>
                <w:sz w:val="21"/>
                <w:szCs w:val="21"/>
                <w:color w:val="auto"/>
              </w:rPr>
            </w:pPr>
          </w:p>
        </w:tc>
        <w:tc>
          <w:tcPr>
            <w:tcW w:w="8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18,537</w:t>
            </w:r>
          </w:p>
        </w:tc>
        <w:tc>
          <w:tcPr>
            <w:tcW w:w="16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11,373</w:t>
            </w:r>
          </w:p>
        </w:tc>
        <w:tc>
          <w:tcPr>
            <w:tcW w:w="160" w:type="dxa"/>
            <w:vAlign w:val="bottom"/>
            <w:shd w:val="clear" w:color="auto" w:fill="E2EEF6"/>
          </w:tcPr>
          <w:p>
            <w:pPr>
              <w:spacing w:after="0"/>
              <w:rPr>
                <w:sz w:val="21"/>
                <w:szCs w:val="21"/>
                <w:color w:val="auto"/>
              </w:rPr>
            </w:pPr>
          </w:p>
        </w:tc>
        <w:tc>
          <w:tcPr>
            <w:tcW w:w="320" w:type="dxa"/>
            <w:vAlign w:val="bottom"/>
            <w:shd w:val="clear" w:color="auto" w:fill="E2EEF6"/>
          </w:tcPr>
          <w:p>
            <w:pPr>
              <w:spacing w:after="0"/>
              <w:rPr>
                <w:sz w:val="21"/>
                <w:szCs w:val="21"/>
                <w:color w:val="auto"/>
              </w:rPr>
            </w:pPr>
          </w:p>
        </w:tc>
        <w:tc>
          <w:tcPr>
            <w:tcW w:w="7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12,868</w:t>
            </w:r>
          </w:p>
        </w:tc>
      </w:tr>
      <w:tr>
        <w:trPr>
          <w:trHeight w:val="20"/>
        </w:trPr>
        <w:tc>
          <w:tcPr>
            <w:tcW w:w="5060" w:type="dxa"/>
            <w:vAlign w:val="bottom"/>
            <w:shd w:val="clear" w:color="auto" w:fill="E2EEF6"/>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E2EEF6"/>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E2EEF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E2EEF6"/>
          </w:tcPr>
          <w:p>
            <w:pPr>
              <w:spacing w:after="0" w:line="20" w:lineRule="exact"/>
              <w:rPr>
                <w:sz w:val="1"/>
                <w:szCs w:val="1"/>
                <w:color w:val="auto"/>
              </w:rPr>
            </w:pPr>
          </w:p>
        </w:tc>
      </w:tr>
      <w:tr>
        <w:trPr>
          <w:trHeight w:val="237"/>
        </w:trPr>
        <w:tc>
          <w:tcPr>
            <w:tcW w:w="506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24,764</w:t>
            </w:r>
          </w:p>
        </w:tc>
        <w:tc>
          <w:tcPr>
            <w:tcW w:w="16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11,191</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16,579</w:t>
            </w:r>
          </w:p>
        </w:tc>
      </w:tr>
      <w:tr>
        <w:trPr>
          <w:trHeight w:val="20"/>
        </w:trPr>
        <w:tc>
          <w:tcPr>
            <w:tcW w:w="5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income tax expense (benefit) for the years ended December 31, 2005, 2004, and 2003 were as follows:</w:t>
      </w:r>
    </w:p>
    <w:p>
      <w:pPr>
        <w:spacing w:after="0" w:line="200" w:lineRule="exact"/>
        <w:rPr>
          <w:sz w:val="20"/>
          <w:szCs w:val="20"/>
          <w:color w:val="auto"/>
        </w:rPr>
      </w:pPr>
    </w:p>
    <w:p>
      <w:pPr>
        <w:spacing w:after="0" w:line="345"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0"/>
        </w:trPr>
        <w:tc>
          <w:tcPr>
            <w:tcW w:w="50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2004</w:t>
            </w:r>
          </w:p>
        </w:tc>
        <w:tc>
          <w:tcPr>
            <w:tcW w:w="1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2003</w:t>
            </w:r>
          </w:p>
        </w:tc>
        <w:tc>
          <w:tcPr>
            <w:tcW w:w="80" w:type="dxa"/>
            <w:vAlign w:val="bottom"/>
          </w:tcPr>
          <w:p>
            <w:pPr>
              <w:spacing w:after="0"/>
              <w:rPr>
                <w:sz w:val="23"/>
                <w:szCs w:val="23"/>
                <w:color w:val="auto"/>
              </w:rPr>
            </w:pPr>
          </w:p>
        </w:tc>
      </w:tr>
      <w:tr>
        <w:trPr>
          <w:trHeight w:val="237"/>
        </w:trPr>
        <w:tc>
          <w:tcPr>
            <w:tcW w:w="5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060" w:type="dxa"/>
            <w:vAlign w:val="bottom"/>
            <w:shd w:val="clear" w:color="auto" w:fill="E2EEF6"/>
          </w:tcPr>
          <w:p>
            <w:pPr>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E2EEF6"/>
          </w:tcPr>
          <w:p>
            <w:pPr>
              <w:spacing w:after="0"/>
              <w:rPr>
                <w:sz w:val="21"/>
                <w:szCs w:val="21"/>
                <w:color w:val="auto"/>
              </w:rPr>
            </w:pPr>
          </w:p>
        </w:tc>
        <w:tc>
          <w:tcPr>
            <w:tcW w:w="84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82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320" w:type="dxa"/>
            <w:vAlign w:val="bottom"/>
            <w:shd w:val="clear" w:color="auto" w:fill="E2EEF6"/>
          </w:tcPr>
          <w:p>
            <w:pPr>
              <w:spacing w:after="0"/>
              <w:rPr>
                <w:sz w:val="21"/>
                <w:szCs w:val="21"/>
                <w:color w:val="auto"/>
              </w:rPr>
            </w:pPr>
          </w:p>
        </w:tc>
        <w:tc>
          <w:tcPr>
            <w:tcW w:w="70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U.S. Federal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2,815</w:t>
            </w:r>
          </w:p>
        </w:tc>
        <w:tc>
          <w:tcPr>
            <w:tcW w:w="160" w:type="dxa"/>
            <w:vAlign w:val="bottom"/>
          </w:tcPr>
          <w:p>
            <w:pPr>
              <w:spacing w:after="0"/>
              <w:rPr>
                <w:sz w:val="21"/>
                <w:szCs w:val="21"/>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(2,785)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(388)</w:t>
            </w:r>
          </w:p>
        </w:tc>
      </w:tr>
      <w:tr>
        <w:trPr>
          <w:trHeight w:val="243"/>
        </w:trPr>
        <w:tc>
          <w:tcPr>
            <w:tcW w:w="5060" w:type="dxa"/>
            <w:vAlign w:val="bottom"/>
            <w:shd w:val="clear" w:color="auto" w:fill="E2EEF6"/>
          </w:tcPr>
          <w:p>
            <w:pPr>
              <w:ind w:left="160"/>
              <w:spacing w:after="0"/>
              <w:rPr>
                <w:sz w:val="20"/>
                <w:szCs w:val="20"/>
                <w:color w:val="auto"/>
              </w:rPr>
            </w:pPr>
            <w:r>
              <w:rPr>
                <w:rFonts w:ascii="Arial" w:cs="Arial" w:eastAsia="Arial" w:hAnsi="Arial"/>
                <w:sz w:val="18"/>
                <w:szCs w:val="18"/>
                <w:color w:val="auto"/>
              </w:rPr>
              <w:t>State</w:t>
            </w:r>
          </w:p>
        </w:tc>
        <w:tc>
          <w:tcPr>
            <w:tcW w:w="200" w:type="dxa"/>
            <w:vAlign w:val="bottom"/>
            <w:shd w:val="clear" w:color="auto" w:fill="E2EEF6"/>
          </w:tcPr>
          <w:p>
            <w:pPr>
              <w:spacing w:after="0"/>
              <w:rPr>
                <w:sz w:val="21"/>
                <w:szCs w:val="21"/>
                <w:color w:val="auto"/>
              </w:rPr>
            </w:pPr>
          </w:p>
        </w:tc>
        <w:tc>
          <w:tcPr>
            <w:tcW w:w="10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(78)</w:t>
            </w:r>
          </w:p>
        </w:tc>
        <w:tc>
          <w:tcPr>
            <w:tcW w:w="200" w:type="dxa"/>
            <w:vAlign w:val="bottom"/>
            <w:shd w:val="clear" w:color="auto" w:fill="E2EEF6"/>
          </w:tcPr>
          <w:p>
            <w:pPr>
              <w:spacing w:after="0"/>
              <w:rPr>
                <w:sz w:val="21"/>
                <w:szCs w:val="21"/>
                <w:color w:val="auto"/>
              </w:rPr>
            </w:pPr>
          </w:p>
        </w:tc>
        <w:tc>
          <w:tcPr>
            <w:tcW w:w="9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88</w:t>
            </w:r>
          </w:p>
        </w:tc>
        <w:tc>
          <w:tcPr>
            <w:tcW w:w="320" w:type="dxa"/>
            <w:vAlign w:val="bottom"/>
            <w:shd w:val="clear" w:color="auto" w:fill="E2EEF6"/>
          </w:tcPr>
          <w:p>
            <w:pPr>
              <w:spacing w:after="0"/>
              <w:rPr>
                <w:sz w:val="21"/>
                <w:szCs w:val="21"/>
                <w:color w:val="auto"/>
              </w:rPr>
            </w:pPr>
          </w:p>
        </w:tc>
        <w:tc>
          <w:tcPr>
            <w:tcW w:w="78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(3)</w:t>
            </w: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Non-U.S.</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7,689</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3,532</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2,229</w:t>
            </w:r>
          </w:p>
        </w:tc>
      </w:tr>
      <w:tr>
        <w:trPr>
          <w:trHeight w:val="20"/>
        </w:trPr>
        <w:tc>
          <w:tcPr>
            <w:tcW w:w="5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060" w:type="dxa"/>
            <w:vAlign w:val="bottom"/>
            <w:shd w:val="clear" w:color="auto" w:fill="E2EEF6"/>
          </w:tcPr>
          <w:p>
            <w:pPr>
              <w:ind w:left="980"/>
              <w:spacing w:after="0"/>
              <w:rPr>
                <w:sz w:val="20"/>
                <w:szCs w:val="20"/>
                <w:color w:val="auto"/>
              </w:rPr>
            </w:pPr>
            <w:r>
              <w:rPr>
                <w:rFonts w:ascii="Arial" w:cs="Arial" w:eastAsia="Arial" w:hAnsi="Arial"/>
                <w:sz w:val="18"/>
                <w:szCs w:val="18"/>
                <w:color w:val="auto"/>
              </w:rPr>
              <w:t>Total current expense</w:t>
            </w:r>
          </w:p>
        </w:tc>
        <w:tc>
          <w:tcPr>
            <w:tcW w:w="200" w:type="dxa"/>
            <w:vAlign w:val="bottom"/>
            <w:shd w:val="clear" w:color="auto" w:fill="E2EEF6"/>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10,426</w:t>
            </w:r>
          </w:p>
        </w:tc>
        <w:tc>
          <w:tcPr>
            <w:tcW w:w="160" w:type="dxa"/>
            <w:vAlign w:val="bottom"/>
            <w:shd w:val="clear" w:color="auto" w:fill="E2EEF6"/>
          </w:tcPr>
          <w:p>
            <w:pPr>
              <w:spacing w:after="0"/>
              <w:rPr>
                <w:sz w:val="20"/>
                <w:szCs w:val="20"/>
                <w:color w:val="auto"/>
              </w:rPr>
            </w:pPr>
          </w:p>
        </w:tc>
        <w:tc>
          <w:tcPr>
            <w:tcW w:w="200" w:type="dxa"/>
            <w:vAlign w:val="bottom"/>
            <w:shd w:val="clear" w:color="auto" w:fill="E2EEF6"/>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835</w:t>
            </w:r>
          </w:p>
        </w:tc>
        <w:tc>
          <w:tcPr>
            <w:tcW w:w="160" w:type="dxa"/>
            <w:vAlign w:val="bottom"/>
            <w:shd w:val="clear" w:color="auto" w:fill="E2EEF6"/>
          </w:tcPr>
          <w:p>
            <w:pPr>
              <w:spacing w:after="0"/>
              <w:rPr>
                <w:sz w:val="20"/>
                <w:szCs w:val="20"/>
                <w:color w:val="auto"/>
              </w:rPr>
            </w:pPr>
          </w:p>
        </w:tc>
        <w:tc>
          <w:tcPr>
            <w:tcW w:w="320" w:type="dxa"/>
            <w:vAlign w:val="bottom"/>
            <w:shd w:val="clear" w:color="auto" w:fill="E2EEF6"/>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1,838</w:t>
            </w:r>
          </w:p>
        </w:tc>
      </w:tr>
      <w:tr>
        <w:trPr>
          <w:trHeight w:val="777"/>
        </w:trPr>
        <w:tc>
          <w:tcPr>
            <w:tcW w:w="5060" w:type="dxa"/>
            <w:vAlign w:val="bottom"/>
            <w:tcBorders>
              <w:top w:val="single" w:sz="8" w:color="E2EEF6"/>
            </w:tcBorders>
          </w:tcPr>
          <w:p>
            <w:pPr>
              <w:spacing w:after="0"/>
              <w:rPr>
                <w:sz w:val="20"/>
                <w:szCs w:val="20"/>
                <w:color w:val="auto"/>
              </w:rPr>
            </w:pPr>
            <w:r>
              <w:rPr>
                <w:rFonts w:ascii="Arial" w:cs="Arial" w:eastAsia="Arial" w:hAnsi="Arial"/>
                <w:sz w:val="18"/>
                <w:szCs w:val="18"/>
                <w:color w:val="auto"/>
              </w:rPr>
              <w:t>Deferred:</w:t>
            </w: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Borders>
              <w:top w:val="single" w:sz="8" w:color="E2EEF6"/>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E2EEF6"/>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E2EEF6"/>
            </w:tcBorders>
          </w:tcPr>
          <w:p>
            <w:pPr>
              <w:spacing w:after="0"/>
              <w:rPr>
                <w:sz w:val="24"/>
                <w:szCs w:val="24"/>
                <w:color w:val="auto"/>
              </w:rPr>
            </w:pPr>
          </w:p>
        </w:tc>
      </w:tr>
      <w:tr>
        <w:trPr>
          <w:trHeight w:val="243"/>
        </w:trPr>
        <w:tc>
          <w:tcPr>
            <w:tcW w:w="5060" w:type="dxa"/>
            <w:vAlign w:val="bottom"/>
            <w:shd w:val="clear" w:color="auto" w:fill="E2EEF6"/>
          </w:tcPr>
          <w:p>
            <w:pPr>
              <w:ind w:left="160"/>
              <w:spacing w:after="0"/>
              <w:rPr>
                <w:sz w:val="20"/>
                <w:szCs w:val="20"/>
                <w:color w:val="auto"/>
              </w:rPr>
            </w:pPr>
            <w:r>
              <w:rPr>
                <w:rFonts w:ascii="Arial" w:cs="Arial" w:eastAsia="Arial" w:hAnsi="Arial"/>
                <w:sz w:val="18"/>
                <w:szCs w:val="18"/>
                <w:color w:val="auto"/>
              </w:rPr>
              <w:t>U.S. Federal</w:t>
            </w:r>
          </w:p>
        </w:tc>
        <w:tc>
          <w:tcPr>
            <w:tcW w:w="200" w:type="dxa"/>
            <w:vAlign w:val="bottom"/>
            <w:shd w:val="clear" w:color="auto" w:fill="E2EEF6"/>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(609)</w:t>
            </w:r>
          </w:p>
        </w:tc>
        <w:tc>
          <w:tcPr>
            <w:tcW w:w="200" w:type="dxa"/>
            <w:vAlign w:val="bottom"/>
            <w:shd w:val="clear" w:color="auto" w:fill="E2EEF6"/>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2,285</w:t>
            </w:r>
          </w:p>
        </w:tc>
        <w:tc>
          <w:tcPr>
            <w:tcW w:w="320" w:type="dxa"/>
            <w:vAlign w:val="bottom"/>
            <w:shd w:val="clear" w:color="auto" w:fill="E2EEF6"/>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1,272</w:t>
            </w: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State</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303</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43"/>
        </w:trPr>
        <w:tc>
          <w:tcPr>
            <w:tcW w:w="5060" w:type="dxa"/>
            <w:vAlign w:val="bottom"/>
            <w:shd w:val="clear" w:color="auto" w:fill="E2EEF6"/>
          </w:tcPr>
          <w:p>
            <w:pPr>
              <w:ind w:left="160"/>
              <w:spacing w:after="0"/>
              <w:rPr>
                <w:sz w:val="20"/>
                <w:szCs w:val="20"/>
                <w:color w:val="auto"/>
              </w:rPr>
            </w:pPr>
            <w:r>
              <w:rPr>
                <w:rFonts w:ascii="Arial" w:cs="Arial" w:eastAsia="Arial" w:hAnsi="Arial"/>
                <w:sz w:val="18"/>
                <w:szCs w:val="18"/>
                <w:color w:val="auto"/>
              </w:rPr>
              <w:t>Non-U.S.</w:t>
            </w:r>
          </w:p>
        </w:tc>
        <w:tc>
          <w:tcPr>
            <w:tcW w:w="200" w:type="dxa"/>
            <w:vAlign w:val="bottom"/>
            <w:shd w:val="clear" w:color="auto" w:fill="E2EEF6"/>
          </w:tcPr>
          <w:p>
            <w:pPr>
              <w:spacing w:after="0"/>
              <w:rPr>
                <w:sz w:val="21"/>
                <w:szCs w:val="21"/>
                <w:color w:val="auto"/>
              </w:rPr>
            </w:pPr>
          </w:p>
        </w:tc>
        <w:tc>
          <w:tcPr>
            <w:tcW w:w="10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(368)</w:t>
            </w:r>
          </w:p>
        </w:tc>
        <w:tc>
          <w:tcPr>
            <w:tcW w:w="200" w:type="dxa"/>
            <w:vAlign w:val="bottom"/>
            <w:shd w:val="clear" w:color="auto" w:fill="E2EEF6"/>
          </w:tcPr>
          <w:p>
            <w:pPr>
              <w:spacing w:after="0"/>
              <w:rPr>
                <w:sz w:val="21"/>
                <w:szCs w:val="21"/>
                <w:color w:val="auto"/>
              </w:rPr>
            </w:pPr>
          </w:p>
        </w:tc>
        <w:tc>
          <w:tcPr>
            <w:tcW w:w="9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1,015</w:t>
            </w:r>
          </w:p>
        </w:tc>
        <w:tc>
          <w:tcPr>
            <w:tcW w:w="320" w:type="dxa"/>
            <w:vAlign w:val="bottom"/>
            <w:shd w:val="clear" w:color="auto" w:fill="E2EEF6"/>
          </w:tcPr>
          <w:p>
            <w:pPr>
              <w:spacing w:after="0"/>
              <w:rPr>
                <w:sz w:val="21"/>
                <w:szCs w:val="21"/>
                <w:color w:val="auto"/>
              </w:rPr>
            </w:pPr>
          </w:p>
        </w:tc>
        <w:tc>
          <w:tcPr>
            <w:tcW w:w="7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2,629</w:t>
            </w:r>
          </w:p>
        </w:tc>
      </w:tr>
      <w:tr>
        <w:trPr>
          <w:trHeight w:val="237"/>
        </w:trPr>
        <w:tc>
          <w:tcPr>
            <w:tcW w:w="5060" w:type="dxa"/>
            <w:vAlign w:val="bottom"/>
            <w:tcBorders>
              <w:top w:val="single" w:sz="8" w:color="E2EEF6"/>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60" w:type="dxa"/>
            <w:vAlign w:val="bottom"/>
            <w:tcBorders>
              <w:top w:val="single" w:sz="8" w:color="E2EEF6"/>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Borders>
              <w:top w:val="single" w:sz="8" w:color="E2EEF6"/>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0" w:type="dxa"/>
            <w:vAlign w:val="bottom"/>
            <w:tcBorders>
              <w:top w:val="single" w:sz="8" w:color="E2EEF6"/>
            </w:tcBorders>
          </w:tcPr>
          <w:p>
            <w:pPr>
              <w:spacing w:after="0"/>
              <w:rPr>
                <w:sz w:val="20"/>
                <w:szCs w:val="20"/>
                <w:color w:val="auto"/>
              </w:rPr>
            </w:pPr>
          </w:p>
        </w:tc>
      </w:tr>
      <w:tr>
        <w:trPr>
          <w:trHeight w:val="243"/>
        </w:trPr>
        <w:tc>
          <w:tcPr>
            <w:tcW w:w="5060" w:type="dxa"/>
            <w:vAlign w:val="bottom"/>
            <w:shd w:val="clear" w:color="auto" w:fill="E2EEF6"/>
          </w:tcPr>
          <w:p>
            <w:pPr>
              <w:ind w:left="980"/>
              <w:spacing w:after="0"/>
              <w:rPr>
                <w:sz w:val="20"/>
                <w:szCs w:val="20"/>
                <w:color w:val="auto"/>
              </w:rPr>
            </w:pPr>
            <w:r>
              <w:rPr>
                <w:rFonts w:ascii="Arial" w:cs="Arial" w:eastAsia="Arial" w:hAnsi="Arial"/>
                <w:sz w:val="18"/>
                <w:szCs w:val="18"/>
                <w:color w:val="auto"/>
              </w:rPr>
              <w:t>Total deferred expense (income)</w:t>
            </w:r>
          </w:p>
        </w:tc>
        <w:tc>
          <w:tcPr>
            <w:tcW w:w="200" w:type="dxa"/>
            <w:vAlign w:val="bottom"/>
            <w:shd w:val="clear" w:color="auto" w:fill="E2EEF6"/>
          </w:tcPr>
          <w:p>
            <w:pPr>
              <w:spacing w:after="0"/>
              <w:rPr>
                <w:sz w:val="21"/>
                <w:szCs w:val="21"/>
                <w:color w:val="auto"/>
              </w:rPr>
            </w:pPr>
          </w:p>
        </w:tc>
        <w:tc>
          <w:tcPr>
            <w:tcW w:w="10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(674)</w:t>
            </w:r>
          </w:p>
        </w:tc>
        <w:tc>
          <w:tcPr>
            <w:tcW w:w="200" w:type="dxa"/>
            <w:vAlign w:val="bottom"/>
            <w:shd w:val="clear" w:color="auto" w:fill="E2EEF6"/>
          </w:tcPr>
          <w:p>
            <w:pPr>
              <w:spacing w:after="0"/>
              <w:rPr>
                <w:sz w:val="21"/>
                <w:szCs w:val="21"/>
                <w:color w:val="auto"/>
              </w:rPr>
            </w:pPr>
          </w:p>
        </w:tc>
        <w:tc>
          <w:tcPr>
            <w:tcW w:w="9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3,254</w:t>
            </w:r>
          </w:p>
        </w:tc>
        <w:tc>
          <w:tcPr>
            <w:tcW w:w="320" w:type="dxa"/>
            <w:vAlign w:val="bottom"/>
            <w:shd w:val="clear" w:color="auto" w:fill="E2EEF6"/>
          </w:tcPr>
          <w:p>
            <w:pPr>
              <w:spacing w:after="0"/>
              <w:rPr>
                <w:sz w:val="21"/>
                <w:szCs w:val="21"/>
                <w:color w:val="auto"/>
              </w:rPr>
            </w:pPr>
          </w:p>
        </w:tc>
        <w:tc>
          <w:tcPr>
            <w:tcW w:w="7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3,888</w:t>
            </w:r>
          </w:p>
        </w:tc>
      </w:tr>
      <w:tr>
        <w:trPr>
          <w:trHeight w:val="237"/>
        </w:trPr>
        <w:tc>
          <w:tcPr>
            <w:tcW w:w="5060" w:type="dxa"/>
            <w:vAlign w:val="bottom"/>
            <w:tcBorders>
              <w:top w:val="single" w:sz="8" w:color="E2EEF6"/>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60" w:type="dxa"/>
            <w:vAlign w:val="bottom"/>
            <w:tcBorders>
              <w:top w:val="single" w:sz="8" w:color="E2EEF6"/>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Borders>
              <w:top w:val="single" w:sz="8" w:color="E2EEF6"/>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0" w:type="dxa"/>
            <w:vAlign w:val="bottom"/>
            <w:tcBorders>
              <w:top w:val="single" w:sz="8" w:color="E2EEF6"/>
            </w:tcBorders>
          </w:tcPr>
          <w:p>
            <w:pPr>
              <w:spacing w:after="0"/>
              <w:rPr>
                <w:sz w:val="20"/>
                <w:szCs w:val="20"/>
                <w:color w:val="auto"/>
              </w:rPr>
            </w:pPr>
          </w:p>
        </w:tc>
      </w:tr>
      <w:tr>
        <w:trPr>
          <w:trHeight w:val="263"/>
        </w:trPr>
        <w:tc>
          <w:tcPr>
            <w:tcW w:w="5060" w:type="dxa"/>
            <w:vAlign w:val="bottom"/>
            <w:shd w:val="clear" w:color="auto" w:fill="E2EEF6"/>
          </w:tcPr>
          <w:p>
            <w:pPr>
              <w:ind w:left="980"/>
              <w:spacing w:after="0"/>
              <w:rPr>
                <w:sz w:val="20"/>
                <w:szCs w:val="20"/>
                <w:color w:val="auto"/>
              </w:rPr>
            </w:pPr>
            <w:r>
              <w:rPr>
                <w:rFonts w:ascii="Arial" w:cs="Arial" w:eastAsia="Arial" w:hAnsi="Arial"/>
                <w:sz w:val="18"/>
                <w:szCs w:val="18"/>
                <w:color w:val="auto"/>
              </w:rPr>
              <w:t>Total expense</w:t>
            </w:r>
          </w:p>
        </w:tc>
        <w:tc>
          <w:tcPr>
            <w:tcW w:w="200" w:type="dxa"/>
            <w:vAlign w:val="bottom"/>
            <w:shd w:val="clear" w:color="auto" w:fill="E2EEF6"/>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9,752</w:t>
            </w:r>
          </w:p>
        </w:tc>
        <w:tc>
          <w:tcPr>
            <w:tcW w:w="160" w:type="dxa"/>
            <w:vAlign w:val="bottom"/>
            <w:shd w:val="clear" w:color="auto" w:fill="E2EEF6"/>
          </w:tcPr>
          <w:p>
            <w:pPr>
              <w:spacing w:after="0"/>
              <w:rPr>
                <w:sz w:val="22"/>
                <w:szCs w:val="22"/>
                <w:color w:val="auto"/>
              </w:rPr>
            </w:pPr>
          </w:p>
        </w:tc>
        <w:tc>
          <w:tcPr>
            <w:tcW w:w="200" w:type="dxa"/>
            <w:vAlign w:val="bottom"/>
            <w:shd w:val="clear" w:color="auto" w:fill="E2EEF6"/>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4,089</w:t>
            </w:r>
          </w:p>
        </w:tc>
        <w:tc>
          <w:tcPr>
            <w:tcW w:w="160" w:type="dxa"/>
            <w:vAlign w:val="bottom"/>
            <w:shd w:val="clear" w:color="auto" w:fill="E2EEF6"/>
          </w:tcPr>
          <w:p>
            <w:pPr>
              <w:spacing w:after="0"/>
              <w:rPr>
                <w:sz w:val="22"/>
                <w:szCs w:val="22"/>
                <w:color w:val="auto"/>
              </w:rPr>
            </w:pPr>
          </w:p>
        </w:tc>
        <w:tc>
          <w:tcPr>
            <w:tcW w:w="320" w:type="dxa"/>
            <w:vAlign w:val="bottom"/>
            <w:shd w:val="clear" w:color="auto" w:fill="E2EEF6"/>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5,726</w:t>
            </w:r>
          </w:p>
        </w:tc>
      </w:tr>
      <w:tr>
        <w:trPr>
          <w:trHeight w:val="20"/>
        </w:trPr>
        <w:tc>
          <w:tcPr>
            <w:tcW w:w="5060" w:type="dxa"/>
            <w:vAlign w:val="bottom"/>
            <w:tcBorders>
              <w:top w:val="single" w:sz="8" w:color="E2EEF6"/>
            </w:tcBorders>
            <w:shd w:val="clear" w:color="auto" w:fill="E2EEF6"/>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2EEF6"/>
            </w:tcBorders>
            <w:shd w:val="clear" w:color="auto" w:fill="E2EEF6"/>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2EEF6"/>
            </w:tcBorders>
            <w:shd w:val="clear" w:color="auto" w:fill="E2EEF6"/>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2EEF6"/>
            </w:tcBorders>
            <w:shd w:val="clear" w:color="auto" w:fill="E2EEF6"/>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91"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2005, 2004 and 2003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A reconciliation of taxes based on the U.S. federal statutory rate of 34% for the years ended December 31, 2005, 2004, and 2003 is summarized as follows:</w:t>
      </w: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2004</w:t>
            </w:r>
          </w:p>
        </w:tc>
        <w:tc>
          <w:tcPr>
            <w:tcW w:w="1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2003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5060" w:type="dxa"/>
            <w:vAlign w:val="bottom"/>
            <w:shd w:val="clear" w:color="auto" w:fill="E2EEF6"/>
          </w:tcPr>
          <w:p>
            <w:pPr>
              <w:spacing w:after="0"/>
              <w:rPr>
                <w:sz w:val="20"/>
                <w:szCs w:val="20"/>
                <w:color w:val="auto"/>
              </w:rPr>
            </w:pPr>
            <w:r>
              <w:rPr>
                <w:rFonts w:ascii="Arial" w:cs="Arial" w:eastAsia="Arial" w:hAnsi="Arial"/>
                <w:sz w:val="18"/>
                <w:szCs w:val="18"/>
                <w:color w:val="auto"/>
              </w:rPr>
              <w:t>Income taxes at the federal statutory rate</w:t>
            </w:r>
          </w:p>
        </w:tc>
        <w:tc>
          <w:tcPr>
            <w:tcW w:w="200" w:type="dxa"/>
            <w:vAlign w:val="bottom"/>
            <w:shd w:val="clear" w:color="auto" w:fill="E2EEF6"/>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8,420</w:t>
            </w:r>
          </w:p>
        </w:tc>
        <w:tc>
          <w:tcPr>
            <w:tcW w:w="12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3,805</w:t>
            </w:r>
          </w:p>
        </w:tc>
        <w:tc>
          <w:tcPr>
            <w:tcW w:w="160" w:type="dxa"/>
            <w:vAlign w:val="bottom"/>
            <w:shd w:val="clear" w:color="auto" w:fill="E2EEF6"/>
          </w:tcPr>
          <w:p>
            <w:pPr>
              <w:spacing w:after="0"/>
              <w:rPr>
                <w:sz w:val="21"/>
                <w:szCs w:val="21"/>
                <w:color w:val="auto"/>
              </w:rPr>
            </w:pPr>
          </w:p>
        </w:tc>
        <w:tc>
          <w:tcPr>
            <w:tcW w:w="320" w:type="dxa"/>
            <w:vAlign w:val="bottom"/>
            <w:shd w:val="clear" w:color="auto" w:fill="E2EEF6"/>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20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5060" w:type="dxa"/>
            <w:vAlign w:val="bottom"/>
            <w:shd w:val="clear" w:color="auto" w:fill="E2EEF6"/>
          </w:tcPr>
          <w:p>
            <w:pPr>
              <w:spacing w:after="0"/>
              <w:rPr>
                <w:sz w:val="20"/>
                <w:szCs w:val="20"/>
                <w:color w:val="auto"/>
              </w:rPr>
            </w:pPr>
            <w:r>
              <w:rPr>
                <w:rFonts w:ascii="Arial" w:cs="Arial" w:eastAsia="Arial" w:hAnsi="Arial"/>
                <w:sz w:val="18"/>
                <w:szCs w:val="18"/>
                <w:color w:val="auto"/>
              </w:rPr>
              <w:t>Non-US earnings taxed at different rates</w:t>
            </w:r>
          </w:p>
        </w:tc>
        <w:tc>
          <w:tcPr>
            <w:tcW w:w="200" w:type="dxa"/>
            <w:vAlign w:val="bottom"/>
            <w:shd w:val="clear" w:color="auto" w:fill="E2EEF6"/>
          </w:tcPr>
          <w:p>
            <w:pPr>
              <w:spacing w:after="0"/>
              <w:rPr>
                <w:sz w:val="21"/>
                <w:szCs w:val="21"/>
                <w:color w:val="auto"/>
              </w:rPr>
            </w:pPr>
          </w:p>
        </w:tc>
        <w:tc>
          <w:tcPr>
            <w:tcW w:w="10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E2EEF6"/>
          </w:tcPr>
          <w:p>
            <w:pPr>
              <w:spacing w:after="0"/>
              <w:rPr>
                <w:sz w:val="21"/>
                <w:szCs w:val="21"/>
                <w:color w:val="auto"/>
              </w:rPr>
            </w:pPr>
          </w:p>
        </w:tc>
        <w:tc>
          <w:tcPr>
            <w:tcW w:w="9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562</w:t>
            </w:r>
          </w:p>
        </w:tc>
        <w:tc>
          <w:tcPr>
            <w:tcW w:w="160" w:type="dxa"/>
            <w:vAlign w:val="bottom"/>
            <w:shd w:val="clear" w:color="auto" w:fill="E2EEF6"/>
          </w:tcPr>
          <w:p>
            <w:pPr>
              <w:spacing w:after="0"/>
              <w:rPr>
                <w:sz w:val="21"/>
                <w:szCs w:val="21"/>
                <w:color w:val="auto"/>
              </w:rPr>
            </w:pPr>
          </w:p>
        </w:tc>
        <w:tc>
          <w:tcPr>
            <w:tcW w:w="320" w:type="dxa"/>
            <w:vAlign w:val="bottom"/>
            <w:shd w:val="clear" w:color="auto" w:fill="E2EEF6"/>
          </w:tcPr>
          <w:p>
            <w:pPr>
              <w:spacing w:after="0"/>
              <w:rPr>
                <w:sz w:val="21"/>
                <w:szCs w:val="21"/>
                <w:color w:val="auto"/>
              </w:rPr>
            </w:pPr>
          </w:p>
        </w:tc>
        <w:tc>
          <w:tcPr>
            <w:tcW w:w="7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32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5060" w:type="dxa"/>
            <w:vAlign w:val="bottom"/>
            <w:shd w:val="clear" w:color="auto" w:fill="E2EEF6"/>
          </w:tcPr>
          <w:p>
            <w:pPr>
              <w:spacing w:after="0"/>
              <w:rPr>
                <w:sz w:val="20"/>
                <w:szCs w:val="20"/>
                <w:color w:val="auto"/>
              </w:rPr>
            </w:pPr>
          </w:p>
        </w:tc>
        <w:tc>
          <w:tcPr>
            <w:tcW w:w="200" w:type="dxa"/>
            <w:vAlign w:val="bottom"/>
            <w:tcBorders>
              <w:top w:val="single" w:sz="8" w:color="auto"/>
            </w:tcBorders>
            <w:shd w:val="clear" w:color="auto" w:fill="E2EEF6"/>
          </w:tcPr>
          <w:p>
            <w:pPr>
              <w:spacing w:after="0"/>
              <w:rPr>
                <w:sz w:val="20"/>
                <w:szCs w:val="20"/>
                <w:color w:val="auto"/>
              </w:rPr>
            </w:pPr>
          </w:p>
        </w:tc>
        <w:tc>
          <w:tcPr>
            <w:tcW w:w="840" w:type="dxa"/>
            <w:vAlign w:val="bottom"/>
            <w:tcBorders>
              <w:top w:val="single" w:sz="8" w:color="auto"/>
            </w:tcBorders>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120" w:type="dxa"/>
            <w:vAlign w:val="bottom"/>
            <w:tcBorders>
              <w:top w:val="single" w:sz="8" w:color="auto"/>
            </w:tcBorders>
            <w:shd w:val="clear" w:color="auto" w:fill="E2EEF6"/>
          </w:tcPr>
          <w:p>
            <w:pPr>
              <w:spacing w:after="0"/>
              <w:rPr>
                <w:sz w:val="20"/>
                <w:szCs w:val="20"/>
                <w:color w:val="auto"/>
              </w:rPr>
            </w:pPr>
          </w:p>
        </w:tc>
        <w:tc>
          <w:tcPr>
            <w:tcW w:w="900" w:type="dxa"/>
            <w:vAlign w:val="bottom"/>
            <w:tcBorders>
              <w:top w:val="single" w:sz="8" w:color="auto"/>
            </w:tcBorders>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320" w:type="dxa"/>
            <w:vAlign w:val="bottom"/>
            <w:tcBorders>
              <w:top w:val="single" w:sz="8" w:color="auto"/>
            </w:tcBorders>
            <w:shd w:val="clear" w:color="auto" w:fill="E2EEF6"/>
          </w:tcPr>
          <w:p>
            <w:pPr>
              <w:spacing w:after="0"/>
              <w:rPr>
                <w:sz w:val="20"/>
                <w:szCs w:val="20"/>
                <w:color w:val="auto"/>
              </w:rPr>
            </w:pPr>
          </w:p>
        </w:tc>
        <w:tc>
          <w:tcPr>
            <w:tcW w:w="700" w:type="dxa"/>
            <w:vAlign w:val="bottom"/>
            <w:tcBorders>
              <w:top w:val="single" w:sz="8" w:color="auto"/>
            </w:tcBorders>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9,752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4,089</w:t>
            </w:r>
          </w:p>
        </w:tc>
        <w:tc>
          <w:tcPr>
            <w:tcW w:w="1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The tax effects of the temporary differences are as follows: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8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89"/>
              </w:rPr>
              <w:t>Year ended December 31,</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2004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5060" w:type="dxa"/>
            <w:vAlign w:val="bottom"/>
            <w:shd w:val="clear" w:color="auto" w:fill="E2EEF6"/>
          </w:tcPr>
          <w:p>
            <w:pPr>
              <w:spacing w:after="0"/>
              <w:rPr>
                <w:sz w:val="20"/>
                <w:szCs w:val="20"/>
                <w:color w:val="auto"/>
              </w:rPr>
            </w:pPr>
            <w:r>
              <w:rPr>
                <w:rFonts w:ascii="Arial" w:cs="Arial" w:eastAsia="Arial" w:hAnsi="Arial"/>
                <w:sz w:val="18"/>
                <w:szCs w:val="18"/>
                <w:color w:val="auto"/>
              </w:rPr>
              <w:t>Deferred income tax liability</w:t>
            </w:r>
          </w:p>
        </w:tc>
        <w:tc>
          <w:tcPr>
            <w:tcW w:w="200" w:type="dxa"/>
            <w:vAlign w:val="bottom"/>
            <w:shd w:val="clear" w:color="auto" w:fill="E2EEF6"/>
          </w:tcPr>
          <w:p>
            <w:pPr>
              <w:spacing w:after="0"/>
              <w:rPr>
                <w:sz w:val="21"/>
                <w:szCs w:val="21"/>
                <w:color w:val="auto"/>
              </w:rPr>
            </w:pPr>
          </w:p>
        </w:tc>
        <w:tc>
          <w:tcPr>
            <w:tcW w:w="84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90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320" w:type="dxa"/>
            <w:vAlign w:val="bottom"/>
            <w:shd w:val="clear" w:color="auto" w:fill="E2EEF6"/>
          </w:tcPr>
          <w:p>
            <w:pPr>
              <w:spacing w:after="0"/>
              <w:rPr>
                <w:sz w:val="21"/>
                <w:szCs w:val="21"/>
                <w:color w:val="auto"/>
              </w:rPr>
            </w:pPr>
          </w:p>
        </w:tc>
        <w:tc>
          <w:tcPr>
            <w:tcW w:w="70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Tax in excess of book depreciation</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11,723</w:t>
            </w:r>
          </w:p>
        </w:tc>
        <w:tc>
          <w:tcPr>
            <w:tcW w:w="1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12,793</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5060" w:type="dxa"/>
            <w:vAlign w:val="bottom"/>
            <w:shd w:val="clear" w:color="auto" w:fill="E2EEF6"/>
          </w:tcPr>
          <w:p>
            <w:pPr>
              <w:ind w:left="160"/>
              <w:spacing w:after="0"/>
              <w:rPr>
                <w:sz w:val="20"/>
                <w:szCs w:val="20"/>
                <w:color w:val="auto"/>
              </w:rPr>
            </w:pPr>
            <w:r>
              <w:rPr>
                <w:rFonts w:ascii="Arial" w:cs="Arial" w:eastAsia="Arial" w:hAnsi="Arial"/>
                <w:sz w:val="18"/>
                <w:szCs w:val="18"/>
                <w:color w:val="auto"/>
              </w:rPr>
              <w:t>Duty drawback receivable</w:t>
            </w:r>
          </w:p>
        </w:tc>
        <w:tc>
          <w:tcPr>
            <w:tcW w:w="200" w:type="dxa"/>
            <w:vAlign w:val="bottom"/>
            <w:shd w:val="clear" w:color="auto" w:fill="E2EEF6"/>
          </w:tcPr>
          <w:p>
            <w:pPr>
              <w:spacing w:after="0"/>
              <w:rPr>
                <w:sz w:val="21"/>
                <w:szCs w:val="21"/>
                <w:color w:val="auto"/>
              </w:rPr>
            </w:pPr>
          </w:p>
        </w:tc>
        <w:tc>
          <w:tcPr>
            <w:tcW w:w="84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9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E2EEF6"/>
          </w:tcPr>
          <w:p>
            <w:pPr>
              <w:spacing w:after="0"/>
              <w:rPr>
                <w:sz w:val="21"/>
                <w:szCs w:val="21"/>
                <w:color w:val="auto"/>
              </w:rPr>
            </w:pPr>
          </w:p>
        </w:tc>
        <w:tc>
          <w:tcPr>
            <w:tcW w:w="320" w:type="dxa"/>
            <w:vAlign w:val="bottom"/>
            <w:shd w:val="clear" w:color="auto" w:fill="E2EEF6"/>
          </w:tcPr>
          <w:p>
            <w:pPr>
              <w:spacing w:after="0"/>
              <w:rPr>
                <w:sz w:val="21"/>
                <w:szCs w:val="21"/>
                <w:color w:val="auto"/>
              </w:rPr>
            </w:pPr>
          </w:p>
        </w:tc>
        <w:tc>
          <w:tcPr>
            <w:tcW w:w="7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5,109</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5060" w:type="dxa"/>
            <w:vAlign w:val="bottom"/>
            <w:shd w:val="clear" w:color="auto" w:fill="E2EEF6"/>
          </w:tcPr>
          <w:p>
            <w:pPr>
              <w:ind w:left="160"/>
              <w:spacing w:after="0"/>
              <w:rPr>
                <w:sz w:val="20"/>
                <w:szCs w:val="20"/>
                <w:color w:val="auto"/>
              </w:rPr>
            </w:pPr>
            <w:r>
              <w:rPr>
                <w:rFonts w:ascii="Arial" w:cs="Arial" w:eastAsia="Arial" w:hAnsi="Arial"/>
                <w:sz w:val="18"/>
                <w:szCs w:val="18"/>
                <w:color w:val="auto"/>
              </w:rPr>
              <w:t>Flow through loss from pass through entity</w:t>
            </w:r>
          </w:p>
        </w:tc>
        <w:tc>
          <w:tcPr>
            <w:tcW w:w="200" w:type="dxa"/>
            <w:vAlign w:val="bottom"/>
            <w:shd w:val="clear" w:color="auto" w:fill="E2EEF6"/>
          </w:tcPr>
          <w:p>
            <w:pPr>
              <w:spacing w:after="0"/>
              <w:rPr>
                <w:sz w:val="21"/>
                <w:szCs w:val="21"/>
                <w:color w:val="auto"/>
              </w:rPr>
            </w:pPr>
          </w:p>
        </w:tc>
        <w:tc>
          <w:tcPr>
            <w:tcW w:w="84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9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729</w:t>
            </w:r>
          </w:p>
        </w:tc>
        <w:tc>
          <w:tcPr>
            <w:tcW w:w="160" w:type="dxa"/>
            <w:vAlign w:val="bottom"/>
            <w:shd w:val="clear" w:color="auto" w:fill="E2EEF6"/>
          </w:tcPr>
          <w:p>
            <w:pPr>
              <w:spacing w:after="0"/>
              <w:rPr>
                <w:sz w:val="21"/>
                <w:szCs w:val="21"/>
                <w:color w:val="auto"/>
              </w:rPr>
            </w:pPr>
          </w:p>
        </w:tc>
        <w:tc>
          <w:tcPr>
            <w:tcW w:w="320" w:type="dxa"/>
            <w:vAlign w:val="bottom"/>
            <w:shd w:val="clear" w:color="auto" w:fill="E2EEF6"/>
          </w:tcPr>
          <w:p>
            <w:pPr>
              <w:spacing w:after="0"/>
              <w:rPr>
                <w:sz w:val="21"/>
                <w:szCs w:val="21"/>
                <w:color w:val="auto"/>
              </w:rPr>
            </w:pPr>
          </w:p>
        </w:tc>
        <w:tc>
          <w:tcPr>
            <w:tcW w:w="7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Allowance for Bad Debts</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5060" w:type="dxa"/>
            <w:vAlign w:val="bottom"/>
            <w:shd w:val="clear" w:color="auto" w:fill="E2EEF6"/>
          </w:tcPr>
          <w:p>
            <w:pPr>
              <w:ind w:left="160"/>
              <w:spacing w:after="0"/>
              <w:rPr>
                <w:sz w:val="20"/>
                <w:szCs w:val="20"/>
                <w:color w:val="auto"/>
              </w:rPr>
            </w:pPr>
            <w:r>
              <w:rPr>
                <w:rFonts w:ascii="Arial" w:cs="Arial" w:eastAsia="Arial" w:hAnsi="Arial"/>
                <w:sz w:val="18"/>
                <w:szCs w:val="18"/>
                <w:color w:val="auto"/>
              </w:rPr>
              <w:t>Other deferred tax liabilities</w:t>
            </w:r>
          </w:p>
        </w:tc>
        <w:tc>
          <w:tcPr>
            <w:tcW w:w="200" w:type="dxa"/>
            <w:vAlign w:val="bottom"/>
            <w:shd w:val="clear" w:color="auto" w:fill="E2EEF6"/>
          </w:tcPr>
          <w:p>
            <w:pPr>
              <w:spacing w:after="0"/>
              <w:rPr>
                <w:sz w:val="21"/>
                <w:szCs w:val="21"/>
                <w:color w:val="auto"/>
              </w:rPr>
            </w:pPr>
          </w:p>
        </w:tc>
        <w:tc>
          <w:tcPr>
            <w:tcW w:w="84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9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E2EEF6"/>
          </w:tcPr>
          <w:p>
            <w:pPr>
              <w:spacing w:after="0"/>
              <w:rPr>
                <w:sz w:val="21"/>
                <w:szCs w:val="21"/>
                <w:color w:val="auto"/>
              </w:rPr>
            </w:pPr>
          </w:p>
        </w:tc>
        <w:tc>
          <w:tcPr>
            <w:tcW w:w="320" w:type="dxa"/>
            <w:vAlign w:val="bottom"/>
            <w:shd w:val="clear" w:color="auto" w:fill="E2EEF6"/>
          </w:tcPr>
          <w:p>
            <w:pPr>
              <w:spacing w:after="0"/>
              <w:rPr>
                <w:sz w:val="21"/>
                <w:szCs w:val="21"/>
                <w:color w:val="auto"/>
              </w:rPr>
            </w:pPr>
          </w:p>
        </w:tc>
        <w:tc>
          <w:tcPr>
            <w:tcW w:w="7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5060" w:type="dxa"/>
            <w:vAlign w:val="bottom"/>
            <w:tcBorders>
              <w:top w:val="single" w:sz="8" w:color="E2EEF6"/>
            </w:tcBorders>
          </w:tcPr>
          <w:p>
            <w:pPr>
              <w:spacing w:after="0"/>
              <w:rPr>
                <w:sz w:val="20"/>
                <w:szCs w:val="20"/>
                <w:color w:val="auto"/>
              </w:rPr>
            </w:pPr>
          </w:p>
        </w:tc>
        <w:tc>
          <w:tcPr>
            <w:tcW w:w="200" w:type="dxa"/>
            <w:vAlign w:val="bottom"/>
            <w:tcBorders>
              <w:top w:val="single" w:sz="8" w:color="E2EEF6"/>
            </w:tcBorders>
          </w:tcPr>
          <w:p>
            <w:pPr>
              <w:spacing w:after="0"/>
              <w:rPr>
                <w:sz w:val="20"/>
                <w:szCs w:val="20"/>
                <w:color w:val="auto"/>
              </w:rPr>
            </w:pPr>
          </w:p>
        </w:tc>
        <w:tc>
          <w:tcPr>
            <w:tcW w:w="840" w:type="dxa"/>
            <w:vAlign w:val="bottom"/>
            <w:tcBorders>
              <w:top w:val="single" w:sz="8" w:color="E2EEF6"/>
            </w:tcBorders>
          </w:tcPr>
          <w:p>
            <w:pPr>
              <w:spacing w:after="0"/>
              <w:rPr>
                <w:sz w:val="20"/>
                <w:szCs w:val="20"/>
                <w:color w:val="auto"/>
              </w:rPr>
            </w:pPr>
          </w:p>
        </w:tc>
        <w:tc>
          <w:tcPr>
            <w:tcW w:w="160" w:type="dxa"/>
            <w:vAlign w:val="bottom"/>
            <w:tcBorders>
              <w:top w:val="single" w:sz="8" w:color="E2EEF6"/>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60" w:type="dxa"/>
            <w:vAlign w:val="bottom"/>
            <w:tcBorders>
              <w:top w:val="single" w:sz="8" w:color="E2EEF6"/>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0" w:type="dxa"/>
            <w:vAlign w:val="bottom"/>
            <w:tcBorders>
              <w:top w:val="single" w:sz="8" w:color="E2EEF6"/>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5060" w:type="dxa"/>
            <w:vAlign w:val="bottom"/>
            <w:shd w:val="clear" w:color="auto" w:fill="E2EEF6"/>
          </w:tcPr>
          <w:p>
            <w:pPr>
              <w:ind w:left="160"/>
              <w:spacing w:after="0"/>
              <w:rPr>
                <w:sz w:val="20"/>
                <w:szCs w:val="20"/>
                <w:color w:val="auto"/>
              </w:rPr>
            </w:pPr>
            <w:r>
              <w:rPr>
                <w:rFonts w:ascii="Arial" w:cs="Arial" w:eastAsia="Arial" w:hAnsi="Arial"/>
                <w:sz w:val="18"/>
                <w:szCs w:val="18"/>
                <w:color w:val="auto"/>
              </w:rPr>
              <w:t>Gross deferred income tax liability</w:t>
            </w:r>
          </w:p>
        </w:tc>
        <w:tc>
          <w:tcPr>
            <w:tcW w:w="200" w:type="dxa"/>
            <w:vAlign w:val="bottom"/>
            <w:shd w:val="clear" w:color="auto" w:fill="E2EEF6"/>
          </w:tcPr>
          <w:p>
            <w:pPr>
              <w:spacing w:after="0"/>
              <w:rPr>
                <w:sz w:val="21"/>
                <w:szCs w:val="21"/>
                <w:color w:val="auto"/>
              </w:rPr>
            </w:pPr>
          </w:p>
        </w:tc>
        <w:tc>
          <w:tcPr>
            <w:tcW w:w="84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9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17,987</w:t>
            </w:r>
          </w:p>
        </w:tc>
        <w:tc>
          <w:tcPr>
            <w:tcW w:w="160" w:type="dxa"/>
            <w:vAlign w:val="bottom"/>
            <w:shd w:val="clear" w:color="auto" w:fill="E2EEF6"/>
          </w:tcPr>
          <w:p>
            <w:pPr>
              <w:spacing w:after="0"/>
              <w:rPr>
                <w:sz w:val="21"/>
                <w:szCs w:val="21"/>
                <w:color w:val="auto"/>
              </w:rPr>
            </w:pPr>
          </w:p>
        </w:tc>
        <w:tc>
          <w:tcPr>
            <w:tcW w:w="320" w:type="dxa"/>
            <w:vAlign w:val="bottom"/>
            <w:shd w:val="clear" w:color="auto" w:fill="E2EEF6"/>
          </w:tcPr>
          <w:p>
            <w:pPr>
              <w:spacing w:after="0"/>
              <w:rPr>
                <w:sz w:val="21"/>
                <w:szCs w:val="21"/>
                <w:color w:val="auto"/>
              </w:rPr>
            </w:pPr>
          </w:p>
        </w:tc>
        <w:tc>
          <w:tcPr>
            <w:tcW w:w="7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17,857</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5060" w:type="dxa"/>
            <w:vAlign w:val="bottom"/>
            <w:tcBorders>
              <w:top w:val="single" w:sz="8" w:color="E2EEF6"/>
            </w:tcBorders>
          </w:tcPr>
          <w:p>
            <w:pPr>
              <w:spacing w:after="0"/>
              <w:rPr>
                <w:sz w:val="20"/>
                <w:szCs w:val="20"/>
                <w:color w:val="auto"/>
              </w:rPr>
            </w:pPr>
          </w:p>
        </w:tc>
        <w:tc>
          <w:tcPr>
            <w:tcW w:w="200" w:type="dxa"/>
            <w:vAlign w:val="bottom"/>
            <w:tcBorders>
              <w:top w:val="single" w:sz="8" w:color="E2EEF6"/>
            </w:tcBorders>
          </w:tcPr>
          <w:p>
            <w:pPr>
              <w:spacing w:after="0"/>
              <w:rPr>
                <w:sz w:val="20"/>
                <w:szCs w:val="20"/>
                <w:color w:val="auto"/>
              </w:rPr>
            </w:pPr>
          </w:p>
        </w:tc>
        <w:tc>
          <w:tcPr>
            <w:tcW w:w="840" w:type="dxa"/>
            <w:vAlign w:val="bottom"/>
            <w:tcBorders>
              <w:top w:val="single" w:sz="8" w:color="E2EEF6"/>
            </w:tcBorders>
          </w:tcPr>
          <w:p>
            <w:pPr>
              <w:spacing w:after="0"/>
              <w:rPr>
                <w:sz w:val="20"/>
                <w:szCs w:val="20"/>
                <w:color w:val="auto"/>
              </w:rPr>
            </w:pPr>
          </w:p>
        </w:tc>
        <w:tc>
          <w:tcPr>
            <w:tcW w:w="160" w:type="dxa"/>
            <w:vAlign w:val="bottom"/>
            <w:tcBorders>
              <w:top w:val="single" w:sz="8" w:color="E2EEF6"/>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60" w:type="dxa"/>
            <w:vAlign w:val="bottom"/>
            <w:tcBorders>
              <w:top w:val="single" w:sz="8" w:color="E2EEF6"/>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0" w:type="dxa"/>
            <w:vAlign w:val="bottom"/>
            <w:tcBorders>
              <w:top w:val="single" w:sz="8" w:color="E2EEF6"/>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5060" w:type="dxa"/>
            <w:vAlign w:val="bottom"/>
            <w:shd w:val="clear" w:color="auto" w:fill="E2EEF6"/>
          </w:tcPr>
          <w:p>
            <w:pPr>
              <w:spacing w:after="0"/>
              <w:rPr>
                <w:sz w:val="20"/>
                <w:szCs w:val="20"/>
                <w:color w:val="auto"/>
              </w:rPr>
            </w:pPr>
            <w:r>
              <w:rPr>
                <w:rFonts w:ascii="Arial" w:cs="Arial" w:eastAsia="Arial" w:hAnsi="Arial"/>
                <w:sz w:val="18"/>
                <w:szCs w:val="18"/>
                <w:color w:val="auto"/>
              </w:rPr>
              <w:t>Deferred income tax assets</w:t>
            </w:r>
          </w:p>
        </w:tc>
        <w:tc>
          <w:tcPr>
            <w:tcW w:w="200" w:type="dxa"/>
            <w:vAlign w:val="bottom"/>
            <w:shd w:val="clear" w:color="auto" w:fill="E2EEF6"/>
          </w:tcPr>
          <w:p>
            <w:pPr>
              <w:spacing w:after="0"/>
              <w:rPr>
                <w:sz w:val="21"/>
                <w:szCs w:val="21"/>
                <w:color w:val="auto"/>
              </w:rPr>
            </w:pPr>
          </w:p>
        </w:tc>
        <w:tc>
          <w:tcPr>
            <w:tcW w:w="84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90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320" w:type="dxa"/>
            <w:vAlign w:val="bottom"/>
            <w:shd w:val="clear" w:color="auto" w:fill="E2EEF6"/>
          </w:tcPr>
          <w:p>
            <w:pPr>
              <w:spacing w:after="0"/>
              <w:rPr>
                <w:sz w:val="21"/>
                <w:szCs w:val="21"/>
                <w:color w:val="auto"/>
              </w:rPr>
            </w:pPr>
          </w:p>
        </w:tc>
        <w:tc>
          <w:tcPr>
            <w:tcW w:w="70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557</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5060" w:type="dxa"/>
            <w:vAlign w:val="bottom"/>
            <w:shd w:val="clear" w:color="auto" w:fill="E2EEF6"/>
          </w:tcPr>
          <w:p>
            <w:pPr>
              <w:ind w:left="160"/>
              <w:spacing w:after="0"/>
              <w:rPr>
                <w:sz w:val="20"/>
                <w:szCs w:val="20"/>
                <w:color w:val="auto"/>
              </w:rPr>
            </w:pPr>
            <w:r>
              <w:rPr>
                <w:rFonts w:ascii="Arial" w:cs="Arial" w:eastAsia="Arial" w:hAnsi="Arial"/>
                <w:sz w:val="18"/>
                <w:szCs w:val="18"/>
                <w:color w:val="auto"/>
              </w:rPr>
              <w:t>Allowance for bad debts</w:t>
            </w:r>
          </w:p>
        </w:tc>
        <w:tc>
          <w:tcPr>
            <w:tcW w:w="200" w:type="dxa"/>
            <w:vAlign w:val="bottom"/>
            <w:shd w:val="clear" w:color="auto" w:fill="E2EEF6"/>
          </w:tcPr>
          <w:p>
            <w:pPr>
              <w:spacing w:after="0"/>
              <w:rPr>
                <w:sz w:val="21"/>
                <w:szCs w:val="21"/>
                <w:color w:val="auto"/>
              </w:rPr>
            </w:pPr>
          </w:p>
        </w:tc>
        <w:tc>
          <w:tcPr>
            <w:tcW w:w="84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9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2EEF6"/>
          </w:tcPr>
          <w:p>
            <w:pPr>
              <w:spacing w:after="0"/>
              <w:rPr>
                <w:sz w:val="21"/>
                <w:szCs w:val="21"/>
                <w:color w:val="auto"/>
              </w:rPr>
            </w:pPr>
          </w:p>
        </w:tc>
        <w:tc>
          <w:tcPr>
            <w:tcW w:w="320" w:type="dxa"/>
            <w:vAlign w:val="bottom"/>
            <w:shd w:val="clear" w:color="auto" w:fill="E2EEF6"/>
          </w:tcPr>
          <w:p>
            <w:pPr>
              <w:spacing w:after="0"/>
              <w:rPr>
                <w:sz w:val="21"/>
                <w:szCs w:val="21"/>
                <w:color w:val="auto"/>
              </w:rPr>
            </w:pPr>
          </w:p>
        </w:tc>
        <w:tc>
          <w:tcPr>
            <w:tcW w:w="7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Pension/Personnel accruals</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5060" w:type="dxa"/>
            <w:vAlign w:val="bottom"/>
            <w:shd w:val="clear" w:color="auto" w:fill="E2EEF6"/>
          </w:tcPr>
          <w:p>
            <w:pPr>
              <w:ind w:left="160"/>
              <w:spacing w:after="0"/>
              <w:rPr>
                <w:sz w:val="20"/>
                <w:szCs w:val="20"/>
                <w:color w:val="auto"/>
              </w:rPr>
            </w:pPr>
            <w:r>
              <w:rPr>
                <w:rFonts w:ascii="Arial" w:cs="Arial" w:eastAsia="Arial" w:hAnsi="Arial"/>
                <w:sz w:val="18"/>
                <w:szCs w:val="18"/>
                <w:color w:val="auto"/>
              </w:rPr>
              <w:t>Other working capital accruals</w:t>
            </w:r>
          </w:p>
        </w:tc>
        <w:tc>
          <w:tcPr>
            <w:tcW w:w="200" w:type="dxa"/>
            <w:vAlign w:val="bottom"/>
            <w:shd w:val="clear" w:color="auto" w:fill="E2EEF6"/>
          </w:tcPr>
          <w:p>
            <w:pPr>
              <w:spacing w:after="0"/>
              <w:rPr>
                <w:sz w:val="21"/>
                <w:szCs w:val="21"/>
                <w:color w:val="auto"/>
              </w:rPr>
            </w:pPr>
          </w:p>
        </w:tc>
        <w:tc>
          <w:tcPr>
            <w:tcW w:w="84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9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2EEF6"/>
          </w:tcPr>
          <w:p>
            <w:pPr>
              <w:spacing w:after="0"/>
              <w:rPr>
                <w:sz w:val="21"/>
                <w:szCs w:val="21"/>
                <w:color w:val="auto"/>
              </w:rPr>
            </w:pPr>
          </w:p>
        </w:tc>
        <w:tc>
          <w:tcPr>
            <w:tcW w:w="320" w:type="dxa"/>
            <w:vAlign w:val="bottom"/>
            <w:shd w:val="clear" w:color="auto" w:fill="E2EEF6"/>
          </w:tcPr>
          <w:p>
            <w:pPr>
              <w:spacing w:after="0"/>
              <w:rPr>
                <w:sz w:val="21"/>
                <w:szCs w:val="21"/>
                <w:color w:val="auto"/>
              </w:rPr>
            </w:pPr>
          </w:p>
        </w:tc>
        <w:tc>
          <w:tcPr>
            <w:tcW w:w="7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NN Europe net operating loss carry forward</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1,188</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5060" w:type="dxa"/>
            <w:vAlign w:val="bottom"/>
            <w:shd w:val="clear" w:color="auto" w:fill="E2EEF6"/>
          </w:tcPr>
          <w:p>
            <w:pPr>
              <w:ind w:left="160"/>
              <w:spacing w:after="0"/>
              <w:rPr>
                <w:sz w:val="20"/>
                <w:szCs w:val="20"/>
                <w:color w:val="auto"/>
              </w:rPr>
            </w:pPr>
            <w:r>
              <w:rPr>
                <w:rFonts w:ascii="Arial" w:cs="Arial" w:eastAsia="Arial" w:hAnsi="Arial"/>
                <w:sz w:val="18"/>
                <w:szCs w:val="18"/>
                <w:color w:val="auto"/>
              </w:rPr>
              <w:t>Foreign Tax Credits</w:t>
            </w:r>
          </w:p>
        </w:tc>
        <w:tc>
          <w:tcPr>
            <w:tcW w:w="200" w:type="dxa"/>
            <w:vAlign w:val="bottom"/>
            <w:shd w:val="clear" w:color="auto" w:fill="E2EEF6"/>
          </w:tcPr>
          <w:p>
            <w:pPr>
              <w:spacing w:after="0"/>
              <w:rPr>
                <w:sz w:val="21"/>
                <w:szCs w:val="21"/>
                <w:color w:val="auto"/>
              </w:rPr>
            </w:pPr>
          </w:p>
        </w:tc>
        <w:tc>
          <w:tcPr>
            <w:tcW w:w="84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9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460</w:t>
            </w:r>
          </w:p>
        </w:tc>
        <w:tc>
          <w:tcPr>
            <w:tcW w:w="160" w:type="dxa"/>
            <w:vAlign w:val="bottom"/>
            <w:shd w:val="clear" w:color="auto" w:fill="E2EEF6"/>
          </w:tcPr>
          <w:p>
            <w:pPr>
              <w:spacing w:after="0"/>
              <w:rPr>
                <w:sz w:val="21"/>
                <w:szCs w:val="21"/>
                <w:color w:val="auto"/>
              </w:rPr>
            </w:pPr>
          </w:p>
        </w:tc>
        <w:tc>
          <w:tcPr>
            <w:tcW w:w="320" w:type="dxa"/>
            <w:vAlign w:val="bottom"/>
            <w:shd w:val="clear" w:color="auto" w:fill="E2EEF6"/>
          </w:tcPr>
          <w:p>
            <w:pPr>
              <w:spacing w:after="0"/>
              <w:rPr>
                <w:sz w:val="21"/>
                <w:szCs w:val="21"/>
                <w:color w:val="auto"/>
              </w:rPr>
            </w:pPr>
          </w:p>
        </w:tc>
        <w:tc>
          <w:tcPr>
            <w:tcW w:w="7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Other deferred tax assets</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p>
        </w:tc>
        <w:tc>
          <w:tcPr>
            <w:tcW w:w="5060" w:type="dxa"/>
            <w:vAlign w:val="bottom"/>
            <w:shd w:val="clear" w:color="auto" w:fill="E2EEF6"/>
          </w:tcPr>
          <w:p>
            <w:pPr>
              <w:ind w:left="160"/>
              <w:spacing w:after="0"/>
              <w:rPr>
                <w:sz w:val="20"/>
                <w:szCs w:val="20"/>
                <w:color w:val="auto"/>
              </w:rPr>
            </w:pPr>
            <w:r>
              <w:rPr>
                <w:rFonts w:ascii="Arial" w:cs="Arial" w:eastAsia="Arial" w:hAnsi="Arial"/>
                <w:sz w:val="18"/>
                <w:szCs w:val="18"/>
                <w:color w:val="auto"/>
              </w:rPr>
              <w:t>Gross deferred income tax assets</w:t>
            </w:r>
          </w:p>
        </w:tc>
        <w:tc>
          <w:tcPr>
            <w:tcW w:w="200" w:type="dxa"/>
            <w:vAlign w:val="bottom"/>
            <w:shd w:val="clear" w:color="auto" w:fill="E2EEF6"/>
          </w:tcPr>
          <w:p>
            <w:pPr>
              <w:spacing w:after="0"/>
              <w:rPr>
                <w:sz w:val="20"/>
                <w:szCs w:val="20"/>
                <w:color w:val="auto"/>
              </w:rPr>
            </w:pPr>
          </w:p>
        </w:tc>
        <w:tc>
          <w:tcPr>
            <w:tcW w:w="84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9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3,585</w:t>
            </w:r>
          </w:p>
        </w:tc>
        <w:tc>
          <w:tcPr>
            <w:tcW w:w="160" w:type="dxa"/>
            <w:vAlign w:val="bottom"/>
            <w:shd w:val="clear" w:color="auto" w:fill="E2EEF6"/>
          </w:tcPr>
          <w:p>
            <w:pPr>
              <w:spacing w:after="0"/>
              <w:rPr>
                <w:sz w:val="20"/>
                <w:szCs w:val="20"/>
                <w:color w:val="auto"/>
              </w:rPr>
            </w:pPr>
          </w:p>
        </w:tc>
        <w:tc>
          <w:tcPr>
            <w:tcW w:w="320" w:type="dxa"/>
            <w:vAlign w:val="bottom"/>
            <w:shd w:val="clear" w:color="auto" w:fill="E2EEF6"/>
          </w:tcPr>
          <w:p>
            <w:pPr>
              <w:spacing w:after="0"/>
              <w:rPr>
                <w:sz w:val="20"/>
                <w:szCs w:val="20"/>
                <w:color w:val="auto"/>
              </w:rPr>
            </w:pPr>
          </w:p>
        </w:tc>
        <w:tc>
          <w:tcPr>
            <w:tcW w:w="7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5060" w:type="dxa"/>
            <w:vAlign w:val="bottom"/>
            <w:tcBorders>
              <w:top w:val="single" w:sz="8" w:color="E2EEF6"/>
            </w:tcBorders>
          </w:tcPr>
          <w:p>
            <w:pPr>
              <w:spacing w:after="0"/>
              <w:rPr>
                <w:sz w:val="20"/>
                <w:szCs w:val="20"/>
                <w:color w:val="auto"/>
              </w:rPr>
            </w:pPr>
          </w:p>
        </w:tc>
        <w:tc>
          <w:tcPr>
            <w:tcW w:w="200" w:type="dxa"/>
            <w:vAlign w:val="bottom"/>
            <w:tcBorders>
              <w:top w:val="single" w:sz="8" w:color="E2EEF6"/>
            </w:tcBorders>
          </w:tcPr>
          <w:p>
            <w:pPr>
              <w:spacing w:after="0"/>
              <w:rPr>
                <w:sz w:val="20"/>
                <w:szCs w:val="20"/>
                <w:color w:val="auto"/>
              </w:rPr>
            </w:pPr>
          </w:p>
        </w:tc>
        <w:tc>
          <w:tcPr>
            <w:tcW w:w="840" w:type="dxa"/>
            <w:vAlign w:val="bottom"/>
            <w:tcBorders>
              <w:top w:val="single" w:sz="8" w:color="E2EEF6"/>
            </w:tcBorders>
          </w:tcPr>
          <w:p>
            <w:pPr>
              <w:spacing w:after="0"/>
              <w:rPr>
                <w:sz w:val="20"/>
                <w:szCs w:val="20"/>
                <w:color w:val="auto"/>
              </w:rPr>
            </w:pPr>
          </w:p>
        </w:tc>
        <w:tc>
          <w:tcPr>
            <w:tcW w:w="160" w:type="dxa"/>
            <w:vAlign w:val="bottom"/>
            <w:tcBorders>
              <w:top w:val="single" w:sz="8" w:color="E2EEF6"/>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60" w:type="dxa"/>
            <w:vAlign w:val="bottom"/>
            <w:tcBorders>
              <w:top w:val="single" w:sz="8" w:color="E2EEF6"/>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0" w:type="dxa"/>
            <w:vAlign w:val="bottom"/>
            <w:tcBorders>
              <w:top w:val="single" w:sz="8" w:color="E2EEF6"/>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80" w:type="dxa"/>
            <w:vAlign w:val="bottom"/>
          </w:tcPr>
          <w:p>
            <w:pPr>
              <w:spacing w:after="0"/>
              <w:rPr>
                <w:sz w:val="22"/>
                <w:szCs w:val="22"/>
                <w:color w:val="auto"/>
              </w:rPr>
            </w:pPr>
          </w:p>
        </w:tc>
        <w:tc>
          <w:tcPr>
            <w:tcW w:w="5060" w:type="dxa"/>
            <w:vAlign w:val="bottom"/>
            <w:shd w:val="clear" w:color="auto" w:fill="E2EEF6"/>
          </w:tcPr>
          <w:p>
            <w:pPr>
              <w:ind w:left="160"/>
              <w:spacing w:after="0"/>
              <w:rPr>
                <w:sz w:val="20"/>
                <w:szCs w:val="20"/>
                <w:color w:val="auto"/>
              </w:rPr>
            </w:pPr>
            <w:r>
              <w:rPr>
                <w:rFonts w:ascii="Arial" w:cs="Arial" w:eastAsia="Arial" w:hAnsi="Arial"/>
                <w:sz w:val="18"/>
                <w:szCs w:val="18"/>
                <w:color w:val="auto"/>
              </w:rPr>
              <w:t>Net deferred income tax liability</w:t>
            </w:r>
          </w:p>
        </w:tc>
        <w:tc>
          <w:tcPr>
            <w:tcW w:w="200" w:type="dxa"/>
            <w:vAlign w:val="bottom"/>
            <w:shd w:val="clear" w:color="auto" w:fill="E2EEF6"/>
          </w:tcPr>
          <w:p>
            <w:pPr>
              <w:spacing w:after="0"/>
              <w:rPr>
                <w:sz w:val="22"/>
                <w:szCs w:val="22"/>
                <w:color w:val="auto"/>
              </w:rPr>
            </w:pPr>
          </w:p>
        </w:tc>
        <w:tc>
          <w:tcPr>
            <w:tcW w:w="840" w:type="dxa"/>
            <w:vAlign w:val="bottom"/>
            <w:shd w:val="clear" w:color="auto" w:fill="E2EEF6"/>
          </w:tcPr>
          <w:p>
            <w:pPr>
              <w:spacing w:after="0"/>
              <w:rPr>
                <w:sz w:val="22"/>
                <w:szCs w:val="22"/>
                <w:color w:val="auto"/>
              </w:rPr>
            </w:pPr>
          </w:p>
        </w:tc>
        <w:tc>
          <w:tcPr>
            <w:tcW w:w="160" w:type="dxa"/>
            <w:vAlign w:val="bottom"/>
            <w:shd w:val="clear" w:color="auto" w:fill="E2EEF6"/>
          </w:tcPr>
          <w:p>
            <w:pPr>
              <w:spacing w:after="0"/>
              <w:rPr>
                <w:sz w:val="22"/>
                <w:szCs w:val="22"/>
                <w:color w:val="auto"/>
              </w:rPr>
            </w:pPr>
          </w:p>
        </w:tc>
        <w:tc>
          <w:tcPr>
            <w:tcW w:w="12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14,402</w:t>
            </w:r>
          </w:p>
        </w:tc>
        <w:tc>
          <w:tcPr>
            <w:tcW w:w="160" w:type="dxa"/>
            <w:vAlign w:val="bottom"/>
            <w:shd w:val="clear" w:color="auto" w:fill="E2EEF6"/>
          </w:tcPr>
          <w:p>
            <w:pPr>
              <w:spacing w:after="0"/>
              <w:rPr>
                <w:sz w:val="22"/>
                <w:szCs w:val="22"/>
                <w:color w:val="auto"/>
              </w:rPr>
            </w:pPr>
          </w:p>
        </w:tc>
        <w:tc>
          <w:tcPr>
            <w:tcW w:w="320" w:type="dxa"/>
            <w:vAlign w:val="bottom"/>
            <w:shd w:val="clear" w:color="auto" w:fill="E2EEF6"/>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15,076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060" w:type="dxa"/>
            <w:vAlign w:val="bottom"/>
            <w:tcBorders>
              <w:top w:val="single" w:sz="8" w:color="E2EEF6"/>
            </w:tcBorders>
            <w:shd w:val="clear" w:color="auto" w:fill="E2EEF6"/>
          </w:tcPr>
          <w:p>
            <w:pPr>
              <w:spacing w:after="0" w:line="20" w:lineRule="exact"/>
              <w:rPr>
                <w:sz w:val="1"/>
                <w:szCs w:val="1"/>
                <w:color w:val="auto"/>
              </w:rPr>
            </w:pPr>
          </w:p>
        </w:tc>
        <w:tc>
          <w:tcPr>
            <w:tcW w:w="200" w:type="dxa"/>
            <w:vAlign w:val="bottom"/>
            <w:tcBorders>
              <w:top w:val="single" w:sz="8" w:color="E2EEF6"/>
            </w:tcBorders>
            <w:shd w:val="clear" w:color="auto" w:fill="E2EEF6"/>
          </w:tcPr>
          <w:p>
            <w:pPr>
              <w:spacing w:after="0" w:line="20" w:lineRule="exact"/>
              <w:rPr>
                <w:sz w:val="1"/>
                <w:szCs w:val="1"/>
                <w:color w:val="auto"/>
              </w:rPr>
            </w:pPr>
          </w:p>
        </w:tc>
        <w:tc>
          <w:tcPr>
            <w:tcW w:w="840" w:type="dxa"/>
            <w:vAlign w:val="bottom"/>
            <w:tcBorders>
              <w:top w:val="single" w:sz="8" w:color="E2EEF6"/>
            </w:tcBorders>
            <w:shd w:val="clear" w:color="auto" w:fill="E2EEF6"/>
          </w:tcPr>
          <w:p>
            <w:pPr>
              <w:spacing w:after="0" w:line="20" w:lineRule="exact"/>
              <w:rPr>
                <w:sz w:val="1"/>
                <w:szCs w:val="1"/>
                <w:color w:val="auto"/>
              </w:rPr>
            </w:pPr>
          </w:p>
        </w:tc>
        <w:tc>
          <w:tcPr>
            <w:tcW w:w="160" w:type="dxa"/>
            <w:vAlign w:val="bottom"/>
            <w:tcBorders>
              <w:top w:val="single" w:sz="8" w:color="E2EEF6"/>
            </w:tcBorders>
            <w:shd w:val="clear" w:color="auto" w:fill="E2EEF6"/>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2EEF6"/>
            </w:tcBorders>
            <w:shd w:val="clear" w:color="auto" w:fill="E2EEF6"/>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2EEF6"/>
            </w:tcBorders>
            <w:shd w:val="clear" w:color="auto" w:fill="E2EE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NN Europe net operating loss carry forwards are composed of net operating losses in Germany and Slovakia. According to German law, there are not any time limitations on carrying forward the $4,100 in net operating losses of our German subsidiary. Slovakian net operating losses of $62, $910, and $1,110 expire in 2008, 2009, and 2010, respectively.</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8" w:name="page59"/>
    <w:bookmarkEnd w:id="58"/>
    <w:p>
      <w:pPr>
        <w:jc w:val="center"/>
        <w:ind w:right="2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2005, 2004 and 2003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40"/>
        <w:spacing w:after="0" w:line="308" w:lineRule="auto"/>
        <w:rPr>
          <w:sz w:val="20"/>
          <w:szCs w:val="20"/>
          <w:color w:val="auto"/>
        </w:rPr>
      </w:pPr>
      <w:r>
        <w:rPr>
          <w:rFonts w:ascii="Arial" w:cs="Arial" w:eastAsia="Arial" w:hAnsi="Arial"/>
          <w:sz w:val="17"/>
          <w:szCs w:val="17"/>
          <w:color w:val="auto"/>
        </w:rPr>
        <w:t>Although realization of deferred tax assets is not assured, management believes that it is more likely than not that all of the deferred tax assets will be realized. However, the amount of the deferred tax assets considered realizable could be reduced based on changing conditions.</w:t>
      </w:r>
    </w:p>
    <w:p>
      <w:pPr>
        <w:spacing w:after="0" w:line="201" w:lineRule="exact"/>
        <w:rPr>
          <w:sz w:val="20"/>
          <w:szCs w:val="20"/>
          <w:color w:val="auto"/>
        </w:rPr>
      </w:pPr>
    </w:p>
    <w:p>
      <w:pPr>
        <w:jc w:val="both"/>
        <w:ind w:left="640"/>
        <w:spacing w:after="0" w:line="257" w:lineRule="auto"/>
        <w:rPr>
          <w:sz w:val="20"/>
          <w:szCs w:val="20"/>
          <w:color w:val="auto"/>
        </w:rPr>
      </w:pPr>
      <w:r>
        <w:rPr>
          <w:rFonts w:ascii="Arial" w:cs="Arial" w:eastAsia="Arial" w:hAnsi="Arial"/>
          <w:sz w:val="18"/>
          <w:szCs w:val="18"/>
          <w:color w:val="auto"/>
        </w:rPr>
        <w:t>The Company has not recognized a deferred tax liability for the undistributed earnings of its non-U.S. subsidiaries. The Company expects to reinvest these undistributed earnings indefinitely and does not expect such earnings to become subject to U.S. taxation in the foreseeable future. A deferred tax liability will be recognized when the Company expects that it will recover these undistributed earnings in a taxable manner, such as through the receipt of dividends or sale of the investments. It is not practicable to determine the U.S. income tax liability, if any, that would be payable if such earnings, were not reinvested indefinitely.</w:t>
      </w:r>
    </w:p>
    <w:p>
      <w:pPr>
        <w:spacing w:after="0" w:line="242"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As of December 31, 2005, the Company has not provided taxes on unremitted foreign earnings from certain foreign affiliates that are intended to be indefinitely reinvested in finance operations and expansion outside the United States. If such earnings were distributed beyond the amount for which taxes have been provided, foreign tax credits would substantially offset any incremental U.S. tax liability.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14) Reconciliation of Net Income Per Share</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13"/>
        </w:trPr>
        <w:tc>
          <w:tcPr>
            <w:tcW w:w="14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0"/>
        </w:trPr>
        <w:tc>
          <w:tcPr>
            <w:tcW w:w="142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2004</w:t>
            </w:r>
          </w:p>
        </w:tc>
        <w:tc>
          <w:tcPr>
            <w:tcW w:w="1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2003</w:t>
            </w:r>
          </w:p>
        </w:tc>
        <w:tc>
          <w:tcPr>
            <w:tcW w:w="80" w:type="dxa"/>
            <w:vAlign w:val="bottom"/>
          </w:tcPr>
          <w:p>
            <w:pPr>
              <w:spacing w:after="0"/>
              <w:rPr>
                <w:sz w:val="23"/>
                <w:szCs w:val="23"/>
                <w:color w:val="auto"/>
              </w:rPr>
            </w:pPr>
          </w:p>
        </w:tc>
      </w:tr>
      <w:tr>
        <w:trPr>
          <w:trHeight w:val="237"/>
        </w:trPr>
        <w:tc>
          <w:tcPr>
            <w:tcW w:w="14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1420" w:type="dxa"/>
            <w:vAlign w:val="bottom"/>
          </w:tcPr>
          <w:p>
            <w:pPr>
              <w:spacing w:after="0"/>
              <w:rPr>
                <w:sz w:val="21"/>
                <w:szCs w:val="21"/>
                <w:color w:val="auto"/>
              </w:rPr>
            </w:pPr>
          </w:p>
        </w:tc>
        <w:tc>
          <w:tcPr>
            <w:tcW w:w="5060" w:type="dxa"/>
            <w:vAlign w:val="bottom"/>
            <w:shd w:val="clear" w:color="auto" w:fill="E2EEF6"/>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E2EEF6"/>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15,012</w:t>
            </w:r>
          </w:p>
        </w:tc>
        <w:tc>
          <w:tcPr>
            <w:tcW w:w="160" w:type="dxa"/>
            <w:vAlign w:val="bottom"/>
            <w:shd w:val="clear" w:color="auto" w:fill="E2EEF6"/>
          </w:tcPr>
          <w:p>
            <w:pPr>
              <w:spacing w:after="0"/>
              <w:rPr>
                <w:sz w:val="21"/>
                <w:szCs w:val="21"/>
                <w:color w:val="auto"/>
              </w:rPr>
            </w:pPr>
          </w:p>
        </w:tc>
        <w:tc>
          <w:tcPr>
            <w:tcW w:w="200" w:type="dxa"/>
            <w:vAlign w:val="bottom"/>
            <w:shd w:val="clear" w:color="auto" w:fill="E2EEF6"/>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7,102</w:t>
            </w:r>
          </w:p>
        </w:tc>
        <w:tc>
          <w:tcPr>
            <w:tcW w:w="320" w:type="dxa"/>
            <w:vAlign w:val="bottom"/>
            <w:shd w:val="clear" w:color="auto" w:fill="E2EEF6"/>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10,178</w:t>
            </w:r>
          </w:p>
        </w:tc>
      </w:tr>
      <w:tr>
        <w:trPr>
          <w:trHeight w:val="243"/>
        </w:trPr>
        <w:tc>
          <w:tcPr>
            <w:tcW w:w="142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7"/>
        </w:trPr>
        <w:tc>
          <w:tcPr>
            <w:tcW w:w="1420" w:type="dxa"/>
            <w:vAlign w:val="bottom"/>
          </w:tcPr>
          <w:p>
            <w:pPr>
              <w:spacing w:after="0"/>
              <w:rPr>
                <w:sz w:val="22"/>
                <w:szCs w:val="22"/>
                <w:color w:val="auto"/>
              </w:rPr>
            </w:pPr>
          </w:p>
        </w:tc>
        <w:tc>
          <w:tcPr>
            <w:tcW w:w="5060" w:type="dxa"/>
            <w:vAlign w:val="bottom"/>
            <w:shd w:val="clear" w:color="auto" w:fill="E2EEF6"/>
          </w:tcPr>
          <w:p>
            <w:pPr>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shd w:val="clear" w:color="auto" w:fill="E2EEF6"/>
          </w:tcPr>
          <w:p>
            <w:pPr>
              <w:spacing w:after="0"/>
              <w:rPr>
                <w:sz w:val="22"/>
                <w:szCs w:val="22"/>
                <w:color w:val="auto"/>
              </w:rPr>
            </w:pPr>
          </w:p>
        </w:tc>
        <w:tc>
          <w:tcPr>
            <w:tcW w:w="8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17,004</w:t>
            </w:r>
          </w:p>
        </w:tc>
        <w:tc>
          <w:tcPr>
            <w:tcW w:w="160" w:type="dxa"/>
            <w:vAlign w:val="bottom"/>
            <w:shd w:val="clear" w:color="auto" w:fill="E2EEF6"/>
          </w:tcPr>
          <w:p>
            <w:pPr>
              <w:spacing w:after="0"/>
              <w:rPr>
                <w:sz w:val="22"/>
                <w:szCs w:val="22"/>
                <w:color w:val="auto"/>
              </w:rPr>
            </w:pPr>
          </w:p>
        </w:tc>
        <w:tc>
          <w:tcPr>
            <w:tcW w:w="200" w:type="dxa"/>
            <w:vAlign w:val="bottom"/>
            <w:shd w:val="clear" w:color="auto" w:fill="E2EEF6"/>
          </w:tcPr>
          <w:p>
            <w:pPr>
              <w:spacing w:after="0"/>
              <w:rPr>
                <w:sz w:val="22"/>
                <w:szCs w:val="22"/>
                <w:color w:val="auto"/>
              </w:rPr>
            </w:pPr>
          </w:p>
        </w:tc>
        <w:tc>
          <w:tcPr>
            <w:tcW w:w="98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16,728</w:t>
            </w:r>
          </w:p>
        </w:tc>
        <w:tc>
          <w:tcPr>
            <w:tcW w:w="320" w:type="dxa"/>
            <w:vAlign w:val="bottom"/>
            <w:shd w:val="clear" w:color="auto" w:fill="E2EEF6"/>
          </w:tcPr>
          <w:p>
            <w:pPr>
              <w:spacing w:after="0"/>
              <w:rPr>
                <w:sz w:val="22"/>
                <w:szCs w:val="22"/>
                <w:color w:val="auto"/>
              </w:rPr>
            </w:pPr>
          </w:p>
        </w:tc>
        <w:tc>
          <w:tcPr>
            <w:tcW w:w="7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15,973</w:t>
            </w:r>
          </w:p>
        </w:tc>
      </w:tr>
      <w:tr>
        <w:trPr>
          <w:trHeight w:val="243"/>
        </w:trPr>
        <w:tc>
          <w:tcPr>
            <w:tcW w:w="1420" w:type="dxa"/>
            <w:vAlign w:val="bottom"/>
          </w:tcPr>
          <w:p>
            <w:pPr>
              <w:spacing w:after="0"/>
              <w:rPr>
                <w:sz w:val="21"/>
                <w:szCs w:val="21"/>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Effective of dilutive stock options</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423</w:t>
            </w:r>
          </w:p>
        </w:tc>
        <w:tc>
          <w:tcPr>
            <w:tcW w:w="32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406</w:t>
            </w:r>
          </w:p>
        </w:tc>
      </w:tr>
      <w:tr>
        <w:trPr>
          <w:trHeight w:val="250"/>
        </w:trPr>
        <w:tc>
          <w:tcPr>
            <w:tcW w:w="1420" w:type="dxa"/>
            <w:vAlign w:val="bottom"/>
          </w:tcPr>
          <w:p>
            <w:pPr>
              <w:spacing w:after="0"/>
              <w:rPr>
                <w:sz w:val="21"/>
                <w:szCs w:val="21"/>
                <w:color w:val="auto"/>
              </w:rPr>
            </w:pPr>
          </w:p>
        </w:tc>
        <w:tc>
          <w:tcPr>
            <w:tcW w:w="5060" w:type="dxa"/>
            <w:vAlign w:val="bottom"/>
            <w:tcBorders>
              <w:top w:val="single" w:sz="8" w:color="E2EEF6"/>
            </w:tcBorders>
            <w:shd w:val="clear" w:color="auto" w:fill="E2EEF6"/>
          </w:tcPr>
          <w:p>
            <w:pPr>
              <w:spacing w:after="0"/>
              <w:rPr>
                <w:sz w:val="21"/>
                <w:szCs w:val="21"/>
                <w:color w:val="auto"/>
              </w:rPr>
            </w:pPr>
          </w:p>
        </w:tc>
        <w:tc>
          <w:tcPr>
            <w:tcW w:w="200" w:type="dxa"/>
            <w:vAlign w:val="bottom"/>
            <w:tcBorders>
              <w:top w:val="single" w:sz="8" w:color="auto"/>
            </w:tcBorders>
            <w:shd w:val="clear" w:color="auto" w:fill="E2EEF6"/>
          </w:tcPr>
          <w:p>
            <w:pPr>
              <w:spacing w:after="0"/>
              <w:rPr>
                <w:sz w:val="21"/>
                <w:szCs w:val="21"/>
                <w:color w:val="auto"/>
              </w:rPr>
            </w:pPr>
          </w:p>
        </w:tc>
        <w:tc>
          <w:tcPr>
            <w:tcW w:w="840" w:type="dxa"/>
            <w:vAlign w:val="bottom"/>
            <w:tcBorders>
              <w:top w:val="single" w:sz="8" w:color="auto"/>
            </w:tcBorders>
            <w:shd w:val="clear" w:color="auto" w:fill="E2EEF6"/>
          </w:tcPr>
          <w:p>
            <w:pPr>
              <w:spacing w:after="0"/>
              <w:rPr>
                <w:sz w:val="21"/>
                <w:szCs w:val="21"/>
                <w:color w:val="auto"/>
              </w:rPr>
            </w:pPr>
          </w:p>
        </w:tc>
        <w:tc>
          <w:tcPr>
            <w:tcW w:w="160" w:type="dxa"/>
            <w:vAlign w:val="bottom"/>
            <w:tcBorders>
              <w:top w:val="single" w:sz="8" w:color="E2EEF6"/>
            </w:tcBorders>
            <w:shd w:val="clear" w:color="auto" w:fill="E2EEF6"/>
          </w:tcPr>
          <w:p>
            <w:pPr>
              <w:spacing w:after="0"/>
              <w:rPr>
                <w:sz w:val="21"/>
                <w:szCs w:val="21"/>
                <w:color w:val="auto"/>
              </w:rPr>
            </w:pPr>
          </w:p>
        </w:tc>
        <w:tc>
          <w:tcPr>
            <w:tcW w:w="200" w:type="dxa"/>
            <w:vAlign w:val="bottom"/>
            <w:tcBorders>
              <w:top w:val="single" w:sz="8" w:color="auto"/>
            </w:tcBorders>
            <w:shd w:val="clear" w:color="auto" w:fill="E2EEF6"/>
          </w:tcPr>
          <w:p>
            <w:pPr>
              <w:spacing w:after="0"/>
              <w:rPr>
                <w:sz w:val="21"/>
                <w:szCs w:val="21"/>
                <w:color w:val="auto"/>
              </w:rPr>
            </w:pPr>
          </w:p>
        </w:tc>
        <w:tc>
          <w:tcPr>
            <w:tcW w:w="820" w:type="dxa"/>
            <w:vAlign w:val="bottom"/>
            <w:tcBorders>
              <w:top w:val="single" w:sz="8" w:color="auto"/>
            </w:tcBorders>
            <w:shd w:val="clear" w:color="auto" w:fill="E2EEF6"/>
          </w:tcPr>
          <w:p>
            <w:pPr>
              <w:spacing w:after="0"/>
              <w:rPr>
                <w:sz w:val="21"/>
                <w:szCs w:val="21"/>
                <w:color w:val="auto"/>
              </w:rPr>
            </w:pPr>
          </w:p>
        </w:tc>
        <w:tc>
          <w:tcPr>
            <w:tcW w:w="160" w:type="dxa"/>
            <w:vAlign w:val="bottom"/>
            <w:tcBorders>
              <w:top w:val="single" w:sz="8" w:color="E2EEF6"/>
            </w:tcBorders>
            <w:shd w:val="clear" w:color="auto" w:fill="E2EEF6"/>
          </w:tcPr>
          <w:p>
            <w:pPr>
              <w:spacing w:after="0"/>
              <w:rPr>
                <w:sz w:val="21"/>
                <w:szCs w:val="21"/>
                <w:color w:val="auto"/>
              </w:rPr>
            </w:pPr>
          </w:p>
        </w:tc>
        <w:tc>
          <w:tcPr>
            <w:tcW w:w="320" w:type="dxa"/>
            <w:vAlign w:val="bottom"/>
            <w:tcBorders>
              <w:top w:val="single" w:sz="8" w:color="auto"/>
            </w:tcBorders>
            <w:shd w:val="clear" w:color="auto" w:fill="E2EEF6"/>
          </w:tcPr>
          <w:p>
            <w:pPr>
              <w:spacing w:after="0"/>
              <w:rPr>
                <w:sz w:val="21"/>
                <w:szCs w:val="21"/>
                <w:color w:val="auto"/>
              </w:rPr>
            </w:pPr>
          </w:p>
        </w:tc>
        <w:tc>
          <w:tcPr>
            <w:tcW w:w="700" w:type="dxa"/>
            <w:vAlign w:val="bottom"/>
            <w:tcBorders>
              <w:top w:val="single" w:sz="8" w:color="auto"/>
            </w:tcBorders>
            <w:shd w:val="clear" w:color="auto" w:fill="E2EEF6"/>
          </w:tcPr>
          <w:p>
            <w:pPr>
              <w:spacing w:after="0"/>
              <w:rPr>
                <w:sz w:val="21"/>
                <w:szCs w:val="21"/>
                <w:color w:val="auto"/>
              </w:rPr>
            </w:pPr>
          </w:p>
        </w:tc>
        <w:tc>
          <w:tcPr>
            <w:tcW w:w="80" w:type="dxa"/>
            <w:vAlign w:val="bottom"/>
            <w:tcBorders>
              <w:top w:val="single" w:sz="8" w:color="E2EEF6"/>
            </w:tcBorders>
            <w:shd w:val="clear" w:color="auto" w:fill="E2EEF6"/>
          </w:tcPr>
          <w:p>
            <w:pPr>
              <w:spacing w:after="0"/>
              <w:rPr>
                <w:sz w:val="21"/>
                <w:szCs w:val="21"/>
                <w:color w:val="auto"/>
              </w:rPr>
            </w:pPr>
          </w:p>
        </w:tc>
      </w:tr>
      <w:tr>
        <w:trPr>
          <w:trHeight w:val="243"/>
        </w:trPr>
        <w:tc>
          <w:tcPr>
            <w:tcW w:w="1420" w:type="dxa"/>
            <w:vAlign w:val="bottom"/>
          </w:tcPr>
          <w:p>
            <w:pPr>
              <w:spacing w:after="0"/>
              <w:rPr>
                <w:sz w:val="21"/>
                <w:szCs w:val="21"/>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Dilutive shares outstanding</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17,193</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17,151</w:t>
            </w:r>
          </w:p>
        </w:tc>
        <w:tc>
          <w:tcPr>
            <w:tcW w:w="32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16,379</w:t>
            </w:r>
          </w:p>
        </w:tc>
      </w:tr>
      <w:tr>
        <w:trPr>
          <w:trHeight w:val="20"/>
        </w:trPr>
        <w:tc>
          <w:tcPr>
            <w:tcW w:w="1420" w:type="dxa"/>
            <w:vAlign w:val="bottom"/>
          </w:tcPr>
          <w:p>
            <w:pPr>
              <w:spacing w:after="0" w:line="20" w:lineRule="exact"/>
              <w:rPr>
                <w:sz w:val="1"/>
                <w:szCs w:val="1"/>
                <w:color w:val="auto"/>
              </w:rPr>
            </w:pPr>
          </w:p>
        </w:tc>
        <w:tc>
          <w:tcPr>
            <w:tcW w:w="5060" w:type="dxa"/>
            <w:vAlign w:val="bottom"/>
            <w:tcBorders>
              <w:bottom w:val="single" w:sz="8" w:color="E2EEF6"/>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E2EEF6"/>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E2EEF6"/>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2EEF6"/>
            </w:tcBorders>
          </w:tcPr>
          <w:p>
            <w:pPr>
              <w:spacing w:after="0" w:line="20" w:lineRule="exact"/>
              <w:rPr>
                <w:sz w:val="1"/>
                <w:szCs w:val="1"/>
                <w:color w:val="auto"/>
              </w:rPr>
            </w:pPr>
          </w:p>
        </w:tc>
      </w:tr>
      <w:tr>
        <w:trPr>
          <w:trHeight w:val="237"/>
        </w:trPr>
        <w:tc>
          <w:tcPr>
            <w:tcW w:w="1420" w:type="dxa"/>
            <w:vAlign w:val="bottom"/>
          </w:tcPr>
          <w:p>
            <w:pPr>
              <w:spacing w:after="0"/>
              <w:rPr>
                <w:sz w:val="20"/>
                <w:szCs w:val="20"/>
                <w:color w:val="auto"/>
              </w:rPr>
            </w:pPr>
          </w:p>
        </w:tc>
        <w:tc>
          <w:tcPr>
            <w:tcW w:w="506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84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82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320" w:type="dxa"/>
            <w:vAlign w:val="bottom"/>
            <w:shd w:val="clear" w:color="auto" w:fill="E2EEF6"/>
          </w:tcPr>
          <w:p>
            <w:pPr>
              <w:spacing w:after="0"/>
              <w:rPr>
                <w:sz w:val="20"/>
                <w:szCs w:val="20"/>
                <w:color w:val="auto"/>
              </w:rPr>
            </w:pPr>
          </w:p>
        </w:tc>
        <w:tc>
          <w:tcPr>
            <w:tcW w:w="70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r>
      <w:tr>
        <w:trPr>
          <w:trHeight w:val="243"/>
        </w:trPr>
        <w:tc>
          <w:tcPr>
            <w:tcW w:w="1420" w:type="dxa"/>
            <w:vAlign w:val="bottom"/>
          </w:tcPr>
          <w:p>
            <w:pPr>
              <w:spacing w:after="0"/>
              <w:rPr>
                <w:sz w:val="21"/>
                <w:szCs w:val="21"/>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0.88</w:t>
            </w:r>
          </w:p>
        </w:tc>
        <w:tc>
          <w:tcPr>
            <w:tcW w:w="160" w:type="dxa"/>
            <w:vAlign w:val="bottom"/>
          </w:tcPr>
          <w:p>
            <w:pPr>
              <w:spacing w:after="0"/>
              <w:rPr>
                <w:sz w:val="21"/>
                <w:szCs w:val="21"/>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0.42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0.64</w:t>
            </w:r>
          </w:p>
        </w:tc>
      </w:tr>
      <w:tr>
        <w:trPr>
          <w:trHeight w:val="20"/>
        </w:trPr>
        <w:tc>
          <w:tcPr>
            <w:tcW w:w="1420" w:type="dxa"/>
            <w:vAlign w:val="bottom"/>
          </w:tcPr>
          <w:p>
            <w:pPr>
              <w:spacing w:after="0" w:line="20" w:lineRule="exact"/>
              <w:rPr>
                <w:sz w:val="1"/>
                <w:szCs w:val="1"/>
                <w:color w:val="auto"/>
              </w:rPr>
            </w:pPr>
          </w:p>
        </w:tc>
        <w:tc>
          <w:tcPr>
            <w:tcW w:w="5060" w:type="dxa"/>
            <w:vAlign w:val="bottom"/>
            <w:tcBorders>
              <w:bottom w:val="single" w:sz="8" w:color="E2EEF6"/>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E2EEF6"/>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E2EEF6"/>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2EEF6"/>
            </w:tcBorders>
          </w:tcPr>
          <w:p>
            <w:pPr>
              <w:spacing w:after="0" w:line="20" w:lineRule="exact"/>
              <w:rPr>
                <w:sz w:val="1"/>
                <w:szCs w:val="1"/>
                <w:color w:val="auto"/>
              </w:rPr>
            </w:pPr>
          </w:p>
        </w:tc>
      </w:tr>
      <w:tr>
        <w:trPr>
          <w:trHeight w:val="237"/>
        </w:trPr>
        <w:tc>
          <w:tcPr>
            <w:tcW w:w="1420" w:type="dxa"/>
            <w:vAlign w:val="bottom"/>
          </w:tcPr>
          <w:p>
            <w:pPr>
              <w:spacing w:after="0"/>
              <w:rPr>
                <w:sz w:val="20"/>
                <w:szCs w:val="20"/>
                <w:color w:val="auto"/>
              </w:rPr>
            </w:pPr>
          </w:p>
        </w:tc>
        <w:tc>
          <w:tcPr>
            <w:tcW w:w="506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84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82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320" w:type="dxa"/>
            <w:vAlign w:val="bottom"/>
            <w:shd w:val="clear" w:color="auto" w:fill="E2EEF6"/>
          </w:tcPr>
          <w:p>
            <w:pPr>
              <w:spacing w:after="0"/>
              <w:rPr>
                <w:sz w:val="20"/>
                <w:szCs w:val="20"/>
                <w:color w:val="auto"/>
              </w:rPr>
            </w:pPr>
          </w:p>
        </w:tc>
        <w:tc>
          <w:tcPr>
            <w:tcW w:w="70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r>
      <w:tr>
        <w:trPr>
          <w:trHeight w:val="243"/>
        </w:trPr>
        <w:tc>
          <w:tcPr>
            <w:tcW w:w="1420" w:type="dxa"/>
            <w:vAlign w:val="bottom"/>
          </w:tcPr>
          <w:p>
            <w:pPr>
              <w:spacing w:after="0"/>
              <w:rPr>
                <w:sz w:val="21"/>
                <w:szCs w:val="21"/>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0.87</w:t>
            </w:r>
          </w:p>
        </w:tc>
        <w:tc>
          <w:tcPr>
            <w:tcW w:w="160" w:type="dxa"/>
            <w:vAlign w:val="bottom"/>
          </w:tcPr>
          <w:p>
            <w:pPr>
              <w:spacing w:after="0"/>
              <w:rPr>
                <w:sz w:val="21"/>
                <w:szCs w:val="21"/>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0.41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0.62</w:t>
            </w:r>
          </w:p>
        </w:tc>
      </w:tr>
      <w:tr>
        <w:trPr>
          <w:trHeight w:val="20"/>
        </w:trPr>
        <w:tc>
          <w:tcPr>
            <w:tcW w:w="14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480" w:right="260"/>
        <w:spacing w:after="0" w:line="264" w:lineRule="auto"/>
        <w:rPr>
          <w:sz w:val="20"/>
          <w:szCs w:val="20"/>
          <w:color w:val="auto"/>
        </w:rPr>
      </w:pPr>
      <w:r>
        <w:rPr>
          <w:rFonts w:ascii="Arial" w:cs="Arial" w:eastAsia="Arial" w:hAnsi="Arial"/>
          <w:sz w:val="18"/>
          <w:szCs w:val="18"/>
          <w:color w:val="auto"/>
        </w:rPr>
        <w:t>Excluded from the shares outstanding for the years ended December 31, 2005, and 2004 were 344 and 394 anti-dilutive options, respectively, which had an exercise price of $12.62 per share during 2005 and 2004. No shares were excluded from shares outstanding for the year ended December 31, 2003.</w:t>
      </w: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21" w:right="239" w:bottom="1440" w:gutter="0" w:footer="0" w:header="0"/>
        </w:sectPr>
      </w:pPr>
    </w:p>
    <w:bookmarkStart w:id="59" w:name="page60"/>
    <w:bookmarkEnd w:id="59"/>
    <w:p>
      <w:pPr>
        <w:jc w:val="center"/>
        <w:ind w:left="50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December 31, 2005, 2004 and 2003</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83" w:lineRule="exact"/>
        <w:rPr>
          <w:sz w:val="20"/>
          <w:szCs w:val="20"/>
          <w:color w:val="auto"/>
        </w:rPr>
      </w:pPr>
    </w:p>
    <w:p>
      <w:pPr>
        <w:jc w:val="both"/>
        <w:ind w:left="640" w:right="120"/>
        <w:spacing w:after="0" w:line="312" w:lineRule="auto"/>
        <w:rPr>
          <w:sz w:val="20"/>
          <w:szCs w:val="20"/>
          <w:color w:val="auto"/>
        </w:rPr>
      </w:pPr>
      <w:r>
        <w:rPr>
          <w:rFonts w:ascii="Arial" w:cs="Arial" w:eastAsia="Arial" w:hAnsi="Arial"/>
          <w:sz w:val="16"/>
          <w:szCs w:val="16"/>
          <w:color w:val="auto"/>
        </w:rPr>
        <w:t>The Company has operating lease commitments for machinery, office equipment, vehicles, manufacturing and office space which expire on varying dates. Rent expense for 2005, 2004 and 2003 was $2,422, $3,203, and $2,359, respectively. The following is a schedule by year of future minimum lease payments as of December 31, 2005 under operating leases that have initial or remaining noncancelable lease terms in excess of one year.</w:t>
      </w:r>
    </w:p>
    <w:p>
      <w:pPr>
        <w:spacing w:after="0" w:line="200" w:lineRule="exact"/>
        <w:rPr>
          <w:sz w:val="20"/>
          <w:szCs w:val="20"/>
          <w:color w:val="auto"/>
        </w:rPr>
      </w:pPr>
    </w:p>
    <w:p>
      <w:pPr>
        <w:spacing w:after="0" w:line="294"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3680" w:type="dxa"/>
            <w:vAlign w:val="bottom"/>
            <w:gridSpan w:val="4"/>
          </w:tcPr>
          <w:p>
            <w:pPr>
              <w:jc w:val="center"/>
              <w:ind w:left="1490"/>
              <w:spacing w:after="0"/>
              <w:rPr>
                <w:sz w:val="20"/>
                <w:szCs w:val="20"/>
                <w:color w:val="auto"/>
              </w:rPr>
            </w:pPr>
            <w:r>
              <w:rPr>
                <w:rFonts w:ascii="Arial" w:cs="Arial" w:eastAsia="Arial" w:hAnsi="Arial"/>
                <w:sz w:val="18"/>
                <w:szCs w:val="18"/>
                <w:b w:val="1"/>
                <w:bCs w:val="1"/>
                <w:color w:val="auto"/>
                <w:w w:val="88"/>
              </w:rPr>
              <w:t>Year ended December 31,</w:t>
            </w:r>
          </w:p>
        </w:tc>
      </w:tr>
      <w:tr>
        <w:trPr>
          <w:trHeight w:val="237"/>
        </w:trPr>
        <w:tc>
          <w:tcPr>
            <w:tcW w:w="4860" w:type="dxa"/>
            <w:vAlign w:val="bottom"/>
            <w:tcBorders>
              <w:top w:val="single" w:sz="8" w:color="auto"/>
            </w:tcBorders>
          </w:tcPr>
          <w:p>
            <w:pPr>
              <w:spacing w:after="0"/>
              <w:rPr>
                <w:sz w:val="20"/>
                <w:szCs w:val="20"/>
                <w:color w:val="auto"/>
              </w:rPr>
            </w:pPr>
          </w:p>
        </w:tc>
        <w:tc>
          <w:tcPr>
            <w:tcW w:w="25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4860" w:type="dxa"/>
            <w:vAlign w:val="bottom"/>
            <w:shd w:val="clear" w:color="auto" w:fill="E2EEF6"/>
          </w:tcPr>
          <w:p>
            <w:pPr>
              <w:ind w:left="640"/>
              <w:spacing w:after="0"/>
              <w:rPr>
                <w:sz w:val="20"/>
                <w:szCs w:val="20"/>
                <w:color w:val="auto"/>
              </w:rPr>
            </w:pPr>
            <w:r>
              <w:rPr>
                <w:rFonts w:ascii="Arial" w:cs="Arial" w:eastAsia="Arial" w:hAnsi="Arial"/>
                <w:sz w:val="18"/>
                <w:szCs w:val="18"/>
                <w:color w:val="auto"/>
              </w:rPr>
              <w:t>2006</w:t>
            </w:r>
          </w:p>
        </w:tc>
        <w:tc>
          <w:tcPr>
            <w:tcW w:w="2900" w:type="dxa"/>
            <w:vAlign w:val="bottom"/>
            <w:gridSpan w:val="2"/>
            <w:shd w:val="clear" w:color="auto" w:fill="E2EEF6"/>
          </w:tcPr>
          <w:p>
            <w:pPr>
              <w:jc w:val="center"/>
              <w:ind w:left="22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2,093</w:t>
            </w:r>
          </w:p>
        </w:tc>
        <w:tc>
          <w:tcPr>
            <w:tcW w:w="80" w:type="dxa"/>
            <w:vAlign w:val="bottom"/>
            <w:shd w:val="clear" w:color="auto" w:fill="E2EEF6"/>
          </w:tcPr>
          <w:p>
            <w:pPr>
              <w:spacing w:after="0"/>
              <w:rPr>
                <w:sz w:val="21"/>
                <w:szCs w:val="21"/>
                <w:color w:val="auto"/>
              </w:rPr>
            </w:pPr>
          </w:p>
        </w:tc>
      </w:tr>
      <w:tr>
        <w:trPr>
          <w:trHeight w:val="257"/>
        </w:trPr>
        <w:tc>
          <w:tcPr>
            <w:tcW w:w="4860" w:type="dxa"/>
            <w:vAlign w:val="bottom"/>
          </w:tcPr>
          <w:p>
            <w:pPr>
              <w:ind w:left="640"/>
              <w:spacing w:after="0"/>
              <w:rPr>
                <w:sz w:val="20"/>
                <w:szCs w:val="20"/>
                <w:color w:val="auto"/>
              </w:rPr>
            </w:pPr>
            <w:r>
              <w:rPr>
                <w:rFonts w:ascii="Arial" w:cs="Arial" w:eastAsia="Arial" w:hAnsi="Arial"/>
                <w:sz w:val="18"/>
                <w:szCs w:val="18"/>
                <w:color w:val="auto"/>
              </w:rPr>
              <w:t>2007</w:t>
            </w:r>
          </w:p>
        </w:tc>
        <w:tc>
          <w:tcPr>
            <w:tcW w:w="2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1,843</w:t>
            </w:r>
          </w:p>
        </w:tc>
        <w:tc>
          <w:tcPr>
            <w:tcW w:w="80" w:type="dxa"/>
            <w:vAlign w:val="bottom"/>
          </w:tcPr>
          <w:p>
            <w:pPr>
              <w:spacing w:after="0"/>
              <w:rPr>
                <w:sz w:val="22"/>
                <w:szCs w:val="22"/>
                <w:color w:val="auto"/>
              </w:rPr>
            </w:pPr>
          </w:p>
        </w:tc>
      </w:tr>
      <w:tr>
        <w:trPr>
          <w:trHeight w:val="257"/>
        </w:trPr>
        <w:tc>
          <w:tcPr>
            <w:tcW w:w="4860" w:type="dxa"/>
            <w:vAlign w:val="bottom"/>
            <w:shd w:val="clear" w:color="auto" w:fill="E2EEF6"/>
          </w:tcPr>
          <w:p>
            <w:pPr>
              <w:ind w:left="640"/>
              <w:spacing w:after="0"/>
              <w:rPr>
                <w:sz w:val="20"/>
                <w:szCs w:val="20"/>
                <w:color w:val="auto"/>
              </w:rPr>
            </w:pPr>
            <w:r>
              <w:rPr>
                <w:rFonts w:ascii="Arial" w:cs="Arial" w:eastAsia="Arial" w:hAnsi="Arial"/>
                <w:sz w:val="18"/>
                <w:szCs w:val="18"/>
                <w:color w:val="auto"/>
              </w:rPr>
              <w:t>2008</w:t>
            </w:r>
          </w:p>
        </w:tc>
        <w:tc>
          <w:tcPr>
            <w:tcW w:w="2580" w:type="dxa"/>
            <w:vAlign w:val="bottom"/>
            <w:shd w:val="clear" w:color="auto" w:fill="E2EEF6"/>
          </w:tcPr>
          <w:p>
            <w:pPr>
              <w:spacing w:after="0"/>
              <w:rPr>
                <w:sz w:val="22"/>
                <w:szCs w:val="22"/>
                <w:color w:val="auto"/>
              </w:rPr>
            </w:pPr>
          </w:p>
        </w:tc>
        <w:tc>
          <w:tcPr>
            <w:tcW w:w="320" w:type="dxa"/>
            <w:vAlign w:val="bottom"/>
            <w:shd w:val="clear" w:color="auto" w:fill="E2EEF6"/>
          </w:tcPr>
          <w:p>
            <w:pPr>
              <w:spacing w:after="0"/>
              <w:rPr>
                <w:sz w:val="22"/>
                <w:szCs w:val="22"/>
                <w:color w:val="auto"/>
              </w:rPr>
            </w:pPr>
          </w:p>
        </w:tc>
        <w:tc>
          <w:tcPr>
            <w:tcW w:w="7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1,551</w:t>
            </w:r>
          </w:p>
        </w:tc>
        <w:tc>
          <w:tcPr>
            <w:tcW w:w="80" w:type="dxa"/>
            <w:vAlign w:val="bottom"/>
            <w:shd w:val="clear" w:color="auto" w:fill="E2EEF6"/>
          </w:tcPr>
          <w:p>
            <w:pPr>
              <w:spacing w:after="0"/>
              <w:rPr>
                <w:sz w:val="22"/>
                <w:szCs w:val="22"/>
                <w:color w:val="auto"/>
              </w:rPr>
            </w:pPr>
          </w:p>
        </w:tc>
      </w:tr>
      <w:tr>
        <w:trPr>
          <w:trHeight w:val="257"/>
        </w:trPr>
        <w:tc>
          <w:tcPr>
            <w:tcW w:w="4860" w:type="dxa"/>
            <w:vAlign w:val="bottom"/>
          </w:tcPr>
          <w:p>
            <w:pPr>
              <w:ind w:left="640"/>
              <w:spacing w:after="0"/>
              <w:rPr>
                <w:sz w:val="20"/>
                <w:szCs w:val="20"/>
                <w:color w:val="auto"/>
              </w:rPr>
            </w:pPr>
            <w:r>
              <w:rPr>
                <w:rFonts w:ascii="Arial" w:cs="Arial" w:eastAsia="Arial" w:hAnsi="Arial"/>
                <w:sz w:val="18"/>
                <w:szCs w:val="18"/>
                <w:color w:val="auto"/>
              </w:rPr>
              <w:t>2009</w:t>
            </w:r>
          </w:p>
        </w:tc>
        <w:tc>
          <w:tcPr>
            <w:tcW w:w="2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1,469</w:t>
            </w:r>
          </w:p>
        </w:tc>
        <w:tc>
          <w:tcPr>
            <w:tcW w:w="80" w:type="dxa"/>
            <w:vAlign w:val="bottom"/>
          </w:tcPr>
          <w:p>
            <w:pPr>
              <w:spacing w:after="0"/>
              <w:rPr>
                <w:sz w:val="22"/>
                <w:szCs w:val="22"/>
                <w:color w:val="auto"/>
              </w:rPr>
            </w:pPr>
          </w:p>
        </w:tc>
      </w:tr>
      <w:tr>
        <w:trPr>
          <w:trHeight w:val="257"/>
        </w:trPr>
        <w:tc>
          <w:tcPr>
            <w:tcW w:w="4860" w:type="dxa"/>
            <w:vAlign w:val="bottom"/>
            <w:shd w:val="clear" w:color="auto" w:fill="E2EEF6"/>
          </w:tcPr>
          <w:p>
            <w:pPr>
              <w:ind w:left="640"/>
              <w:spacing w:after="0"/>
              <w:rPr>
                <w:sz w:val="20"/>
                <w:szCs w:val="20"/>
                <w:color w:val="auto"/>
              </w:rPr>
            </w:pPr>
            <w:r>
              <w:rPr>
                <w:rFonts w:ascii="Arial" w:cs="Arial" w:eastAsia="Arial" w:hAnsi="Arial"/>
                <w:sz w:val="18"/>
                <w:szCs w:val="18"/>
                <w:color w:val="auto"/>
              </w:rPr>
              <w:t>2010</w:t>
            </w:r>
          </w:p>
        </w:tc>
        <w:tc>
          <w:tcPr>
            <w:tcW w:w="2580" w:type="dxa"/>
            <w:vAlign w:val="bottom"/>
            <w:shd w:val="clear" w:color="auto" w:fill="E2EEF6"/>
          </w:tcPr>
          <w:p>
            <w:pPr>
              <w:spacing w:after="0"/>
              <w:rPr>
                <w:sz w:val="22"/>
                <w:szCs w:val="22"/>
                <w:color w:val="auto"/>
              </w:rPr>
            </w:pPr>
          </w:p>
        </w:tc>
        <w:tc>
          <w:tcPr>
            <w:tcW w:w="320" w:type="dxa"/>
            <w:vAlign w:val="bottom"/>
            <w:shd w:val="clear" w:color="auto" w:fill="E2EEF6"/>
          </w:tcPr>
          <w:p>
            <w:pPr>
              <w:spacing w:after="0"/>
              <w:rPr>
                <w:sz w:val="22"/>
                <w:szCs w:val="22"/>
                <w:color w:val="auto"/>
              </w:rPr>
            </w:pPr>
          </w:p>
        </w:tc>
        <w:tc>
          <w:tcPr>
            <w:tcW w:w="7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1,420</w:t>
            </w:r>
          </w:p>
        </w:tc>
        <w:tc>
          <w:tcPr>
            <w:tcW w:w="80" w:type="dxa"/>
            <w:vAlign w:val="bottom"/>
            <w:shd w:val="clear" w:color="auto" w:fill="E2EEF6"/>
          </w:tcPr>
          <w:p>
            <w:pPr>
              <w:spacing w:after="0"/>
              <w:rPr>
                <w:sz w:val="22"/>
                <w:szCs w:val="22"/>
                <w:color w:val="auto"/>
              </w:rPr>
            </w:pPr>
          </w:p>
        </w:tc>
      </w:tr>
      <w:tr>
        <w:trPr>
          <w:trHeight w:val="243"/>
        </w:trPr>
        <w:tc>
          <w:tcPr>
            <w:tcW w:w="4860" w:type="dxa"/>
            <w:vAlign w:val="bottom"/>
            <w:tcBorders>
              <w:bottom w:val="single" w:sz="8" w:color="E2EEF6"/>
            </w:tcBorders>
          </w:tcPr>
          <w:p>
            <w:pPr>
              <w:ind w:left="640"/>
              <w:spacing w:after="0"/>
              <w:rPr>
                <w:sz w:val="20"/>
                <w:szCs w:val="20"/>
                <w:color w:val="auto"/>
              </w:rPr>
            </w:pPr>
            <w:r>
              <w:rPr>
                <w:rFonts w:ascii="Arial" w:cs="Arial" w:eastAsia="Arial" w:hAnsi="Arial"/>
                <w:sz w:val="18"/>
                <w:szCs w:val="18"/>
                <w:color w:val="auto"/>
              </w:rPr>
              <w:t>Thereafter</w:t>
            </w:r>
          </w:p>
        </w:tc>
        <w:tc>
          <w:tcPr>
            <w:tcW w:w="2580" w:type="dxa"/>
            <w:vAlign w:val="bottom"/>
            <w:tcBorders>
              <w:bottom w:val="single" w:sz="8" w:color="E2EEF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11,748</w:t>
            </w:r>
          </w:p>
        </w:tc>
        <w:tc>
          <w:tcPr>
            <w:tcW w:w="80" w:type="dxa"/>
            <w:vAlign w:val="bottom"/>
            <w:tcBorders>
              <w:bottom w:val="single" w:sz="8" w:color="E2EEF6"/>
            </w:tcBorders>
          </w:tcPr>
          <w:p>
            <w:pPr>
              <w:spacing w:after="0"/>
              <w:rPr>
                <w:sz w:val="21"/>
                <w:szCs w:val="21"/>
                <w:color w:val="auto"/>
              </w:rPr>
            </w:pPr>
          </w:p>
        </w:tc>
      </w:tr>
      <w:tr>
        <w:trPr>
          <w:trHeight w:val="250"/>
        </w:trPr>
        <w:tc>
          <w:tcPr>
            <w:tcW w:w="4860" w:type="dxa"/>
            <w:vAlign w:val="bottom"/>
            <w:shd w:val="clear" w:color="auto" w:fill="E2EEF6"/>
          </w:tcPr>
          <w:p>
            <w:pPr>
              <w:spacing w:after="0"/>
              <w:rPr>
                <w:sz w:val="21"/>
                <w:szCs w:val="21"/>
                <w:color w:val="auto"/>
              </w:rPr>
            </w:pPr>
          </w:p>
        </w:tc>
        <w:tc>
          <w:tcPr>
            <w:tcW w:w="2580" w:type="dxa"/>
            <w:vAlign w:val="bottom"/>
            <w:shd w:val="clear" w:color="auto" w:fill="E2EEF6"/>
          </w:tcPr>
          <w:p>
            <w:pPr>
              <w:spacing w:after="0"/>
              <w:rPr>
                <w:sz w:val="21"/>
                <w:szCs w:val="21"/>
                <w:color w:val="auto"/>
              </w:rPr>
            </w:pPr>
          </w:p>
        </w:tc>
        <w:tc>
          <w:tcPr>
            <w:tcW w:w="320" w:type="dxa"/>
            <w:vAlign w:val="bottom"/>
            <w:shd w:val="clear" w:color="auto" w:fill="E2EEF6"/>
          </w:tcPr>
          <w:p>
            <w:pPr>
              <w:spacing w:after="0"/>
              <w:rPr>
                <w:sz w:val="21"/>
                <w:szCs w:val="21"/>
                <w:color w:val="auto"/>
              </w:rPr>
            </w:pPr>
          </w:p>
        </w:tc>
        <w:tc>
          <w:tcPr>
            <w:tcW w:w="70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r>
      <w:tr>
        <w:trPr>
          <w:trHeight w:val="243"/>
        </w:trPr>
        <w:tc>
          <w:tcPr>
            <w:tcW w:w="4860" w:type="dxa"/>
            <w:vAlign w:val="bottom"/>
          </w:tcPr>
          <w:p>
            <w:pPr>
              <w:ind w:left="980"/>
              <w:spacing w:after="0"/>
              <w:rPr>
                <w:sz w:val="20"/>
                <w:szCs w:val="20"/>
                <w:color w:val="auto"/>
              </w:rPr>
            </w:pPr>
            <w:r>
              <w:rPr>
                <w:rFonts w:ascii="Arial" w:cs="Arial" w:eastAsia="Arial" w:hAnsi="Arial"/>
                <w:sz w:val="18"/>
                <w:szCs w:val="18"/>
                <w:color w:val="auto"/>
              </w:rPr>
              <w:t>Total minimum lease payments</w:t>
            </w:r>
          </w:p>
        </w:tc>
        <w:tc>
          <w:tcPr>
            <w:tcW w:w="2900" w:type="dxa"/>
            <w:vAlign w:val="bottom"/>
            <w:gridSpan w:val="2"/>
          </w:tcPr>
          <w:p>
            <w:pPr>
              <w:jc w:val="center"/>
              <w:ind w:left="22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20,124</w:t>
            </w:r>
          </w:p>
        </w:tc>
        <w:tc>
          <w:tcPr>
            <w:tcW w:w="80" w:type="dxa"/>
            <w:vAlign w:val="bottom"/>
          </w:tcPr>
          <w:p>
            <w:pPr>
              <w:spacing w:after="0"/>
              <w:rPr>
                <w:sz w:val="21"/>
                <w:szCs w:val="21"/>
                <w:color w:val="auto"/>
              </w:rPr>
            </w:pPr>
          </w:p>
        </w:tc>
      </w:tr>
      <w:tr>
        <w:trPr>
          <w:trHeight w:val="20"/>
        </w:trPr>
        <w:tc>
          <w:tcPr>
            <w:tcW w:w="4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left="480"/>
        <w:spacing w:after="0" w:line="273" w:lineRule="auto"/>
        <w:rPr>
          <w:sz w:val="20"/>
          <w:szCs w:val="20"/>
          <w:color w:val="auto"/>
        </w:rPr>
      </w:pPr>
      <w:r>
        <w:rPr>
          <w:rFonts w:ascii="Arial" w:cs="Arial" w:eastAsia="Arial" w:hAnsi="Arial"/>
          <w:sz w:val="17"/>
          <w:szCs w:val="17"/>
          <w:color w:val="auto"/>
        </w:rPr>
        <w:t>The Kilkenny operation of the NN Europe Segment has received certain grants from the Ireland government. These grants are based upon the Kilkenny, Ireland facility hiring and retention of certain employment levels by the measurement date. At December 31, 2005, actual employment levels are less than those required by certain grant covenants. During 2003, the grant agreement measurement date was amended to extend the measurement date. The Company anticipates that, if necessary, the grant agreement measurement date and /or employment level thresholds would again be adjusted. Effects of this not occurring are estimated not to be material to the consolidated financial statements. As of December 31, 2005 and 2004 the grant obligation is recorded as a component of other non-current liabilities in the amount of $423 and $559, respectively.</w:t>
      </w:r>
    </w:p>
    <w:p>
      <w:pPr>
        <w:spacing w:after="0" w:line="232" w:lineRule="exact"/>
        <w:rPr>
          <w:sz w:val="20"/>
          <w:szCs w:val="20"/>
          <w:color w:val="auto"/>
        </w:rPr>
      </w:pPr>
    </w:p>
    <w:p>
      <w:pPr>
        <w:jc w:val="both"/>
        <w:ind w:left="480"/>
        <w:spacing w:after="0" w:line="286" w:lineRule="auto"/>
        <w:rPr>
          <w:sz w:val="20"/>
          <w:szCs w:val="20"/>
          <w:color w:val="auto"/>
        </w:rPr>
      </w:pPr>
      <w:r>
        <w:rPr>
          <w:rFonts w:ascii="Arial" w:cs="Arial" w:eastAsia="Arial" w:hAnsi="Arial"/>
          <w:sz w:val="16"/>
          <w:szCs w:val="16"/>
          <w:color w:val="auto"/>
        </w:rPr>
        <w:t>The NN Europe Segment has a supply contract with Ascometal France (“Ascometal”) for the purchase of steel. The contract terms specify that Ascometal provide NN Europe 85%, 85% and 90% of its steel requirements for the years ended December 31, 2005, 2004 and 2003, respectively. The contract, among other things, stipulates that Ascometal achieve certain performance targets related to quality, reliability and service. The contract provisions include annual price adjustments based upon published indexes in addition to annual productivity improvement factor multiples. In 2005,</w:t>
      </w:r>
    </w:p>
    <w:p>
      <w:pPr>
        <w:spacing w:after="0" w:line="2" w:lineRule="exact"/>
        <w:rPr>
          <w:sz w:val="20"/>
          <w:szCs w:val="20"/>
          <w:color w:val="auto"/>
        </w:rPr>
      </w:pPr>
    </w:p>
    <w:p>
      <w:pPr>
        <w:jc w:val="both"/>
        <w:ind w:left="480" w:hanging="6"/>
        <w:spacing w:after="0" w:line="254" w:lineRule="auto"/>
        <w:tabs>
          <w:tab w:leader="none" w:pos="7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Europe purchased approximately $34,114 under the terms of this contract. The estimated commitment for 2006 is $36,661. The contract expired December 31, 2005; however, it was automatically renewed for a one year period until December 31, 2006. Under this one year contract, NN Europe committed to buy 70% of its raw steel purchases. The contract is automatically renewed for one year periods thereafter unless notice is provided by either NN Europe or Ascometal.</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91" w:right="239" w:bottom="1440" w:gutter="0" w:footer="0" w:header="0"/>
        </w:sectPr>
      </w:pPr>
    </w:p>
    <w:bookmarkStart w:id="60" w:name="page61"/>
    <w:bookmarkEnd w:id="60"/>
    <w:p>
      <w:pPr>
        <w:jc w:val="center"/>
        <w:ind w:left="50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December 31, 2005, 2004 and 2003</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Quarterly Results of Operations (Unaudited)</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unaudited quarterly results of operations for the years ended December 31, 2005 and 2004.</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 2005</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24"/>
                <w:szCs w:val="2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86"/>
              </w:rPr>
              <w:t>Sept. 30</w:t>
            </w:r>
          </w:p>
        </w:tc>
        <w:tc>
          <w:tcPr>
            <w:tcW w:w="24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 31</w:t>
            </w:r>
          </w:p>
        </w:tc>
      </w:tr>
      <w:tr>
        <w:trPr>
          <w:trHeight w:val="237"/>
        </w:trPr>
        <w:tc>
          <w:tcPr>
            <w:tcW w:w="51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E2EEF6"/>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86,715</w:t>
            </w:r>
          </w:p>
        </w:tc>
        <w:tc>
          <w:tcPr>
            <w:tcW w:w="46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83,787</w:t>
            </w:r>
          </w:p>
        </w:tc>
        <w:tc>
          <w:tcPr>
            <w:tcW w:w="380" w:type="dxa"/>
            <w:vAlign w:val="bottom"/>
            <w:shd w:val="clear" w:color="auto" w:fill="E2EEF6"/>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74,998</w:t>
            </w:r>
          </w:p>
        </w:tc>
        <w:tc>
          <w:tcPr>
            <w:tcW w:w="240" w:type="dxa"/>
            <w:vAlign w:val="bottom"/>
            <w:shd w:val="clear" w:color="auto" w:fill="E2EEF6"/>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75,887</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7,387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6,353</w:t>
            </w:r>
          </w:p>
        </w:tc>
        <w:tc>
          <w:tcPr>
            <w:tcW w:w="3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5,643</w:t>
            </w:r>
          </w:p>
        </w:tc>
        <w:tc>
          <w:tcPr>
            <w:tcW w:w="2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8,505</w:t>
            </w:r>
          </w:p>
        </w:tc>
      </w:tr>
      <w:tr>
        <w:trPr>
          <w:trHeight w:val="243"/>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E2EEF6"/>
          </w:tcPr>
          <w:p>
            <w:pPr>
              <w:spacing w:after="0"/>
              <w:rPr>
                <w:sz w:val="21"/>
                <w:szCs w:val="21"/>
                <w:color w:val="auto"/>
              </w:rPr>
            </w:pPr>
          </w:p>
        </w:tc>
        <w:tc>
          <w:tcPr>
            <w:tcW w:w="11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4,023</w:t>
            </w:r>
          </w:p>
        </w:tc>
        <w:tc>
          <w:tcPr>
            <w:tcW w:w="2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3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3,312</w:t>
            </w:r>
          </w:p>
        </w:tc>
        <w:tc>
          <w:tcPr>
            <w:tcW w:w="380" w:type="dxa"/>
            <w:vAlign w:val="bottom"/>
            <w:shd w:val="clear" w:color="auto" w:fill="E2EEF6"/>
          </w:tcPr>
          <w:p>
            <w:pPr>
              <w:spacing w:after="0"/>
              <w:rPr>
                <w:sz w:val="21"/>
                <w:szCs w:val="21"/>
                <w:color w:val="auto"/>
              </w:rPr>
            </w:pPr>
          </w:p>
        </w:tc>
        <w:tc>
          <w:tcPr>
            <w:tcW w:w="12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2,557</w:t>
            </w:r>
          </w:p>
        </w:tc>
        <w:tc>
          <w:tcPr>
            <w:tcW w:w="240" w:type="dxa"/>
            <w:vAlign w:val="bottom"/>
            <w:shd w:val="clear" w:color="auto" w:fill="E2EEF6"/>
          </w:tcPr>
          <w:p>
            <w:pPr>
              <w:spacing w:after="0"/>
              <w:rPr>
                <w:sz w:val="21"/>
                <w:szCs w:val="21"/>
                <w:color w:val="auto"/>
              </w:rPr>
            </w:pPr>
          </w:p>
        </w:tc>
        <w:tc>
          <w:tcPr>
            <w:tcW w:w="122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5,120</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0.20</w:t>
            </w:r>
          </w:p>
        </w:tc>
        <w:tc>
          <w:tcPr>
            <w:tcW w:w="3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0.15</w:t>
            </w:r>
          </w:p>
        </w:tc>
        <w:tc>
          <w:tcPr>
            <w:tcW w:w="2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r>
      <w:tr>
        <w:trPr>
          <w:trHeight w:val="243"/>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Dilutive net income per share</w:t>
            </w:r>
          </w:p>
        </w:tc>
        <w:tc>
          <w:tcPr>
            <w:tcW w:w="200" w:type="dxa"/>
            <w:vAlign w:val="bottom"/>
            <w:shd w:val="clear" w:color="auto" w:fill="E2EEF6"/>
          </w:tcPr>
          <w:p>
            <w:pPr>
              <w:spacing w:after="0"/>
              <w:rPr>
                <w:sz w:val="21"/>
                <w:szCs w:val="21"/>
                <w:color w:val="auto"/>
              </w:rPr>
            </w:pPr>
          </w:p>
        </w:tc>
        <w:tc>
          <w:tcPr>
            <w:tcW w:w="11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0.23</w:t>
            </w:r>
          </w:p>
        </w:tc>
        <w:tc>
          <w:tcPr>
            <w:tcW w:w="2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3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0.19</w:t>
            </w:r>
          </w:p>
        </w:tc>
        <w:tc>
          <w:tcPr>
            <w:tcW w:w="380" w:type="dxa"/>
            <w:vAlign w:val="bottom"/>
            <w:shd w:val="clear" w:color="auto" w:fill="E2EEF6"/>
          </w:tcPr>
          <w:p>
            <w:pPr>
              <w:spacing w:after="0"/>
              <w:rPr>
                <w:sz w:val="21"/>
                <w:szCs w:val="21"/>
                <w:color w:val="auto"/>
              </w:rPr>
            </w:pPr>
          </w:p>
        </w:tc>
        <w:tc>
          <w:tcPr>
            <w:tcW w:w="12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0.15</w:t>
            </w:r>
          </w:p>
        </w:tc>
        <w:tc>
          <w:tcPr>
            <w:tcW w:w="240" w:type="dxa"/>
            <w:vAlign w:val="bottom"/>
            <w:shd w:val="clear" w:color="auto" w:fill="E2EEF6"/>
          </w:tcPr>
          <w:p>
            <w:pPr>
              <w:spacing w:after="0"/>
              <w:rPr>
                <w:sz w:val="21"/>
                <w:szCs w:val="21"/>
                <w:color w:val="auto"/>
              </w:rPr>
            </w:pPr>
          </w:p>
        </w:tc>
        <w:tc>
          <w:tcPr>
            <w:tcW w:w="122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0.30</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Basic number of shares</w:t>
            </w:r>
          </w:p>
        </w:tc>
        <w:tc>
          <w:tcPr>
            <w:tcW w:w="200" w:type="dxa"/>
            <w:vAlign w:val="bottom"/>
            <w:shd w:val="clear" w:color="auto" w:fill="E2EEF6"/>
          </w:tcPr>
          <w:p>
            <w:pPr>
              <w:spacing w:after="0"/>
              <w:rPr>
                <w:sz w:val="21"/>
                <w:szCs w:val="21"/>
                <w:color w:val="auto"/>
              </w:rPr>
            </w:pPr>
          </w:p>
        </w:tc>
        <w:tc>
          <w:tcPr>
            <w:tcW w:w="11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16,889</w:t>
            </w:r>
          </w:p>
        </w:tc>
        <w:tc>
          <w:tcPr>
            <w:tcW w:w="2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3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16,971</w:t>
            </w:r>
          </w:p>
        </w:tc>
        <w:tc>
          <w:tcPr>
            <w:tcW w:w="380" w:type="dxa"/>
            <w:vAlign w:val="bottom"/>
            <w:shd w:val="clear" w:color="auto" w:fill="E2EEF6"/>
          </w:tcPr>
          <w:p>
            <w:pPr>
              <w:spacing w:after="0"/>
              <w:rPr>
                <w:sz w:val="21"/>
                <w:szCs w:val="21"/>
                <w:color w:val="auto"/>
              </w:rPr>
            </w:pPr>
          </w:p>
        </w:tc>
        <w:tc>
          <w:tcPr>
            <w:tcW w:w="12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17,191</w:t>
            </w:r>
          </w:p>
        </w:tc>
        <w:tc>
          <w:tcPr>
            <w:tcW w:w="240" w:type="dxa"/>
            <w:vAlign w:val="bottom"/>
            <w:shd w:val="clear" w:color="auto" w:fill="E2EEF6"/>
          </w:tcPr>
          <w:p>
            <w:pPr>
              <w:spacing w:after="0"/>
              <w:rPr>
                <w:sz w:val="21"/>
                <w:szCs w:val="21"/>
                <w:color w:val="auto"/>
              </w:rPr>
            </w:pPr>
          </w:p>
        </w:tc>
        <w:tc>
          <w:tcPr>
            <w:tcW w:w="122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17,206</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357</w:t>
            </w:r>
          </w:p>
        </w:tc>
        <w:tc>
          <w:tcPr>
            <w:tcW w:w="3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331</w:t>
            </w:r>
          </w:p>
        </w:tc>
        <w:tc>
          <w:tcPr>
            <w:tcW w:w="2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r>
      <w:tr>
        <w:trPr>
          <w:trHeight w:val="237"/>
        </w:trPr>
        <w:tc>
          <w:tcPr>
            <w:tcW w:w="5160" w:type="dxa"/>
            <w:vAlign w:val="bottom"/>
            <w:shd w:val="clear" w:color="auto" w:fill="E2EEF6"/>
          </w:tcPr>
          <w:p>
            <w:pPr>
              <w:spacing w:after="0"/>
              <w:rPr>
                <w:sz w:val="20"/>
                <w:szCs w:val="20"/>
                <w:color w:val="auto"/>
              </w:rPr>
            </w:pPr>
          </w:p>
        </w:tc>
        <w:tc>
          <w:tcPr>
            <w:tcW w:w="200" w:type="dxa"/>
            <w:vAlign w:val="bottom"/>
            <w:tcBorders>
              <w:top w:val="single" w:sz="8" w:color="auto"/>
            </w:tcBorders>
            <w:shd w:val="clear" w:color="auto" w:fill="E2EEF6"/>
          </w:tcPr>
          <w:p>
            <w:pPr>
              <w:spacing w:after="0"/>
              <w:rPr>
                <w:sz w:val="20"/>
                <w:szCs w:val="20"/>
                <w:color w:val="auto"/>
              </w:rPr>
            </w:pPr>
          </w:p>
        </w:tc>
        <w:tc>
          <w:tcPr>
            <w:tcW w:w="1180" w:type="dxa"/>
            <w:vAlign w:val="bottom"/>
            <w:tcBorders>
              <w:top w:val="single" w:sz="8" w:color="auto"/>
            </w:tcBorders>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240" w:type="dxa"/>
            <w:vAlign w:val="bottom"/>
            <w:tcBorders>
              <w:top w:val="single" w:sz="8" w:color="auto"/>
            </w:tcBorders>
            <w:shd w:val="clear" w:color="auto" w:fill="E2EEF6"/>
          </w:tcPr>
          <w:p>
            <w:pPr>
              <w:spacing w:after="0"/>
              <w:rPr>
                <w:sz w:val="20"/>
                <w:szCs w:val="20"/>
                <w:color w:val="auto"/>
              </w:rPr>
            </w:pPr>
          </w:p>
        </w:tc>
        <w:tc>
          <w:tcPr>
            <w:tcW w:w="1140" w:type="dxa"/>
            <w:vAlign w:val="bottom"/>
            <w:tcBorders>
              <w:top w:val="single" w:sz="8" w:color="auto"/>
            </w:tcBorders>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380" w:type="dxa"/>
            <w:vAlign w:val="bottom"/>
            <w:tcBorders>
              <w:top w:val="single" w:sz="8" w:color="auto"/>
            </w:tcBorders>
            <w:shd w:val="clear" w:color="auto" w:fill="E2EEF6"/>
          </w:tcPr>
          <w:p>
            <w:pPr>
              <w:spacing w:after="0"/>
              <w:rPr>
                <w:sz w:val="20"/>
                <w:szCs w:val="20"/>
                <w:color w:val="auto"/>
              </w:rPr>
            </w:pPr>
          </w:p>
        </w:tc>
        <w:tc>
          <w:tcPr>
            <w:tcW w:w="1000" w:type="dxa"/>
            <w:vAlign w:val="bottom"/>
            <w:tcBorders>
              <w:top w:val="single" w:sz="8" w:color="auto"/>
            </w:tcBorders>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240" w:type="dxa"/>
            <w:vAlign w:val="bottom"/>
            <w:tcBorders>
              <w:top w:val="single" w:sz="8" w:color="auto"/>
            </w:tcBorders>
            <w:shd w:val="clear" w:color="auto" w:fill="E2EEF6"/>
          </w:tcPr>
          <w:p>
            <w:pPr>
              <w:spacing w:after="0"/>
              <w:rPr>
                <w:sz w:val="20"/>
                <w:szCs w:val="20"/>
                <w:color w:val="auto"/>
              </w:rPr>
            </w:pPr>
          </w:p>
        </w:tc>
        <w:tc>
          <w:tcPr>
            <w:tcW w:w="1120" w:type="dxa"/>
            <w:vAlign w:val="bottom"/>
            <w:tcBorders>
              <w:top w:val="single" w:sz="8" w:color="auto"/>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Diluted number of shares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17,261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17,328</w:t>
            </w:r>
          </w:p>
        </w:tc>
        <w:tc>
          <w:tcPr>
            <w:tcW w:w="3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17,522</w:t>
            </w:r>
          </w:p>
        </w:tc>
        <w:tc>
          <w:tcPr>
            <w:tcW w:w="2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17,347</w:t>
            </w:r>
          </w:p>
        </w:tc>
      </w:tr>
      <w:tr>
        <w:trPr>
          <w:trHeight w:val="20"/>
        </w:trPr>
        <w:tc>
          <w:tcPr>
            <w:tcW w:w="5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2"/>
              </w:rPr>
              <w:t>Year ended December 31, 2004</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13"/>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24"/>
                <w:szCs w:val="2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Sept. 30</w:t>
            </w:r>
          </w:p>
        </w:tc>
        <w:tc>
          <w:tcPr>
            <w:tcW w:w="24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Dec. 31</w:t>
            </w:r>
          </w:p>
        </w:tc>
      </w:tr>
      <w:tr>
        <w:trPr>
          <w:trHeight w:val="237"/>
        </w:trPr>
        <w:tc>
          <w:tcPr>
            <w:tcW w:w="51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E2EEF6"/>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77,632</w:t>
            </w:r>
          </w:p>
        </w:tc>
        <w:tc>
          <w:tcPr>
            <w:tcW w:w="42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75,265</w:t>
            </w:r>
          </w:p>
        </w:tc>
        <w:tc>
          <w:tcPr>
            <w:tcW w:w="240" w:type="dxa"/>
            <w:vAlign w:val="bottom"/>
            <w:shd w:val="clear" w:color="auto" w:fill="E2EEF6"/>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72,917</w:t>
            </w:r>
          </w:p>
        </w:tc>
        <w:tc>
          <w:tcPr>
            <w:tcW w:w="240" w:type="dxa"/>
            <w:vAlign w:val="bottom"/>
            <w:shd w:val="clear" w:color="auto" w:fill="E2EEF6"/>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78,275</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6,108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4,304</w:t>
            </w: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4,510</w:t>
            </w:r>
          </w:p>
        </w:tc>
        <w:tc>
          <w:tcPr>
            <w:tcW w:w="24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(555)</w:t>
            </w:r>
          </w:p>
        </w:tc>
      </w:tr>
      <w:tr>
        <w:trPr>
          <w:trHeight w:val="243"/>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E2EEF6"/>
          </w:tcPr>
          <w:p>
            <w:pPr>
              <w:spacing w:after="0"/>
              <w:rPr>
                <w:sz w:val="21"/>
                <w:szCs w:val="21"/>
                <w:color w:val="auto"/>
              </w:rPr>
            </w:pPr>
          </w:p>
        </w:tc>
        <w:tc>
          <w:tcPr>
            <w:tcW w:w="11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3,218</w:t>
            </w:r>
          </w:p>
        </w:tc>
        <w:tc>
          <w:tcPr>
            <w:tcW w:w="22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14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1,986</w:t>
            </w:r>
          </w:p>
        </w:tc>
        <w:tc>
          <w:tcPr>
            <w:tcW w:w="240" w:type="dxa"/>
            <w:vAlign w:val="bottom"/>
            <w:shd w:val="clear" w:color="auto" w:fill="E2EEF6"/>
          </w:tcPr>
          <w:p>
            <w:pPr>
              <w:spacing w:after="0"/>
              <w:rPr>
                <w:sz w:val="21"/>
                <w:szCs w:val="21"/>
                <w:color w:val="auto"/>
              </w:rPr>
            </w:pPr>
          </w:p>
        </w:tc>
        <w:tc>
          <w:tcPr>
            <w:tcW w:w="13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2,152</w:t>
            </w:r>
          </w:p>
        </w:tc>
        <w:tc>
          <w:tcPr>
            <w:tcW w:w="240" w:type="dxa"/>
            <w:vAlign w:val="bottom"/>
            <w:shd w:val="clear" w:color="auto" w:fill="E2EEF6"/>
          </w:tcPr>
          <w:p>
            <w:pPr>
              <w:spacing w:after="0"/>
              <w:rPr>
                <w:sz w:val="21"/>
                <w:szCs w:val="21"/>
                <w:color w:val="auto"/>
              </w:rPr>
            </w:pPr>
          </w:p>
        </w:tc>
        <w:tc>
          <w:tcPr>
            <w:tcW w:w="122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(254)</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24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r>
      <w:tr>
        <w:trPr>
          <w:trHeight w:val="243"/>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Dilutive net income per share</w:t>
            </w:r>
          </w:p>
        </w:tc>
        <w:tc>
          <w:tcPr>
            <w:tcW w:w="200" w:type="dxa"/>
            <w:vAlign w:val="bottom"/>
            <w:shd w:val="clear" w:color="auto" w:fill="E2EEF6"/>
          </w:tcPr>
          <w:p>
            <w:pPr>
              <w:spacing w:after="0"/>
              <w:rPr>
                <w:sz w:val="21"/>
                <w:szCs w:val="21"/>
                <w:color w:val="auto"/>
              </w:rPr>
            </w:pPr>
          </w:p>
        </w:tc>
        <w:tc>
          <w:tcPr>
            <w:tcW w:w="11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0.19</w:t>
            </w:r>
          </w:p>
        </w:tc>
        <w:tc>
          <w:tcPr>
            <w:tcW w:w="22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14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0.12</w:t>
            </w:r>
          </w:p>
        </w:tc>
        <w:tc>
          <w:tcPr>
            <w:tcW w:w="240" w:type="dxa"/>
            <w:vAlign w:val="bottom"/>
            <w:shd w:val="clear" w:color="auto" w:fill="E2EEF6"/>
          </w:tcPr>
          <w:p>
            <w:pPr>
              <w:spacing w:after="0"/>
              <w:rPr>
                <w:sz w:val="21"/>
                <w:szCs w:val="21"/>
                <w:color w:val="auto"/>
              </w:rPr>
            </w:pPr>
          </w:p>
        </w:tc>
        <w:tc>
          <w:tcPr>
            <w:tcW w:w="13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E2EEF6"/>
          </w:tcPr>
          <w:p>
            <w:pPr>
              <w:spacing w:after="0"/>
              <w:rPr>
                <w:sz w:val="21"/>
                <w:szCs w:val="21"/>
                <w:color w:val="auto"/>
              </w:rPr>
            </w:pPr>
          </w:p>
        </w:tc>
        <w:tc>
          <w:tcPr>
            <w:tcW w:w="122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(0.01)</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E2EEF6"/>
          </w:tcPr>
          <w:p>
            <w:pPr>
              <w:ind w:left="180"/>
              <w:spacing w:after="0"/>
              <w:rPr>
                <w:sz w:val="20"/>
                <w:szCs w:val="20"/>
                <w:color w:val="auto"/>
              </w:rPr>
            </w:pPr>
            <w:r>
              <w:rPr>
                <w:rFonts w:ascii="Arial" w:cs="Arial" w:eastAsia="Arial" w:hAnsi="Arial"/>
                <w:sz w:val="18"/>
                <w:szCs w:val="18"/>
                <w:color w:val="auto"/>
              </w:rPr>
              <w:t>Basic number of shares</w:t>
            </w:r>
          </w:p>
        </w:tc>
        <w:tc>
          <w:tcPr>
            <w:tcW w:w="200" w:type="dxa"/>
            <w:vAlign w:val="bottom"/>
            <w:shd w:val="clear" w:color="auto" w:fill="E2EEF6"/>
          </w:tcPr>
          <w:p>
            <w:pPr>
              <w:spacing w:after="0"/>
              <w:rPr>
                <w:sz w:val="21"/>
                <w:szCs w:val="21"/>
                <w:color w:val="auto"/>
              </w:rPr>
            </w:pPr>
          </w:p>
        </w:tc>
        <w:tc>
          <w:tcPr>
            <w:tcW w:w="11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16,712</w:t>
            </w:r>
          </w:p>
        </w:tc>
        <w:tc>
          <w:tcPr>
            <w:tcW w:w="22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14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16,721</w:t>
            </w:r>
          </w:p>
        </w:tc>
        <w:tc>
          <w:tcPr>
            <w:tcW w:w="240" w:type="dxa"/>
            <w:vAlign w:val="bottom"/>
            <w:shd w:val="clear" w:color="auto" w:fill="E2EEF6"/>
          </w:tcPr>
          <w:p>
            <w:pPr>
              <w:spacing w:after="0"/>
              <w:rPr>
                <w:sz w:val="21"/>
                <w:szCs w:val="21"/>
                <w:color w:val="auto"/>
              </w:rPr>
            </w:pPr>
          </w:p>
        </w:tc>
        <w:tc>
          <w:tcPr>
            <w:tcW w:w="13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16,767</w:t>
            </w:r>
          </w:p>
        </w:tc>
        <w:tc>
          <w:tcPr>
            <w:tcW w:w="240" w:type="dxa"/>
            <w:vAlign w:val="bottom"/>
            <w:shd w:val="clear" w:color="auto" w:fill="E2EEF6"/>
          </w:tcPr>
          <w:p>
            <w:pPr>
              <w:spacing w:after="0"/>
              <w:rPr>
                <w:sz w:val="21"/>
                <w:szCs w:val="21"/>
                <w:color w:val="auto"/>
              </w:rPr>
            </w:pPr>
          </w:p>
        </w:tc>
        <w:tc>
          <w:tcPr>
            <w:tcW w:w="122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16,773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Effect of dilutive stock options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368</w:t>
            </w:r>
          </w:p>
        </w:tc>
        <w:tc>
          <w:tcPr>
            <w:tcW w:w="2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r>
      <w:tr>
        <w:trPr>
          <w:trHeight w:val="237"/>
        </w:trPr>
        <w:tc>
          <w:tcPr>
            <w:tcW w:w="5160" w:type="dxa"/>
            <w:vAlign w:val="bottom"/>
            <w:shd w:val="clear" w:color="auto" w:fill="E2EEF6"/>
          </w:tcPr>
          <w:p>
            <w:pPr>
              <w:spacing w:after="0"/>
              <w:rPr>
                <w:sz w:val="20"/>
                <w:szCs w:val="20"/>
                <w:color w:val="auto"/>
              </w:rPr>
            </w:pPr>
          </w:p>
        </w:tc>
        <w:tc>
          <w:tcPr>
            <w:tcW w:w="200" w:type="dxa"/>
            <w:vAlign w:val="bottom"/>
            <w:tcBorders>
              <w:top w:val="single" w:sz="8" w:color="auto"/>
            </w:tcBorders>
            <w:shd w:val="clear" w:color="auto" w:fill="E2EEF6"/>
          </w:tcPr>
          <w:p>
            <w:pPr>
              <w:spacing w:after="0"/>
              <w:rPr>
                <w:sz w:val="20"/>
                <w:szCs w:val="20"/>
                <w:color w:val="auto"/>
              </w:rPr>
            </w:pPr>
          </w:p>
        </w:tc>
        <w:tc>
          <w:tcPr>
            <w:tcW w:w="1180" w:type="dxa"/>
            <w:vAlign w:val="bottom"/>
            <w:tcBorders>
              <w:top w:val="single" w:sz="8" w:color="auto"/>
            </w:tcBorders>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200" w:type="dxa"/>
            <w:vAlign w:val="bottom"/>
            <w:tcBorders>
              <w:top w:val="single" w:sz="8" w:color="auto"/>
            </w:tcBorders>
            <w:shd w:val="clear" w:color="auto" w:fill="E2EEF6"/>
          </w:tcPr>
          <w:p>
            <w:pPr>
              <w:spacing w:after="0"/>
              <w:rPr>
                <w:sz w:val="20"/>
                <w:szCs w:val="20"/>
                <w:color w:val="auto"/>
              </w:rPr>
            </w:pPr>
          </w:p>
        </w:tc>
        <w:tc>
          <w:tcPr>
            <w:tcW w:w="1180" w:type="dxa"/>
            <w:vAlign w:val="bottom"/>
            <w:tcBorders>
              <w:top w:val="single" w:sz="8" w:color="auto"/>
            </w:tcBorders>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240" w:type="dxa"/>
            <w:vAlign w:val="bottom"/>
            <w:tcBorders>
              <w:top w:val="single" w:sz="8" w:color="auto"/>
            </w:tcBorders>
            <w:shd w:val="clear" w:color="auto" w:fill="E2EEF6"/>
          </w:tcPr>
          <w:p>
            <w:pPr>
              <w:spacing w:after="0"/>
              <w:rPr>
                <w:sz w:val="20"/>
                <w:szCs w:val="20"/>
                <w:color w:val="auto"/>
              </w:rPr>
            </w:pPr>
          </w:p>
        </w:tc>
        <w:tc>
          <w:tcPr>
            <w:tcW w:w="1140" w:type="dxa"/>
            <w:vAlign w:val="bottom"/>
            <w:tcBorders>
              <w:top w:val="single" w:sz="8" w:color="auto"/>
            </w:tcBorders>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240" w:type="dxa"/>
            <w:vAlign w:val="bottom"/>
            <w:tcBorders>
              <w:top w:val="single" w:sz="8" w:color="auto"/>
            </w:tcBorders>
            <w:shd w:val="clear" w:color="auto" w:fill="E2EEF6"/>
          </w:tcPr>
          <w:p>
            <w:pPr>
              <w:spacing w:after="0"/>
              <w:rPr>
                <w:sz w:val="20"/>
                <w:szCs w:val="20"/>
                <w:color w:val="auto"/>
              </w:rPr>
            </w:pPr>
          </w:p>
        </w:tc>
        <w:tc>
          <w:tcPr>
            <w:tcW w:w="1120" w:type="dxa"/>
            <w:vAlign w:val="bottom"/>
            <w:tcBorders>
              <w:top w:val="single" w:sz="8" w:color="auto"/>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Diluted number of shares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17,189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17,177</w:t>
            </w: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17,135</w:t>
            </w:r>
          </w:p>
        </w:tc>
        <w:tc>
          <w:tcPr>
            <w:tcW w:w="2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17,226</w:t>
            </w:r>
          </w:p>
        </w:tc>
      </w:tr>
      <w:tr>
        <w:trPr>
          <w:trHeight w:val="20"/>
        </w:trPr>
        <w:tc>
          <w:tcPr>
            <w:tcW w:w="5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980" w:right="620"/>
        <w:spacing w:after="0" w:line="277" w:lineRule="auto"/>
        <w:rPr>
          <w:sz w:val="20"/>
          <w:szCs w:val="20"/>
          <w:color w:val="auto"/>
        </w:rPr>
      </w:pPr>
      <w:r>
        <w:rPr>
          <w:rFonts w:ascii="Arial" w:cs="Arial" w:eastAsia="Arial" w:hAnsi="Arial"/>
          <w:sz w:val="18"/>
          <w:szCs w:val="18"/>
          <w:color w:val="auto"/>
        </w:rPr>
        <w:t>Fourth quarter results in 2005 include a pre-tax gain on the sale of excess land at our Veenendaal, The Netherlands facility of $432. This transaction resulted in a after-tax gain of approximately $295.</w:t>
      </w:r>
    </w:p>
    <w:p>
      <w:pPr>
        <w:spacing w:after="0" w:line="224" w:lineRule="exact"/>
        <w:rPr>
          <w:sz w:val="20"/>
          <w:szCs w:val="20"/>
          <w:color w:val="auto"/>
        </w:rPr>
      </w:pPr>
    </w:p>
    <w:p>
      <w:pPr>
        <w:ind w:left="980" w:right="80"/>
        <w:spacing w:after="0" w:line="259" w:lineRule="auto"/>
        <w:rPr>
          <w:sz w:val="20"/>
          <w:szCs w:val="20"/>
          <w:color w:val="auto"/>
        </w:rPr>
      </w:pPr>
      <w:r>
        <w:rPr>
          <w:rFonts w:ascii="Arial" w:cs="Arial" w:eastAsia="Arial" w:hAnsi="Arial"/>
          <w:sz w:val="18"/>
          <w:szCs w:val="18"/>
          <w:color w:val="auto"/>
        </w:rPr>
        <w:t>Fourth quarter results in 2004 include a pre-tax charge of $2,290 ($1,420 after-tax) related to severance costs and other related charges resulting from a reduction in staffing at the Company’s Eltmann, Germany ball production facility. Additionally, fourth quarter results include a loss on disposal of assets of $856 ($548 after-tax) related to the sale of the Company’s Walterboro, South Carolina land and building assets. These charges have been recorded as components of income from operations.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1" w:name="page62"/>
    <w:bookmarkEnd w:id="61"/>
    <w:p>
      <w:pPr>
        <w:jc w:val="center"/>
        <w:ind w:right="631"/>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63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631"/>
        <w:spacing w:after="0"/>
        <w:rPr>
          <w:sz w:val="20"/>
          <w:szCs w:val="20"/>
          <w:color w:val="auto"/>
        </w:rPr>
      </w:pPr>
      <w:r>
        <w:rPr>
          <w:rFonts w:ascii="Arial" w:cs="Arial" w:eastAsia="Arial" w:hAnsi="Arial"/>
          <w:sz w:val="18"/>
          <w:szCs w:val="18"/>
          <w:b w:val="1"/>
          <w:bCs w:val="1"/>
          <w:color w:val="auto"/>
        </w:rPr>
        <w:t>December 31, 2005, 2004 and 2003</w:t>
      </w:r>
    </w:p>
    <w:p>
      <w:pPr>
        <w:spacing w:after="0" w:line="9" w:lineRule="exact"/>
        <w:rPr>
          <w:sz w:val="20"/>
          <w:szCs w:val="20"/>
          <w:color w:val="auto"/>
        </w:rPr>
      </w:pPr>
    </w:p>
    <w:p>
      <w:pPr>
        <w:jc w:val="center"/>
        <w:ind w:right="631"/>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9" w:hanging="329"/>
        <w:spacing w:after="0"/>
        <w:tabs>
          <w:tab w:leader="none" w:pos="329"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83" w:lineRule="exact"/>
        <w:rPr>
          <w:rFonts w:ascii="Arial" w:cs="Arial" w:eastAsia="Arial" w:hAnsi="Arial"/>
          <w:sz w:val="18"/>
          <w:szCs w:val="18"/>
          <w:b w:val="1"/>
          <w:bCs w:val="1"/>
          <w:color w:val="auto"/>
        </w:rPr>
      </w:pPr>
    </w:p>
    <w:p>
      <w:pPr>
        <w:jc w:val="both"/>
        <w:ind w:left="329"/>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Management believes the fair value of financial instruments approximate their carrying value due to the short maturity of these instruments or in the case of the Company’s notes receivable and variable rate debt, due to the variable interest rates. The fair value of the Company’s fixed rate long-term borrowings are estimated using discounted cash flow analysis based on the Company’s current incremental borrowing rates for similar types of borrowing arrangements. The interest rate swap is carried in the books at its fair value.</w:t>
      </w:r>
    </w:p>
    <w:p>
      <w:pPr>
        <w:spacing w:after="0" w:line="225" w:lineRule="exact"/>
        <w:rPr>
          <w:rFonts w:ascii="Arial" w:cs="Arial" w:eastAsia="Arial" w:hAnsi="Arial"/>
          <w:sz w:val="18"/>
          <w:szCs w:val="18"/>
          <w:b w:val="1"/>
          <w:bCs w:val="1"/>
          <w:color w:val="auto"/>
        </w:rPr>
      </w:pPr>
    </w:p>
    <w:p>
      <w:pPr>
        <w:ind w:left="329"/>
        <w:spacing w:after="0"/>
        <w:rPr>
          <w:rFonts w:ascii="Arial" w:cs="Arial" w:eastAsia="Arial" w:hAnsi="Arial"/>
          <w:sz w:val="18"/>
          <w:szCs w:val="18"/>
          <w:b w:val="1"/>
          <w:bCs w:val="1"/>
          <w:color w:val="auto"/>
        </w:rPr>
      </w:pPr>
      <w:r>
        <w:rPr>
          <w:rFonts w:ascii="Arial" w:cs="Arial" w:eastAsia="Arial" w:hAnsi="Arial"/>
          <w:sz w:val="18"/>
          <w:szCs w:val="18"/>
          <w:color w:val="auto"/>
        </w:rPr>
        <w:t>The carrying amounts and fair values of the Company’s long-term debt and derivative financial instrument are as follows:</w:t>
      </w:r>
    </w:p>
    <w:p>
      <w:pPr>
        <w:spacing w:after="0" w:line="302" w:lineRule="exact"/>
        <w:rPr>
          <w:sz w:val="20"/>
          <w:szCs w:val="20"/>
          <w:color w:val="auto"/>
        </w:rPr>
      </w:pPr>
    </w:p>
    <w:tbl>
      <w:tblPr>
        <w:tblLayout w:type="fixed"/>
        <w:tblInd w:w="789"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6"/>
          </w:tcPr>
          <w:p>
            <w:pPr>
              <w:ind w:left="260"/>
              <w:spacing w:after="0"/>
              <w:rPr>
                <w:sz w:val="20"/>
                <w:szCs w:val="20"/>
                <w:color w:val="auto"/>
              </w:rPr>
            </w:pPr>
            <w:r>
              <w:rPr>
                <w:rFonts w:ascii="Arial" w:cs="Arial" w:eastAsia="Arial" w:hAnsi="Arial"/>
                <w:sz w:val="18"/>
                <w:szCs w:val="18"/>
                <w:b w:val="1"/>
                <w:bCs w:val="1"/>
                <w:color w:val="auto"/>
              </w:rPr>
              <w:t>December 31, 2005</w:t>
            </w:r>
          </w:p>
        </w:tc>
        <w:tc>
          <w:tcPr>
            <w:tcW w:w="120" w:type="dxa"/>
            <w:vAlign w:val="bottom"/>
          </w:tcPr>
          <w:p>
            <w:pPr>
              <w:spacing w:after="0"/>
              <w:rPr>
                <w:sz w:val="18"/>
                <w:szCs w:val="18"/>
                <w:color w:val="auto"/>
              </w:rPr>
            </w:pPr>
          </w:p>
        </w:tc>
        <w:tc>
          <w:tcPr>
            <w:tcW w:w="21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December 31, 2004</w:t>
            </w:r>
          </w:p>
        </w:tc>
      </w:tr>
      <w:tr>
        <w:trPr>
          <w:trHeight w:val="216"/>
        </w:trPr>
        <w:tc>
          <w:tcPr>
            <w:tcW w:w="2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Carrying</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Fair</w:t>
            </w:r>
          </w:p>
        </w:tc>
        <w:tc>
          <w:tcPr>
            <w:tcW w:w="1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Fair</w:t>
            </w:r>
          </w:p>
        </w:tc>
      </w:tr>
      <w:tr>
        <w:trPr>
          <w:trHeight w:val="234"/>
        </w:trPr>
        <w:tc>
          <w:tcPr>
            <w:tcW w:w="2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Value</w:t>
            </w:r>
          </w:p>
        </w:tc>
      </w:tr>
      <w:tr>
        <w:trPr>
          <w:trHeight w:val="237"/>
        </w:trPr>
        <w:tc>
          <w:tcPr>
            <w:tcW w:w="2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960" w:type="dxa"/>
            <w:vAlign w:val="bottom"/>
            <w:shd w:val="clear" w:color="auto" w:fill="E2EEF6"/>
          </w:tcPr>
          <w:p>
            <w:pPr>
              <w:spacing w:after="0"/>
              <w:rPr>
                <w:sz w:val="20"/>
                <w:szCs w:val="20"/>
                <w:color w:val="auto"/>
              </w:rPr>
            </w:pPr>
            <w:r>
              <w:rPr>
                <w:rFonts w:ascii="Arial" w:cs="Arial" w:eastAsia="Arial" w:hAnsi="Arial"/>
                <w:sz w:val="18"/>
                <w:szCs w:val="18"/>
                <w:color w:val="auto"/>
              </w:rPr>
              <w:t>Variable rate long-term debt</w:t>
            </w:r>
          </w:p>
        </w:tc>
        <w:tc>
          <w:tcPr>
            <w:tcW w:w="102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17,900</w:t>
            </w:r>
          </w:p>
        </w:tc>
        <w:tc>
          <w:tcPr>
            <w:tcW w:w="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17,900</w:t>
            </w:r>
          </w:p>
        </w:tc>
        <w:tc>
          <w:tcPr>
            <w:tcW w:w="12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34,670</w:t>
            </w:r>
          </w:p>
        </w:tc>
        <w:tc>
          <w:tcPr>
            <w:tcW w:w="2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34,670</w:t>
            </w:r>
          </w:p>
        </w:tc>
      </w:tr>
      <w:tr>
        <w:trPr>
          <w:trHeight w:val="243"/>
        </w:trPr>
        <w:tc>
          <w:tcPr>
            <w:tcW w:w="2960" w:type="dxa"/>
            <w:vAlign w:val="bottom"/>
          </w:tcPr>
          <w:p>
            <w:pPr>
              <w:spacing w:after="0"/>
              <w:rPr>
                <w:sz w:val="20"/>
                <w:szCs w:val="20"/>
                <w:color w:val="auto"/>
              </w:rPr>
            </w:pPr>
            <w:r>
              <w:rPr>
                <w:rFonts w:ascii="Arial" w:cs="Arial" w:eastAsia="Arial" w:hAnsi="Arial"/>
                <w:sz w:val="18"/>
                <w:szCs w:val="18"/>
                <w:color w:val="auto"/>
              </w:rPr>
              <w:t>Fixed rate long-term debt</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38,739</w:t>
            </w:r>
          </w:p>
        </w:tc>
        <w:tc>
          <w:tcPr>
            <w:tcW w:w="1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40,000</w:t>
            </w:r>
          </w:p>
        </w:tc>
        <w:tc>
          <w:tcPr>
            <w:tcW w:w="20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40,421</w:t>
            </w:r>
          </w:p>
        </w:tc>
      </w:tr>
      <w:tr>
        <w:trPr>
          <w:trHeight w:val="243"/>
        </w:trPr>
        <w:tc>
          <w:tcPr>
            <w:tcW w:w="2960" w:type="dxa"/>
            <w:vAlign w:val="bottom"/>
            <w:shd w:val="clear" w:color="auto" w:fill="E2EEF6"/>
          </w:tcPr>
          <w:p>
            <w:pPr>
              <w:spacing w:after="0"/>
              <w:rPr>
                <w:sz w:val="20"/>
                <w:szCs w:val="20"/>
                <w:color w:val="auto"/>
              </w:rPr>
            </w:pPr>
            <w:r>
              <w:rPr>
                <w:rFonts w:ascii="Arial" w:cs="Arial" w:eastAsia="Arial" w:hAnsi="Arial"/>
                <w:sz w:val="18"/>
                <w:szCs w:val="18"/>
                <w:color w:val="auto"/>
              </w:rPr>
              <w:t>Interest rate swap agreement</w:t>
            </w:r>
          </w:p>
        </w:tc>
        <w:tc>
          <w:tcPr>
            <w:tcW w:w="9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8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6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E2EEF6"/>
          </w:tcPr>
          <w:p>
            <w:pPr>
              <w:spacing w:after="0"/>
              <w:rPr>
                <w:sz w:val="21"/>
                <w:szCs w:val="21"/>
                <w:color w:val="auto"/>
              </w:rPr>
            </w:pPr>
          </w:p>
        </w:tc>
        <w:tc>
          <w:tcPr>
            <w:tcW w:w="9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167</w:t>
            </w:r>
          </w:p>
        </w:tc>
      </w:tr>
    </w:tbl>
    <w:p>
      <w:pPr>
        <w:spacing w:after="0" w:line="252" w:lineRule="exact"/>
        <w:rPr>
          <w:sz w:val="20"/>
          <w:szCs w:val="20"/>
          <w:color w:val="auto"/>
        </w:rPr>
      </w:pPr>
    </w:p>
    <w:p>
      <w:pPr>
        <w:ind w:left="329" w:hanging="329"/>
        <w:spacing w:after="0"/>
        <w:tabs>
          <w:tab w:leader="none" w:pos="329"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w:t>
      </w:r>
    </w:p>
    <w:p>
      <w:pPr>
        <w:spacing w:after="0" w:line="283" w:lineRule="exact"/>
        <w:rPr>
          <w:rFonts w:ascii="Arial" w:cs="Arial" w:eastAsia="Arial" w:hAnsi="Arial"/>
          <w:sz w:val="18"/>
          <w:szCs w:val="18"/>
          <w:b w:val="1"/>
          <w:bCs w:val="1"/>
          <w:color w:val="auto"/>
        </w:rPr>
      </w:pPr>
    </w:p>
    <w:p>
      <w:pPr>
        <w:jc w:val="both"/>
        <w:ind w:left="329"/>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At December 31, 2005 and 2004, the Company has included in accumulated other comprehensive income unrealized income due to foreign currency translation of $4,121 and $15,944. Income taxes on the foreign currency translation adjustment in other comprehensive income were not recognized because the earnings are intended to be indefinitely reinvested in those operations. Also included in accumulated other comprehensive income as of December 31, 2005, and 2004 was additional minimum pension liability cost, net of tax of $724 and $144, respectively, and unrealized holding gain on securities net of tax of $0 and $73, respectively.</w:t>
      </w:r>
    </w:p>
    <w:p>
      <w:pPr>
        <w:spacing w:after="0" w:line="200" w:lineRule="exact"/>
        <w:rPr>
          <w:sz w:val="20"/>
          <w:szCs w:val="20"/>
          <w:color w:val="auto"/>
        </w:rPr>
      </w:pPr>
    </w:p>
    <w:p>
      <w:pPr>
        <w:spacing w:after="0" w:line="265" w:lineRule="exact"/>
        <w:rPr>
          <w:sz w:val="20"/>
          <w:szCs w:val="20"/>
          <w:color w:val="auto"/>
        </w:rPr>
      </w:pPr>
    </w:p>
    <w:p>
      <w:pPr>
        <w:ind w:left="498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70485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9"/>
          </w:cols>
          <w:pgMar w:left="891" w:top="121" w:right="239" w:bottom="1440" w:gutter="0" w:footer="0" w:header="0"/>
        </w:sectPr>
      </w:pPr>
    </w:p>
    <w:bookmarkStart w:id="62" w:name="page63"/>
    <w:bookmarkEnd w:id="62"/>
    <w:p>
      <w:pPr>
        <w:ind w:left="68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Chief Executive Officer and Chief Financial Officer, the Company conducted an evaluation of its disclosure controls and procedures, and internal control over financial reporting as such term is defined under Rule l3a-15(e) promulgated under the Securities Exchange Act of 1934, as amended (the "Exchange Act"). Based on this evaluation, Chief Executive Officer and the Chief Financial Officer concluded that the Company's disclosure controls and procedures were effective as of December 31, 2005, the end of the period covered by this annual report.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management of NN, Inc. is responsible for establishing and maintaining adequate internal control over financial reporting, as such term is defined in Exchange Act Rule 13a-15(f). Under the supervision and with the participation of management, including the Company's Chief Executive Officer and Chief Financial Officer, an evaluation of the effectiveness of the Company's internal control over financial reporting was conducted based on the framework in Internal Control- Integrated Framework issued by the Committee of Sponsoring Organizations of the Treadway Commission ("COSO"). Based on that evaluation under the framework in Internal Control- Integrated Framework issued by the COSO, the Company's management concluded that the Company's internal control over financial reporting was effective as of December 31, 2005</w:t>
      </w:r>
    </w:p>
    <w:p>
      <w:pPr>
        <w:spacing w:after="0" w:line="23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Management's assessment of the effectiveness of the Company's internal control over financial reporting as of December 31, 2005 has been audited by PricewaterhouseCoopers LLP, an independent registered public accounting firm, as stated in their report which is included herein.</w:t>
      </w:r>
    </w:p>
    <w:p>
      <w:pPr>
        <w:spacing w:after="0" w:line="261"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2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information required by this item of Form 10-K concerning the Company's directors is contained in the sections entitled "Information about the Directors" and "Beneficial Ownership of Common Stock" of the Company's definitive Proxy Statement to be filed with the Securities and Exchange Commission within 120 days after December 31, 2005, in accordance with General Instruction G to Form 10-K, is hereby incorporated herein by reference.</w:t>
      </w:r>
    </w:p>
    <w:p>
      <w:pPr>
        <w:spacing w:after="0" w:line="20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Code of Ethics. </w:t>
      </w:r>
      <w:r>
        <w:rPr>
          <w:rFonts w:ascii="Arial" w:cs="Arial" w:eastAsia="Arial" w:hAnsi="Arial"/>
          <w:sz w:val="16"/>
          <w:szCs w:val="16"/>
          <w:color w:val="auto"/>
        </w:rPr>
        <w:t>Our Code of Ethics (the “Code”) was approved by our Board on November 6, 2003. The Code is applicable to all officers,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The Code is posted on our website at http://www.nnbr.com. We will satisfy any disclosure requirements under Item 10 of Form 8-K regarding an amendment to, or waiver from, any provision of the Code with respect to our principal executive officer, principal financial officer, principal accounting officer and persons performing similar functions by disclosing the nature of such amendment or waiver on our website or in a report on Form 8-K.</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Item 11. Executive Compensation</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Item 402 of Regulation S-K is contained in the sections entitled "Information about the Directors -- Compensation of Directors" and "Executive Compensation" of the Company's definitive Proxy Statement and, in accordance with General Instruction G to Form 10-K, is hereby incorporated herein by reference.</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8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information required by Items 201(d) and 403 of Regulation S-K is contained in the section entitled "Beneficial Ownership of Common Stock" of the Company's definitive Proxy Statement and, in accordance with General Instruction G to Form 10-K, is hereby incorporated herein by reference.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Item 201 (d) of Regulations S-K concerning the Company’s equity compensation plans is set forth in the table below:</w:t>
      </w:r>
    </w:p>
    <w:p>
      <w:pPr>
        <w:spacing w:after="0" w:line="27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Table of Equity Compensation Plan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272020" cy="15347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153479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0" w:type="dxa"/>
            <w:vAlign w:val="bottom"/>
            <w:tcBorders>
              <w:top w:val="single" w:sz="8" w:color="808080"/>
              <w:right w:val="single" w:sz="8" w:color="2C2C2C"/>
            </w:tcBorders>
          </w:tcPr>
          <w:p>
            <w:pPr>
              <w:spacing w:after="0"/>
              <w:rPr>
                <w:sz w:val="11"/>
                <w:szCs w:val="11"/>
                <w:color w:val="auto"/>
              </w:rPr>
            </w:pPr>
          </w:p>
        </w:tc>
        <w:tc>
          <w:tcPr>
            <w:tcW w:w="2080" w:type="dxa"/>
            <w:vAlign w:val="bottom"/>
            <w:tcBorders>
              <w:top w:val="single" w:sz="8" w:color="2C2C2C"/>
              <w:right w:val="single" w:sz="8" w:color="2C2C2C"/>
            </w:tcBorders>
          </w:tcPr>
          <w:p>
            <w:pPr>
              <w:ind w:left="620"/>
              <w:spacing w:after="0" w:line="135" w:lineRule="exact"/>
              <w:rPr>
                <w:sz w:val="20"/>
                <w:szCs w:val="20"/>
                <w:color w:val="auto"/>
              </w:rPr>
            </w:pPr>
            <w:r>
              <w:rPr>
                <w:rFonts w:ascii="Arial" w:cs="Arial" w:eastAsia="Arial" w:hAnsi="Arial"/>
                <w:sz w:val="14"/>
                <w:szCs w:val="14"/>
                <w:color w:val="auto"/>
              </w:rPr>
              <w:t>Plan Category</w:t>
            </w:r>
          </w:p>
        </w:tc>
        <w:tc>
          <w:tcPr>
            <w:tcW w:w="2480" w:type="dxa"/>
            <w:vAlign w:val="bottom"/>
            <w:tcBorders>
              <w:top w:val="single" w:sz="8" w:color="2C2C2C"/>
              <w:right w:val="single" w:sz="8" w:color="2C2C2C"/>
            </w:tcBorders>
          </w:tcPr>
          <w:p>
            <w:pPr>
              <w:spacing w:after="0" w:line="135" w:lineRule="exact"/>
              <w:rPr>
                <w:sz w:val="20"/>
                <w:szCs w:val="20"/>
                <w:color w:val="auto"/>
              </w:rPr>
            </w:pPr>
            <w:r>
              <w:rPr>
                <w:rFonts w:ascii="Arial" w:cs="Arial" w:eastAsia="Arial" w:hAnsi="Arial"/>
                <w:sz w:val="14"/>
                <w:szCs w:val="14"/>
                <w:color w:val="auto"/>
              </w:rPr>
              <w:t>Number of securities to be issued upon</w:t>
            </w:r>
          </w:p>
        </w:tc>
        <w:tc>
          <w:tcPr>
            <w:tcW w:w="3060" w:type="dxa"/>
            <w:vAlign w:val="bottom"/>
            <w:tcBorders>
              <w:top w:val="single" w:sz="8" w:color="2C2C2C"/>
              <w:right w:val="single" w:sz="8" w:color="2C2C2C"/>
            </w:tcBorders>
          </w:tcPr>
          <w:p>
            <w:pPr>
              <w:jc w:val="right"/>
              <w:ind w:right="208"/>
              <w:spacing w:after="0" w:line="135" w:lineRule="exact"/>
              <w:rPr>
                <w:sz w:val="20"/>
                <w:szCs w:val="20"/>
                <w:color w:val="auto"/>
              </w:rPr>
            </w:pPr>
            <w:r>
              <w:rPr>
                <w:rFonts w:ascii="Arial" w:cs="Arial" w:eastAsia="Arial" w:hAnsi="Arial"/>
                <w:sz w:val="14"/>
                <w:szCs w:val="14"/>
                <w:color w:val="auto"/>
                <w:w w:val="91"/>
              </w:rPr>
              <w:t>Weighted -average exercise price of outstanding</w:t>
            </w:r>
          </w:p>
        </w:tc>
        <w:tc>
          <w:tcPr>
            <w:tcW w:w="3740" w:type="dxa"/>
            <w:vAlign w:val="bottom"/>
            <w:tcBorders>
              <w:top w:val="single" w:sz="8" w:color="2C2C2C"/>
            </w:tcBorders>
          </w:tcPr>
          <w:p>
            <w:pPr>
              <w:spacing w:after="0" w:line="135" w:lineRule="exact"/>
              <w:rPr>
                <w:sz w:val="20"/>
                <w:szCs w:val="20"/>
                <w:color w:val="auto"/>
              </w:rPr>
            </w:pPr>
            <w:r>
              <w:rPr>
                <w:rFonts w:ascii="Arial" w:cs="Arial" w:eastAsia="Arial" w:hAnsi="Arial"/>
                <w:sz w:val="14"/>
                <w:szCs w:val="14"/>
                <w:color w:val="auto"/>
              </w:rPr>
              <w:t>Number of securities remaining available for future issuance</w:t>
            </w:r>
          </w:p>
        </w:tc>
        <w:tc>
          <w:tcPr>
            <w:tcW w:w="20" w:type="dxa"/>
            <w:vAlign w:val="bottom"/>
            <w:tcBorders>
              <w:top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2C2C2C"/>
            </w:tcBorders>
          </w:tcPr>
          <w:p>
            <w:pPr>
              <w:spacing w:after="0"/>
              <w:rPr>
                <w:sz w:val="11"/>
                <w:szCs w:val="11"/>
                <w:color w:val="auto"/>
              </w:rPr>
            </w:pPr>
          </w:p>
        </w:tc>
        <w:tc>
          <w:tcPr>
            <w:tcW w:w="2080" w:type="dxa"/>
            <w:vAlign w:val="bottom"/>
            <w:tcBorders>
              <w:right w:val="single" w:sz="8" w:color="2C2C2C"/>
            </w:tcBorders>
          </w:tcPr>
          <w:p>
            <w:pPr>
              <w:spacing w:after="0"/>
              <w:rPr>
                <w:sz w:val="11"/>
                <w:szCs w:val="11"/>
                <w:color w:val="auto"/>
              </w:rPr>
            </w:pPr>
          </w:p>
        </w:tc>
        <w:tc>
          <w:tcPr>
            <w:tcW w:w="2480" w:type="dxa"/>
            <w:vAlign w:val="bottom"/>
            <w:tcBorders>
              <w:right w:val="single" w:sz="8" w:color="2C2C2C"/>
            </w:tcBorders>
          </w:tcPr>
          <w:p>
            <w:pPr>
              <w:spacing w:after="0" w:line="135" w:lineRule="exact"/>
              <w:rPr>
                <w:sz w:val="20"/>
                <w:szCs w:val="20"/>
                <w:color w:val="auto"/>
              </w:rPr>
            </w:pPr>
            <w:r>
              <w:rPr>
                <w:rFonts w:ascii="Arial" w:cs="Arial" w:eastAsia="Arial" w:hAnsi="Arial"/>
                <w:sz w:val="14"/>
                <w:szCs w:val="14"/>
                <w:color w:val="auto"/>
                <w:w w:val="95"/>
              </w:rPr>
              <w:t>exercise of outstanding options, warrants</w:t>
            </w:r>
          </w:p>
        </w:tc>
        <w:tc>
          <w:tcPr>
            <w:tcW w:w="3060" w:type="dxa"/>
            <w:vAlign w:val="bottom"/>
            <w:tcBorders>
              <w:right w:val="single" w:sz="8" w:color="2C2C2C"/>
            </w:tcBorders>
          </w:tcPr>
          <w:p>
            <w:pPr>
              <w:jc w:val="right"/>
              <w:ind w:right="1388"/>
              <w:spacing w:after="0" w:line="135" w:lineRule="exact"/>
              <w:rPr>
                <w:sz w:val="20"/>
                <w:szCs w:val="20"/>
                <w:color w:val="auto"/>
              </w:rPr>
            </w:pPr>
            <w:r>
              <w:rPr>
                <w:rFonts w:ascii="Arial" w:cs="Arial" w:eastAsia="Arial" w:hAnsi="Arial"/>
                <w:sz w:val="14"/>
                <w:szCs w:val="14"/>
                <w:color w:val="auto"/>
                <w:w w:val="91"/>
              </w:rPr>
              <w:t>options, warrants and rights</w:t>
            </w:r>
          </w:p>
        </w:tc>
        <w:tc>
          <w:tcPr>
            <w:tcW w:w="3760" w:type="dxa"/>
            <w:vAlign w:val="bottom"/>
            <w:gridSpan w:val="2"/>
          </w:tcPr>
          <w:p>
            <w:pPr>
              <w:spacing w:after="0" w:line="135" w:lineRule="exact"/>
              <w:rPr>
                <w:sz w:val="20"/>
                <w:szCs w:val="20"/>
                <w:color w:val="auto"/>
              </w:rPr>
            </w:pPr>
            <w:r>
              <w:rPr>
                <w:rFonts w:ascii="Arial" w:cs="Arial" w:eastAsia="Arial" w:hAnsi="Arial"/>
                <w:sz w:val="14"/>
                <w:szCs w:val="14"/>
                <w:color w:val="auto"/>
                <w:w w:val="94"/>
              </w:rPr>
              <w:t>under equity compensation plans (excluding securities reflected</w:t>
            </w:r>
          </w:p>
        </w:tc>
        <w:tc>
          <w:tcPr>
            <w:tcW w:w="0" w:type="dxa"/>
            <w:vAlign w:val="bottom"/>
          </w:tcPr>
          <w:p>
            <w:pPr>
              <w:spacing w:after="0"/>
              <w:rPr>
                <w:sz w:val="1"/>
                <w:szCs w:val="1"/>
                <w:color w:val="auto"/>
              </w:rPr>
            </w:pPr>
          </w:p>
        </w:tc>
      </w:tr>
      <w:tr>
        <w:trPr>
          <w:trHeight w:val="135"/>
        </w:trPr>
        <w:tc>
          <w:tcPr>
            <w:tcW w:w="40" w:type="dxa"/>
            <w:vAlign w:val="bottom"/>
            <w:tcBorders>
              <w:right w:val="single" w:sz="8" w:color="2C2C2C"/>
            </w:tcBorders>
          </w:tcPr>
          <w:p>
            <w:pPr>
              <w:spacing w:after="0"/>
              <w:rPr>
                <w:sz w:val="11"/>
                <w:szCs w:val="11"/>
                <w:color w:val="auto"/>
              </w:rPr>
            </w:pPr>
          </w:p>
        </w:tc>
        <w:tc>
          <w:tcPr>
            <w:tcW w:w="2080" w:type="dxa"/>
            <w:vAlign w:val="bottom"/>
            <w:tcBorders>
              <w:right w:val="single" w:sz="8" w:color="2C2C2C"/>
            </w:tcBorders>
          </w:tcPr>
          <w:p>
            <w:pPr>
              <w:spacing w:after="0"/>
              <w:rPr>
                <w:sz w:val="11"/>
                <w:szCs w:val="11"/>
                <w:color w:val="auto"/>
              </w:rPr>
            </w:pPr>
          </w:p>
        </w:tc>
        <w:tc>
          <w:tcPr>
            <w:tcW w:w="2480" w:type="dxa"/>
            <w:vAlign w:val="bottom"/>
            <w:tcBorders>
              <w:right w:val="single" w:sz="8" w:color="2C2C2C"/>
            </w:tcBorders>
          </w:tcPr>
          <w:p>
            <w:pPr>
              <w:spacing w:after="0" w:line="135" w:lineRule="exact"/>
              <w:rPr>
                <w:sz w:val="20"/>
                <w:szCs w:val="20"/>
                <w:color w:val="auto"/>
              </w:rPr>
            </w:pPr>
            <w:r>
              <w:rPr>
                <w:rFonts w:ascii="Arial" w:cs="Arial" w:eastAsia="Arial" w:hAnsi="Arial"/>
                <w:sz w:val="14"/>
                <w:szCs w:val="14"/>
                <w:color w:val="auto"/>
              </w:rPr>
              <w:t>and rights</w:t>
            </w:r>
          </w:p>
        </w:tc>
        <w:tc>
          <w:tcPr>
            <w:tcW w:w="3060" w:type="dxa"/>
            <w:vAlign w:val="bottom"/>
            <w:tcBorders>
              <w:right w:val="single" w:sz="8" w:color="2C2C2C"/>
            </w:tcBorders>
          </w:tcPr>
          <w:p>
            <w:pPr>
              <w:spacing w:after="0"/>
              <w:rPr>
                <w:sz w:val="11"/>
                <w:szCs w:val="11"/>
                <w:color w:val="auto"/>
              </w:rPr>
            </w:pPr>
          </w:p>
        </w:tc>
        <w:tc>
          <w:tcPr>
            <w:tcW w:w="3760" w:type="dxa"/>
            <w:vAlign w:val="bottom"/>
            <w:gridSpan w:val="2"/>
          </w:tcPr>
          <w:p>
            <w:pPr>
              <w:spacing w:after="0" w:line="135" w:lineRule="exact"/>
              <w:rPr>
                <w:sz w:val="20"/>
                <w:szCs w:val="20"/>
                <w:color w:val="auto"/>
              </w:rPr>
            </w:pPr>
            <w:r>
              <w:rPr>
                <w:rFonts w:ascii="Arial" w:cs="Arial" w:eastAsia="Arial" w:hAnsi="Arial"/>
                <w:sz w:val="14"/>
                <w:szCs w:val="14"/>
                <w:color w:val="auto"/>
              </w:rPr>
              <w:t>in column (a))</w:t>
            </w:r>
          </w:p>
        </w:tc>
        <w:tc>
          <w:tcPr>
            <w:tcW w:w="0" w:type="dxa"/>
            <w:vAlign w:val="bottom"/>
          </w:tcPr>
          <w:p>
            <w:pPr>
              <w:spacing w:after="0"/>
              <w:rPr>
                <w:sz w:val="1"/>
                <w:szCs w:val="1"/>
                <w:color w:val="auto"/>
              </w:rPr>
            </w:pPr>
          </w:p>
        </w:tc>
      </w:tr>
      <w:tr>
        <w:trPr>
          <w:trHeight w:val="182"/>
        </w:trPr>
        <w:tc>
          <w:tcPr>
            <w:tcW w:w="40" w:type="dxa"/>
            <w:vAlign w:val="bottom"/>
            <w:tcBorders>
              <w:right w:val="single" w:sz="8" w:color="2C2C2C"/>
            </w:tcBorders>
          </w:tcPr>
          <w:p>
            <w:pPr>
              <w:spacing w:after="0"/>
              <w:rPr>
                <w:sz w:val="15"/>
                <w:szCs w:val="15"/>
                <w:color w:val="auto"/>
              </w:rPr>
            </w:pPr>
          </w:p>
        </w:tc>
        <w:tc>
          <w:tcPr>
            <w:tcW w:w="2080" w:type="dxa"/>
            <w:vAlign w:val="bottom"/>
            <w:tcBorders>
              <w:right w:val="single" w:sz="8" w:color="2C2C2C"/>
            </w:tcBorders>
          </w:tcPr>
          <w:p>
            <w:pPr>
              <w:spacing w:after="0"/>
              <w:rPr>
                <w:sz w:val="15"/>
                <w:szCs w:val="15"/>
                <w:color w:val="auto"/>
              </w:rPr>
            </w:pPr>
          </w:p>
        </w:tc>
        <w:tc>
          <w:tcPr>
            <w:tcW w:w="2480" w:type="dxa"/>
            <w:vAlign w:val="bottom"/>
            <w:tcBorders>
              <w:right w:val="single" w:sz="8" w:color="2C2C2C"/>
            </w:tcBorders>
          </w:tcPr>
          <w:p>
            <w:pPr>
              <w:ind w:left="1140"/>
              <w:spacing w:after="0"/>
              <w:rPr>
                <w:sz w:val="20"/>
                <w:szCs w:val="20"/>
                <w:color w:val="auto"/>
              </w:rPr>
            </w:pPr>
            <w:r>
              <w:rPr>
                <w:rFonts w:ascii="Arial" w:cs="Arial" w:eastAsia="Arial" w:hAnsi="Arial"/>
                <w:sz w:val="14"/>
                <w:szCs w:val="14"/>
                <w:color w:val="auto"/>
              </w:rPr>
              <w:t>(a)</w:t>
            </w:r>
          </w:p>
        </w:tc>
        <w:tc>
          <w:tcPr>
            <w:tcW w:w="3060" w:type="dxa"/>
            <w:vAlign w:val="bottom"/>
            <w:tcBorders>
              <w:right w:val="single" w:sz="8" w:color="2C2C2C"/>
            </w:tcBorders>
            <w:vMerge w:val="restart"/>
          </w:tcPr>
          <w:p>
            <w:pPr>
              <w:jc w:val="right"/>
              <w:ind w:right="1388"/>
              <w:spacing w:after="0"/>
              <w:rPr>
                <w:sz w:val="20"/>
                <w:szCs w:val="20"/>
                <w:color w:val="auto"/>
              </w:rPr>
            </w:pPr>
            <w:r>
              <w:rPr>
                <w:rFonts w:ascii="Arial" w:cs="Arial" w:eastAsia="Arial" w:hAnsi="Arial"/>
                <w:sz w:val="14"/>
                <w:szCs w:val="14"/>
                <w:color w:val="auto"/>
              </w:rPr>
              <w:t>(b)</w:t>
            </w:r>
          </w:p>
        </w:tc>
        <w:tc>
          <w:tcPr>
            <w:tcW w:w="3760" w:type="dxa"/>
            <w:vAlign w:val="bottom"/>
            <w:gridSpan w:val="2"/>
          </w:tcPr>
          <w:p>
            <w:pPr>
              <w:ind w:left="1780"/>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76"/>
        </w:trPr>
        <w:tc>
          <w:tcPr>
            <w:tcW w:w="40" w:type="dxa"/>
            <w:vAlign w:val="bottom"/>
            <w:tcBorders>
              <w:right w:val="single" w:sz="8" w:color="2C2C2C"/>
            </w:tcBorders>
          </w:tcPr>
          <w:p>
            <w:pPr>
              <w:spacing w:after="0"/>
              <w:rPr>
                <w:sz w:val="6"/>
                <w:szCs w:val="6"/>
                <w:color w:val="auto"/>
              </w:rPr>
            </w:pPr>
          </w:p>
        </w:tc>
        <w:tc>
          <w:tcPr>
            <w:tcW w:w="2080" w:type="dxa"/>
            <w:vAlign w:val="bottom"/>
            <w:tcBorders>
              <w:right w:val="single" w:sz="8" w:color="2C2C2C"/>
            </w:tcBorders>
          </w:tcPr>
          <w:p>
            <w:pPr>
              <w:spacing w:after="0"/>
              <w:rPr>
                <w:sz w:val="6"/>
                <w:szCs w:val="6"/>
                <w:color w:val="auto"/>
              </w:rPr>
            </w:pPr>
          </w:p>
        </w:tc>
        <w:tc>
          <w:tcPr>
            <w:tcW w:w="2480" w:type="dxa"/>
            <w:vAlign w:val="bottom"/>
            <w:tcBorders>
              <w:right w:val="single" w:sz="8" w:color="2C2C2C"/>
            </w:tcBorders>
          </w:tcPr>
          <w:p>
            <w:pPr>
              <w:spacing w:after="0"/>
              <w:rPr>
                <w:sz w:val="6"/>
                <w:szCs w:val="6"/>
                <w:color w:val="auto"/>
              </w:rPr>
            </w:pPr>
          </w:p>
        </w:tc>
        <w:tc>
          <w:tcPr>
            <w:tcW w:w="3060" w:type="dxa"/>
            <w:vAlign w:val="bottom"/>
            <w:tcBorders>
              <w:right w:val="single" w:sz="8" w:color="2C2C2C"/>
            </w:tcBorders>
            <w:vMerge w:val="continue"/>
          </w:tcPr>
          <w:p>
            <w:pPr>
              <w:spacing w:after="0"/>
              <w:rPr>
                <w:sz w:val="6"/>
                <w:szCs w:val="6"/>
                <w:color w:val="auto"/>
              </w:rPr>
            </w:pPr>
          </w:p>
        </w:tc>
        <w:tc>
          <w:tcPr>
            <w:tcW w:w="3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40" w:type="dxa"/>
            <w:vAlign w:val="bottom"/>
            <w:tcBorders>
              <w:right w:val="single" w:sz="8" w:color="2C2C2C"/>
            </w:tcBorders>
          </w:tcPr>
          <w:p>
            <w:pPr>
              <w:spacing w:after="0"/>
              <w:rPr>
                <w:sz w:val="11"/>
                <w:szCs w:val="11"/>
                <w:color w:val="auto"/>
              </w:rPr>
            </w:pPr>
          </w:p>
        </w:tc>
        <w:tc>
          <w:tcPr>
            <w:tcW w:w="2080" w:type="dxa"/>
            <w:vAlign w:val="bottom"/>
            <w:tcBorders>
              <w:bottom w:val="single" w:sz="8" w:color="2C2C2C"/>
              <w:right w:val="single" w:sz="8" w:color="2C2C2C"/>
            </w:tcBorders>
          </w:tcPr>
          <w:p>
            <w:pPr>
              <w:spacing w:after="0"/>
              <w:rPr>
                <w:sz w:val="11"/>
                <w:szCs w:val="11"/>
                <w:color w:val="auto"/>
              </w:rPr>
            </w:pPr>
          </w:p>
        </w:tc>
        <w:tc>
          <w:tcPr>
            <w:tcW w:w="2480" w:type="dxa"/>
            <w:vAlign w:val="bottom"/>
            <w:tcBorders>
              <w:bottom w:val="single" w:sz="8" w:color="2C2C2C"/>
              <w:right w:val="single" w:sz="8" w:color="2C2C2C"/>
            </w:tcBorders>
          </w:tcPr>
          <w:p>
            <w:pPr>
              <w:spacing w:after="0"/>
              <w:rPr>
                <w:sz w:val="11"/>
                <w:szCs w:val="11"/>
                <w:color w:val="auto"/>
              </w:rPr>
            </w:pPr>
          </w:p>
        </w:tc>
        <w:tc>
          <w:tcPr>
            <w:tcW w:w="3060" w:type="dxa"/>
            <w:vAlign w:val="bottom"/>
            <w:tcBorders>
              <w:bottom w:val="single" w:sz="8" w:color="2C2C2C"/>
              <w:right w:val="single" w:sz="8" w:color="2C2C2C"/>
            </w:tcBorders>
          </w:tcPr>
          <w:p>
            <w:pPr>
              <w:spacing w:after="0"/>
              <w:rPr>
                <w:sz w:val="11"/>
                <w:szCs w:val="11"/>
                <w:color w:val="auto"/>
              </w:rPr>
            </w:pPr>
          </w:p>
        </w:tc>
        <w:tc>
          <w:tcPr>
            <w:tcW w:w="374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0" w:type="dxa"/>
            <w:vAlign w:val="bottom"/>
            <w:tcBorders>
              <w:right w:val="single" w:sz="8" w:color="2C2C2C"/>
            </w:tcBorders>
          </w:tcPr>
          <w:p>
            <w:pPr>
              <w:spacing w:after="0"/>
              <w:rPr>
                <w:sz w:val="8"/>
                <w:szCs w:val="8"/>
                <w:color w:val="auto"/>
              </w:rPr>
            </w:pPr>
          </w:p>
        </w:tc>
        <w:tc>
          <w:tcPr>
            <w:tcW w:w="2080" w:type="dxa"/>
            <w:vAlign w:val="bottom"/>
            <w:tcBorders>
              <w:right w:val="single" w:sz="8" w:color="2C2C2C"/>
            </w:tcBorders>
          </w:tcPr>
          <w:p>
            <w:pPr>
              <w:spacing w:after="0" w:line="102" w:lineRule="exact"/>
              <w:rPr>
                <w:sz w:val="20"/>
                <w:szCs w:val="20"/>
                <w:color w:val="auto"/>
              </w:rPr>
            </w:pPr>
            <w:r>
              <w:rPr>
                <w:rFonts w:ascii="Arial" w:cs="Arial" w:eastAsia="Arial" w:hAnsi="Arial"/>
                <w:sz w:val="11"/>
                <w:szCs w:val="11"/>
                <w:color w:val="auto"/>
              </w:rPr>
              <w:t>Equity compensation plans</w:t>
            </w:r>
          </w:p>
        </w:tc>
        <w:tc>
          <w:tcPr>
            <w:tcW w:w="2480" w:type="dxa"/>
            <w:vAlign w:val="bottom"/>
            <w:tcBorders>
              <w:right w:val="single" w:sz="8" w:color="2C2C2C"/>
            </w:tcBorders>
          </w:tcPr>
          <w:p>
            <w:pPr>
              <w:spacing w:after="0"/>
              <w:rPr>
                <w:sz w:val="8"/>
                <w:szCs w:val="8"/>
                <w:color w:val="auto"/>
              </w:rPr>
            </w:pPr>
          </w:p>
        </w:tc>
        <w:tc>
          <w:tcPr>
            <w:tcW w:w="3060" w:type="dxa"/>
            <w:vAlign w:val="bottom"/>
            <w:tcBorders>
              <w:right w:val="single" w:sz="8" w:color="2C2C2C"/>
            </w:tcBorders>
          </w:tcPr>
          <w:p>
            <w:pPr>
              <w:spacing w:after="0"/>
              <w:rPr>
                <w:sz w:val="8"/>
                <w:szCs w:val="8"/>
                <w:color w:val="auto"/>
              </w:rPr>
            </w:pPr>
          </w:p>
        </w:tc>
        <w:tc>
          <w:tcPr>
            <w:tcW w:w="3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2C2C2C"/>
            </w:tcBorders>
          </w:tcPr>
          <w:p>
            <w:pPr>
              <w:spacing w:after="0"/>
              <w:rPr>
                <w:sz w:val="15"/>
                <w:szCs w:val="15"/>
                <w:color w:val="auto"/>
              </w:rPr>
            </w:pPr>
          </w:p>
        </w:tc>
        <w:tc>
          <w:tcPr>
            <w:tcW w:w="2080" w:type="dxa"/>
            <w:vAlign w:val="bottom"/>
            <w:tcBorders>
              <w:right w:val="single" w:sz="8" w:color="2C2C2C"/>
            </w:tcBorders>
          </w:tcPr>
          <w:p>
            <w:pPr>
              <w:spacing w:after="0"/>
              <w:rPr>
                <w:sz w:val="20"/>
                <w:szCs w:val="20"/>
                <w:color w:val="auto"/>
              </w:rPr>
            </w:pPr>
            <w:r>
              <w:rPr>
                <w:rFonts w:ascii="Arial" w:cs="Arial" w:eastAsia="Arial" w:hAnsi="Arial"/>
                <w:sz w:val="14"/>
                <w:szCs w:val="14"/>
                <w:color w:val="auto"/>
              </w:rPr>
              <w:t>approved by security holders</w:t>
            </w:r>
          </w:p>
        </w:tc>
        <w:tc>
          <w:tcPr>
            <w:tcW w:w="2480" w:type="dxa"/>
            <w:vAlign w:val="bottom"/>
            <w:tcBorders>
              <w:right w:val="single" w:sz="8" w:color="2C2C2C"/>
            </w:tcBorders>
          </w:tcPr>
          <w:p>
            <w:pPr>
              <w:spacing w:after="0"/>
              <w:rPr>
                <w:sz w:val="15"/>
                <w:szCs w:val="15"/>
                <w:color w:val="auto"/>
              </w:rPr>
            </w:pPr>
          </w:p>
        </w:tc>
        <w:tc>
          <w:tcPr>
            <w:tcW w:w="3060" w:type="dxa"/>
            <w:vAlign w:val="bottom"/>
            <w:tcBorders>
              <w:right w:val="single" w:sz="8" w:color="2C2C2C"/>
            </w:tcBorders>
          </w:tcPr>
          <w:p>
            <w:pPr>
              <w:spacing w:after="0"/>
              <w:rPr>
                <w:sz w:val="15"/>
                <w:szCs w:val="15"/>
                <w:color w:val="auto"/>
              </w:rPr>
            </w:pPr>
          </w:p>
        </w:tc>
        <w:tc>
          <w:tcPr>
            <w:tcW w:w="3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40" w:type="dxa"/>
            <w:vAlign w:val="bottom"/>
            <w:tcBorders>
              <w:right w:val="single" w:sz="8" w:color="2C2C2C"/>
            </w:tcBorders>
          </w:tcPr>
          <w:p>
            <w:pPr>
              <w:spacing w:after="0"/>
              <w:rPr>
                <w:sz w:val="24"/>
                <w:szCs w:val="24"/>
                <w:color w:val="auto"/>
              </w:rPr>
            </w:pPr>
          </w:p>
        </w:tc>
        <w:tc>
          <w:tcPr>
            <w:tcW w:w="2080" w:type="dxa"/>
            <w:vAlign w:val="bottom"/>
            <w:tcBorders>
              <w:bottom w:val="single" w:sz="8" w:color="2C2C2C"/>
              <w:right w:val="single" w:sz="8" w:color="2C2C2C"/>
            </w:tcBorders>
          </w:tcPr>
          <w:p>
            <w:pPr>
              <w:spacing w:after="0"/>
              <w:rPr>
                <w:sz w:val="24"/>
                <w:szCs w:val="24"/>
                <w:color w:val="auto"/>
              </w:rPr>
            </w:pPr>
          </w:p>
        </w:tc>
        <w:tc>
          <w:tcPr>
            <w:tcW w:w="2480" w:type="dxa"/>
            <w:vAlign w:val="bottom"/>
            <w:tcBorders>
              <w:bottom w:val="single" w:sz="8" w:color="2C2C2C"/>
              <w:right w:val="single" w:sz="8" w:color="2C2C2C"/>
            </w:tcBorders>
          </w:tcPr>
          <w:p>
            <w:pPr>
              <w:jc w:val="center"/>
              <w:spacing w:after="0"/>
              <w:rPr>
                <w:sz w:val="20"/>
                <w:szCs w:val="20"/>
                <w:color w:val="auto"/>
              </w:rPr>
            </w:pPr>
            <w:r>
              <w:rPr>
                <w:rFonts w:ascii="Arial" w:cs="Arial" w:eastAsia="Arial" w:hAnsi="Arial"/>
                <w:sz w:val="14"/>
                <w:szCs w:val="14"/>
                <w:color w:val="auto"/>
                <w:w w:val="91"/>
              </w:rPr>
              <w:t>1,403</w:t>
            </w:r>
          </w:p>
        </w:tc>
        <w:tc>
          <w:tcPr>
            <w:tcW w:w="3060" w:type="dxa"/>
            <w:vAlign w:val="bottom"/>
            <w:tcBorders>
              <w:bottom w:val="single" w:sz="8" w:color="2C2C2C"/>
              <w:right w:val="single" w:sz="8" w:color="2C2C2C"/>
            </w:tcBorders>
          </w:tcPr>
          <w:p>
            <w:pPr>
              <w:jc w:val="center"/>
              <w:spacing w:after="0"/>
              <w:rPr>
                <w:sz w:val="20"/>
                <w:szCs w:val="20"/>
                <w:color w:val="auto"/>
              </w:rPr>
            </w:pPr>
            <w:r>
              <w:rPr>
                <w:rFonts w:ascii="Arial" w:cs="Arial" w:eastAsia="Arial" w:hAnsi="Arial"/>
                <w:sz w:val="14"/>
                <w:szCs w:val="14"/>
                <w:color w:val="auto"/>
                <w:w w:val="91"/>
              </w:rPr>
              <w:t>$9.56</w:t>
            </w:r>
          </w:p>
        </w:tc>
        <w:tc>
          <w:tcPr>
            <w:tcW w:w="37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auto"/>
                <w:w w:val="94"/>
              </w:rPr>
              <w:t>980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0" w:type="dxa"/>
            <w:vAlign w:val="bottom"/>
            <w:tcBorders>
              <w:right w:val="single" w:sz="8" w:color="2C2C2C"/>
            </w:tcBorders>
          </w:tcPr>
          <w:p>
            <w:pPr>
              <w:spacing w:after="0"/>
              <w:rPr>
                <w:sz w:val="8"/>
                <w:szCs w:val="8"/>
                <w:color w:val="auto"/>
              </w:rPr>
            </w:pPr>
          </w:p>
        </w:tc>
        <w:tc>
          <w:tcPr>
            <w:tcW w:w="2080" w:type="dxa"/>
            <w:vAlign w:val="bottom"/>
            <w:tcBorders>
              <w:right w:val="single" w:sz="8" w:color="2C2C2C"/>
            </w:tcBorders>
          </w:tcPr>
          <w:p>
            <w:pPr>
              <w:spacing w:after="0" w:line="102" w:lineRule="exact"/>
              <w:rPr>
                <w:sz w:val="20"/>
                <w:szCs w:val="20"/>
                <w:color w:val="auto"/>
              </w:rPr>
            </w:pPr>
            <w:r>
              <w:rPr>
                <w:rFonts w:ascii="Arial" w:cs="Arial" w:eastAsia="Arial" w:hAnsi="Arial"/>
                <w:sz w:val="11"/>
                <w:szCs w:val="11"/>
                <w:color w:val="auto"/>
              </w:rPr>
              <w:t>Equity compensation plans not</w:t>
            </w:r>
          </w:p>
        </w:tc>
        <w:tc>
          <w:tcPr>
            <w:tcW w:w="2480" w:type="dxa"/>
            <w:vAlign w:val="bottom"/>
            <w:tcBorders>
              <w:right w:val="single" w:sz="8" w:color="2C2C2C"/>
            </w:tcBorders>
          </w:tcPr>
          <w:p>
            <w:pPr>
              <w:spacing w:after="0"/>
              <w:rPr>
                <w:sz w:val="8"/>
                <w:szCs w:val="8"/>
                <w:color w:val="auto"/>
              </w:rPr>
            </w:pPr>
          </w:p>
        </w:tc>
        <w:tc>
          <w:tcPr>
            <w:tcW w:w="3060" w:type="dxa"/>
            <w:vAlign w:val="bottom"/>
            <w:tcBorders>
              <w:right w:val="single" w:sz="8" w:color="2C2C2C"/>
            </w:tcBorders>
          </w:tcPr>
          <w:p>
            <w:pPr>
              <w:spacing w:after="0"/>
              <w:rPr>
                <w:sz w:val="8"/>
                <w:szCs w:val="8"/>
                <w:color w:val="auto"/>
              </w:rPr>
            </w:pPr>
          </w:p>
        </w:tc>
        <w:tc>
          <w:tcPr>
            <w:tcW w:w="3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2C2C2C"/>
            </w:tcBorders>
          </w:tcPr>
          <w:p>
            <w:pPr>
              <w:spacing w:after="0"/>
              <w:rPr>
                <w:sz w:val="15"/>
                <w:szCs w:val="15"/>
                <w:color w:val="auto"/>
              </w:rPr>
            </w:pPr>
          </w:p>
        </w:tc>
        <w:tc>
          <w:tcPr>
            <w:tcW w:w="2080" w:type="dxa"/>
            <w:vAlign w:val="bottom"/>
            <w:tcBorders>
              <w:right w:val="single" w:sz="8" w:color="2C2C2C"/>
            </w:tcBorders>
          </w:tcPr>
          <w:p>
            <w:pPr>
              <w:spacing w:after="0"/>
              <w:rPr>
                <w:sz w:val="20"/>
                <w:szCs w:val="20"/>
                <w:color w:val="auto"/>
              </w:rPr>
            </w:pPr>
            <w:r>
              <w:rPr>
                <w:rFonts w:ascii="Arial" w:cs="Arial" w:eastAsia="Arial" w:hAnsi="Arial"/>
                <w:sz w:val="14"/>
                <w:szCs w:val="14"/>
                <w:color w:val="auto"/>
              </w:rPr>
              <w:t>approved by security holders</w:t>
            </w:r>
          </w:p>
        </w:tc>
        <w:tc>
          <w:tcPr>
            <w:tcW w:w="2480" w:type="dxa"/>
            <w:vAlign w:val="bottom"/>
            <w:tcBorders>
              <w:right w:val="single" w:sz="8" w:color="2C2C2C"/>
            </w:tcBorders>
          </w:tcPr>
          <w:p>
            <w:pPr>
              <w:spacing w:after="0"/>
              <w:rPr>
                <w:sz w:val="15"/>
                <w:szCs w:val="15"/>
                <w:color w:val="auto"/>
              </w:rPr>
            </w:pPr>
          </w:p>
        </w:tc>
        <w:tc>
          <w:tcPr>
            <w:tcW w:w="3060" w:type="dxa"/>
            <w:vAlign w:val="bottom"/>
            <w:tcBorders>
              <w:right w:val="single" w:sz="8" w:color="2C2C2C"/>
            </w:tcBorders>
          </w:tcPr>
          <w:p>
            <w:pPr>
              <w:spacing w:after="0"/>
              <w:rPr>
                <w:sz w:val="15"/>
                <w:szCs w:val="15"/>
                <w:color w:val="auto"/>
              </w:rPr>
            </w:pPr>
          </w:p>
        </w:tc>
        <w:tc>
          <w:tcPr>
            <w:tcW w:w="3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40" w:type="dxa"/>
            <w:vAlign w:val="bottom"/>
            <w:tcBorders>
              <w:right w:val="single" w:sz="8" w:color="2C2C2C"/>
            </w:tcBorders>
          </w:tcPr>
          <w:p>
            <w:pPr>
              <w:spacing w:after="0"/>
              <w:rPr>
                <w:sz w:val="24"/>
                <w:szCs w:val="24"/>
                <w:color w:val="auto"/>
              </w:rPr>
            </w:pPr>
          </w:p>
        </w:tc>
        <w:tc>
          <w:tcPr>
            <w:tcW w:w="2080" w:type="dxa"/>
            <w:vAlign w:val="bottom"/>
            <w:tcBorders>
              <w:bottom w:val="single" w:sz="8" w:color="2C2C2C"/>
              <w:right w:val="single" w:sz="8" w:color="2C2C2C"/>
            </w:tcBorders>
          </w:tcPr>
          <w:p>
            <w:pPr>
              <w:spacing w:after="0"/>
              <w:rPr>
                <w:sz w:val="24"/>
                <w:szCs w:val="24"/>
                <w:color w:val="auto"/>
              </w:rPr>
            </w:pPr>
          </w:p>
        </w:tc>
        <w:tc>
          <w:tcPr>
            <w:tcW w:w="2480" w:type="dxa"/>
            <w:vAlign w:val="bottom"/>
            <w:tcBorders>
              <w:bottom w:val="single" w:sz="8" w:color="2C2C2C"/>
              <w:right w:val="single" w:sz="8" w:color="2C2C2C"/>
            </w:tcBorders>
          </w:tcPr>
          <w:p>
            <w:pPr>
              <w:jc w:val="center"/>
              <w:spacing w:after="0"/>
              <w:rPr>
                <w:sz w:val="20"/>
                <w:szCs w:val="20"/>
                <w:color w:val="auto"/>
              </w:rPr>
            </w:pPr>
            <w:r>
              <w:rPr>
                <w:rFonts w:ascii="Arial" w:cs="Arial" w:eastAsia="Arial" w:hAnsi="Arial"/>
                <w:sz w:val="14"/>
                <w:szCs w:val="14"/>
                <w:color w:val="auto"/>
              </w:rPr>
              <w:t>--</w:t>
            </w:r>
          </w:p>
        </w:tc>
        <w:tc>
          <w:tcPr>
            <w:tcW w:w="3060" w:type="dxa"/>
            <w:vAlign w:val="bottom"/>
            <w:tcBorders>
              <w:bottom w:val="single" w:sz="8" w:color="2C2C2C"/>
              <w:right w:val="single" w:sz="8" w:color="2C2C2C"/>
            </w:tcBorders>
          </w:tcPr>
          <w:p>
            <w:pPr>
              <w:jc w:val="center"/>
              <w:spacing w:after="0"/>
              <w:rPr>
                <w:sz w:val="20"/>
                <w:szCs w:val="20"/>
                <w:color w:val="auto"/>
              </w:rPr>
            </w:pPr>
            <w:r>
              <w:rPr>
                <w:rFonts w:ascii="Arial" w:cs="Arial" w:eastAsia="Arial" w:hAnsi="Arial"/>
                <w:sz w:val="14"/>
                <w:szCs w:val="14"/>
                <w:color w:val="auto"/>
              </w:rPr>
              <w:t>--</w:t>
            </w:r>
          </w:p>
        </w:tc>
        <w:tc>
          <w:tcPr>
            <w:tcW w:w="37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 w:type="dxa"/>
            <w:vAlign w:val="bottom"/>
            <w:tcBorders>
              <w:bottom w:val="single" w:sz="8" w:color="2C2C2C"/>
              <w:right w:val="single" w:sz="8" w:color="2C2C2C"/>
            </w:tcBorders>
          </w:tcPr>
          <w:p>
            <w:pPr>
              <w:spacing w:after="0"/>
              <w:rPr>
                <w:sz w:val="24"/>
                <w:szCs w:val="24"/>
                <w:color w:val="auto"/>
              </w:rPr>
            </w:pPr>
          </w:p>
        </w:tc>
        <w:tc>
          <w:tcPr>
            <w:tcW w:w="2080" w:type="dxa"/>
            <w:vAlign w:val="bottom"/>
            <w:tcBorders>
              <w:bottom w:val="single" w:sz="8" w:color="2C2C2C"/>
              <w:right w:val="single" w:sz="8" w:color="2C2C2C"/>
            </w:tcBorders>
          </w:tcPr>
          <w:p>
            <w:pPr>
              <w:ind w:left="880"/>
              <w:spacing w:after="0"/>
              <w:rPr>
                <w:sz w:val="20"/>
                <w:szCs w:val="20"/>
                <w:color w:val="auto"/>
              </w:rPr>
            </w:pPr>
            <w:r>
              <w:rPr>
                <w:rFonts w:ascii="Arial" w:cs="Arial" w:eastAsia="Arial" w:hAnsi="Arial"/>
                <w:sz w:val="14"/>
                <w:szCs w:val="14"/>
                <w:color w:val="auto"/>
              </w:rPr>
              <w:t>Total</w:t>
            </w:r>
          </w:p>
        </w:tc>
        <w:tc>
          <w:tcPr>
            <w:tcW w:w="2480" w:type="dxa"/>
            <w:vAlign w:val="bottom"/>
            <w:tcBorders>
              <w:bottom w:val="single" w:sz="8" w:color="2C2C2C"/>
              <w:right w:val="single" w:sz="8" w:color="2C2C2C"/>
            </w:tcBorders>
          </w:tcPr>
          <w:p>
            <w:pPr>
              <w:jc w:val="center"/>
              <w:spacing w:after="0"/>
              <w:rPr>
                <w:sz w:val="20"/>
                <w:szCs w:val="20"/>
                <w:color w:val="auto"/>
              </w:rPr>
            </w:pPr>
            <w:r>
              <w:rPr>
                <w:rFonts w:ascii="Arial" w:cs="Arial" w:eastAsia="Arial" w:hAnsi="Arial"/>
                <w:sz w:val="14"/>
                <w:szCs w:val="14"/>
                <w:color w:val="auto"/>
                <w:w w:val="91"/>
              </w:rPr>
              <w:t>1,403</w:t>
            </w:r>
          </w:p>
        </w:tc>
        <w:tc>
          <w:tcPr>
            <w:tcW w:w="3060" w:type="dxa"/>
            <w:vAlign w:val="bottom"/>
            <w:tcBorders>
              <w:bottom w:val="single" w:sz="8" w:color="2C2C2C"/>
              <w:right w:val="single" w:sz="8" w:color="2C2C2C"/>
            </w:tcBorders>
          </w:tcPr>
          <w:p>
            <w:pPr>
              <w:jc w:val="center"/>
              <w:spacing w:after="0"/>
              <w:rPr>
                <w:sz w:val="20"/>
                <w:szCs w:val="20"/>
                <w:color w:val="auto"/>
              </w:rPr>
            </w:pPr>
            <w:r>
              <w:rPr>
                <w:rFonts w:ascii="Arial" w:cs="Arial" w:eastAsia="Arial" w:hAnsi="Arial"/>
                <w:sz w:val="14"/>
                <w:szCs w:val="14"/>
                <w:color w:val="auto"/>
                <w:w w:val="91"/>
              </w:rPr>
              <w:t>$9.56</w:t>
            </w:r>
          </w:p>
        </w:tc>
        <w:tc>
          <w:tcPr>
            <w:tcW w:w="37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auto"/>
                <w:w w:val="94"/>
              </w:rPr>
              <w:t>980</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697"/>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060" w:type="dxa"/>
            <w:vAlign w:val="bottom"/>
          </w:tcPr>
          <w:p>
            <w:pPr>
              <w:jc w:val="right"/>
              <w:ind w:right="1808"/>
              <w:spacing w:after="0"/>
              <w:rPr>
                <w:sz w:val="20"/>
                <w:szCs w:val="20"/>
                <w:color w:val="auto"/>
              </w:rPr>
            </w:pPr>
            <w:r>
              <w:rPr>
                <w:rFonts w:ascii="Arial" w:cs="Arial" w:eastAsia="Arial" w:hAnsi="Arial"/>
                <w:sz w:val="14"/>
                <w:szCs w:val="14"/>
                <w:color w:val="auto"/>
              </w:rPr>
              <w:t>64</w:t>
            </w: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0" w:type="dxa"/>
            <w:vAlign w:val="bottom"/>
            <w:tcBorders>
              <w:bottom w:val="single" w:sz="8" w:color="808080"/>
            </w:tcBorders>
          </w:tcPr>
          <w:p>
            <w:pPr>
              <w:spacing w:after="0"/>
              <w:rPr>
                <w:sz w:val="8"/>
                <w:szCs w:val="8"/>
                <w:color w:val="auto"/>
              </w:rPr>
            </w:pPr>
          </w:p>
        </w:tc>
        <w:tc>
          <w:tcPr>
            <w:tcW w:w="2080" w:type="dxa"/>
            <w:vAlign w:val="bottom"/>
            <w:tcBorders>
              <w:bottom w:val="single" w:sz="8" w:color="808080"/>
            </w:tcBorders>
          </w:tcPr>
          <w:p>
            <w:pPr>
              <w:spacing w:after="0"/>
              <w:rPr>
                <w:sz w:val="8"/>
                <w:szCs w:val="8"/>
                <w:color w:val="auto"/>
              </w:rPr>
            </w:pPr>
          </w:p>
        </w:tc>
        <w:tc>
          <w:tcPr>
            <w:tcW w:w="2480" w:type="dxa"/>
            <w:vAlign w:val="bottom"/>
            <w:tcBorders>
              <w:bottom w:val="single" w:sz="8" w:color="808080"/>
            </w:tcBorders>
          </w:tcPr>
          <w:p>
            <w:pPr>
              <w:spacing w:after="0"/>
              <w:rPr>
                <w:sz w:val="8"/>
                <w:szCs w:val="8"/>
                <w:color w:val="auto"/>
              </w:rPr>
            </w:pPr>
          </w:p>
        </w:tc>
        <w:tc>
          <w:tcPr>
            <w:tcW w:w="3060" w:type="dxa"/>
            <w:vAlign w:val="bottom"/>
            <w:tcBorders>
              <w:bottom w:val="single" w:sz="8" w:color="808080"/>
            </w:tcBorders>
          </w:tcPr>
          <w:p>
            <w:pPr>
              <w:spacing w:after="0"/>
              <w:rPr>
                <w:sz w:val="8"/>
                <w:szCs w:val="8"/>
                <w:color w:val="auto"/>
              </w:rPr>
            </w:pPr>
          </w:p>
        </w:tc>
        <w:tc>
          <w:tcPr>
            <w:tcW w:w="37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00" w:lineRule="exact"/>
        <w:rPr>
          <w:sz w:val="20"/>
          <w:szCs w:val="20"/>
          <w:color w:val="auto"/>
        </w:rPr>
      </w:pPr>
    </w:p>
    <w:p>
      <w:pPr>
        <w:spacing w:after="0" w:line="35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Information required by this item of Form 10-K concerning the Company’s Accounting’ Fees and Services is contained in the section entitled “Fees Paid to Independent Registered Public Accounting Firm” of the Company’s definitive Proxy Statement and, in accordance with General Instruction G to Form 10-K, is hereby incorporated herein by reference.</w:t>
      </w:r>
    </w:p>
    <w:p>
      <w:pPr>
        <w:spacing w:after="0" w:line="200" w:lineRule="exact"/>
        <w:rPr>
          <w:sz w:val="20"/>
          <w:szCs w:val="20"/>
          <w:color w:val="auto"/>
        </w:rPr>
      </w:pPr>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83"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760" w:hanging="428"/>
        <w:spacing w:after="0"/>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3"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The financial statements of the Company filed as part of this Annual Report on Form 10-K begins on the following pages hereof:</w:t>
      </w:r>
    </w:p>
    <w:p>
      <w:pPr>
        <w:sectPr>
          <w:pgSz w:w="11900" w:h="16838" w:orient="portrait"/>
          <w:cols w:equalWidth="0" w:num="1">
            <w:col w:w="11320"/>
          </w:cols>
          <w:pgMar w:left="240" w:top="405"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1440" w:right="1140" w:firstLine="54"/>
        <w:spacing w:after="0" w:line="254" w:lineRule="auto"/>
        <w:rPr>
          <w:sz w:val="20"/>
          <w:szCs w:val="20"/>
          <w:color w:val="auto"/>
        </w:rPr>
      </w:pPr>
      <w:r>
        <w:rPr>
          <w:rFonts w:ascii="Arial" w:cs="Arial" w:eastAsia="Arial" w:hAnsi="Arial"/>
          <w:sz w:val="18"/>
          <w:szCs w:val="18"/>
          <w:color w:val="auto"/>
        </w:rPr>
        <w:t>Report of Independent Registered Public Accounting Firm for the years ended December 31, 2005,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-289560</wp:posOffset>
            </wp:positionV>
            <wp:extent cx="5428615" cy="291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28615" cy="291465"/>
                    </a:xfrm>
                    <a:prstGeom prst="rect">
                      <a:avLst/>
                    </a:prstGeom>
                    <a:noFill/>
                  </pic:spPr>
                </pic:pic>
              </a:graphicData>
            </a:graphic>
          </wp:anchor>
        </w:drawing>
      </w:r>
    </w:p>
    <w:p>
      <w:pPr>
        <w:ind w:left="1440" w:right="2260" w:firstLine="45"/>
        <w:spacing w:after="0" w:line="251" w:lineRule="auto"/>
        <w:rPr>
          <w:sz w:val="20"/>
          <w:szCs w:val="20"/>
          <w:color w:val="auto"/>
        </w:rPr>
      </w:pPr>
      <w:r>
        <w:rPr>
          <w:rFonts w:ascii="Arial" w:cs="Arial" w:eastAsia="Arial" w:hAnsi="Arial"/>
          <w:sz w:val="18"/>
          <w:szCs w:val="18"/>
          <w:color w:val="auto"/>
        </w:rPr>
        <w:t>Consolidated Balance Sheets at December 31, 2005 and 2004 Consolidated Statements of Income and Comprehensive Income for the years ended December 31, 2005,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-273050</wp:posOffset>
            </wp:positionV>
            <wp:extent cx="5428615" cy="274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428615" cy="274320"/>
                    </a:xfrm>
                    <a:prstGeom prst="rect">
                      <a:avLst/>
                    </a:prstGeom>
                    <a:noFill/>
                  </pic:spPr>
                </pic:pic>
              </a:graphicData>
            </a:graphic>
          </wp:anchor>
        </w:drawing>
      </w:r>
    </w:p>
    <w:p>
      <w:pPr>
        <w:ind w:left="1440" w:right="1640"/>
        <w:spacing w:after="0" w:line="250" w:lineRule="auto"/>
        <w:rPr>
          <w:sz w:val="20"/>
          <w:szCs w:val="20"/>
          <w:color w:val="auto"/>
        </w:rPr>
      </w:pPr>
      <w:r>
        <w:rPr>
          <w:rFonts w:ascii="Arial" w:cs="Arial" w:eastAsia="Arial" w:hAnsi="Arial"/>
          <w:sz w:val="18"/>
          <w:szCs w:val="18"/>
          <w:color w:val="auto"/>
        </w:rPr>
        <w:t>Consolidated Statements of Changes in Stockholders’ Equity for the years ended December 31, 2005, 2004 and 2003</w:t>
      </w:r>
    </w:p>
    <w:p>
      <w:pPr>
        <w:spacing w:after="0" w:line="1" w:lineRule="exact"/>
        <w:rPr>
          <w:sz w:val="20"/>
          <w:szCs w:val="20"/>
          <w:color w:val="auto"/>
        </w:rPr>
      </w:pPr>
    </w:p>
    <w:p>
      <w:pPr>
        <w:ind w:left="1440" w:right="1260"/>
        <w:spacing w:after="0" w:line="250" w:lineRule="auto"/>
        <w:rPr>
          <w:sz w:val="20"/>
          <w:szCs w:val="20"/>
          <w:color w:val="auto"/>
        </w:rPr>
      </w:pPr>
      <w:r>
        <w:rPr>
          <w:rFonts w:ascii="Arial" w:cs="Arial" w:eastAsia="Arial" w:hAnsi="Arial"/>
          <w:sz w:val="18"/>
          <w:szCs w:val="18"/>
          <w:color w:val="auto"/>
        </w:rPr>
        <w:t>Consolidated Statements of Cash Flows for the years ended December 31, 2005,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-273050</wp:posOffset>
            </wp:positionV>
            <wp:extent cx="5428615" cy="274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28615" cy="2743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Financial Statement Schedules</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Page</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30</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32</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33</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34</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35</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36</w:t>
      </w:r>
    </w:p>
    <w:p>
      <w:pPr>
        <w:spacing w:after="0" w:line="655" w:lineRule="exact"/>
        <w:rPr>
          <w:sz w:val="20"/>
          <w:szCs w:val="20"/>
          <w:color w:val="auto"/>
        </w:rPr>
      </w:pPr>
    </w:p>
    <w:p>
      <w:pPr>
        <w:sectPr>
          <w:pgSz w:w="11900" w:h="16838" w:orient="portrait"/>
          <w:cols w:equalWidth="0" w:num="2">
            <w:col w:w="8900" w:space="720"/>
            <w:col w:w="1700"/>
          </w:cols>
          <w:pgMar w:left="240" w:top="405" w:right="339" w:bottom="1440" w:gutter="0" w:footer="0" w:header="0"/>
          <w:type w:val="continuous"/>
        </w:sectPr>
      </w:pP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ind w:left="520" w:hanging="188"/>
        <w:spacing w:after="0"/>
        <w:tabs>
          <w:tab w:leader="none" w:pos="5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See Index to Exhibits (attached hereto)</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Exhibits: See Index to Exhibits (attached hereto).</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will provide without charge to any person, upon the written request of such person, a copy of any of the Exhibits to this Form 10-K.</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(c) 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05" w:right="3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660" w:type="dxa"/>
            <w:vAlign w:val="bottom"/>
            <w:gridSpan w:val="3"/>
          </w:tcPr>
          <w:p>
            <w:pPr>
              <w:spacing w:after="0"/>
              <w:rPr>
                <w:sz w:val="20"/>
                <w:szCs w:val="20"/>
                <w:color w:val="auto"/>
              </w:rPr>
            </w:pPr>
            <w:r>
              <w:rPr>
                <w:rFonts w:ascii="Arial" w:cs="Arial" w:eastAsia="Arial" w:hAnsi="Arial"/>
                <w:sz w:val="18"/>
                <w:szCs w:val="18"/>
                <w:color w:val="auto"/>
              </w:rPr>
              <w:t>Dated: March 15, 2006</w:t>
            </w:r>
          </w:p>
        </w:tc>
        <w:tc>
          <w:tcPr>
            <w:tcW w:w="4980" w:type="dxa"/>
            <w:vAlign w:val="bottom"/>
            <w:gridSpan w:val="3"/>
          </w:tcPr>
          <w:p>
            <w:pPr>
              <w:ind w:left="2000"/>
              <w:spacing w:after="0"/>
              <w:rPr>
                <w:sz w:val="20"/>
                <w:szCs w:val="20"/>
                <w:color w:val="auto"/>
              </w:rPr>
            </w:pPr>
            <w:r>
              <w:rPr>
                <w:rFonts w:ascii="Arial" w:cs="Arial" w:eastAsia="Arial" w:hAnsi="Arial"/>
                <w:sz w:val="18"/>
                <w:szCs w:val="18"/>
                <w:color w:val="auto"/>
              </w:rPr>
              <w:t>By: /S/ RODERICK R. BATY______</w:t>
            </w:r>
          </w:p>
        </w:tc>
      </w:tr>
      <w:tr>
        <w:trPr>
          <w:trHeight w:val="20"/>
        </w:trPr>
        <w:tc>
          <w:tcPr>
            <w:tcW w:w="520" w:type="dxa"/>
            <w:vAlign w:val="bottom"/>
          </w:tcPr>
          <w:p>
            <w:pPr>
              <w:spacing w:after="0" w:line="20" w:lineRule="exact"/>
              <w:rPr>
                <w:sz w:val="1"/>
                <w:szCs w:val="1"/>
                <w:color w:val="auto"/>
              </w:rPr>
            </w:pPr>
          </w:p>
        </w:tc>
        <w:tc>
          <w:tcPr>
            <w:tcW w:w="1140" w:type="dxa"/>
            <w:vAlign w:val="bottom"/>
            <w:tcBorders>
              <w:bottom w:val="single" w:sz="8" w:color="auto"/>
            </w:tcBorders>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6"/>
        </w:trPr>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980" w:type="dxa"/>
            <w:vAlign w:val="bottom"/>
            <w:gridSpan w:val="3"/>
          </w:tcPr>
          <w:p>
            <w:pPr>
              <w:ind w:left="2240"/>
              <w:spacing w:after="0"/>
              <w:rPr>
                <w:sz w:val="20"/>
                <w:szCs w:val="20"/>
                <w:color w:val="auto"/>
              </w:rPr>
            </w:pPr>
            <w:r>
              <w:rPr>
                <w:rFonts w:ascii="Arial" w:cs="Arial" w:eastAsia="Arial" w:hAnsi="Arial"/>
                <w:sz w:val="18"/>
                <w:szCs w:val="18"/>
                <w:color w:val="auto"/>
              </w:rPr>
              <w:t>Roderick R. Baty</w:t>
            </w:r>
          </w:p>
        </w:tc>
      </w:tr>
      <w:tr>
        <w:trPr>
          <w:trHeight w:val="216"/>
        </w:trPr>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980" w:type="dxa"/>
            <w:vAlign w:val="bottom"/>
            <w:gridSpan w:val="3"/>
          </w:tcPr>
          <w:p>
            <w:pPr>
              <w:ind w:left="2240"/>
              <w:spacing w:after="0"/>
              <w:rPr>
                <w:sz w:val="20"/>
                <w:szCs w:val="20"/>
                <w:color w:val="auto"/>
              </w:rPr>
            </w:pPr>
            <w:r>
              <w:rPr>
                <w:rFonts w:ascii="Arial" w:cs="Arial" w:eastAsia="Arial" w:hAnsi="Arial"/>
                <w:sz w:val="18"/>
                <w:szCs w:val="18"/>
                <w:i w:val="1"/>
                <w:iCs w:val="1"/>
                <w:color w:val="auto"/>
              </w:rPr>
              <w:t>Chairman of the Board,</w:t>
            </w:r>
          </w:p>
        </w:tc>
      </w:tr>
      <w:tr>
        <w:trPr>
          <w:trHeight w:val="230"/>
        </w:trPr>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980" w:type="dxa"/>
            <w:vAlign w:val="bottom"/>
            <w:gridSpan w:val="3"/>
          </w:tcPr>
          <w:p>
            <w:pPr>
              <w:ind w:left="2240"/>
              <w:spacing w:after="0"/>
              <w:rPr>
                <w:sz w:val="20"/>
                <w:szCs w:val="20"/>
                <w:color w:val="auto"/>
              </w:rPr>
            </w:pPr>
            <w:r>
              <w:rPr>
                <w:rFonts w:ascii="Arial" w:cs="Arial" w:eastAsia="Arial" w:hAnsi="Arial"/>
                <w:sz w:val="18"/>
                <w:szCs w:val="18"/>
                <w:i w:val="1"/>
                <w:iCs w:val="1"/>
                <w:color w:val="auto"/>
                <w:w w:val="90"/>
              </w:rPr>
              <w:t>Chief Executive Officer and President</w:t>
            </w:r>
          </w:p>
        </w:tc>
      </w:tr>
    </w:tbl>
    <w:p>
      <w:pPr>
        <w:spacing w:after="0" w:line="200" w:lineRule="exact"/>
        <w:rPr>
          <w:sz w:val="20"/>
          <w:szCs w:val="20"/>
          <w:color w:val="auto"/>
        </w:rPr>
      </w:pPr>
    </w:p>
    <w:p>
      <w:pPr>
        <w:spacing w:after="0" w:line="32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1420"/>
          </w:cols>
          <w:pgMar w:left="240" w:top="634" w:right="239" w:bottom="1440" w:gutter="0" w:footer="0" w:header="0"/>
        </w:sectPr>
      </w:pPr>
    </w:p>
    <w:p>
      <w:pPr>
        <w:spacing w:after="0" w:line="220" w:lineRule="exact"/>
        <w:rPr>
          <w:sz w:val="20"/>
          <w:szCs w:val="20"/>
          <w:color w:val="auto"/>
        </w:rPr>
      </w:pPr>
    </w:p>
    <w:p>
      <w:pPr>
        <w:jc w:val="center"/>
        <w:ind w:left="740"/>
        <w:spacing w:after="0"/>
        <w:rPr>
          <w:sz w:val="20"/>
          <w:szCs w:val="20"/>
          <w:color w:val="auto"/>
        </w:rPr>
      </w:pPr>
      <w:r>
        <w:rPr>
          <w:rFonts w:ascii="Arial" w:cs="Arial" w:eastAsia="Arial" w:hAnsi="Arial"/>
          <w:sz w:val="18"/>
          <w:szCs w:val="18"/>
          <w:b w:val="1"/>
          <w:bCs w:val="1"/>
          <w:color w:val="auto"/>
        </w:rPr>
        <w:t>Name and Signature</w:t>
      </w:r>
    </w:p>
    <w:p>
      <w:pPr>
        <w:spacing w:after="0" w:line="283"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/s/ RODERICK R. BATY</w:t>
      </w:r>
    </w:p>
    <w:p>
      <w:pPr>
        <w:spacing w:after="0" w:line="23"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155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58"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/s/ JAMES H. DORTON</w:t>
      </w:r>
    </w:p>
    <w:p>
      <w:pPr>
        <w:spacing w:after="0" w:line="23"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155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58" w:lineRule="exact"/>
        <w:rPr>
          <w:sz w:val="20"/>
          <w:szCs w:val="20"/>
          <w:color w:val="auto"/>
        </w:rPr>
      </w:pPr>
    </w:p>
    <w:p>
      <w:pPr>
        <w:jc w:val="center"/>
        <w:ind w:left="740"/>
        <w:spacing w:after="0"/>
        <w:rPr>
          <w:sz w:val="20"/>
          <w:szCs w:val="20"/>
          <w:color w:val="auto"/>
        </w:rPr>
      </w:pPr>
      <w:r>
        <w:rPr>
          <w:rFonts w:ascii="Arial" w:cs="Arial" w:eastAsia="Arial" w:hAnsi="Arial"/>
          <w:sz w:val="17"/>
          <w:szCs w:val="17"/>
          <w:color w:val="auto"/>
        </w:rPr>
        <w:t>/s/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6155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41"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William C. Kelly, Jr.</w:t>
      </w:r>
    </w:p>
    <w:p>
      <w:pPr>
        <w:spacing w:after="0" w:line="252"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/s/ G. RONALD MORRIS</w:t>
      </w:r>
    </w:p>
    <w:p>
      <w:pPr>
        <w:spacing w:after="0" w:line="23"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G. Ronald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155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31"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/s/ MICHAEL E. WERNER</w:t>
      </w:r>
    </w:p>
    <w:p>
      <w:pPr>
        <w:spacing w:after="0" w:line="23"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Michael E. Werner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155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31" w:lineRule="exact"/>
        <w:rPr>
          <w:sz w:val="20"/>
          <w:szCs w:val="20"/>
          <w:color w:val="auto"/>
        </w:rPr>
      </w:pPr>
    </w:p>
    <w:p>
      <w:pPr>
        <w:jc w:val="center"/>
        <w:ind w:left="740"/>
        <w:spacing w:after="0"/>
        <w:rPr>
          <w:sz w:val="20"/>
          <w:szCs w:val="20"/>
          <w:color w:val="auto"/>
        </w:rPr>
      </w:pPr>
      <w:r>
        <w:rPr>
          <w:rFonts w:ascii="Arial" w:cs="Arial" w:eastAsia="Arial" w:hAnsi="Arial"/>
          <w:sz w:val="17"/>
          <w:szCs w:val="17"/>
          <w:color w:val="auto"/>
        </w:rPr>
        <w:t>/s/ STEVEN T. WARSHAW</w:t>
      </w:r>
    </w:p>
    <w:p>
      <w:pPr>
        <w:spacing w:after="0" w:line="35"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Steven T. Warshaw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155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31"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/s/RICHARD G. FANELLI</w:t>
      </w:r>
    </w:p>
    <w:p>
      <w:pPr>
        <w:spacing w:after="0" w:line="23"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Richard G. Fanelli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155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31" w:lineRule="exact"/>
        <w:rPr>
          <w:sz w:val="20"/>
          <w:szCs w:val="20"/>
          <w:color w:val="auto"/>
        </w:rPr>
      </w:pPr>
    </w:p>
    <w:p>
      <w:pPr>
        <w:jc w:val="center"/>
        <w:ind w:left="740"/>
        <w:spacing w:after="0"/>
        <w:rPr>
          <w:sz w:val="20"/>
          <w:szCs w:val="20"/>
          <w:color w:val="auto"/>
        </w:rPr>
      </w:pPr>
      <w:r>
        <w:rPr>
          <w:rFonts w:ascii="Arial" w:cs="Arial" w:eastAsia="Arial" w:hAnsi="Arial"/>
          <w:sz w:val="17"/>
          <w:szCs w:val="17"/>
          <w:color w:val="auto"/>
        </w:rPr>
        <w:t>/s/ ROBERT M. AIKEN, JR.</w:t>
      </w:r>
    </w:p>
    <w:p>
      <w:pPr>
        <w:spacing w:after="0" w:line="35"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Robert M. Aiken,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155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1660"/>
              <w:spacing w:after="0"/>
              <w:rPr>
                <w:sz w:val="20"/>
                <w:szCs w:val="20"/>
                <w:color w:val="auto"/>
              </w:rPr>
            </w:pPr>
            <w:r>
              <w:rPr>
                <w:rFonts w:ascii="Arial" w:cs="Arial" w:eastAsia="Arial" w:hAnsi="Arial"/>
                <w:sz w:val="18"/>
                <w:szCs w:val="18"/>
                <w:b w:val="1"/>
                <w:bCs w:val="1"/>
                <w:color w:val="auto"/>
              </w:rPr>
              <w:t>Title</w:t>
            </w:r>
          </w:p>
        </w:tc>
        <w:tc>
          <w:tcPr>
            <w:tcW w:w="3640" w:type="dxa"/>
            <w:vAlign w:val="bottom"/>
          </w:tcPr>
          <w:p>
            <w:pPr>
              <w:ind w:left="164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486"/>
        </w:trPr>
        <w:tc>
          <w:tcPr>
            <w:tcW w:w="3660" w:type="dxa"/>
            <w:vAlign w:val="bottom"/>
          </w:tcPr>
          <w:p>
            <w:pPr>
              <w:spacing w:after="0"/>
              <w:rPr>
                <w:sz w:val="20"/>
                <w:szCs w:val="20"/>
                <w:color w:val="auto"/>
              </w:rPr>
            </w:pPr>
            <w:r>
              <w:rPr>
                <w:rFonts w:ascii="Arial" w:cs="Arial" w:eastAsia="Arial" w:hAnsi="Arial"/>
                <w:sz w:val="18"/>
                <w:szCs w:val="18"/>
                <w:color w:val="auto"/>
                <w:w w:val="97"/>
              </w:rPr>
              <w:t>Chairman of the Board, Chief Executive Officer</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15, 2006</w:t>
            </w:r>
          </w:p>
        </w:tc>
        <w:tc>
          <w:tcPr>
            <w:tcW w:w="0" w:type="dxa"/>
            <w:vAlign w:val="bottom"/>
          </w:tcPr>
          <w:p>
            <w:pPr>
              <w:spacing w:after="0"/>
              <w:rPr>
                <w:sz w:val="1"/>
                <w:szCs w:val="1"/>
                <w:color w:val="auto"/>
              </w:rPr>
            </w:pPr>
          </w:p>
        </w:tc>
      </w:tr>
      <w:tr>
        <w:trPr>
          <w:trHeight w:val="210"/>
        </w:trPr>
        <w:tc>
          <w:tcPr>
            <w:tcW w:w="3660" w:type="dxa"/>
            <w:vAlign w:val="bottom"/>
          </w:tcPr>
          <w:p>
            <w:pPr>
              <w:ind w:left="160"/>
              <w:spacing w:after="0"/>
              <w:rPr>
                <w:sz w:val="20"/>
                <w:szCs w:val="20"/>
                <w:color w:val="auto"/>
              </w:rPr>
            </w:pPr>
            <w:r>
              <w:rPr>
                <w:rFonts w:ascii="Arial" w:cs="Arial" w:eastAsia="Arial" w:hAnsi="Arial"/>
                <w:sz w:val="18"/>
                <w:szCs w:val="18"/>
                <w:color w:val="auto"/>
              </w:rPr>
              <w:t>and President</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5"/>
        </w:trPr>
        <w:tc>
          <w:tcPr>
            <w:tcW w:w="7300" w:type="dxa"/>
            <w:vAlign w:val="bottom"/>
            <w:gridSpan w:val="2"/>
          </w:tcPr>
          <w:p>
            <w:pPr>
              <w:spacing w:after="0"/>
              <w:rPr>
                <w:sz w:val="20"/>
                <w:szCs w:val="20"/>
                <w:color w:val="auto"/>
              </w:rPr>
            </w:pPr>
            <w:r>
              <w:rPr>
                <w:rFonts w:ascii="Arial" w:cs="Arial" w:eastAsia="Arial" w:hAnsi="Arial"/>
                <w:sz w:val="18"/>
                <w:szCs w:val="18"/>
                <w:color w:val="auto"/>
              </w:rPr>
              <w:t>Vice President-Corporate Development and Chief March 15, 2006</w:t>
            </w:r>
          </w:p>
        </w:tc>
        <w:tc>
          <w:tcPr>
            <w:tcW w:w="0" w:type="dxa"/>
            <w:vAlign w:val="bottom"/>
          </w:tcPr>
          <w:p>
            <w:pPr>
              <w:spacing w:after="0"/>
              <w:rPr>
                <w:sz w:val="1"/>
                <w:szCs w:val="1"/>
                <w:color w:val="auto"/>
              </w:rPr>
            </w:pPr>
          </w:p>
        </w:tc>
      </w:tr>
      <w:tr>
        <w:trPr>
          <w:trHeight w:val="210"/>
        </w:trPr>
        <w:tc>
          <w:tcPr>
            <w:tcW w:w="3660" w:type="dxa"/>
            <w:vAlign w:val="bottom"/>
          </w:tcPr>
          <w:p>
            <w:pPr>
              <w:ind w:left="160"/>
              <w:spacing w:after="0"/>
              <w:rPr>
                <w:sz w:val="20"/>
                <w:szCs w:val="20"/>
                <w:color w:val="auto"/>
              </w:rPr>
            </w:pPr>
            <w:r>
              <w:rPr>
                <w:rFonts w:ascii="Arial" w:cs="Arial" w:eastAsia="Arial" w:hAnsi="Arial"/>
                <w:sz w:val="18"/>
                <w:szCs w:val="18"/>
                <w:color w:val="auto"/>
              </w:rPr>
              <w:t>Financial Officer</w:t>
            </w:r>
          </w:p>
        </w:tc>
        <w:tc>
          <w:tcPr>
            <w:tcW w:w="364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March 15, 2006</w:t>
            </w:r>
          </w:p>
        </w:tc>
        <w:tc>
          <w:tcPr>
            <w:tcW w:w="0" w:type="dxa"/>
            <w:vAlign w:val="bottom"/>
          </w:tcPr>
          <w:p>
            <w:pPr>
              <w:spacing w:after="0"/>
              <w:rPr>
                <w:sz w:val="1"/>
                <w:szCs w:val="1"/>
                <w:color w:val="auto"/>
              </w:rPr>
            </w:pPr>
          </w:p>
        </w:tc>
      </w:tr>
      <w:tr>
        <w:trPr>
          <w:trHeight w:val="490"/>
        </w:trPr>
        <w:tc>
          <w:tcPr>
            <w:tcW w:w="3660" w:type="dxa"/>
            <w:vAlign w:val="bottom"/>
          </w:tcPr>
          <w:p>
            <w:pPr>
              <w:spacing w:after="0"/>
              <w:rPr>
                <w:sz w:val="20"/>
                <w:szCs w:val="20"/>
                <w:color w:val="auto"/>
              </w:rPr>
            </w:pPr>
            <w:r>
              <w:rPr>
                <w:rFonts w:ascii="Arial" w:cs="Arial" w:eastAsia="Arial" w:hAnsi="Arial"/>
                <w:sz w:val="18"/>
                <w:szCs w:val="18"/>
                <w:color w:val="auto"/>
              </w:rPr>
              <w:t>Vice President-Chief Administrative Officer,</w:t>
            </w:r>
          </w:p>
        </w:tc>
        <w:tc>
          <w:tcPr>
            <w:tcW w:w="36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8"/>
                <w:szCs w:val="18"/>
                <w:color w:val="auto"/>
              </w:rPr>
              <w:t>Secretary and Treasurer</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3"/>
        </w:trPr>
        <w:tc>
          <w:tcPr>
            <w:tcW w:w="3660" w:type="dxa"/>
            <w:vAlign w:val="bottom"/>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March 15, 2006</w:t>
            </w: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61"/>
        </w:trPr>
        <w:tc>
          <w:tcPr>
            <w:tcW w:w="3660" w:type="dxa"/>
            <w:vAlign w:val="bottom"/>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March 15, 2006</w:t>
            </w: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61"/>
        </w:trPr>
        <w:tc>
          <w:tcPr>
            <w:tcW w:w="3660" w:type="dxa"/>
            <w:vAlign w:val="bottom"/>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March 15, 2006</w:t>
            </w: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61"/>
        </w:trPr>
        <w:tc>
          <w:tcPr>
            <w:tcW w:w="3660" w:type="dxa"/>
            <w:vAlign w:val="bottom"/>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March 15, 2006</w:t>
            </w: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61"/>
        </w:trPr>
        <w:tc>
          <w:tcPr>
            <w:tcW w:w="3660" w:type="dxa"/>
            <w:vAlign w:val="bottom"/>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March 15, 2006</w:t>
            </w: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400" w:space="720"/>
            <w:col w:w="7300"/>
          </w:cols>
          <w:pgMar w:left="240" w:top="634" w:right="2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Index to Exhibits</w:t>
      </w:r>
    </w:p>
    <w:p>
      <w:pPr>
        <w:spacing w:after="0" w:line="83" w:lineRule="exact"/>
        <w:rPr>
          <w:sz w:val="20"/>
          <w:szCs w:val="20"/>
          <w:color w:val="auto"/>
        </w:rPr>
      </w:pPr>
    </w:p>
    <w:p>
      <w:pPr>
        <w:ind w:left="1580" w:hanging="238"/>
        <w:spacing w:after="0" w:line="269" w:lineRule="auto"/>
        <w:rPr>
          <w:sz w:val="20"/>
          <w:szCs w:val="20"/>
          <w:color w:val="auto"/>
        </w:rPr>
      </w:pPr>
      <w:r>
        <w:rPr>
          <w:rFonts w:ascii="Arial" w:cs="Arial" w:eastAsia="Arial" w:hAnsi="Arial"/>
          <w:sz w:val="36"/>
          <w:szCs w:val="36"/>
          <w:color w:val="auto"/>
          <w:vertAlign w:val="subscript"/>
        </w:rPr>
        <w:t>2.1</w:t>
      </w:r>
      <w:r>
        <w:rPr>
          <w:rFonts w:ascii="Arial" w:cs="Arial" w:eastAsia="Arial" w:hAnsi="Arial"/>
          <w:sz w:val="18"/>
          <w:szCs w:val="18"/>
          <w:color w:val="auto"/>
        </w:rPr>
        <w:t>Asset Purchase Agreement dated April 14, 2003 among SKF Holding Maatschappij Holland B.V., SKF B.V., NN, Inc. and NN Netherlands B.V. (incorporated by reference to Exhibit 2.1 of Form 8-K filed on May 16, 2003).</w:t>
      </w:r>
    </w:p>
    <w:p>
      <w:pPr>
        <w:spacing w:after="0" w:line="260" w:lineRule="exact"/>
        <w:rPr>
          <w:sz w:val="20"/>
          <w:szCs w:val="20"/>
          <w:color w:val="auto"/>
        </w:rPr>
      </w:pPr>
    </w:p>
    <w:p>
      <w:pPr>
        <w:ind w:left="1540" w:right="20" w:hanging="224"/>
        <w:spacing w:after="0" w:line="277" w:lineRule="auto"/>
        <w:rPr>
          <w:sz w:val="20"/>
          <w:szCs w:val="20"/>
          <w:color w:val="auto"/>
        </w:rPr>
      </w:pPr>
      <w:r>
        <w:rPr>
          <w:rFonts w:ascii="Arial" w:cs="Arial" w:eastAsia="Arial" w:hAnsi="Arial"/>
          <w:sz w:val="18"/>
          <w:szCs w:val="18"/>
          <w:color w:val="auto"/>
        </w:rPr>
        <w:t>3.1Restated Certificate of Incorporation of the Company (incorporated by reference to Exhibit 3.1 of the Company’s Registration Statement No. 333-89950 on Form S-3 filed June 6, 2002)</w:t>
      </w:r>
    </w:p>
    <w:p>
      <w:pPr>
        <w:spacing w:after="0" w:line="224" w:lineRule="exact"/>
        <w:rPr>
          <w:sz w:val="20"/>
          <w:szCs w:val="20"/>
          <w:color w:val="auto"/>
        </w:rPr>
      </w:pPr>
    </w:p>
    <w:p>
      <w:pPr>
        <w:ind w:left="1540" w:right="200" w:hanging="224"/>
        <w:spacing w:after="0" w:line="277" w:lineRule="auto"/>
        <w:rPr>
          <w:sz w:val="20"/>
          <w:szCs w:val="20"/>
          <w:color w:val="auto"/>
        </w:rPr>
      </w:pPr>
      <w:r>
        <w:rPr>
          <w:rFonts w:ascii="Arial" w:cs="Arial" w:eastAsia="Arial" w:hAnsi="Arial"/>
          <w:sz w:val="18"/>
          <w:szCs w:val="18"/>
          <w:color w:val="auto"/>
        </w:rPr>
        <w:t>3.2Restated By-Laws of the Company (incorporated by reference to Exhibit 3.2 of the Company’s Registration Statement No. 333-89950 on Form S-3 filed June 6, 2002)</w:t>
      </w:r>
    </w:p>
    <w:p>
      <w:pPr>
        <w:spacing w:after="0" w:line="224" w:lineRule="exact"/>
        <w:rPr>
          <w:sz w:val="20"/>
          <w:szCs w:val="20"/>
          <w:color w:val="auto"/>
        </w:rPr>
      </w:pPr>
    </w:p>
    <w:p>
      <w:pPr>
        <w:ind w:left="1660" w:right="300" w:hanging="224"/>
        <w:spacing w:after="0" w:line="277" w:lineRule="auto"/>
        <w:rPr>
          <w:sz w:val="20"/>
          <w:szCs w:val="20"/>
          <w:color w:val="auto"/>
        </w:rPr>
      </w:pPr>
      <w:r>
        <w:rPr>
          <w:rFonts w:ascii="Arial" w:cs="Arial" w:eastAsia="Arial" w:hAnsi="Arial"/>
          <w:sz w:val="18"/>
          <w:szCs w:val="18"/>
          <w:color w:val="auto"/>
        </w:rPr>
        <w:t>4.1The specimen stock certificate representing the Company’s Common Stock, par value $0.01 per share (incorporated by reference to Exhibit 4.1 of the Company’s Registration Statement No. 333-89950 on Form S-3 filed June 6, 2002)</w:t>
      </w:r>
    </w:p>
    <w:p>
      <w:pPr>
        <w:spacing w:after="0" w:line="224" w:lineRule="exact"/>
        <w:rPr>
          <w:sz w:val="20"/>
          <w:szCs w:val="20"/>
          <w:color w:val="auto"/>
        </w:rPr>
      </w:pPr>
    </w:p>
    <w:p>
      <w:pPr>
        <w:ind w:left="1540" w:right="460" w:hanging="224"/>
        <w:spacing w:after="0" w:line="277" w:lineRule="auto"/>
        <w:rPr>
          <w:sz w:val="20"/>
          <w:szCs w:val="20"/>
          <w:color w:val="auto"/>
        </w:rPr>
      </w:pPr>
      <w:r>
        <w:rPr>
          <w:rFonts w:ascii="Arial" w:cs="Arial" w:eastAsia="Arial" w:hAnsi="Arial"/>
          <w:sz w:val="18"/>
          <w:szCs w:val="18"/>
          <w:color w:val="auto"/>
        </w:rPr>
        <w:t>4.2Article IV, Article V (Sections 3 through 6), Article VI (Section 2) and Article VII (Sections 1 and 3) of the Restated Certificate of Incorporation of the Company (included in Exhibit 3.1)</w:t>
      </w:r>
    </w:p>
    <w:p>
      <w:pPr>
        <w:spacing w:after="0" w:line="224" w:lineRule="exact"/>
        <w:rPr>
          <w:sz w:val="20"/>
          <w:szCs w:val="20"/>
          <w:color w:val="auto"/>
        </w:rPr>
      </w:pPr>
    </w:p>
    <w:p>
      <w:pPr>
        <w:ind w:left="1540" w:right="480" w:hanging="224"/>
        <w:spacing w:after="0" w:line="277" w:lineRule="auto"/>
        <w:rPr>
          <w:sz w:val="20"/>
          <w:szCs w:val="20"/>
          <w:color w:val="auto"/>
        </w:rPr>
      </w:pPr>
      <w:r>
        <w:rPr>
          <w:rFonts w:ascii="Arial" w:cs="Arial" w:eastAsia="Arial" w:hAnsi="Arial"/>
          <w:sz w:val="18"/>
          <w:szCs w:val="18"/>
          <w:color w:val="auto"/>
        </w:rPr>
        <w:t>4.3Article II (Sections 7 and 12), Article III (Sections 2 and 15) and Article VI of the Restated By-Laws of the Company (included in Exhibit 3.2)</w:t>
      </w:r>
    </w:p>
    <w:p>
      <w:pPr>
        <w:spacing w:after="0" w:line="224" w:lineRule="exact"/>
        <w:rPr>
          <w:sz w:val="20"/>
          <w:szCs w:val="20"/>
          <w:color w:val="auto"/>
        </w:rPr>
      </w:pPr>
    </w:p>
    <w:p>
      <w:pPr>
        <w:ind w:left="1760" w:hanging="319"/>
        <w:spacing w:after="0" w:line="277" w:lineRule="auto"/>
        <w:rPr>
          <w:sz w:val="20"/>
          <w:szCs w:val="20"/>
          <w:color w:val="auto"/>
        </w:rPr>
      </w:pPr>
      <w:r>
        <w:rPr>
          <w:rFonts w:ascii="Arial" w:cs="Arial" w:eastAsia="Arial" w:hAnsi="Arial"/>
          <w:sz w:val="18"/>
          <w:szCs w:val="18"/>
          <w:color w:val="auto"/>
        </w:rPr>
        <w:t>10.1NN, Inc. Stock Incentive Plan and Form of Incentive Stock Option Agreement pursuant to the Plan (incorporated by reference to Exhibit 10.1 of the Company’s Registration Statement No. 333-89950 on Form S-3/A filed July 15, 2002)*</w:t>
      </w:r>
    </w:p>
    <w:p>
      <w:pPr>
        <w:spacing w:after="0" w:line="224" w:lineRule="exact"/>
        <w:rPr>
          <w:sz w:val="20"/>
          <w:szCs w:val="20"/>
          <w:color w:val="auto"/>
        </w:rPr>
      </w:pPr>
    </w:p>
    <w:p>
      <w:pPr>
        <w:ind w:left="1300" w:hanging="314"/>
        <w:spacing w:after="0" w:line="277" w:lineRule="auto"/>
        <w:rPr>
          <w:sz w:val="20"/>
          <w:szCs w:val="20"/>
          <w:color w:val="auto"/>
        </w:rPr>
      </w:pPr>
      <w:r>
        <w:rPr>
          <w:rFonts w:ascii="Arial" w:cs="Arial" w:eastAsia="Arial" w:hAnsi="Arial"/>
          <w:sz w:val="18"/>
          <w:szCs w:val="18"/>
          <w:color w:val="auto"/>
        </w:rPr>
        <w:t>10.2Amendment No. 1 to the NN, Inc. Stock Incentive Plan (incorporated by reference to Exhibit 4.6 of the Company’s Registration Statement No. 333-50934 on Form S-8 filed on November 30, 2000)*</w:t>
      </w:r>
    </w:p>
    <w:p>
      <w:pPr>
        <w:spacing w:after="0" w:line="224" w:lineRule="exact"/>
        <w:rPr>
          <w:sz w:val="20"/>
          <w:szCs w:val="20"/>
          <w:color w:val="auto"/>
        </w:rPr>
      </w:pPr>
    </w:p>
    <w:p>
      <w:pPr>
        <w:ind w:left="1300" w:hanging="404"/>
        <w:spacing w:after="0" w:line="277" w:lineRule="auto"/>
        <w:rPr>
          <w:sz w:val="20"/>
          <w:szCs w:val="20"/>
          <w:color w:val="auto"/>
        </w:rPr>
      </w:pPr>
      <w:r>
        <w:rPr>
          <w:rFonts w:ascii="Arial" w:cs="Arial" w:eastAsia="Arial" w:hAnsi="Arial"/>
          <w:sz w:val="18"/>
          <w:szCs w:val="18"/>
          <w:color w:val="auto"/>
        </w:rPr>
        <w:t>10.3 Amendment No. 2 to the NN, Inc. Stock Incentive Plan (incorporated by reference to Exhibit 4.7 of the Company’s Registration Statement No. 333-69588 on Form S-8 filed on September 18, 2001)*</w:t>
      </w:r>
    </w:p>
    <w:p>
      <w:pPr>
        <w:spacing w:after="0" w:line="224" w:lineRule="exact"/>
        <w:rPr>
          <w:sz w:val="20"/>
          <w:szCs w:val="20"/>
          <w:color w:val="auto"/>
        </w:rPr>
      </w:pPr>
    </w:p>
    <w:p>
      <w:pPr>
        <w:ind w:left="1300" w:hanging="404"/>
        <w:spacing w:after="0" w:line="277" w:lineRule="auto"/>
        <w:rPr>
          <w:sz w:val="20"/>
          <w:szCs w:val="20"/>
          <w:color w:val="auto"/>
        </w:rPr>
      </w:pPr>
      <w:r>
        <w:rPr>
          <w:rFonts w:ascii="Arial" w:cs="Arial" w:eastAsia="Arial" w:hAnsi="Arial"/>
          <w:sz w:val="18"/>
          <w:szCs w:val="18"/>
          <w:color w:val="auto"/>
        </w:rPr>
        <w:t>10.4 Form of Non-Competition and Confidentiality Agreement for Executive Officers of the Company (incorporated by reference to Exhibit 10.4 of the Company’s Registration Statement No. 333-89950 on Form S-3/A filed July 15, 2002)*</w:t>
      </w:r>
    </w:p>
    <w:p>
      <w:pPr>
        <w:spacing w:after="0" w:line="224" w:lineRule="exact"/>
        <w:rPr>
          <w:sz w:val="20"/>
          <w:szCs w:val="20"/>
          <w:color w:val="auto"/>
        </w:rPr>
      </w:pPr>
    </w:p>
    <w:p>
      <w:pPr>
        <w:ind w:left="1300" w:hanging="404"/>
        <w:spacing w:after="0" w:line="277" w:lineRule="auto"/>
        <w:rPr>
          <w:sz w:val="20"/>
          <w:szCs w:val="20"/>
          <w:color w:val="auto"/>
        </w:rPr>
      </w:pPr>
      <w:r>
        <w:rPr>
          <w:rFonts w:ascii="Arial" w:cs="Arial" w:eastAsia="Arial" w:hAnsi="Arial"/>
          <w:sz w:val="18"/>
          <w:szCs w:val="18"/>
          <w:color w:val="auto"/>
        </w:rPr>
        <w:t>10.5 Form of Indemnification Agreement (incorporated by reference to Exhibit 10.6 of the Company’s Registration Statement No. 333-89950 on Form S-3/A filed July 15, 2002)</w:t>
      </w:r>
    </w:p>
    <w:p>
      <w:pPr>
        <w:spacing w:after="0" w:line="224" w:lineRule="exact"/>
        <w:rPr>
          <w:sz w:val="20"/>
          <w:szCs w:val="20"/>
          <w:color w:val="auto"/>
        </w:rPr>
      </w:pPr>
    </w:p>
    <w:p>
      <w:pPr>
        <w:ind w:left="1300" w:hanging="404"/>
        <w:spacing w:after="0" w:line="277" w:lineRule="auto"/>
        <w:rPr>
          <w:sz w:val="20"/>
          <w:szCs w:val="20"/>
          <w:color w:val="auto"/>
        </w:rPr>
      </w:pPr>
      <w:r>
        <w:rPr>
          <w:rFonts w:ascii="Arial" w:cs="Arial" w:eastAsia="Arial" w:hAnsi="Arial"/>
          <w:sz w:val="18"/>
          <w:szCs w:val="18"/>
          <w:color w:val="auto"/>
        </w:rPr>
        <w:t>10.6 Form of Stock Option Agreement, dated December 7, 1998, between the Company and the non-employee directors of the Company (incorporated by reference to Exhibit 10.15 of the Company’s Annual Report on Form 10-K filed March 31, 1999)*</w:t>
      </w:r>
    </w:p>
    <w:p>
      <w:pPr>
        <w:spacing w:after="0" w:line="224" w:lineRule="exact"/>
        <w:rPr>
          <w:sz w:val="20"/>
          <w:szCs w:val="20"/>
          <w:color w:val="auto"/>
        </w:rPr>
      </w:pPr>
    </w:p>
    <w:p>
      <w:pPr>
        <w:ind w:left="1300" w:hanging="404"/>
        <w:spacing w:after="0" w:line="277" w:lineRule="auto"/>
        <w:rPr>
          <w:sz w:val="20"/>
          <w:szCs w:val="20"/>
          <w:color w:val="auto"/>
        </w:rPr>
      </w:pPr>
      <w:r>
        <w:rPr>
          <w:rFonts w:ascii="Arial" w:cs="Arial" w:eastAsia="Arial" w:hAnsi="Arial"/>
          <w:sz w:val="18"/>
          <w:szCs w:val="18"/>
          <w:color w:val="auto"/>
        </w:rPr>
        <w:t>10.7 Elective Deferred Compensation Plan, dated February 26, 1999 (incorporated by reference to Exhibit 10.16 of the Company’s Annual Report on Form 10-K filed March 31, 1999)*</w:t>
      </w:r>
    </w:p>
    <w:p>
      <w:pPr>
        <w:spacing w:after="0" w:line="224" w:lineRule="exact"/>
        <w:rPr>
          <w:sz w:val="20"/>
          <w:szCs w:val="20"/>
          <w:color w:val="auto"/>
        </w:rPr>
      </w:pPr>
    </w:p>
    <w:p>
      <w:pPr>
        <w:ind w:left="1300" w:hanging="404"/>
        <w:spacing w:after="0" w:line="277" w:lineRule="auto"/>
        <w:rPr>
          <w:sz w:val="20"/>
          <w:szCs w:val="20"/>
          <w:color w:val="auto"/>
        </w:rPr>
      </w:pPr>
      <w:r>
        <w:rPr>
          <w:rFonts w:ascii="Arial" w:cs="Arial" w:eastAsia="Arial" w:hAnsi="Arial"/>
          <w:sz w:val="18"/>
          <w:szCs w:val="18"/>
          <w:color w:val="auto"/>
        </w:rPr>
        <w:t>10.8 Employment Agreement, dated August 1, 1997, between the Company and Roderick R. Baty (incorporated by reference to Exhibit 10.14 of the Company’s Form 10-Q filed November 14, 1997)*</w:t>
      </w:r>
    </w:p>
    <w:p>
      <w:pPr>
        <w:spacing w:after="0" w:line="224" w:lineRule="exact"/>
        <w:rPr>
          <w:sz w:val="20"/>
          <w:szCs w:val="20"/>
          <w:color w:val="auto"/>
        </w:rPr>
      </w:pPr>
    </w:p>
    <w:p>
      <w:pPr>
        <w:ind w:left="1300" w:hanging="404"/>
        <w:spacing w:after="0" w:line="277" w:lineRule="auto"/>
        <w:rPr>
          <w:sz w:val="20"/>
          <w:szCs w:val="20"/>
          <w:color w:val="auto"/>
        </w:rPr>
      </w:pPr>
      <w:r>
        <w:rPr>
          <w:rFonts w:ascii="Arial" w:cs="Arial" w:eastAsia="Arial" w:hAnsi="Arial"/>
          <w:sz w:val="18"/>
          <w:szCs w:val="18"/>
          <w:color w:val="auto"/>
        </w:rPr>
        <w:t>10.9 Amendment No. 1 to Employment Agreement between the Company and Roderick R. Baty, dated January 21, 2002 (incorporated by reference to Exhibit 10.18 of the Company’s Annual Report on Form 10-K filed March 29, 2002)*</w:t>
      </w:r>
    </w:p>
    <w:p>
      <w:pPr>
        <w:spacing w:after="0" w:line="224" w:lineRule="exact"/>
        <w:rPr>
          <w:sz w:val="20"/>
          <w:szCs w:val="20"/>
          <w:color w:val="auto"/>
        </w:rPr>
      </w:pPr>
    </w:p>
    <w:p>
      <w:pPr>
        <w:ind w:left="1300" w:hanging="494"/>
        <w:spacing w:after="0" w:line="277" w:lineRule="auto"/>
        <w:rPr>
          <w:sz w:val="20"/>
          <w:szCs w:val="20"/>
          <w:color w:val="auto"/>
        </w:rPr>
      </w:pPr>
      <w:r>
        <w:rPr>
          <w:rFonts w:ascii="Arial" w:cs="Arial" w:eastAsia="Arial" w:hAnsi="Arial"/>
          <w:sz w:val="18"/>
          <w:szCs w:val="18"/>
          <w:color w:val="auto"/>
        </w:rPr>
        <w:t>10.10 Change of Control and Noncompetition Agreement dated January 21, 2002 between the Company and Roderick R. Baty (incorporated by reference to Exhibit 10.19 of the Company’s Annual Report on Form 10-K filed March 29, 2002)*</w:t>
      </w:r>
    </w:p>
    <w:p>
      <w:pPr>
        <w:spacing w:after="0" w:line="224" w:lineRule="exact"/>
        <w:rPr>
          <w:sz w:val="20"/>
          <w:szCs w:val="20"/>
          <w:color w:val="auto"/>
        </w:rPr>
      </w:pPr>
    </w:p>
    <w:p>
      <w:pPr>
        <w:ind w:left="1300" w:hanging="487"/>
        <w:spacing w:after="0" w:line="277" w:lineRule="auto"/>
        <w:rPr>
          <w:sz w:val="20"/>
          <w:szCs w:val="20"/>
          <w:color w:val="auto"/>
        </w:rPr>
      </w:pPr>
      <w:r>
        <w:rPr>
          <w:rFonts w:ascii="Arial" w:cs="Arial" w:eastAsia="Arial" w:hAnsi="Arial"/>
          <w:sz w:val="18"/>
          <w:szCs w:val="18"/>
          <w:color w:val="auto"/>
        </w:rPr>
        <w:t>10.11 Employment Agreement, dated May 7, 1998, between the Company and Frank T. Gentry (incorporated by reference to Exhibit 10.14 of the Company’s Annual Report on Form 10-K filed March 31, 1999)*</w:t>
      </w:r>
    </w:p>
    <w:p>
      <w:pPr>
        <w:sectPr>
          <w:pgSz w:w="11900" w:h="16838" w:orient="portrait"/>
          <w:cols w:equalWidth="0" w:num="1">
            <w:col w:w="11420"/>
          </w:cols>
          <w:pgMar w:left="240" w:top="877"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67" w:name="page68"/>
    <w:bookmarkEnd w:id="67"/>
    <w:p>
      <w:pPr>
        <w:jc w:val="both"/>
        <w:ind w:left="500" w:right="20" w:hanging="494"/>
        <w:spacing w:after="0" w:line="277" w:lineRule="auto"/>
        <w:rPr>
          <w:sz w:val="20"/>
          <w:szCs w:val="20"/>
          <w:color w:val="auto"/>
        </w:rPr>
      </w:pPr>
      <w:r>
        <w:rPr>
          <w:rFonts w:ascii="Arial" w:cs="Arial" w:eastAsia="Arial" w:hAnsi="Arial"/>
          <w:sz w:val="18"/>
          <w:szCs w:val="18"/>
          <w:color w:val="auto"/>
        </w:rPr>
        <w:t>10.12 Amendment No. 1 to Employment Agreement between the Company and Frank T. Gentry, dated January 21, 2002 (incorporated by reference to Exhibit 10.16 of the Company’s Annual Report on Form 10-K filed March 29, 2002)*</w:t>
      </w:r>
    </w:p>
    <w:p>
      <w:pPr>
        <w:spacing w:after="0" w:line="224" w:lineRule="exact"/>
        <w:rPr>
          <w:sz w:val="20"/>
          <w:szCs w:val="20"/>
          <w:color w:val="auto"/>
        </w:rPr>
      </w:pPr>
    </w:p>
    <w:p>
      <w:pPr>
        <w:jc w:val="both"/>
        <w:ind w:left="500" w:hanging="494"/>
        <w:spacing w:after="0" w:line="277" w:lineRule="auto"/>
        <w:rPr>
          <w:sz w:val="20"/>
          <w:szCs w:val="20"/>
          <w:color w:val="auto"/>
        </w:rPr>
      </w:pPr>
      <w:r>
        <w:rPr>
          <w:rFonts w:ascii="Arial" w:cs="Arial" w:eastAsia="Arial" w:hAnsi="Arial"/>
          <w:sz w:val="18"/>
          <w:szCs w:val="18"/>
          <w:color w:val="auto"/>
        </w:rPr>
        <w:t>10.13 Change of Control and Noncompetition Agreement dated January 21, 2002 between the Company and Frank T. Gentry (incorporated by reference to Exhibit 10.17 to the Company’s Annual Report on Form 10-K filed March 29, 2002)*</w:t>
      </w:r>
    </w:p>
    <w:p>
      <w:pPr>
        <w:spacing w:after="0" w:line="224" w:lineRule="exact"/>
        <w:rPr>
          <w:sz w:val="20"/>
          <w:szCs w:val="20"/>
          <w:color w:val="auto"/>
        </w:rPr>
      </w:pPr>
    </w:p>
    <w:p>
      <w:pPr>
        <w:jc w:val="both"/>
        <w:ind w:left="500" w:right="20" w:hanging="494"/>
        <w:spacing w:after="0" w:line="277" w:lineRule="auto"/>
        <w:rPr>
          <w:sz w:val="20"/>
          <w:szCs w:val="20"/>
          <w:color w:val="auto"/>
        </w:rPr>
      </w:pPr>
      <w:r>
        <w:rPr>
          <w:rFonts w:ascii="Arial" w:cs="Arial" w:eastAsia="Arial" w:hAnsi="Arial"/>
          <w:sz w:val="18"/>
          <w:szCs w:val="18"/>
          <w:color w:val="auto"/>
        </w:rPr>
        <w:t>10.14 Employment Agreement, dated January 21, 2002, between the Company and Robert R. Sams (incorporated by reference to Exhibit 10.20 of the Company’s Annual Report on Form 10-K filed March 29, 2002)*</w:t>
      </w:r>
    </w:p>
    <w:p>
      <w:pPr>
        <w:spacing w:after="0" w:line="224" w:lineRule="exact"/>
        <w:rPr>
          <w:sz w:val="20"/>
          <w:szCs w:val="20"/>
          <w:color w:val="auto"/>
        </w:rPr>
      </w:pPr>
    </w:p>
    <w:p>
      <w:pPr>
        <w:jc w:val="both"/>
        <w:ind w:left="500" w:hanging="494"/>
        <w:spacing w:after="0" w:line="277" w:lineRule="auto"/>
        <w:rPr>
          <w:sz w:val="20"/>
          <w:szCs w:val="20"/>
          <w:color w:val="auto"/>
        </w:rPr>
      </w:pPr>
      <w:r>
        <w:rPr>
          <w:rFonts w:ascii="Arial" w:cs="Arial" w:eastAsia="Arial" w:hAnsi="Arial"/>
          <w:sz w:val="18"/>
          <w:szCs w:val="18"/>
          <w:color w:val="auto"/>
        </w:rPr>
        <w:t>10.15 Change of Control and Noncompetition Agreement dated January 21, 2002 between the Company and Robert R. Sams (incorporated by reference to Exhibit 10.21 of the Company’s Annual Report on Form 10-K filed March 29, 2002)*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10.16 Employment Agreement dated January 21, 2002, between the Company and William C. Kelly, Jr. (incorporated by reference to Exhibit</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10.22 of the Company’s Annual Report on Form 10-K filed March 29, 2002)*</w:t>
      </w:r>
    </w:p>
    <w:p>
      <w:pPr>
        <w:spacing w:after="0" w:line="265" w:lineRule="exact"/>
        <w:rPr>
          <w:sz w:val="20"/>
          <w:szCs w:val="20"/>
          <w:color w:val="auto"/>
        </w:rPr>
      </w:pPr>
    </w:p>
    <w:p>
      <w:pPr>
        <w:jc w:val="both"/>
        <w:ind w:left="500" w:right="20" w:hanging="494"/>
        <w:spacing w:after="0" w:line="277" w:lineRule="auto"/>
        <w:rPr>
          <w:sz w:val="20"/>
          <w:szCs w:val="20"/>
          <w:color w:val="auto"/>
        </w:rPr>
      </w:pPr>
      <w:r>
        <w:rPr>
          <w:rFonts w:ascii="Arial" w:cs="Arial" w:eastAsia="Arial" w:hAnsi="Arial"/>
          <w:sz w:val="18"/>
          <w:szCs w:val="18"/>
          <w:color w:val="auto"/>
        </w:rPr>
        <w:t>10.17 Change of Control and Noncompetition Agreement, dated January 21, 2002, between the Company and William C. Kelly, Jr. (incorporated by reference to Exhibit 10.23 of the Company’s Annual Report on Form 10-K filed March 29, 2002)*</w:t>
      </w:r>
    </w:p>
    <w:p>
      <w:pPr>
        <w:spacing w:after="0" w:line="224" w:lineRule="exact"/>
        <w:rPr>
          <w:sz w:val="20"/>
          <w:szCs w:val="20"/>
          <w:color w:val="auto"/>
        </w:rPr>
      </w:pPr>
    </w:p>
    <w:p>
      <w:pPr>
        <w:jc w:val="both"/>
        <w:ind w:left="500" w:right="20" w:hanging="494"/>
        <w:spacing w:after="0" w:line="277" w:lineRule="auto"/>
        <w:rPr>
          <w:sz w:val="20"/>
          <w:szCs w:val="20"/>
          <w:color w:val="auto"/>
        </w:rPr>
      </w:pPr>
      <w:r>
        <w:rPr>
          <w:rFonts w:ascii="Arial" w:cs="Arial" w:eastAsia="Arial" w:hAnsi="Arial"/>
          <w:sz w:val="18"/>
          <w:szCs w:val="18"/>
          <w:color w:val="auto"/>
        </w:rPr>
        <w:t>10.18 NN Euroball, ApS Shareholder Agreement dated April 6, 2000 among NN, Inc., AB SKF and FAG Kugelfischer Georg Shafer AG (incorporated by reference to Exhibit 10.26 of the Company’s Annual Report on Form 10-K filed March 29, 2002)</w:t>
      </w:r>
    </w:p>
    <w:p>
      <w:pPr>
        <w:spacing w:after="0" w:line="224" w:lineRule="exact"/>
        <w:rPr>
          <w:sz w:val="20"/>
          <w:szCs w:val="20"/>
          <w:color w:val="auto"/>
        </w:rPr>
      </w:pPr>
    </w:p>
    <w:p>
      <w:pPr>
        <w:jc w:val="both"/>
        <w:ind w:left="500" w:hanging="494"/>
        <w:spacing w:after="0" w:line="255" w:lineRule="auto"/>
        <w:rPr>
          <w:sz w:val="20"/>
          <w:szCs w:val="20"/>
          <w:color w:val="auto"/>
        </w:rPr>
      </w:pPr>
      <w:r>
        <w:rPr>
          <w:rFonts w:ascii="Arial" w:cs="Arial" w:eastAsia="Arial" w:hAnsi="Arial"/>
          <w:sz w:val="18"/>
          <w:szCs w:val="18"/>
          <w:color w:val="auto"/>
        </w:rPr>
        <w:t>10.19 Frame Supply Agreement between Euroball S.p.A., Kugelfertigung Eltmann GmbH, NN Euroball Ireland Ltd. and Ascometal effective January 1, 2002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as indicated throughout the document with an asterisk in brackets ([*])) (incorporated by reference to Exhibit 10.26 of the Company’s Annual Report on Form 10-K filed March 31, 2003)</w:t>
      </w:r>
    </w:p>
    <w:p>
      <w:pPr>
        <w:spacing w:after="0" w:line="247" w:lineRule="exact"/>
        <w:rPr>
          <w:sz w:val="20"/>
          <w:szCs w:val="20"/>
          <w:color w:val="auto"/>
        </w:rPr>
      </w:pPr>
    </w:p>
    <w:p>
      <w:pPr>
        <w:jc w:val="both"/>
        <w:ind w:left="500" w:hanging="494"/>
        <w:spacing w:after="0" w:line="264" w:lineRule="auto"/>
        <w:rPr>
          <w:sz w:val="20"/>
          <w:szCs w:val="20"/>
          <w:color w:val="auto"/>
        </w:rPr>
      </w:pPr>
      <w:r>
        <w:rPr>
          <w:rFonts w:ascii="Arial" w:cs="Arial" w:eastAsia="Arial" w:hAnsi="Arial"/>
          <w:sz w:val="18"/>
          <w:szCs w:val="18"/>
          <w:color w:val="auto"/>
        </w:rPr>
        <w:t>10.23 Amendment No. 3 to NN, Inc. Stock Incentive Plan as ratified by the shareholders on May 15, 2003 amending the Plan to permit the issuance of awards under the Plan to directors of the Company (incorporated by reference to Exhibit 10-1 of the Company’s Quarterly Report on Form 10-Q filed August 14, 2003)*</w:t>
      </w:r>
    </w:p>
    <w:p>
      <w:pPr>
        <w:spacing w:after="0" w:line="235" w:lineRule="exact"/>
        <w:rPr>
          <w:sz w:val="20"/>
          <w:szCs w:val="20"/>
          <w:color w:val="auto"/>
        </w:rPr>
      </w:pPr>
    </w:p>
    <w:p>
      <w:pPr>
        <w:jc w:val="both"/>
        <w:ind w:left="500" w:hanging="494"/>
        <w:spacing w:after="0" w:line="286" w:lineRule="auto"/>
        <w:rPr>
          <w:sz w:val="20"/>
          <w:szCs w:val="20"/>
          <w:color w:val="auto"/>
        </w:rPr>
      </w:pPr>
      <w:r>
        <w:rPr>
          <w:rFonts w:ascii="Arial" w:cs="Arial" w:eastAsia="Arial" w:hAnsi="Arial"/>
          <w:sz w:val="17"/>
          <w:szCs w:val="17"/>
          <w:color w:val="auto"/>
        </w:rPr>
        <w:t>10.24 Credit Agreement dated as of May 1, 2003 among NN, Inc., and NN Euroball as the Borrowers, the Subsidiaries as Guarantors, the Lenders as identifies therein, AmSouth Bank as Administrative Agent, and SunTrust Bank as Documentation Agent and Euro Loan Agent (incorporated by reference to Exhibit 10.2 of the Company’s Quarterly Report on Form 10-Q filed August 14, 2003)</w:t>
      </w:r>
    </w:p>
    <w:p>
      <w:pPr>
        <w:spacing w:after="0" w:line="220" w:lineRule="exact"/>
        <w:rPr>
          <w:sz w:val="20"/>
          <w:szCs w:val="20"/>
          <w:color w:val="auto"/>
        </w:rPr>
      </w:pPr>
    </w:p>
    <w:p>
      <w:pPr>
        <w:jc w:val="both"/>
        <w:ind w:left="500" w:hanging="494"/>
        <w:spacing w:after="0" w:line="297" w:lineRule="auto"/>
        <w:rPr>
          <w:sz w:val="20"/>
          <w:szCs w:val="20"/>
          <w:color w:val="auto"/>
        </w:rPr>
      </w:pPr>
      <w:r>
        <w:rPr>
          <w:rFonts w:ascii="Arial" w:cs="Arial" w:eastAsia="Arial" w:hAnsi="Arial"/>
          <w:sz w:val="16"/>
          <w:szCs w:val="16"/>
          <w:color w:val="auto"/>
        </w:rPr>
        <w:t>10.25 Supply Agreement between NN Euroball ApS and AB SKF dated April 6, 2000.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 as indicated throughout the document with a n asterisk in brackets([*]) (incorporated by reference to Exhibit 10.3 of the Company’s Quarterly Report on Form 10-Q filed August 14, 2003)</w:t>
      </w:r>
    </w:p>
    <w:p>
      <w:pPr>
        <w:spacing w:after="0" w:line="212" w:lineRule="exact"/>
        <w:rPr>
          <w:sz w:val="20"/>
          <w:szCs w:val="20"/>
          <w:color w:val="auto"/>
        </w:rPr>
      </w:pPr>
    </w:p>
    <w:p>
      <w:pPr>
        <w:jc w:val="both"/>
        <w:ind w:left="500" w:hanging="494"/>
        <w:spacing w:after="0" w:line="255" w:lineRule="auto"/>
        <w:rPr>
          <w:sz w:val="20"/>
          <w:szCs w:val="20"/>
          <w:color w:val="auto"/>
        </w:rPr>
      </w:pPr>
      <w:r>
        <w:rPr>
          <w:rFonts w:ascii="Arial" w:cs="Arial" w:eastAsia="Arial" w:hAnsi="Arial"/>
          <w:sz w:val="18"/>
          <w:szCs w:val="18"/>
          <w:color w:val="auto"/>
        </w:rPr>
        <w:t>10.26 Global Supply Agreement among NN, Inc., NN Netherlands B.V. and SKF Holding Maatschappij Holland B.V. dated April 14, 2003.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 as indicated throughout the document with a n asterisk in brackets([*])(incorporated by reference to Exhibit 10.4 of the Company’s Quarterly Report on Form 10-Q filed August 14, 2003)</w:t>
      </w:r>
    </w:p>
    <w:p>
      <w:pPr>
        <w:spacing w:after="0" w:line="243" w:lineRule="exact"/>
        <w:rPr>
          <w:sz w:val="20"/>
          <w:szCs w:val="20"/>
          <w:color w:val="auto"/>
        </w:rPr>
      </w:pPr>
    </w:p>
    <w:p>
      <w:pPr>
        <w:ind w:left="4840"/>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70485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1040" w:top="125" w:right="239" w:bottom="1440" w:gutter="0" w:footer="0" w:header="0"/>
        </w:sectPr>
      </w:pPr>
    </w:p>
    <w:bookmarkStart w:id="68" w:name="page69"/>
    <w:bookmarkEnd w:id="68"/>
    <w:p>
      <w:pPr>
        <w:jc w:val="both"/>
        <w:ind w:left="1300" w:hanging="494"/>
        <w:spacing w:after="0" w:line="259" w:lineRule="auto"/>
        <w:rPr>
          <w:sz w:val="20"/>
          <w:szCs w:val="20"/>
          <w:color w:val="auto"/>
        </w:rPr>
      </w:pPr>
      <w:r>
        <w:rPr>
          <w:rFonts w:ascii="Arial" w:cs="Arial" w:eastAsia="Arial" w:hAnsi="Arial"/>
          <w:sz w:val="18"/>
          <w:szCs w:val="18"/>
          <w:color w:val="auto"/>
        </w:rPr>
        <w:t>10.27 Amendment No. 4 dated November 12, 2004, to the Credit Agreement dated May 1, 2003, among NN, Inc. and NN Europe ApS as the Borrowers, the subsidiaries as Guarantors, the Lenders as identified therein, AmSouth Bank as Administrative Agent and SunTrust Bank as Documentation Agent and Euro Loan Agent.(incorporated by reference to Exhibit 10.27 of the Company’s Annual Report on Form 10-K filed March 16, 2005)</w:t>
      </w:r>
    </w:p>
    <w:p>
      <w:pPr>
        <w:spacing w:after="0" w:line="241" w:lineRule="exact"/>
        <w:rPr>
          <w:sz w:val="20"/>
          <w:szCs w:val="20"/>
          <w:color w:val="auto"/>
        </w:rPr>
      </w:pPr>
    </w:p>
    <w:p>
      <w:pPr>
        <w:jc w:val="both"/>
        <w:ind w:left="1300" w:hanging="494"/>
        <w:spacing w:after="0" w:line="264" w:lineRule="auto"/>
        <w:rPr>
          <w:sz w:val="20"/>
          <w:szCs w:val="20"/>
          <w:color w:val="auto"/>
        </w:rPr>
      </w:pPr>
      <w:r>
        <w:rPr>
          <w:rFonts w:ascii="Arial" w:cs="Arial" w:eastAsia="Arial" w:hAnsi="Arial"/>
          <w:sz w:val="18"/>
          <w:szCs w:val="18"/>
          <w:color w:val="auto"/>
        </w:rPr>
        <w:t>10.28 Note Purchase Agreement dated April 22, 2004 among NN, Inc. as the Borrower and its Subsidiary Guarantors and the Prudential Insurance Company of America as Agent for the Purchase. (incorporated by reference to Exhibit 10.28 of the Company’s Annual Report on Form 10-K filed March 16, 2005)</w:t>
      </w:r>
    </w:p>
    <w:p>
      <w:pPr>
        <w:spacing w:after="0" w:line="235" w:lineRule="exact"/>
        <w:rPr>
          <w:sz w:val="20"/>
          <w:szCs w:val="20"/>
          <w:color w:val="auto"/>
        </w:rPr>
      </w:pPr>
    </w:p>
    <w:p>
      <w:pPr>
        <w:jc w:val="both"/>
        <w:ind w:left="1300" w:hanging="494"/>
        <w:spacing w:after="0" w:line="259" w:lineRule="auto"/>
        <w:rPr>
          <w:sz w:val="20"/>
          <w:szCs w:val="20"/>
          <w:color w:val="auto"/>
        </w:rPr>
      </w:pPr>
      <w:r>
        <w:rPr>
          <w:rFonts w:ascii="Arial" w:cs="Arial" w:eastAsia="Arial" w:hAnsi="Arial"/>
          <w:sz w:val="18"/>
          <w:szCs w:val="18"/>
          <w:color w:val="auto"/>
        </w:rPr>
        <w:t>10.29 Amendment No. 5 dated March 2005, to the Credit Agreement dated May 1, 2003, among NN, Inc. and NN Europe APS as the Borrowers, the subsidiaries as Guarantors, the Lenders as identified therein, AmSouth Bank as Administrative Agent and SunTrust Bank as Documentation Agent and Euro Loan Agent.(incorporated by reference to Exhibit 10.1 of the Company’s Quarterly Report on Form 10-Q filed May 10, 2005)</w:t>
      </w:r>
    </w:p>
    <w:p>
      <w:pPr>
        <w:spacing w:after="0" w:line="241" w:lineRule="exact"/>
        <w:rPr>
          <w:sz w:val="20"/>
          <w:szCs w:val="20"/>
          <w:color w:val="auto"/>
        </w:rPr>
      </w:pPr>
    </w:p>
    <w:p>
      <w:pPr>
        <w:jc w:val="both"/>
        <w:ind w:left="1300" w:hanging="494"/>
        <w:spacing w:after="0" w:line="264" w:lineRule="auto"/>
        <w:rPr>
          <w:sz w:val="20"/>
          <w:szCs w:val="20"/>
          <w:color w:val="auto"/>
        </w:rPr>
      </w:pPr>
      <w:r>
        <w:rPr>
          <w:rFonts w:ascii="Arial" w:cs="Arial" w:eastAsia="Arial" w:hAnsi="Arial"/>
          <w:sz w:val="18"/>
          <w:szCs w:val="18"/>
          <w:color w:val="auto"/>
        </w:rPr>
        <w:t>10.30 Amendment No. 6 dated October 3, 2005, to the Credit Agreement dates May 1, 2003, among NN, Inc. and NN Europe APS as the Borrowers, the subsidiaries as Guarantors, the Lenders as identified therein, AmSouth Bank as Administrative Agent and SunTrust Bank as Documentation Agent and Euro Loan Agent.</w:t>
      </w:r>
    </w:p>
    <w:p>
      <w:pPr>
        <w:spacing w:after="0" w:line="27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120" w:type="dxa"/>
            <w:vAlign w:val="bottom"/>
          </w:tcPr>
          <w:p>
            <w:pPr>
              <w:jc w:val="right"/>
              <w:ind w:right="530"/>
              <w:spacing w:after="0"/>
              <w:rPr>
                <w:sz w:val="20"/>
                <w:szCs w:val="20"/>
                <w:color w:val="auto"/>
              </w:rPr>
            </w:pPr>
            <w:r>
              <w:rPr>
                <w:rFonts w:ascii="Arial" w:cs="Arial" w:eastAsia="Arial" w:hAnsi="Arial"/>
                <w:sz w:val="18"/>
                <w:szCs w:val="18"/>
                <w:color w:val="auto"/>
              </w:rPr>
              <w:t>21.1</w:t>
            </w:r>
          </w:p>
        </w:tc>
        <w:tc>
          <w:tcPr>
            <w:tcW w:w="7460" w:type="dxa"/>
            <w:vAlign w:val="bottom"/>
          </w:tcPr>
          <w:p>
            <w:pPr>
              <w:ind w:left="600"/>
              <w:spacing w:after="0"/>
              <w:rPr>
                <w:sz w:val="20"/>
                <w:szCs w:val="20"/>
                <w:color w:val="auto"/>
              </w:rPr>
            </w:pPr>
            <w:r>
              <w:rPr>
                <w:rFonts w:ascii="Arial" w:cs="Arial" w:eastAsia="Arial" w:hAnsi="Arial"/>
                <w:sz w:val="18"/>
                <w:szCs w:val="18"/>
                <w:color w:val="auto"/>
              </w:rPr>
              <w:t>List of Subsidiaries of the Company.</w:t>
            </w:r>
          </w:p>
        </w:tc>
      </w:tr>
      <w:tr>
        <w:trPr>
          <w:trHeight w:val="540"/>
        </w:trPr>
        <w:tc>
          <w:tcPr>
            <w:tcW w:w="1120" w:type="dxa"/>
            <w:vAlign w:val="bottom"/>
          </w:tcPr>
          <w:p>
            <w:pPr>
              <w:jc w:val="right"/>
              <w:ind w:right="710"/>
              <w:spacing w:after="0"/>
              <w:rPr>
                <w:sz w:val="20"/>
                <w:szCs w:val="20"/>
                <w:color w:val="auto"/>
              </w:rPr>
            </w:pPr>
            <w:r>
              <w:rPr>
                <w:rFonts w:ascii="Arial" w:cs="Arial" w:eastAsia="Arial" w:hAnsi="Arial"/>
                <w:sz w:val="18"/>
                <w:szCs w:val="18"/>
                <w:color w:val="auto"/>
                <w:w w:val="85"/>
              </w:rPr>
              <w:t>23.1</w:t>
            </w:r>
          </w:p>
        </w:tc>
        <w:tc>
          <w:tcPr>
            <w:tcW w:w="7460" w:type="dxa"/>
            <w:vAlign w:val="bottom"/>
          </w:tcPr>
          <w:p>
            <w:pPr>
              <w:ind w:left="920"/>
              <w:spacing w:after="0"/>
              <w:rPr>
                <w:sz w:val="20"/>
                <w:szCs w:val="20"/>
                <w:color w:val="auto"/>
              </w:rPr>
            </w:pPr>
            <w:r>
              <w:rPr>
                <w:rFonts w:ascii="Arial" w:cs="Arial" w:eastAsia="Arial" w:hAnsi="Arial"/>
                <w:sz w:val="18"/>
                <w:szCs w:val="18"/>
                <w:color w:val="auto"/>
                <w:w w:val="90"/>
              </w:rPr>
              <w:t>Consent of PricewaterhouseCoopers LLP, Independent Registered Public Accounting Firm</w:t>
            </w:r>
          </w:p>
        </w:tc>
      </w:tr>
      <w:tr>
        <w:trPr>
          <w:trHeight w:val="540"/>
        </w:trPr>
        <w:tc>
          <w:tcPr>
            <w:tcW w:w="1120" w:type="dxa"/>
            <w:vAlign w:val="bottom"/>
          </w:tcPr>
          <w:p>
            <w:pPr>
              <w:jc w:val="right"/>
              <w:ind w:right="710"/>
              <w:spacing w:after="0"/>
              <w:rPr>
                <w:sz w:val="20"/>
                <w:szCs w:val="20"/>
                <w:color w:val="auto"/>
              </w:rPr>
            </w:pPr>
            <w:r>
              <w:rPr>
                <w:rFonts w:ascii="Arial" w:cs="Arial" w:eastAsia="Arial" w:hAnsi="Arial"/>
                <w:sz w:val="18"/>
                <w:szCs w:val="18"/>
                <w:color w:val="auto"/>
                <w:w w:val="85"/>
              </w:rPr>
              <w:t>31.1</w:t>
            </w:r>
          </w:p>
        </w:tc>
        <w:tc>
          <w:tcPr>
            <w:tcW w:w="7460" w:type="dxa"/>
            <w:vAlign w:val="bottom"/>
          </w:tcPr>
          <w:p>
            <w:pPr>
              <w:ind w:left="920"/>
              <w:spacing w:after="0"/>
              <w:rPr>
                <w:sz w:val="20"/>
                <w:szCs w:val="20"/>
                <w:color w:val="auto"/>
              </w:rPr>
            </w:pPr>
            <w:r>
              <w:rPr>
                <w:rFonts w:ascii="Arial" w:cs="Arial" w:eastAsia="Arial" w:hAnsi="Arial"/>
                <w:sz w:val="18"/>
                <w:szCs w:val="18"/>
                <w:color w:val="auto"/>
                <w:w w:val="95"/>
              </w:rPr>
              <w:t>Certification of Chief Executive Officer pursuant to Section 302 of Sarbanes-Oxley Act</w:t>
            </w:r>
          </w:p>
        </w:tc>
      </w:tr>
      <w:tr>
        <w:trPr>
          <w:trHeight w:val="540"/>
        </w:trPr>
        <w:tc>
          <w:tcPr>
            <w:tcW w:w="1120" w:type="dxa"/>
            <w:vAlign w:val="bottom"/>
          </w:tcPr>
          <w:p>
            <w:pPr>
              <w:jc w:val="right"/>
              <w:ind w:right="710"/>
              <w:spacing w:after="0"/>
              <w:rPr>
                <w:sz w:val="20"/>
                <w:szCs w:val="20"/>
                <w:color w:val="auto"/>
              </w:rPr>
            </w:pPr>
            <w:r>
              <w:rPr>
                <w:rFonts w:ascii="Arial" w:cs="Arial" w:eastAsia="Arial" w:hAnsi="Arial"/>
                <w:sz w:val="18"/>
                <w:szCs w:val="18"/>
                <w:color w:val="auto"/>
                <w:w w:val="85"/>
              </w:rPr>
              <w:t>31.2</w:t>
            </w:r>
          </w:p>
        </w:tc>
        <w:tc>
          <w:tcPr>
            <w:tcW w:w="7460" w:type="dxa"/>
            <w:vAlign w:val="bottom"/>
          </w:tcPr>
          <w:p>
            <w:pPr>
              <w:ind w:left="920"/>
              <w:spacing w:after="0"/>
              <w:rPr>
                <w:sz w:val="20"/>
                <w:szCs w:val="20"/>
                <w:color w:val="auto"/>
              </w:rPr>
            </w:pPr>
            <w:r>
              <w:rPr>
                <w:rFonts w:ascii="Arial" w:cs="Arial" w:eastAsia="Arial" w:hAnsi="Arial"/>
                <w:sz w:val="18"/>
                <w:szCs w:val="18"/>
                <w:color w:val="auto"/>
                <w:w w:val="96"/>
              </w:rPr>
              <w:t>Certification of Chief Financial Officer pursuant to Section 302 of Sarbanes-Oxley Act</w:t>
            </w:r>
          </w:p>
        </w:tc>
      </w:tr>
      <w:tr>
        <w:trPr>
          <w:trHeight w:val="540"/>
        </w:trPr>
        <w:tc>
          <w:tcPr>
            <w:tcW w:w="1120" w:type="dxa"/>
            <w:vAlign w:val="bottom"/>
          </w:tcPr>
          <w:p>
            <w:pPr>
              <w:jc w:val="right"/>
              <w:ind w:right="710"/>
              <w:spacing w:after="0"/>
              <w:rPr>
                <w:sz w:val="20"/>
                <w:szCs w:val="20"/>
                <w:color w:val="auto"/>
              </w:rPr>
            </w:pPr>
            <w:r>
              <w:rPr>
                <w:rFonts w:ascii="Arial" w:cs="Arial" w:eastAsia="Arial" w:hAnsi="Arial"/>
                <w:sz w:val="18"/>
                <w:szCs w:val="18"/>
                <w:color w:val="auto"/>
                <w:w w:val="85"/>
              </w:rPr>
              <w:t>32.1</w:t>
            </w:r>
          </w:p>
        </w:tc>
        <w:tc>
          <w:tcPr>
            <w:tcW w:w="7460" w:type="dxa"/>
            <w:vAlign w:val="bottom"/>
          </w:tcPr>
          <w:p>
            <w:pPr>
              <w:ind w:left="920"/>
              <w:spacing w:after="0"/>
              <w:rPr>
                <w:sz w:val="20"/>
                <w:szCs w:val="20"/>
                <w:color w:val="auto"/>
              </w:rPr>
            </w:pPr>
            <w:r>
              <w:rPr>
                <w:rFonts w:ascii="Arial" w:cs="Arial" w:eastAsia="Arial" w:hAnsi="Arial"/>
                <w:sz w:val="18"/>
                <w:szCs w:val="18"/>
                <w:color w:val="auto"/>
                <w:w w:val="95"/>
              </w:rPr>
              <w:t>Certification of Chief Executive Officer pursuant to Section 906 of Sarbanes-Oxley Act</w:t>
            </w:r>
          </w:p>
        </w:tc>
      </w:tr>
      <w:tr>
        <w:trPr>
          <w:trHeight w:val="540"/>
        </w:trPr>
        <w:tc>
          <w:tcPr>
            <w:tcW w:w="1120" w:type="dxa"/>
            <w:vAlign w:val="bottom"/>
          </w:tcPr>
          <w:p>
            <w:pPr>
              <w:jc w:val="right"/>
              <w:ind w:right="710"/>
              <w:spacing w:after="0"/>
              <w:rPr>
                <w:sz w:val="20"/>
                <w:szCs w:val="20"/>
                <w:color w:val="auto"/>
              </w:rPr>
            </w:pPr>
            <w:r>
              <w:rPr>
                <w:rFonts w:ascii="Arial" w:cs="Arial" w:eastAsia="Arial" w:hAnsi="Arial"/>
                <w:sz w:val="18"/>
                <w:szCs w:val="18"/>
                <w:color w:val="auto"/>
                <w:w w:val="85"/>
              </w:rPr>
              <w:t>32.2</w:t>
            </w:r>
          </w:p>
        </w:tc>
        <w:tc>
          <w:tcPr>
            <w:tcW w:w="7460" w:type="dxa"/>
            <w:vAlign w:val="bottom"/>
          </w:tcPr>
          <w:p>
            <w:pPr>
              <w:ind w:left="920"/>
              <w:spacing w:after="0"/>
              <w:rPr>
                <w:sz w:val="20"/>
                <w:szCs w:val="20"/>
                <w:color w:val="auto"/>
              </w:rPr>
            </w:pPr>
            <w:r>
              <w:rPr>
                <w:rFonts w:ascii="Arial" w:cs="Arial" w:eastAsia="Arial" w:hAnsi="Arial"/>
                <w:sz w:val="18"/>
                <w:szCs w:val="18"/>
                <w:color w:val="auto"/>
                <w:w w:val="96"/>
              </w:rPr>
              <w:t>Certification of Chief Financial Officer pursuant to Section 906 of Sarbanes-Oxley Act</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50"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0" w:name="page71"/>
    <w:bookmarkEnd w:id="70"/>
    <w:p>
      <w:pPr>
        <w:ind w:left="8180"/>
        <w:spacing w:after="0"/>
        <w:rPr>
          <w:sz w:val="20"/>
          <w:szCs w:val="20"/>
          <w:color w:val="auto"/>
        </w:rPr>
      </w:pPr>
      <w:r>
        <w:rPr>
          <w:rFonts w:ascii="Arial" w:cs="Arial" w:eastAsia="Arial" w:hAnsi="Arial"/>
          <w:sz w:val="14"/>
          <w:szCs w:val="14"/>
          <w:b w:val="1"/>
          <w:bCs w:val="1"/>
          <w:color w:val="auto"/>
        </w:rPr>
        <w: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EXHIBIT 10.30</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AND AMENDMENT NO. 6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THIS CONSENT AND AMENDMENT NO. 6 TO CREDIT AGREEMENT AND WAIVER </w:t>
      </w:r>
      <w:r>
        <w:rPr>
          <w:rFonts w:ascii="Arial" w:cs="Arial" w:eastAsia="Arial" w:hAnsi="Arial"/>
          <w:sz w:val="18"/>
          <w:szCs w:val="18"/>
          <w:color w:val="auto"/>
        </w:rPr>
        <w:t>(this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October 3, 2005, is made</w:t>
      </w:r>
      <w:r>
        <w:rPr>
          <w:rFonts w:ascii="Arial" w:cs="Arial" w:eastAsia="Arial" w:hAnsi="Arial"/>
          <w:sz w:val="18"/>
          <w:szCs w:val="18"/>
          <w:b w:val="1"/>
          <w:bCs w:val="1"/>
          <w:color w:val="auto"/>
        </w:rPr>
        <w:t xml:space="preserve"> </w:t>
      </w:r>
      <w:r>
        <w:rPr>
          <w:rFonts w:ascii="Arial" w:cs="Arial" w:eastAsia="Arial" w:hAnsi="Arial"/>
          <w:sz w:val="18"/>
          <w:szCs w:val="18"/>
          <w:color w:val="auto"/>
        </w:rPr>
        <w:t>and entered into on the terms and conditions hereinafter set forth, by and among NN, INC., a Delaware corporation ("</w:t>
      </w:r>
      <w:r>
        <w:rPr>
          <w:rFonts w:ascii="Arial" w:cs="Arial" w:eastAsia="Arial" w:hAnsi="Arial"/>
          <w:sz w:val="18"/>
          <w:szCs w:val="18"/>
          <w:u w:val="single" w:color="auto"/>
          <w:color w:val="auto"/>
        </w:rPr>
        <w:t>Domestic Borrower</w:t>
      </w:r>
      <w:r>
        <w:rPr>
          <w:rFonts w:ascii="Arial" w:cs="Arial" w:eastAsia="Arial" w:hAnsi="Arial"/>
          <w:sz w:val="18"/>
          <w:szCs w:val="18"/>
          <w:color w:val="auto"/>
        </w:rPr>
        <w:t>"), NN EUROPE ApS, a Denmark limited liability company (successor by name change to NN Euroball ApS) ("</w:t>
      </w:r>
      <w:r>
        <w:rPr>
          <w:rFonts w:ascii="Arial" w:cs="Arial" w:eastAsia="Arial" w:hAnsi="Arial"/>
          <w:sz w:val="18"/>
          <w:szCs w:val="18"/>
          <w:u w:val="single" w:color="auto"/>
          <w:color w:val="auto"/>
        </w:rPr>
        <w:t>Euro Borrower</w:t>
      </w:r>
      <w:r>
        <w:rPr>
          <w:rFonts w:ascii="Arial" w:cs="Arial" w:eastAsia="Arial" w:hAnsi="Arial"/>
          <w:sz w:val="18"/>
          <w:szCs w:val="18"/>
          <w:color w:val="auto"/>
        </w:rPr>
        <w:t>"; Domestic Borrower and Euro Borrower are sometimes hereinafter individually and collectively referred to as the "</w:t>
      </w:r>
      <w:r>
        <w:rPr>
          <w:rFonts w:ascii="Arial" w:cs="Arial" w:eastAsia="Arial" w:hAnsi="Arial"/>
          <w:sz w:val="18"/>
          <w:szCs w:val="18"/>
          <w:u w:val="single" w:color="auto"/>
          <w:color w:val="auto"/>
        </w:rPr>
        <w:t>Borrower</w:t>
      </w:r>
      <w:r>
        <w:rPr>
          <w:rFonts w:ascii="Arial" w:cs="Arial" w:eastAsia="Arial" w:hAnsi="Arial"/>
          <w:sz w:val="18"/>
          <w:szCs w:val="18"/>
          <w:color w:val="auto"/>
        </w:rPr>
        <w:t>"), all subsidiaries (except for the Euro Borrower) of the Domestic Borrower who are now or hereafter become parties to the Credit Agreement, as hereinafter defined (the "</w:t>
      </w:r>
      <w:r>
        <w:rPr>
          <w:rFonts w:ascii="Arial" w:cs="Arial" w:eastAsia="Arial" w:hAnsi="Arial"/>
          <w:sz w:val="18"/>
          <w:szCs w:val="18"/>
          <w:u w:val="single" w:color="auto"/>
          <w:color w:val="auto"/>
        </w:rPr>
        <w:t>Domestic Guarantors</w:t>
      </w:r>
      <w:r>
        <w:rPr>
          <w:rFonts w:ascii="Arial" w:cs="Arial" w:eastAsia="Arial" w:hAnsi="Arial"/>
          <w:sz w:val="18"/>
          <w:szCs w:val="18"/>
          <w:color w:val="auto"/>
        </w:rPr>
        <w:t>"), the several lenders who are now or hereafter become parties to the Credit Agreement (the "</w:t>
      </w:r>
      <w:r>
        <w:rPr>
          <w:rFonts w:ascii="Arial" w:cs="Arial" w:eastAsia="Arial" w:hAnsi="Arial"/>
          <w:sz w:val="18"/>
          <w:szCs w:val="18"/>
          <w:u w:val="single" w:color="auto"/>
          <w:color w:val="auto"/>
        </w:rPr>
        <w:t>Lenders</w:t>
      </w:r>
      <w:r>
        <w:rPr>
          <w:rFonts w:ascii="Arial" w:cs="Arial" w:eastAsia="Arial" w:hAnsi="Arial"/>
          <w:sz w:val="18"/>
          <w:szCs w:val="18"/>
          <w:color w:val="auto"/>
        </w:rPr>
        <w:t>"), AMSOUTH BANK, an Alabama state bank, individually and as administrative agent for the Lenders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SUNTRUST BANK, as documentation agent and euro loan agent for the Lenders (in such capacity, the "</w:t>
      </w:r>
      <w:r>
        <w:rPr>
          <w:rFonts w:ascii="Arial" w:cs="Arial" w:eastAsia="Arial" w:hAnsi="Arial"/>
          <w:sz w:val="18"/>
          <w:szCs w:val="18"/>
          <w:u w:val="single" w:color="auto"/>
          <w:color w:val="auto"/>
        </w:rPr>
        <w:t>Euro Loan Agent</w:t>
      </w:r>
      <w:r>
        <w:rPr>
          <w:rFonts w:ascii="Arial" w:cs="Arial" w:eastAsia="Arial" w:hAnsi="Arial"/>
          <w:sz w:val="18"/>
          <w:szCs w:val="18"/>
          <w:color w:val="auto"/>
        </w:rPr>
        <w:t>").</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283" w:lineRule="exact"/>
        <w:rPr>
          <w:sz w:val="20"/>
          <w:szCs w:val="20"/>
          <w:color w:val="auto"/>
        </w:rPr>
      </w:pPr>
    </w:p>
    <w:p>
      <w:pPr>
        <w:jc w:val="both"/>
        <w:ind w:firstLine="8"/>
        <w:spacing w:after="0" w:line="271" w:lineRule="auto"/>
        <w:tabs>
          <w:tab w:leader="none" w:pos="187" w:val="left"/>
        </w:tabs>
        <w:numPr>
          <w:ilvl w:val="0"/>
          <w:numId w:val="24"/>
        </w:numPr>
        <w:rPr>
          <w:rFonts w:ascii="Arial" w:cs="Arial" w:eastAsia="Arial" w:hAnsi="Arial"/>
          <w:sz w:val="17"/>
          <w:szCs w:val="17"/>
          <w:color w:val="auto"/>
        </w:rPr>
      </w:pPr>
      <w:r>
        <w:rPr>
          <w:rFonts w:ascii="Arial" w:cs="Arial" w:eastAsia="Arial" w:hAnsi="Arial"/>
          <w:sz w:val="17"/>
          <w:szCs w:val="17"/>
          <w:color w:val="auto"/>
        </w:rPr>
        <w:t>Pursuant to that certain Credit Agreement dated as of May 1, 2003, by and among the Borrower, the Domestic Guarantors, the Administrative Agent, the Lenders and the Euro Loan Agent, as amended by the certain Amendment No. 1 to Credit Agreement dated August 1, 2003, that certain Amendment No. 2 to Credit Agreement dated March 12, 2004, that certain Amendment No. 3 to Credit Agreement and Waiver dated March 31, 2004, that certain Amendment No. 4 to Credit Agreement dated November 12, 2004, and that certain Amendment No. 5 to Credit Agreement dated March 30, 2005 by and among the Borrower, the Domestic Guarantors, the Administrative Agent, the Lenders and the Euro Loan Agent (as the same heretofore may have been and/or hereafter may be amended, restated, supplemented, extended, renewed, replaced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the Lenders have agreed to make the Loans available to the Borrower, all as more specifically described in the Credit Agreement. Capitalized terms used but not otherwise defined in this Agreement have the same meanings as in the Credit Agreement.</w:t>
      </w:r>
    </w:p>
    <w:p>
      <w:pPr>
        <w:spacing w:after="0" w:line="232" w:lineRule="exact"/>
        <w:rPr>
          <w:rFonts w:ascii="Arial" w:cs="Arial" w:eastAsia="Arial" w:hAnsi="Arial"/>
          <w:sz w:val="17"/>
          <w:szCs w:val="17"/>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parties hereto desire to further amend the Credit Agreement in certain respects, as more particularly hereinafter set forth.</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AGREEMENTS:</w:t>
      </w:r>
    </w:p>
    <w:p>
      <w:pPr>
        <w:spacing w:after="0" w:line="27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the parties hereto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216" w:lineRule="exact"/>
        <w:rPr>
          <w:sz w:val="20"/>
          <w:szCs w:val="20"/>
          <w:color w:val="auto"/>
        </w:rPr>
      </w:pPr>
    </w:p>
    <w:p>
      <w:pPr>
        <w:ind w:right="20" w:firstLine="8"/>
        <w:spacing w:after="0" w:line="282" w:lineRule="auto"/>
        <w:tabs>
          <w:tab w:leader="none" w:pos="1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Consent to Sale of Real Property and Improvements and Application of Proceeds</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has indicated its desire to sell certain real property and</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owned by NN Italy and located in Pinerolo, Italy (the "Excess Property"). Borrower represents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71" w:name="page72"/>
    <w:bookmarkEnd w:id="71"/>
    <w:p>
      <w:pPr>
        <w:jc w:val="both"/>
        <w:spacing w:after="0" w:line="257" w:lineRule="auto"/>
        <w:rPr>
          <w:sz w:val="20"/>
          <w:szCs w:val="20"/>
          <w:color w:val="auto"/>
        </w:rPr>
      </w:pPr>
      <w:r>
        <w:rPr>
          <w:rFonts w:ascii="Arial" w:cs="Arial" w:eastAsia="Arial" w:hAnsi="Arial"/>
          <w:sz w:val="18"/>
          <w:szCs w:val="18"/>
          <w:color w:val="auto"/>
        </w:rPr>
        <w:t xml:space="preserve">and warrants to Lenders that the Excess Property is no longer used or useful in the business of Borrower and its Subsidiaries. Borrower expects that the proceeds for the sale of the Excess Property will exceed the limits for sales or assets set forth in </w:t>
      </w:r>
      <w:r>
        <w:rPr>
          <w:rFonts w:ascii="Arial" w:cs="Arial" w:eastAsia="Arial" w:hAnsi="Arial"/>
          <w:sz w:val="18"/>
          <w:szCs w:val="18"/>
          <w:u w:val="single" w:color="auto"/>
          <w:color w:val="auto"/>
        </w:rPr>
        <w:t>subsection 9.3(d)</w:t>
      </w:r>
      <w:r>
        <w:rPr>
          <w:rFonts w:ascii="Arial" w:cs="Arial" w:eastAsia="Arial" w:hAnsi="Arial"/>
          <w:sz w:val="18"/>
          <w:szCs w:val="18"/>
          <w:color w:val="auto"/>
        </w:rPr>
        <w:t xml:space="preserve"> of the Credit Agreement and further has requested that the net proceeds of the sale of the Excess Property be applied to the Loans in a manner other than as provided by the provisions of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3.1.3(b)</w:t>
      </w:r>
      <w:r>
        <w:rPr>
          <w:rFonts w:ascii="Arial" w:cs="Arial" w:eastAsia="Arial" w:hAnsi="Arial"/>
          <w:sz w:val="18"/>
          <w:szCs w:val="18"/>
          <w:color w:val="auto"/>
        </w:rPr>
        <w:t xml:space="preserve"> of the Credit Agreement. Lenders hereby consent to the sale of the Excess Property in the Fiscal Year ending December 31, 2005, subject to the following terms and conditions:</w:t>
      </w:r>
    </w:p>
    <w:p>
      <w:pPr>
        <w:spacing w:after="0" w:line="242"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 xml:space="preserve">a. The aggregate Dollar or Dollar Equivalent amount, as applicable, of all sales of assets of the type described </w:t>
      </w:r>
      <w:r>
        <w:rPr>
          <w:rFonts w:ascii="Arial" w:cs="Arial" w:eastAsia="Arial" w:hAnsi="Arial"/>
          <w:sz w:val="18"/>
          <w:szCs w:val="18"/>
          <w:u w:val="single" w:color="auto"/>
          <w:color w:val="auto"/>
        </w:rPr>
        <w:t>subsection 9.3(d)</w:t>
      </w:r>
      <w:r>
        <w:rPr>
          <w:rFonts w:ascii="Arial" w:cs="Arial" w:eastAsia="Arial" w:hAnsi="Arial"/>
          <w:sz w:val="18"/>
          <w:szCs w:val="18"/>
          <w:color w:val="auto"/>
        </w:rPr>
        <w:t xml:space="preserve"> in the Fiscal Year ending December 31, 2005 (including the sale of the Excess Property) shall not exceed $3,250,000, and all such sales shall be applied against the $10,000,000 limit in </w:t>
      </w:r>
      <w:r>
        <w:rPr>
          <w:rFonts w:ascii="Arial" w:cs="Arial" w:eastAsia="Arial" w:hAnsi="Arial"/>
          <w:sz w:val="18"/>
          <w:szCs w:val="18"/>
          <w:u w:val="single" w:color="auto"/>
          <w:color w:val="auto"/>
        </w:rPr>
        <w:t>subsection 9.3(d)</w:t>
      </w:r>
      <w:r>
        <w:rPr>
          <w:rFonts w:ascii="Arial" w:cs="Arial" w:eastAsia="Arial" w:hAnsi="Arial"/>
          <w:sz w:val="18"/>
          <w:szCs w:val="18"/>
          <w:color w:val="auto"/>
        </w:rPr>
        <w:t xml:space="preserve"> for sales of assets over the term of the Facilities.</w:t>
      </w:r>
    </w:p>
    <w:p>
      <w:pPr>
        <w:spacing w:after="0" w:line="235"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 xml:space="preserve">b. The net proceeds of the sale of the Excess Properties shall be applied to outstanding Revolving Loans, first applied to Base Rate Loans until the same have been fully repaid, and then to LIBOR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Commitments shall not be reduced by the amount of such prepayment.</w:t>
      </w:r>
    </w:p>
    <w:p>
      <w:pPr>
        <w:spacing w:after="0" w:line="231" w:lineRule="exact"/>
        <w:rPr>
          <w:sz w:val="20"/>
          <w:szCs w:val="20"/>
          <w:color w:val="auto"/>
        </w:rPr>
      </w:pPr>
    </w:p>
    <w:p>
      <w:pPr>
        <w:jc w:val="both"/>
        <w:ind w:firstLine="8"/>
        <w:spacing w:after="0" w:line="255" w:lineRule="auto"/>
        <w:tabs>
          <w:tab w:leader="none" w:pos="1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Consent to Acquisition of Certain Assets</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has indicated its desire for NN Italy and NN Slovakia to acquire certain assets,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limitation, equipment used in the production of precision bearing steel balls owned by SNR Roulements currently located in Annecy, France (the "Equipment"). Borrower represents and warrants to Lenders that at the time of acquisition of the Equipment and after giving Pro Forma Effect thereto and to any other Asset Acquisition made during the most recent twelve (12) month, no Default shall have occurred or be continuing or would result therefrom. Borrower expects that the costs of the acquisition of the Equipment will exceed the limits for Permitted Acquisitions set forth in the definition of Permitted Acquisitions and </w:t>
      </w:r>
      <w:r>
        <w:rPr>
          <w:rFonts w:ascii="Arial" w:cs="Arial" w:eastAsia="Arial" w:hAnsi="Arial"/>
          <w:sz w:val="18"/>
          <w:szCs w:val="18"/>
          <w:u w:val="single" w:color="auto"/>
          <w:color w:val="auto"/>
        </w:rPr>
        <w:t>subsection 9.4(g)</w:t>
      </w:r>
      <w:r>
        <w:rPr>
          <w:rFonts w:ascii="Arial" w:cs="Arial" w:eastAsia="Arial" w:hAnsi="Arial"/>
          <w:sz w:val="18"/>
          <w:szCs w:val="18"/>
          <w:color w:val="auto"/>
        </w:rPr>
        <w:t xml:space="preserve"> of the Credit Agreement. Lenders hereby consent to the acquisition of the Equipment in the Fiscal Year ending December 31, 2005, subject to the following terms and conditions:</w:t>
      </w:r>
    </w:p>
    <w:p>
      <w:pPr>
        <w:spacing w:after="0" w:line="247" w:lineRule="exact"/>
        <w:rPr>
          <w:rFonts w:ascii="Arial" w:cs="Arial" w:eastAsia="Arial" w:hAnsi="Arial"/>
          <w:sz w:val="18"/>
          <w:szCs w:val="18"/>
          <w:b w:val="1"/>
          <w:bCs w:val="1"/>
          <w:color w:val="auto"/>
        </w:rPr>
      </w:pPr>
    </w:p>
    <w:p>
      <w:pPr>
        <w:ind w:left="980"/>
        <w:spacing w:after="0" w:line="277" w:lineRule="auto"/>
        <w:tabs>
          <w:tab w:leader="none" w:pos="1147"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Aggregate Dollar or Dollar Equivalent amount, as applicable, of all Permitted Acquisitions in the Fiscal Year ending December 31, 2005 (including the acquisition of the Equipment) shall not exceed $6,250,000.</w:t>
      </w:r>
    </w:p>
    <w:p>
      <w:pPr>
        <w:spacing w:after="0" w:line="224" w:lineRule="exact"/>
        <w:rPr>
          <w:rFonts w:ascii="Arial" w:cs="Arial" w:eastAsia="Arial" w:hAnsi="Arial"/>
          <w:sz w:val="18"/>
          <w:szCs w:val="18"/>
          <w:color w:val="auto"/>
        </w:rPr>
      </w:pPr>
    </w:p>
    <w:p>
      <w:pPr>
        <w:jc w:val="both"/>
        <w:ind w:left="980"/>
        <w:spacing w:after="0" w:line="264" w:lineRule="auto"/>
        <w:tabs>
          <w:tab w:leader="none" w:pos="11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Sections 8.2.4</w:t>
      </w:r>
      <w:r>
        <w:rPr>
          <w:rFonts w:ascii="Arial" w:cs="Arial" w:eastAsia="Arial" w:hAnsi="Arial"/>
          <w:sz w:val="18"/>
          <w:szCs w:val="18"/>
          <w:color w:val="auto"/>
        </w:rPr>
        <w:t>, Borrower has provided to Administrative Agent evidence of such transaction, including, without limitation, a description of the Equipment, the terms, conditions and purchase price of the Equipment, a compliance certificate, financial statements, and any other documentation requested by Administrative Agent or Requisite Lenders.</w:t>
      </w:r>
    </w:p>
    <w:p>
      <w:pPr>
        <w:spacing w:after="0" w:line="235" w:lineRule="exact"/>
        <w:rPr>
          <w:rFonts w:ascii="Arial" w:cs="Arial" w:eastAsia="Arial" w:hAnsi="Arial"/>
          <w:sz w:val="18"/>
          <w:szCs w:val="18"/>
          <w:color w:val="auto"/>
        </w:rPr>
      </w:pPr>
    </w:p>
    <w:p>
      <w:pPr>
        <w:ind w:left="980"/>
        <w:spacing w:after="0" w:line="277" w:lineRule="auto"/>
        <w:tabs>
          <w:tab w:leader="none" w:pos="115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8.2.5</w:t>
      </w:r>
      <w:r>
        <w:rPr>
          <w:rFonts w:ascii="Arial" w:cs="Arial" w:eastAsia="Arial" w:hAnsi="Arial"/>
          <w:sz w:val="18"/>
          <w:szCs w:val="18"/>
          <w:color w:val="auto"/>
        </w:rPr>
        <w:t>, within thirty (30) days following the acquisition of the Equipment, Borrower will provide to Administrative Agent copies of the executed documents evidencing the transaction.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ind w:firstLine="8"/>
        <w:spacing w:after="0" w:line="282" w:lineRule="auto"/>
        <w:tabs>
          <w:tab w:leader="none" w:pos="1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become effective when the Administrative Agent shall have received counterparts of signature pages executed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the Domestic Guarantors, the Administrative Agent and the Lenders.</w:t>
      </w:r>
    </w:p>
    <w:p>
      <w:pPr>
        <w:spacing w:after="0" w:line="215" w:lineRule="exact"/>
        <w:rPr>
          <w:rFonts w:ascii="Arial" w:cs="Arial" w:eastAsia="Arial" w:hAnsi="Arial"/>
          <w:sz w:val="18"/>
          <w:szCs w:val="18"/>
          <w:b w:val="1"/>
          <w:bCs w:val="1"/>
          <w:color w:val="auto"/>
        </w:rPr>
      </w:pPr>
    </w:p>
    <w:p>
      <w:pPr>
        <w:jc w:val="both"/>
        <w:ind w:firstLine="8"/>
        <w:spacing w:after="0" w:line="266" w:lineRule="auto"/>
        <w:tabs>
          <w:tab w:leader="none" w:pos="1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the Borrower and the Guarantors</w:t>
      </w:r>
      <w:r>
        <w:rPr>
          <w:rFonts w:ascii="Arial" w:cs="Arial" w:eastAsia="Arial" w:hAnsi="Arial"/>
          <w:sz w:val="18"/>
          <w:szCs w:val="18"/>
          <w:b w:val="1"/>
          <w:bCs w:val="1"/>
          <w:color w:val="auto"/>
        </w:rPr>
        <w:t xml:space="preserve">. </w:t>
      </w:r>
      <w:r>
        <w:rPr>
          <w:rFonts w:ascii="Arial" w:cs="Arial" w:eastAsia="Arial" w:hAnsi="Arial"/>
          <w:sz w:val="18"/>
          <w:szCs w:val="18"/>
          <w:color w:val="auto"/>
        </w:rPr>
        <w:t>As an inducement to the Administrative Agent, the Euro Loan Agent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to enter into this Amendment, the Borrower and the Domestic Guarantors hereby represent and warrant to the Administrative Agent, the Euro Loan Agent and the Lenders that, on and as of the date hereof:</w:t>
      </w:r>
    </w:p>
    <w:p>
      <w:pPr>
        <w:spacing w:after="0" w:line="234" w:lineRule="exact"/>
        <w:rPr>
          <w:rFonts w:ascii="Arial" w:cs="Arial" w:eastAsia="Arial" w:hAnsi="Arial"/>
          <w:sz w:val="18"/>
          <w:szCs w:val="18"/>
          <w:b w:val="1"/>
          <w:bCs w:val="1"/>
          <w:color w:val="auto"/>
        </w:rPr>
      </w:pPr>
    </w:p>
    <w:p>
      <w:pPr>
        <w:jc w:val="both"/>
        <w:ind w:left="980"/>
        <w:spacing w:after="0" w:line="259" w:lineRule="auto"/>
        <w:tabs>
          <w:tab w:leader="none" w:pos="1174"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representations and warranties contained the Credit Agreement and the other Loan Documents are true and correct, except for (1) representations and warranties that expressly relate to an earlier date, which remain true and correct as of said earlier date, and (2) representations and warranties that have become untrue or incorrect solely because of changes permitted by the terms of the Credit Agreement and the other Loan Documents, and</w:t>
      </w:r>
    </w:p>
    <w:p>
      <w:pPr>
        <w:spacing w:after="0" w:line="240" w:lineRule="exact"/>
        <w:rPr>
          <w:rFonts w:ascii="Arial" w:cs="Arial" w:eastAsia="Arial" w:hAnsi="Arial"/>
          <w:sz w:val="18"/>
          <w:szCs w:val="18"/>
          <w:color w:val="auto"/>
        </w:rPr>
      </w:pPr>
    </w:p>
    <w:p>
      <w:pPr>
        <w:ind w:left="1160" w:hanging="180"/>
        <w:spacing w:after="0"/>
        <w:tabs>
          <w:tab w:leader="none" w:pos="11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275" w:lineRule="exact"/>
        <w:rPr>
          <w:rFonts w:ascii="Arial" w:cs="Arial" w:eastAsia="Arial" w:hAnsi="Arial"/>
          <w:sz w:val="18"/>
          <w:szCs w:val="18"/>
          <w:color w:val="auto"/>
        </w:rPr>
      </w:pPr>
    </w:p>
    <w:p>
      <w:pPr>
        <w:ind w:left="180" w:hanging="172"/>
        <w:spacing w:after="0"/>
        <w:tabs>
          <w:tab w:leader="none" w:pos="1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 of Amendment; Continuing Effectiveness of Credit Agreement and Loan Documents</w:t>
      </w:r>
      <w:r>
        <w:rPr>
          <w:rFonts w:ascii="Arial" w:cs="Arial" w:eastAsia="Arial" w:hAnsi="Arial"/>
          <w:sz w:val="18"/>
          <w:szCs w:val="18"/>
          <w:b w:val="1"/>
          <w:bCs w:val="1"/>
          <w:color w:val="auto"/>
        </w:rPr>
        <w:t>.</w:t>
      </w:r>
    </w:p>
    <w:p>
      <w:pPr>
        <w:spacing w:after="0" w:line="283" w:lineRule="exact"/>
        <w:rPr>
          <w:rFonts w:ascii="Arial" w:cs="Arial" w:eastAsia="Arial" w:hAnsi="Arial"/>
          <w:sz w:val="18"/>
          <w:szCs w:val="18"/>
          <w:b w:val="1"/>
          <w:bCs w:val="1"/>
          <w:color w:val="auto"/>
        </w:rPr>
      </w:pPr>
    </w:p>
    <w:p>
      <w:pPr>
        <w:jc w:val="both"/>
        <w:ind w:left="980"/>
        <w:spacing w:after="0" w:line="257" w:lineRule="auto"/>
        <w:tabs>
          <w:tab w:leader="none" w:pos="1163" w:val="left"/>
        </w:tabs>
        <w:numPr>
          <w:ilvl w:val="1"/>
          <w:numId w:val="27"/>
        </w:numPr>
        <w:rPr>
          <w:rFonts w:ascii="Arial" w:cs="Arial" w:eastAsia="Arial" w:hAnsi="Arial"/>
          <w:sz w:val="18"/>
          <w:szCs w:val="18"/>
          <w:color w:val="auto"/>
        </w:rPr>
      </w:pPr>
      <w:r>
        <w:rPr>
          <w:rFonts w:ascii="Arial" w:cs="Arial" w:eastAsia="Arial" w:hAnsi="Arial"/>
          <w:sz w:val="18"/>
          <w:szCs w:val="18"/>
          <w:color w:val="auto"/>
        </w:rPr>
        <w:t>Neither this Amendment nor any other indulgences that may have been granted to the Borrower or any of the Domestic Guarantors by the Administrative Agent, the Euro Loan Agent or any Lender shall constitute a course of dealing or otherwise obligate the Administrative Agent, the Euro Loan Agent or any Lender to modify, expand or extend the agreements contained herein, to agree to any other amendments to the Credit Agreement or to grant any consent to, waiver of or indulgence with respect to any other noncompliance with any provision of the Loan Documents.</w:t>
      </w:r>
    </w:p>
    <w:p>
      <w:pPr>
        <w:spacing w:after="0" w:line="242" w:lineRule="exact"/>
        <w:rPr>
          <w:rFonts w:ascii="Arial" w:cs="Arial" w:eastAsia="Arial" w:hAnsi="Arial"/>
          <w:sz w:val="18"/>
          <w:szCs w:val="18"/>
          <w:color w:val="auto"/>
        </w:rPr>
      </w:pPr>
    </w:p>
    <w:p>
      <w:pPr>
        <w:jc w:val="both"/>
        <w:ind w:left="980"/>
        <w:spacing w:after="0" w:line="259" w:lineRule="auto"/>
        <w:tabs>
          <w:tab w:leader="none" w:pos="1197"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This Amendment shall constitute a Loan Document for all purposes of the Credit Agreement and the other Loan Documents. Any noncompliance by the Borrower or any Domestic Guarantor with any of the covenants, terms, conditions or provisions of this Amendment shall constitute an Event of Default. Except to the extend amended hereby, the Credit Agreement, the other Loan Documents and all terms, conditions and provisions thereof shall continue in full force and effect in all respects.</w:t>
      </w:r>
    </w:p>
    <w:p>
      <w:pPr>
        <w:spacing w:after="0" w:line="236" w:lineRule="exact"/>
        <w:rPr>
          <w:rFonts w:ascii="Arial" w:cs="Arial" w:eastAsia="Arial" w:hAnsi="Arial"/>
          <w:sz w:val="18"/>
          <w:szCs w:val="18"/>
          <w:color w:val="auto"/>
        </w:rPr>
      </w:pPr>
    </w:p>
    <w:p>
      <w:pPr>
        <w:jc w:val="both"/>
        <w:ind w:firstLine="8"/>
        <w:spacing w:after="0" w:line="270" w:lineRule="auto"/>
        <w:tabs>
          <w:tab w:leader="none" w:pos="18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Amendment may be executed in multiple counterparts or copies, each of which shall be deemed an original hereof for all purposes.</w:t>
      </w:r>
      <w:r>
        <w:rPr>
          <w:rFonts w:ascii="Arial" w:cs="Arial" w:eastAsia="Arial" w:hAnsi="Arial"/>
          <w:sz w:val="17"/>
          <w:szCs w:val="17"/>
          <w:b w:val="1"/>
          <w:bCs w:val="1"/>
          <w:color w:val="auto"/>
        </w:rPr>
        <w:t xml:space="preserve"> </w:t>
      </w:r>
      <w:r>
        <w:rPr>
          <w:rFonts w:ascii="Arial" w:cs="Arial" w:eastAsia="Arial" w:hAnsi="Arial"/>
          <w:sz w:val="17"/>
          <w:szCs w:val="17"/>
          <w:color w:val="auto"/>
        </w:rPr>
        <w:t>One or more counterparts or copies of this Amendment may be executed by one or more of the parties hereto, and some different counterparts or copies executed by one or more of the parties hereto, and some different counterparts or copies executed by one or more of the other parties. Each counterpart or copy hereof executed by any party hereto shall be binding upon the party executing same even though other parties may execute one or more different counterparts or copies, and all counterparts or copies hereof so executed shall constitute but one and the same agreement. Each party hereto, by execution of one or more counterparts or copies hereof, expressly authorizes and directs any other party hereto to detach the signature pages and any corresponding acknowledgment, attestation, witness or similar pages relating thereto from any such counterpart or copy hereof executed by the authorizing party and affix same to one or more other identical counterparts or copies hereof so that upon execution of multiple counterparts or copies hereof by all parties hereto, there shall be one or more counterparts or copies hereof to which is(are) attached signature pages containing signatures of all parties hereto and any corresponding acknowledgment, attestation, witness or similar pages relating thereto.</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3" w:name="page74"/>
    <w:bookmarkEnd w:id="73"/>
    <w:p>
      <w:pPr>
        <w:ind w:left="172" w:hanging="172"/>
        <w:spacing w:after="0"/>
        <w:tabs>
          <w:tab w:leader="none" w:pos="17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83" w:lineRule="exact"/>
        <w:rPr>
          <w:rFonts w:ascii="Arial" w:cs="Arial" w:eastAsia="Arial" w:hAnsi="Arial"/>
          <w:sz w:val="18"/>
          <w:szCs w:val="18"/>
          <w:b w:val="1"/>
          <w:bCs w:val="1"/>
          <w:color w:val="auto"/>
        </w:rPr>
      </w:pPr>
    </w:p>
    <w:p>
      <w:pPr>
        <w:ind w:left="972"/>
        <w:spacing w:after="0" w:line="277" w:lineRule="auto"/>
        <w:tabs>
          <w:tab w:leader="none" w:pos="1139"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This Amendment shall be governed by, construed and enforced in accordance with the laws of the State of Tennessee, without reference to the conflicts or choice of law principles thereof.</w:t>
      </w:r>
    </w:p>
    <w:p>
      <w:pPr>
        <w:spacing w:after="0" w:line="224" w:lineRule="exact"/>
        <w:rPr>
          <w:rFonts w:ascii="Arial" w:cs="Arial" w:eastAsia="Arial" w:hAnsi="Arial"/>
          <w:sz w:val="18"/>
          <w:szCs w:val="18"/>
          <w:color w:val="auto"/>
        </w:rPr>
      </w:pPr>
    </w:p>
    <w:p>
      <w:pPr>
        <w:ind w:left="972"/>
        <w:spacing w:after="0" w:line="277" w:lineRule="auto"/>
        <w:tabs>
          <w:tab w:leader="none" w:pos="1156"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headings in this Amendment and the usage herein of defined terms are for convenience of reference only, and shall not be construed as amplifying, limiting or otherwise affecting the substantive provisions hereof.</w:t>
      </w:r>
    </w:p>
    <w:p>
      <w:pPr>
        <w:spacing w:after="0" w:line="224" w:lineRule="exact"/>
        <w:rPr>
          <w:rFonts w:ascii="Arial" w:cs="Arial" w:eastAsia="Arial" w:hAnsi="Arial"/>
          <w:sz w:val="18"/>
          <w:szCs w:val="18"/>
          <w:color w:val="auto"/>
        </w:rPr>
      </w:pPr>
    </w:p>
    <w:p>
      <w:pPr>
        <w:ind w:left="972"/>
        <w:spacing w:after="0" w:line="308" w:lineRule="auto"/>
        <w:tabs>
          <w:tab w:leader="none" w:pos="1152" w:val="left"/>
        </w:tabs>
        <w:numPr>
          <w:ilvl w:val="1"/>
          <w:numId w:val="28"/>
        </w:numPr>
        <w:rPr>
          <w:rFonts w:ascii="Arial" w:cs="Arial" w:eastAsia="Arial" w:hAnsi="Arial"/>
          <w:sz w:val="17"/>
          <w:szCs w:val="17"/>
          <w:color w:val="auto"/>
        </w:rPr>
      </w:pPr>
      <w:r>
        <w:rPr>
          <w:rFonts w:ascii="Arial" w:cs="Arial" w:eastAsia="Arial" w:hAnsi="Arial"/>
          <w:sz w:val="17"/>
          <w:szCs w:val="17"/>
          <w:color w:val="auto"/>
        </w:rPr>
        <w:t>Any reference herein to any instrument, document or agreement, by whatever terminology used, shall be deemed to include any and all amendments, modifications, supplements, extensions, renewals, substitutions and/or replacements thereof as the context may require.</w:t>
      </w:r>
    </w:p>
    <w:p>
      <w:pPr>
        <w:spacing w:after="0" w:line="200" w:lineRule="exact"/>
        <w:rPr>
          <w:rFonts w:ascii="Arial" w:cs="Arial" w:eastAsia="Arial" w:hAnsi="Arial"/>
          <w:sz w:val="17"/>
          <w:szCs w:val="17"/>
          <w:color w:val="auto"/>
        </w:rPr>
      </w:pPr>
    </w:p>
    <w:p>
      <w:pPr>
        <w:jc w:val="both"/>
        <w:ind w:left="972"/>
        <w:spacing w:after="0" w:line="259" w:lineRule="auto"/>
        <w:tabs>
          <w:tab w:leader="none" w:pos="1169" w:val="left"/>
        </w:tabs>
        <w:numPr>
          <w:ilvl w:val="1"/>
          <w:numId w:val="28"/>
        </w:numPr>
        <w:rPr>
          <w:rFonts w:ascii="Arial" w:cs="Arial" w:eastAsia="Arial" w:hAnsi="Arial"/>
          <w:sz w:val="18"/>
          <w:szCs w:val="18"/>
          <w:color w:val="auto"/>
        </w:rPr>
      </w:pPr>
      <w:r>
        <w:rPr>
          <w:rFonts w:ascii="Arial" w:cs="Arial" w:eastAsia="Arial" w:hAnsi="Arial"/>
          <w:sz w:val="18"/>
          <w:szCs w:val="18"/>
          <w:color w:val="auto"/>
        </w:rPr>
        <w:t>When used herein, (1) the singular shall include the plural, and vice versa, and the use of the masculine, feminine or neuter gender shall include all other genders, as appropriate, (2) "include", "includes" and "including" shall be deemed to be followed by "without limitation" regardless of whether such words or words of like import in fact follow same, and (3) unless the context clearly indicates otherwise, the disjunctive "or" shall include the conjunctive "and."</w:t>
      </w:r>
    </w:p>
    <w:p>
      <w:pPr>
        <w:spacing w:after="0" w:line="200" w:lineRule="exact"/>
        <w:rPr>
          <w:sz w:val="20"/>
          <w:szCs w:val="20"/>
          <w:color w:val="auto"/>
        </w:rPr>
      </w:pPr>
    </w:p>
    <w:p>
      <w:pPr>
        <w:spacing w:after="0" w:line="316" w:lineRule="exact"/>
        <w:rPr>
          <w:sz w:val="20"/>
          <w:szCs w:val="20"/>
          <w:color w:val="auto"/>
        </w:rPr>
      </w:pPr>
    </w:p>
    <w:p>
      <w:pPr>
        <w:ind w:left="5292"/>
        <w:spacing w:after="0"/>
        <w:rPr>
          <w:sz w:val="20"/>
          <w:szCs w:val="20"/>
          <w:color w:val="auto"/>
        </w:rPr>
      </w:pPr>
      <w:r>
        <w:rPr>
          <w:rFonts w:ascii="Arial" w:cs="Arial" w:eastAsia="Arial" w:hAnsi="Arial"/>
          <w:sz w:val="14"/>
          <w:szCs w:val="14"/>
          <w:b w:val="1"/>
          <w:bCs w:val="1"/>
          <w:color w:val="auto"/>
        </w:rPr>
        <w:t>[Signatures Begin Next Page]</w:t>
      </w:r>
    </w:p>
    <w:p>
      <w:pPr>
        <w:spacing w:after="0" w:line="275"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391" w:right="23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Amendment to be duly executed and delivered as of the date first written above.</w:t>
      </w:r>
    </w:p>
    <w:p>
      <w:pPr>
        <w:sectPr>
          <w:pgSz w:w="11900" w:h="16838" w:orient="portrait"/>
          <w:cols w:equalWidth="0" w:num="1">
            <w:col w:w="10420"/>
          </w:cols>
          <w:pgMar w:left="240" w:top="364"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BORROWER:</w:t>
      </w:r>
      <w:r>
        <w:rPr>
          <w:sz w:val="20"/>
          <w:szCs w:val="20"/>
          <w:color w:val="auto"/>
        </w:rPr>
        <w:tab/>
      </w:r>
      <w:r>
        <w:rPr>
          <w:rFonts w:ascii="Arial" w:cs="Arial" w:eastAsia="Arial" w:hAnsi="Arial"/>
          <w:sz w:val="17"/>
          <w:szCs w:val="17"/>
          <w:b w:val="1"/>
          <w:bCs w:val="1"/>
          <w:color w:val="auto"/>
        </w:rPr>
        <w:t>NN,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a Delaware corporation</w:t>
      </w:r>
    </w:p>
    <w:p>
      <w:pPr>
        <w:spacing w:after="0" w:line="218" w:lineRule="exact"/>
        <w:rPr>
          <w:sz w:val="20"/>
          <w:szCs w:val="20"/>
          <w:color w:val="auto"/>
        </w:rPr>
      </w:pPr>
    </w:p>
    <w:p>
      <w:pPr>
        <w:sectPr>
          <w:pgSz w:w="11900" w:h="16838" w:orient="portrait"/>
          <w:cols w:equalWidth="0" w:num="2">
            <w:col w:w="3340" w:space="720"/>
            <w:col w:w="6360"/>
          </w:cols>
          <w:pgMar w:left="240" w:top="364" w:right="1239" w:bottom="1440" w:gutter="0" w:footer="0" w:header="0"/>
          <w:type w:val="continuous"/>
        </w:sectPr>
      </w:pPr>
    </w:p>
    <w:p>
      <w:pPr>
        <w:spacing w:after="0" w:line="34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b w:val="1"/>
          <w:bCs w:val="1"/>
          <w:color w:val="auto"/>
        </w:rPr>
        <w:t>:  /s/Roderick R. Baty</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Roderick R. Baty</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Chief Executive Officer</w:t>
      </w:r>
    </w:p>
    <w:p>
      <w:pPr>
        <w:spacing w:after="0" w:line="261"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NN EUROPE ApS</w:t>
      </w:r>
      <w:r>
        <w:rPr>
          <w:rFonts w:ascii="Arial" w:cs="Arial" w:eastAsia="Arial" w:hAnsi="Arial"/>
          <w:sz w:val="17"/>
          <w:szCs w:val="17"/>
          <w:color w:val="auto"/>
        </w:rPr>
        <w:t>, a Denmark limited liability company</w:t>
      </w:r>
    </w:p>
    <w:p>
      <w:pPr>
        <w:spacing w:after="0" w:line="3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(successor by name change to NN Euroball ApS)</w:t>
      </w:r>
    </w:p>
    <w:p>
      <w:pPr>
        <w:sectPr>
          <w:pgSz w:w="11900" w:h="16838" w:orient="portrait"/>
          <w:cols w:equalWidth="0" w:num="1">
            <w:col w:w="10420"/>
          </w:cols>
          <w:pgMar w:left="240" w:top="364" w:right="1239" w:bottom="1440" w:gutter="0" w:footer="0" w:header="0"/>
          <w:type w:val="continuous"/>
        </w:sectPr>
      </w:pPr>
    </w:p>
    <w:p>
      <w:pPr>
        <w:spacing w:after="0" w:line="200" w:lineRule="exact"/>
        <w:rPr>
          <w:sz w:val="20"/>
          <w:szCs w:val="20"/>
          <w:color w:val="auto"/>
        </w:rPr>
      </w:pPr>
    </w:p>
    <w:p>
      <w:pPr>
        <w:spacing w:after="0" w:line="331" w:lineRule="exact"/>
        <w:rPr>
          <w:sz w:val="20"/>
          <w:szCs w:val="20"/>
          <w:color w:val="auto"/>
        </w:rPr>
      </w:pPr>
    </w:p>
    <w:p>
      <w:pPr>
        <w:ind w:left="2600"/>
        <w:spacing w:after="0"/>
        <w:tabs>
          <w:tab w:leader="none" w:pos="29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/s/William C. Kelly, Jr.</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William C. Kelly,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Director</w:t>
      </w:r>
    </w:p>
    <w:p>
      <w:pPr>
        <w:spacing w:after="0" w:line="261" w:lineRule="exact"/>
        <w:rPr>
          <w:sz w:val="20"/>
          <w:szCs w:val="20"/>
          <w:color w:val="auto"/>
        </w:rPr>
      </w:pPr>
    </w:p>
    <w:p>
      <w:pPr>
        <w:jc w:val="right"/>
        <w:ind w:right="5140"/>
        <w:spacing w:after="0" w:line="282" w:lineRule="auto"/>
        <w:rPr>
          <w:sz w:val="20"/>
          <w:szCs w:val="20"/>
          <w:color w:val="auto"/>
        </w:rPr>
      </w:pPr>
      <w:r>
        <w:rPr>
          <w:rFonts w:ascii="Arial" w:cs="Arial" w:eastAsia="Arial" w:hAnsi="Arial"/>
          <w:sz w:val="18"/>
          <w:szCs w:val="18"/>
          <w:b w:val="1"/>
          <w:bCs w:val="1"/>
          <w:color w:val="auto"/>
        </w:rPr>
        <w:t xml:space="preserve">DOMESTIC GUARANTORS: INDUSTRIAL MOLDING GP, LLC, </w:t>
      </w: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86" w:lineRule="exact"/>
        <w:rPr>
          <w:sz w:val="20"/>
          <w:szCs w:val="20"/>
          <w:color w:val="auto"/>
        </w:rPr>
      </w:pPr>
    </w:p>
    <w:p>
      <w:pPr>
        <w:ind w:left="2600"/>
        <w:spacing w:after="0"/>
        <w:tabs>
          <w:tab w:leader="none" w:pos="29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/s/Roderick R. Baty</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Roderick R. Baty</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Chief Executive Officer</w:t>
      </w:r>
    </w:p>
    <w:p>
      <w:pPr>
        <w:spacing w:after="0" w:line="261"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INDUSTRIAL MOLDING LP, LLC,</w:t>
      </w:r>
    </w:p>
    <w:p>
      <w:pPr>
        <w:spacing w:after="0" w:line="2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 Tennessee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0"/>
        <w:spacing w:after="0"/>
        <w:tabs>
          <w:tab w:leader="none" w:pos="29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/s/William C. Kelly, Jr.</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William C. Kelly,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019"/>
        <w:spacing w:after="0"/>
        <w:rPr>
          <w:sz w:val="20"/>
          <w:szCs w:val="20"/>
          <w:color w:val="auto"/>
        </w:rPr>
      </w:pPr>
      <w:r>
        <w:rPr>
          <w:rFonts w:ascii="Arial" w:cs="Arial" w:eastAsia="Arial" w:hAnsi="Arial"/>
          <w:sz w:val="12"/>
          <w:szCs w:val="12"/>
          <w:b w:val="1"/>
          <w:bCs w:val="1"/>
          <w:color w:val="auto"/>
        </w:rPr>
        <w:t>[Signatures Continued Next Page]</w:t>
      </w:r>
    </w:p>
    <w:p>
      <w:pPr>
        <w:spacing w:after="0" w:line="40" w:lineRule="exact"/>
        <w:rPr>
          <w:sz w:val="20"/>
          <w:szCs w:val="20"/>
          <w:color w:val="auto"/>
        </w:rPr>
      </w:pPr>
    </w:p>
    <w:p>
      <w:pPr>
        <w:jc w:val="center"/>
        <w:ind w:right="-99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20"/>
          </w:cols>
          <w:pgMar w:left="240" w:top="364" w:right="1239" w:bottom="1440" w:gutter="0" w:footer="0" w:header="0"/>
          <w:type w:val="continuous"/>
        </w:sectPr>
      </w:pPr>
    </w:p>
    <w:bookmarkStart w:id="75" w:name="page76"/>
    <w:bookmarkEnd w:id="75"/>
    <w:p>
      <w:pPr>
        <w:ind w:left="1400"/>
        <w:spacing w:after="0"/>
        <w:rPr>
          <w:sz w:val="20"/>
          <w:szCs w:val="20"/>
          <w:color w:val="auto"/>
        </w:rPr>
      </w:pPr>
      <w:r>
        <w:rPr>
          <w:rFonts w:ascii="Arial" w:cs="Arial" w:eastAsia="Arial" w:hAnsi="Arial"/>
          <w:sz w:val="18"/>
          <w:szCs w:val="18"/>
          <w:b w:val="1"/>
          <w:bCs w:val="1"/>
          <w:color w:val="auto"/>
        </w:rPr>
        <w:t>INDUSTRIAL MOLDING GROUP, L.P.,</w:t>
      </w:r>
    </w:p>
    <w:p>
      <w:pPr>
        <w:spacing w:after="0" w:line="2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 Tennessee limited partnership</w:t>
      </w:r>
    </w:p>
    <w:p>
      <w:pPr>
        <w:spacing w:after="0" w:line="26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By: Industrial Molding GP, LLC, a Delaware limited</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liability company, its general partner</w:t>
      </w:r>
    </w:p>
    <w:p>
      <w:pPr>
        <w:spacing w:after="0" w:line="26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b w:val="1"/>
          <w:bCs w:val="1"/>
          <w:color w:val="auto"/>
        </w:rPr>
        <w:t>:  /s/Roderick R. Baty</w:t>
      </w:r>
    </w:p>
    <w:p>
      <w:pPr>
        <w:spacing w:after="0" w:line="2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Roderick R. Baty</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pacing w:after="0" w:line="331"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DELTA RUBBER COMPANY,</w:t>
      </w:r>
    </w:p>
    <w:p>
      <w:pPr>
        <w:spacing w:after="0" w:line="2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 Connecticut corporation</w:t>
      </w:r>
    </w:p>
    <w:p>
      <w:pPr>
        <w:spacing w:after="0" w:line="200" w:lineRule="exact"/>
        <w:rPr>
          <w:sz w:val="20"/>
          <w:szCs w:val="20"/>
          <w:color w:val="auto"/>
        </w:rPr>
      </w:pPr>
    </w:p>
    <w:p>
      <w:pPr>
        <w:spacing w:after="0" w:line="331" w:lineRule="exact"/>
        <w:rPr>
          <w:sz w:val="20"/>
          <w:szCs w:val="20"/>
          <w:color w:val="auto"/>
        </w:rPr>
      </w:pPr>
    </w:p>
    <w:p>
      <w:pPr>
        <w:ind w:left="1400"/>
        <w:spacing w:after="0"/>
        <w:tabs>
          <w:tab w:leader="none" w:pos="17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/s/Paul N. Fortier</w:t>
      </w:r>
    </w:p>
    <w:p>
      <w:pPr>
        <w:spacing w:after="0" w:line="2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Paul N. Fortier</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Title: V.P./General Manager</w:t>
      </w:r>
    </w:p>
    <w:p>
      <w:pPr>
        <w:spacing w:after="0" w:line="200" w:lineRule="exact"/>
        <w:rPr>
          <w:sz w:val="20"/>
          <w:szCs w:val="20"/>
          <w:color w:val="auto"/>
        </w:rPr>
      </w:pPr>
    </w:p>
    <w:p>
      <w:pPr>
        <w:spacing w:after="0" w:line="331"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KUGELFERTIGUNG ELTMANN GmbH,</w:t>
      </w:r>
    </w:p>
    <w:p>
      <w:pPr>
        <w:spacing w:after="0" w:line="2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 German Company</w:t>
      </w:r>
    </w:p>
    <w:p>
      <w:pPr>
        <w:spacing w:after="0" w:line="200" w:lineRule="exact"/>
        <w:rPr>
          <w:sz w:val="20"/>
          <w:szCs w:val="20"/>
          <w:color w:val="auto"/>
        </w:rPr>
      </w:pPr>
    </w:p>
    <w:p>
      <w:pPr>
        <w:spacing w:after="0" w:line="331" w:lineRule="exact"/>
        <w:rPr>
          <w:sz w:val="20"/>
          <w:szCs w:val="20"/>
          <w:color w:val="auto"/>
        </w:rPr>
      </w:pPr>
    </w:p>
    <w:p>
      <w:pPr>
        <w:ind w:left="1400"/>
        <w:spacing w:after="0"/>
        <w:tabs>
          <w:tab w:leader="none" w:pos="17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/s/Dick Offergeld</w:t>
      </w:r>
    </w:p>
    <w:p>
      <w:pPr>
        <w:spacing w:after="0" w:line="2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Dick Offergeld</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1400"/>
        <w:spacing w:after="0"/>
        <w:tabs>
          <w:tab w:leader="none" w:pos="17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 xml:space="preserve">/s/Wolfgang </w:t>
      </w:r>
      <w:r>
        <w:rPr>
          <w:rFonts w:ascii="Arial" w:cs="Arial" w:eastAsia="Arial" w:hAnsi="Arial"/>
          <w:sz w:val="19"/>
          <w:szCs w:val="19"/>
          <w:b w:val="1"/>
          <w:bCs w:val="1"/>
          <w:color w:val="auto"/>
        </w:rPr>
        <w:t>Bartel</w:t>
      </w:r>
    </w:p>
    <w:p>
      <w:pPr>
        <w:spacing w:after="0" w:line="6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xml:space="preserve">Name: Wolfgang </w:t>
      </w:r>
      <w:r>
        <w:rPr>
          <w:rFonts w:ascii="Arial" w:cs="Arial" w:eastAsia="Arial" w:hAnsi="Arial"/>
          <w:sz w:val="21"/>
          <w:szCs w:val="21"/>
          <w:color w:val="auto"/>
        </w:rPr>
        <w:t>Bartel</w:t>
      </w:r>
    </w:p>
    <w:p>
      <w:pPr>
        <w:spacing w:after="0" w:line="2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400" w:right="5539" w:firstLine="1"/>
        <w:spacing w:after="0" w:line="282" w:lineRule="auto"/>
        <w:tabs>
          <w:tab w:leader="none" w:pos="1705"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NETHERLANDS B.V., </w:t>
      </w:r>
      <w:r>
        <w:rPr>
          <w:rFonts w:ascii="Arial" w:cs="Arial" w:eastAsia="Arial" w:hAnsi="Arial"/>
          <w:sz w:val="18"/>
          <w:szCs w:val="18"/>
          <w:color w:val="auto"/>
        </w:rPr>
        <w:t>a Dutch company</w:t>
      </w:r>
    </w:p>
    <w:p>
      <w:pPr>
        <w:spacing w:after="0" w:line="200" w:lineRule="exact"/>
        <w:rPr>
          <w:sz w:val="20"/>
          <w:szCs w:val="20"/>
          <w:color w:val="auto"/>
        </w:rPr>
      </w:pPr>
    </w:p>
    <w:p>
      <w:pPr>
        <w:spacing w:after="0" w:line="286" w:lineRule="exact"/>
        <w:rPr>
          <w:sz w:val="20"/>
          <w:szCs w:val="20"/>
          <w:color w:val="auto"/>
        </w:rPr>
      </w:pPr>
    </w:p>
    <w:p>
      <w:pPr>
        <w:ind w:left="1400"/>
        <w:spacing w:after="0"/>
        <w:tabs>
          <w:tab w:leader="none" w:pos="17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/s/William C. Kelly, Jr.</w:t>
      </w:r>
    </w:p>
    <w:p>
      <w:pPr>
        <w:spacing w:after="0" w:line="2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William C. Kelly, Jr.</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[Signatures Continued Next Page]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62865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6" w:name="page77"/>
    <w:bookmarkEnd w:id="76"/>
    <w:p>
      <w:pPr>
        <w:ind w:left="3240"/>
        <w:spacing w:after="0"/>
        <w:rPr>
          <w:sz w:val="20"/>
          <w:szCs w:val="20"/>
          <w:color w:val="auto"/>
        </w:rPr>
      </w:pPr>
      <w:r>
        <w:rPr>
          <w:rFonts w:ascii="Arial" w:cs="Arial" w:eastAsia="Arial" w:hAnsi="Arial"/>
          <w:sz w:val="14"/>
          <w:szCs w:val="14"/>
          <w:b w:val="1"/>
          <w:bCs w:val="1"/>
          <w:color w:val="auto"/>
        </w:rPr>
        <w:t>NN EUROBALL IRELAND LIMITED</w:t>
      </w:r>
    </w:p>
    <w:p>
      <w:pPr>
        <w:spacing w:after="0" w:line="25" w:lineRule="exact"/>
        <w:rPr>
          <w:sz w:val="20"/>
          <w:szCs w:val="20"/>
          <w:color w:val="auto"/>
        </w:rPr>
      </w:pPr>
    </w:p>
    <w:p>
      <w:pPr>
        <w:ind w:left="3240"/>
        <w:spacing w:after="0"/>
        <w:rPr>
          <w:sz w:val="20"/>
          <w:szCs w:val="20"/>
          <w:color w:val="auto"/>
        </w:rPr>
      </w:pPr>
      <w:r>
        <w:rPr>
          <w:rFonts w:ascii="Arial" w:cs="Arial" w:eastAsia="Arial" w:hAnsi="Arial"/>
          <w:sz w:val="14"/>
          <w:szCs w:val="14"/>
          <w:color w:val="auto"/>
        </w:rPr>
        <w:t>an Irish company</w:t>
      </w:r>
    </w:p>
    <w:p>
      <w:pPr>
        <w:spacing w:after="0" w:line="200" w:lineRule="exact"/>
        <w:rPr>
          <w:sz w:val="20"/>
          <w:szCs w:val="20"/>
          <w:color w:val="auto"/>
        </w:rPr>
      </w:pPr>
    </w:p>
    <w:p>
      <w:pPr>
        <w:spacing w:after="0" w:line="33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b w:val="1"/>
          <w:bCs w:val="1"/>
          <w:color w:val="auto"/>
        </w:rPr>
        <w:t>:  /s/Roderick R. Baty</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Roderick R. Baty</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340" w:lineRule="exact"/>
        <w:rPr>
          <w:sz w:val="20"/>
          <w:szCs w:val="20"/>
          <w:color w:val="auto"/>
        </w:rPr>
      </w:pPr>
    </w:p>
    <w:p>
      <w:pPr>
        <w:ind w:left="3240"/>
        <w:spacing w:after="0"/>
        <w:rPr>
          <w:sz w:val="20"/>
          <w:szCs w:val="20"/>
          <w:color w:val="auto"/>
        </w:rPr>
      </w:pPr>
      <w:r>
        <w:rPr>
          <w:rFonts w:ascii="Arial" w:cs="Arial" w:eastAsia="Arial" w:hAnsi="Arial"/>
          <w:sz w:val="14"/>
          <w:szCs w:val="14"/>
          <w:b w:val="1"/>
          <w:bCs w:val="1"/>
          <w:color w:val="auto"/>
        </w:rPr>
        <w:t>NN HOLDINGS, B.V.,</w:t>
      </w:r>
    </w:p>
    <w:p>
      <w:pPr>
        <w:spacing w:after="0" w:line="25" w:lineRule="exact"/>
        <w:rPr>
          <w:sz w:val="20"/>
          <w:szCs w:val="20"/>
          <w:color w:val="auto"/>
        </w:rPr>
      </w:pPr>
    </w:p>
    <w:p>
      <w:pPr>
        <w:ind w:left="3240"/>
        <w:spacing w:after="0"/>
        <w:rPr>
          <w:sz w:val="20"/>
          <w:szCs w:val="20"/>
          <w:color w:val="auto"/>
        </w:rPr>
      </w:pPr>
      <w:r>
        <w:rPr>
          <w:rFonts w:ascii="Arial" w:cs="Arial" w:eastAsia="Arial" w:hAnsi="Arial"/>
          <w:sz w:val="14"/>
          <w:szCs w:val="14"/>
          <w:color w:val="auto"/>
        </w:rPr>
        <w:t>a Dutch company</w:t>
      </w:r>
    </w:p>
    <w:p>
      <w:pPr>
        <w:spacing w:after="0" w:line="200" w:lineRule="exact"/>
        <w:rPr>
          <w:sz w:val="20"/>
          <w:szCs w:val="20"/>
          <w:color w:val="auto"/>
        </w:rPr>
      </w:pPr>
    </w:p>
    <w:p>
      <w:pPr>
        <w:spacing w:after="0" w:line="335" w:lineRule="exact"/>
        <w:rPr>
          <w:sz w:val="20"/>
          <w:szCs w:val="20"/>
          <w:color w:val="auto"/>
        </w:rPr>
      </w:pPr>
    </w:p>
    <w:p>
      <w:pPr>
        <w:ind w:left="2600"/>
        <w:spacing w:after="0"/>
        <w:tabs>
          <w:tab w:leader="none" w:pos="29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/s/William C. Kelly, Jr.</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William C. Kelly,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340" w:lineRule="exact"/>
        <w:rPr>
          <w:sz w:val="20"/>
          <w:szCs w:val="20"/>
          <w:color w:val="auto"/>
        </w:rPr>
      </w:pPr>
    </w:p>
    <w:p>
      <w:pPr>
        <w:ind w:left="3240"/>
        <w:spacing w:after="0"/>
        <w:rPr>
          <w:sz w:val="20"/>
          <w:szCs w:val="20"/>
          <w:color w:val="auto"/>
        </w:rPr>
      </w:pPr>
      <w:r>
        <w:rPr>
          <w:rFonts w:ascii="Arial" w:cs="Arial" w:eastAsia="Arial" w:hAnsi="Arial"/>
          <w:sz w:val="14"/>
          <w:szCs w:val="14"/>
          <w:b w:val="1"/>
          <w:bCs w:val="1"/>
          <w:color w:val="auto"/>
        </w:rPr>
        <w:t>NN SLOVAKIA, s.r.o.</w:t>
      </w:r>
    </w:p>
    <w:p>
      <w:pPr>
        <w:spacing w:after="0" w:line="200" w:lineRule="exact"/>
        <w:rPr>
          <w:sz w:val="20"/>
          <w:szCs w:val="20"/>
          <w:color w:val="auto"/>
        </w:rPr>
      </w:pPr>
    </w:p>
    <w:p>
      <w:pPr>
        <w:spacing w:after="0" w:line="346" w:lineRule="exact"/>
        <w:rPr>
          <w:sz w:val="20"/>
          <w:szCs w:val="20"/>
          <w:color w:val="auto"/>
        </w:rPr>
      </w:pPr>
    </w:p>
    <w:p>
      <w:pPr>
        <w:ind w:left="2600"/>
        <w:spacing w:after="0"/>
        <w:tabs>
          <w:tab w:leader="none" w:pos="29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/s/William C. Kelly, Jr.</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William C. Kelly,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219"/>
          </w:cols>
          <w:pgMar w:left="240" w:top="6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LENDERS: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AMSOUTH BANK, </w:t>
      </w:r>
      <w:r>
        <w:rPr>
          <w:rFonts w:ascii="Arial" w:cs="Arial" w:eastAsia="Arial" w:hAnsi="Arial"/>
          <w:sz w:val="13"/>
          <w:szCs w:val="13"/>
          <w:color w:val="auto"/>
        </w:rPr>
        <w:t>as a Lender</w:t>
      </w:r>
    </w:p>
    <w:p>
      <w:pPr>
        <w:spacing w:after="0" w:line="211" w:lineRule="exact"/>
        <w:rPr>
          <w:sz w:val="20"/>
          <w:szCs w:val="20"/>
          <w:color w:val="auto"/>
        </w:rPr>
      </w:pPr>
    </w:p>
    <w:p>
      <w:pPr>
        <w:sectPr>
          <w:pgSz w:w="11900" w:h="16838" w:orient="portrait"/>
          <w:cols w:equalWidth="0" w:num="2">
            <w:col w:w="2180" w:space="720"/>
            <w:col w:w="7319"/>
          </w:cols>
          <w:pgMar w:left="240" w:top="616" w:right="1440" w:bottom="1440" w:gutter="0" w:footer="0" w:header="0"/>
          <w:type w:val="continuous"/>
        </w:sectPr>
      </w:pPr>
    </w:p>
    <w:p>
      <w:pPr>
        <w:spacing w:after="0" w:line="373"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By:</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/s/Robert T. Page</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Name: Robert T. Page</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Title: Vice President</w:t>
      </w:r>
    </w:p>
    <w:p>
      <w:pPr>
        <w:spacing w:after="0" w:line="200" w:lineRule="exact"/>
        <w:rPr>
          <w:sz w:val="20"/>
          <w:szCs w:val="20"/>
          <w:color w:val="auto"/>
        </w:rPr>
      </w:pPr>
    </w:p>
    <w:p>
      <w:pPr>
        <w:sectPr>
          <w:pgSz w:w="11900" w:h="16838" w:orient="portrait"/>
          <w:cols w:equalWidth="0" w:num="2">
            <w:col w:w="2880" w:space="120"/>
            <w:col w:w="7219"/>
          </w:cols>
          <w:pgMar w:left="240" w:top="616" w:right="1440" w:bottom="1440" w:gutter="0" w:footer="0" w:header="0"/>
          <w:type w:val="continuous"/>
        </w:sectPr>
      </w:pPr>
    </w:p>
    <w:p>
      <w:pPr>
        <w:spacing w:after="0" w:line="298" w:lineRule="exact"/>
        <w:rPr>
          <w:sz w:val="20"/>
          <w:szCs w:val="20"/>
          <w:color w:val="auto"/>
        </w:rPr>
      </w:pPr>
    </w:p>
    <w:p>
      <w:pPr>
        <w:ind w:left="3240"/>
        <w:spacing w:after="0"/>
        <w:rPr>
          <w:sz w:val="20"/>
          <w:szCs w:val="20"/>
          <w:color w:val="auto"/>
        </w:rPr>
      </w:pPr>
      <w:r>
        <w:rPr>
          <w:rFonts w:ascii="Arial" w:cs="Arial" w:eastAsia="Arial" w:hAnsi="Arial"/>
          <w:sz w:val="14"/>
          <w:szCs w:val="14"/>
          <w:b w:val="1"/>
          <w:bCs w:val="1"/>
          <w:color w:val="auto"/>
        </w:rPr>
        <w:t>FIRST TENNESSEE BANK NATIONAL</w:t>
      </w:r>
    </w:p>
    <w:p>
      <w:pPr>
        <w:spacing w:after="0" w:line="25" w:lineRule="exact"/>
        <w:rPr>
          <w:sz w:val="20"/>
          <w:szCs w:val="20"/>
          <w:color w:val="auto"/>
        </w:rPr>
      </w:pPr>
    </w:p>
    <w:p>
      <w:pPr>
        <w:ind w:left="3240"/>
        <w:spacing w:after="0"/>
        <w:rPr>
          <w:sz w:val="20"/>
          <w:szCs w:val="20"/>
          <w:color w:val="auto"/>
        </w:rPr>
      </w:pPr>
      <w:r>
        <w:rPr>
          <w:rFonts w:ascii="Arial" w:cs="Arial" w:eastAsia="Arial" w:hAnsi="Arial"/>
          <w:sz w:val="14"/>
          <w:szCs w:val="14"/>
          <w:b w:val="1"/>
          <w:bCs w:val="1"/>
          <w:color w:val="auto"/>
        </w:rPr>
        <w:t xml:space="preserve">ASSOCIATION, </w:t>
      </w:r>
      <w:r>
        <w:rPr>
          <w:rFonts w:ascii="Arial" w:cs="Arial" w:eastAsia="Arial" w:hAnsi="Arial"/>
          <w:sz w:val="14"/>
          <w:szCs w:val="14"/>
          <w:color w:val="auto"/>
        </w:rPr>
        <w:t>as a Lender</w:t>
      </w:r>
    </w:p>
    <w:p>
      <w:pPr>
        <w:spacing w:after="0" w:line="200" w:lineRule="exact"/>
        <w:rPr>
          <w:sz w:val="20"/>
          <w:szCs w:val="20"/>
          <w:color w:val="auto"/>
        </w:rPr>
      </w:pPr>
    </w:p>
    <w:p>
      <w:pPr>
        <w:spacing w:after="0" w:line="335" w:lineRule="exact"/>
        <w:rPr>
          <w:sz w:val="20"/>
          <w:szCs w:val="20"/>
          <w:color w:val="auto"/>
        </w:rPr>
      </w:pPr>
    </w:p>
    <w:p>
      <w:pPr>
        <w:ind w:left="2600"/>
        <w:spacing w:after="0"/>
        <w:tabs>
          <w:tab w:leader="none" w:pos="29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/s/Vincent K. Hickam</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Vincent K. Hickam</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Executive Vice President</w:t>
      </w:r>
    </w:p>
    <w:p>
      <w:pPr>
        <w:sectPr>
          <w:pgSz w:w="11900" w:h="16838" w:orient="portrait"/>
          <w:cols w:equalWidth="0" w:num="1">
            <w:col w:w="10219"/>
          </w:cols>
          <w:pgMar w:left="240" w:top="616" w:right="1440"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[Signatures Continued Next Page]</w:t>
      </w:r>
    </w:p>
    <w:p>
      <w:pPr>
        <w:spacing w:after="0" w:line="40"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616" w:right="1440" w:bottom="1440" w:gutter="0" w:footer="0" w:header="0"/>
          <w:type w:val="continuous"/>
        </w:sectPr>
      </w:pPr>
    </w:p>
    <w:bookmarkStart w:id="77" w:name="page78"/>
    <w:bookmarkEnd w:id="77"/>
    <w:p>
      <w:pPr>
        <w:ind w:left="2040"/>
        <w:spacing w:after="0"/>
        <w:rPr>
          <w:sz w:val="20"/>
          <w:szCs w:val="20"/>
          <w:color w:val="auto"/>
        </w:rPr>
      </w:pPr>
      <w:r>
        <w:rPr>
          <w:rFonts w:ascii="Arial" w:cs="Arial" w:eastAsia="Arial" w:hAnsi="Arial"/>
          <w:sz w:val="14"/>
          <w:szCs w:val="14"/>
          <w:b w:val="1"/>
          <w:bCs w:val="1"/>
          <w:color w:val="auto"/>
        </w:rPr>
        <w:t xml:space="preserve">REGIONS BANK </w:t>
      </w:r>
      <w:r>
        <w:rPr>
          <w:rFonts w:ascii="Arial" w:cs="Arial" w:eastAsia="Arial" w:hAnsi="Arial"/>
          <w:sz w:val="14"/>
          <w:szCs w:val="14"/>
          <w:color w:val="auto"/>
        </w:rPr>
        <w:t>(successor to UNION PLANTERS</w:t>
      </w:r>
    </w:p>
    <w:p>
      <w:pPr>
        <w:spacing w:after="0" w:line="25" w:lineRule="exact"/>
        <w:rPr>
          <w:sz w:val="20"/>
          <w:szCs w:val="20"/>
          <w:color w:val="auto"/>
        </w:rPr>
      </w:pPr>
    </w:p>
    <w:p>
      <w:pPr>
        <w:ind w:left="2040"/>
        <w:spacing w:after="0"/>
        <w:rPr>
          <w:sz w:val="20"/>
          <w:szCs w:val="20"/>
          <w:color w:val="auto"/>
        </w:rPr>
      </w:pPr>
      <w:r>
        <w:rPr>
          <w:rFonts w:ascii="Arial" w:cs="Arial" w:eastAsia="Arial" w:hAnsi="Arial"/>
          <w:sz w:val="14"/>
          <w:szCs w:val="14"/>
          <w:color w:val="auto"/>
        </w:rPr>
        <w:t>BANK, NATIONAL ASSOCIATION), as a Lender</w:t>
      </w:r>
    </w:p>
    <w:p>
      <w:pPr>
        <w:spacing w:after="0" w:line="200" w:lineRule="exact"/>
        <w:rPr>
          <w:sz w:val="20"/>
          <w:szCs w:val="20"/>
          <w:color w:val="auto"/>
        </w:rPr>
      </w:pPr>
    </w:p>
    <w:p>
      <w:pPr>
        <w:spacing w:after="0" w:line="335" w:lineRule="exact"/>
        <w:rPr>
          <w:sz w:val="20"/>
          <w:szCs w:val="20"/>
          <w:color w:val="auto"/>
        </w:rPr>
      </w:pPr>
    </w:p>
    <w:p>
      <w:pPr>
        <w:ind w:left="1400"/>
        <w:spacing w:after="0"/>
        <w:tabs>
          <w:tab w:leader="none" w:pos="17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/s/Carol S. Geraghty</w:t>
      </w:r>
    </w:p>
    <w:p>
      <w:pPr>
        <w:spacing w:after="0" w:line="2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Carol S. Geraghty.</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86"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 xml:space="preserve">INTEGRA BANK, N.A., </w:t>
      </w:r>
      <w:r>
        <w:rPr>
          <w:rFonts w:ascii="Arial" w:cs="Arial" w:eastAsia="Arial" w:hAnsi="Arial"/>
          <w:sz w:val="14"/>
          <w:szCs w:val="14"/>
          <w:color w:val="auto"/>
        </w:rPr>
        <w:t>as a Lender</w:t>
      </w:r>
    </w:p>
    <w:p>
      <w:pPr>
        <w:spacing w:after="0" w:line="200" w:lineRule="exact"/>
        <w:rPr>
          <w:sz w:val="20"/>
          <w:szCs w:val="20"/>
          <w:color w:val="auto"/>
        </w:rPr>
      </w:pPr>
    </w:p>
    <w:p>
      <w:pPr>
        <w:spacing w:after="0" w:line="346" w:lineRule="exact"/>
        <w:rPr>
          <w:sz w:val="20"/>
          <w:szCs w:val="20"/>
          <w:color w:val="auto"/>
        </w:rPr>
      </w:pPr>
    </w:p>
    <w:p>
      <w:pPr>
        <w:ind w:left="1400"/>
        <w:spacing w:after="0"/>
        <w:tabs>
          <w:tab w:leader="none" w:pos="17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/s/Jeffrey D. Jackson</w:t>
      </w:r>
    </w:p>
    <w:p>
      <w:pPr>
        <w:spacing w:after="0" w:line="2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Jeffrey D. Jackson</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86" w:lineRule="exact"/>
        <w:rPr>
          <w:sz w:val="20"/>
          <w:szCs w:val="20"/>
          <w:color w:val="auto"/>
        </w:rPr>
      </w:pPr>
    </w:p>
    <w:p>
      <w:pPr>
        <w:jc w:val="right"/>
        <w:ind w:right="3739"/>
        <w:spacing w:after="0"/>
        <w:rPr>
          <w:sz w:val="20"/>
          <w:szCs w:val="20"/>
          <w:color w:val="auto"/>
        </w:rPr>
      </w:pPr>
      <w:r>
        <w:rPr>
          <w:rFonts w:ascii="Arial" w:cs="Arial" w:eastAsia="Arial" w:hAnsi="Arial"/>
          <w:sz w:val="14"/>
          <w:szCs w:val="14"/>
          <w:b w:val="1"/>
          <w:bCs w:val="1"/>
          <w:color w:val="auto"/>
        </w:rPr>
        <w:t>SUNTRUST BANK</w:t>
      </w:r>
      <w:r>
        <w:rPr>
          <w:rFonts w:ascii="Arial" w:cs="Arial" w:eastAsia="Arial" w:hAnsi="Arial"/>
          <w:sz w:val="14"/>
          <w:szCs w:val="14"/>
          <w:color w:val="auto"/>
        </w:rPr>
        <w:t>, as a Lender and Euro Loan Agent</w:t>
      </w:r>
    </w:p>
    <w:p>
      <w:pPr>
        <w:spacing w:after="0" w:line="276" w:lineRule="exact"/>
        <w:rPr>
          <w:sz w:val="20"/>
          <w:szCs w:val="20"/>
          <w:color w:val="auto"/>
        </w:rPr>
      </w:pPr>
    </w:p>
    <w:p>
      <w:pPr>
        <w:ind w:left="1400"/>
        <w:spacing w:after="0"/>
        <w:tabs>
          <w:tab w:leader="none" w:pos="17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/s/Robert C. Chadwell</w:t>
      </w:r>
    </w:p>
    <w:p>
      <w:pPr>
        <w:spacing w:after="0" w:line="2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Robert C. Chadwell</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Title: Vice-President</w:t>
      </w:r>
    </w:p>
    <w:p>
      <w:pPr>
        <w:sectPr>
          <w:pgSz w:w="11900" w:h="16838" w:orient="portrait"/>
          <w:cols w:equalWidth="0" w:num="1">
            <w:col w:w="9019"/>
          </w:cols>
          <w:pgMar w:left="1440" w:top="616" w:right="1440" w:bottom="1440" w:gutter="0" w:footer="0" w:header="0"/>
        </w:sectPr>
      </w:pPr>
    </w:p>
    <w:bookmarkStart w:id="78" w:name="page79"/>
    <w:bookmarkEnd w:id="78"/>
    <w:p>
      <w:pPr>
        <w:ind w:left="8980"/>
        <w:spacing w:after="0"/>
        <w:rPr>
          <w:sz w:val="20"/>
          <w:szCs w:val="20"/>
          <w:color w:val="auto"/>
        </w:rPr>
      </w:pPr>
      <w:r>
        <w:rPr>
          <w:rFonts w:ascii="Arial" w:cs="Arial" w:eastAsia="Arial" w:hAnsi="Arial"/>
          <w:sz w:val="22"/>
          <w:szCs w:val="22"/>
          <w:color w:val="auto"/>
        </w:rPr>
        <w:t>&amp;</w:t>
      </w:r>
    </w:p>
    <w:p>
      <w:pPr>
        <w:spacing w:after="0" w:line="230" w:lineRule="auto"/>
        <w:tabs>
          <w:tab w:leader="none" w:pos="2040" w:val="left"/>
        </w:tabs>
        <w:rPr>
          <w:sz w:val="20"/>
          <w:szCs w:val="20"/>
          <w:color w:val="auto"/>
        </w:rPr>
      </w:pPr>
      <w:r>
        <w:rPr>
          <w:rFonts w:ascii="Arial" w:cs="Arial" w:eastAsia="Arial" w:hAnsi="Arial"/>
          <w:sz w:val="22"/>
          <w:szCs w:val="22"/>
          <w:color w:val="auto"/>
        </w:rPr>
        <w:t>#160;</w:t>
      </w:r>
      <w:r>
        <w:rPr>
          <w:sz w:val="20"/>
          <w:szCs w:val="20"/>
          <w:color w:val="auto"/>
        </w:rPr>
        <w:tab/>
      </w:r>
      <w:r>
        <w:rPr>
          <w:rFonts w:ascii="Arial" w:cs="Arial" w:eastAsia="Arial" w:hAnsi="Arial"/>
          <w:sz w:val="18"/>
          <w:szCs w:val="18"/>
          <w:b w:val="1"/>
          <w:bCs w:val="1"/>
          <w:color w:val="auto"/>
        </w:rPr>
        <w:t>EXHIBIT 21.1</w:t>
      </w:r>
    </w:p>
    <w:p>
      <w:pPr>
        <w:spacing w:after="0" w:line="14"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4280" w:type="dxa"/>
            <w:vAlign w:val="bottom"/>
            <w:gridSpan w:val="3"/>
          </w:tcPr>
          <w:p>
            <w:pPr>
              <w:ind w:left="60"/>
              <w:spacing w:after="0"/>
              <w:rPr>
                <w:sz w:val="20"/>
                <w:szCs w:val="20"/>
                <w:color w:val="auto"/>
              </w:rPr>
            </w:pPr>
            <w:r>
              <w:rPr>
                <w:rFonts w:ascii="Arial" w:cs="Arial" w:eastAsia="Arial" w:hAnsi="Arial"/>
                <w:sz w:val="18"/>
                <w:szCs w:val="18"/>
                <w:b w:val="1"/>
                <w:bCs w:val="1"/>
                <w:color w:val="auto"/>
              </w:rPr>
              <w:t>Subsidiaries of NN, Inc</w:t>
            </w:r>
          </w:p>
        </w:tc>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270"/>
        </w:trPr>
        <w:tc>
          <w:tcPr>
            <w:tcW w:w="60" w:type="dxa"/>
            <w:vAlign w:val="bottom"/>
          </w:tcPr>
          <w:p>
            <w:pPr>
              <w:spacing w:after="0"/>
              <w:rPr>
                <w:sz w:val="23"/>
                <w:szCs w:val="23"/>
                <w:color w:val="auto"/>
              </w:rPr>
            </w:pPr>
          </w:p>
        </w:tc>
        <w:tc>
          <w:tcPr>
            <w:tcW w:w="1720" w:type="dxa"/>
            <w:vAlign w:val="bottom"/>
            <w:tcBorders>
              <w:top w:val="single" w:sz="8" w:color="auto"/>
            </w:tcBorders>
          </w:tcPr>
          <w:p>
            <w:pPr>
              <w:spacing w:after="0"/>
              <w:rPr>
                <w:sz w:val="23"/>
                <w:szCs w:val="23"/>
                <w:color w:val="auto"/>
              </w:rPr>
            </w:pPr>
          </w:p>
        </w:tc>
        <w:tc>
          <w:tcPr>
            <w:tcW w:w="2500" w:type="dxa"/>
            <w:vAlign w:val="bottom"/>
          </w:tcPr>
          <w:p>
            <w:pPr>
              <w:spacing w:after="0"/>
              <w:rPr>
                <w:sz w:val="23"/>
                <w:szCs w:val="23"/>
                <w:color w:val="auto"/>
              </w:rPr>
            </w:pPr>
          </w:p>
        </w:tc>
        <w:tc>
          <w:tcPr>
            <w:tcW w:w="3440" w:type="dxa"/>
            <w:vAlign w:val="bottom"/>
            <w:tcBorders>
              <w:top w:val="single" w:sz="8" w:color="auto"/>
            </w:tcBorders>
          </w:tcPr>
          <w:p>
            <w:pPr>
              <w:spacing w:after="0"/>
              <w:rPr>
                <w:sz w:val="23"/>
                <w:szCs w:val="23"/>
                <w:color w:val="auto"/>
              </w:rPr>
            </w:pPr>
          </w:p>
        </w:tc>
        <w:tc>
          <w:tcPr>
            <w:tcW w:w="820" w:type="dxa"/>
            <w:vAlign w:val="bottom"/>
          </w:tcPr>
          <w:p>
            <w:pPr>
              <w:spacing w:after="0"/>
              <w:rPr>
                <w:sz w:val="23"/>
                <w:szCs w:val="23"/>
                <w:color w:val="auto"/>
              </w:rPr>
            </w:pPr>
          </w:p>
        </w:tc>
      </w:tr>
      <w:tr>
        <w:trPr>
          <w:trHeight w:val="243"/>
        </w:trPr>
        <w:tc>
          <w:tcPr>
            <w:tcW w:w="4280" w:type="dxa"/>
            <w:vAlign w:val="bottom"/>
            <w:gridSpan w:val="3"/>
            <w:shd w:val="clear" w:color="auto" w:fill="E2EEF6"/>
          </w:tcPr>
          <w:p>
            <w:pPr>
              <w:spacing w:after="0"/>
              <w:rPr>
                <w:sz w:val="20"/>
                <w:szCs w:val="20"/>
                <w:color w:val="auto"/>
              </w:rPr>
            </w:pPr>
            <w:r>
              <w:rPr>
                <w:rFonts w:ascii="Arial" w:cs="Arial" w:eastAsia="Arial" w:hAnsi="Arial"/>
                <w:sz w:val="18"/>
                <w:szCs w:val="18"/>
                <w:color w:val="auto"/>
              </w:rPr>
              <w:t>The Delta Rubber Company</w:t>
            </w:r>
          </w:p>
        </w:tc>
        <w:tc>
          <w:tcPr>
            <w:tcW w:w="4260" w:type="dxa"/>
            <w:vAlign w:val="bottom"/>
            <w:gridSpan w:val="2"/>
            <w:shd w:val="clear" w:color="auto" w:fill="E2EEF6"/>
          </w:tcPr>
          <w:p>
            <w:pPr>
              <w:ind w:left="60"/>
              <w:spacing w:after="0"/>
              <w:rPr>
                <w:sz w:val="20"/>
                <w:szCs w:val="20"/>
                <w:color w:val="auto"/>
              </w:rPr>
            </w:pPr>
            <w:r>
              <w:rPr>
                <w:rFonts w:ascii="Arial" w:cs="Arial" w:eastAsia="Arial" w:hAnsi="Arial"/>
                <w:sz w:val="18"/>
                <w:szCs w:val="18"/>
                <w:color w:val="auto"/>
              </w:rPr>
              <w:t>Connecticut</w:t>
            </w:r>
          </w:p>
        </w:tc>
      </w:tr>
      <w:tr>
        <w:trPr>
          <w:trHeight w:val="243"/>
        </w:trPr>
        <w:tc>
          <w:tcPr>
            <w:tcW w:w="4280" w:type="dxa"/>
            <w:vAlign w:val="bottom"/>
            <w:gridSpan w:val="3"/>
          </w:tcPr>
          <w:p>
            <w:pPr>
              <w:ind w:left="60"/>
              <w:spacing w:after="0"/>
              <w:rPr>
                <w:sz w:val="20"/>
                <w:szCs w:val="20"/>
                <w:color w:val="auto"/>
              </w:rPr>
            </w:pPr>
            <w:r>
              <w:rPr>
                <w:rFonts w:ascii="Arial" w:cs="Arial" w:eastAsia="Arial" w:hAnsi="Arial"/>
                <w:sz w:val="18"/>
                <w:szCs w:val="18"/>
                <w:color w:val="auto"/>
              </w:rPr>
              <w:t>Industrial Molding GP, LLC</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43"/>
        </w:trPr>
        <w:tc>
          <w:tcPr>
            <w:tcW w:w="4280" w:type="dxa"/>
            <w:vAlign w:val="bottom"/>
            <w:gridSpan w:val="3"/>
            <w:shd w:val="clear" w:color="auto" w:fill="E2EEF6"/>
          </w:tcPr>
          <w:p>
            <w:pPr>
              <w:ind w:left="60"/>
              <w:spacing w:after="0"/>
              <w:rPr>
                <w:sz w:val="20"/>
                <w:szCs w:val="20"/>
                <w:color w:val="auto"/>
              </w:rPr>
            </w:pPr>
            <w:r>
              <w:rPr>
                <w:rFonts w:ascii="Arial" w:cs="Arial" w:eastAsia="Arial" w:hAnsi="Arial"/>
                <w:sz w:val="18"/>
                <w:szCs w:val="18"/>
                <w:color w:val="auto"/>
              </w:rPr>
              <w:t>Industrial Molding LP, LLC</w:t>
            </w:r>
          </w:p>
        </w:tc>
        <w:tc>
          <w:tcPr>
            <w:tcW w:w="4260" w:type="dxa"/>
            <w:vAlign w:val="bottom"/>
            <w:gridSpan w:val="2"/>
            <w:shd w:val="clear" w:color="auto" w:fill="E2EEF6"/>
          </w:tcPr>
          <w:p>
            <w:pPr>
              <w:ind w:left="40"/>
              <w:spacing w:after="0"/>
              <w:rPr>
                <w:sz w:val="20"/>
                <w:szCs w:val="20"/>
                <w:color w:val="auto"/>
              </w:rPr>
            </w:pPr>
            <w:r>
              <w:rPr>
                <w:rFonts w:ascii="Arial" w:cs="Arial" w:eastAsia="Arial" w:hAnsi="Arial"/>
                <w:sz w:val="18"/>
                <w:szCs w:val="18"/>
                <w:color w:val="auto"/>
              </w:rPr>
              <w:t>Tennessee</w:t>
            </w:r>
          </w:p>
        </w:tc>
      </w:tr>
      <w:tr>
        <w:trPr>
          <w:trHeight w:val="242"/>
        </w:trPr>
        <w:tc>
          <w:tcPr>
            <w:tcW w:w="4280" w:type="dxa"/>
            <w:vAlign w:val="bottom"/>
            <w:gridSpan w:val="3"/>
          </w:tcPr>
          <w:p>
            <w:pPr>
              <w:ind w:left="60"/>
              <w:spacing w:after="0"/>
              <w:rPr>
                <w:sz w:val="20"/>
                <w:szCs w:val="20"/>
                <w:color w:val="auto"/>
              </w:rPr>
            </w:pPr>
            <w:r>
              <w:rPr>
                <w:rFonts w:ascii="Arial" w:cs="Arial" w:eastAsia="Arial" w:hAnsi="Arial"/>
                <w:sz w:val="18"/>
                <w:szCs w:val="18"/>
                <w:color w:val="auto"/>
              </w:rPr>
              <w:t>Industrial Molding LP</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Texas</w:t>
            </w:r>
          </w:p>
        </w:tc>
      </w:tr>
      <w:tr>
        <w:trPr>
          <w:trHeight w:val="244"/>
        </w:trPr>
        <w:tc>
          <w:tcPr>
            <w:tcW w:w="4280" w:type="dxa"/>
            <w:vAlign w:val="bottom"/>
            <w:gridSpan w:val="3"/>
            <w:shd w:val="clear" w:color="auto" w:fill="E2EEF6"/>
          </w:tcPr>
          <w:p>
            <w:pPr>
              <w:ind w:left="60"/>
              <w:spacing w:after="0"/>
              <w:rPr>
                <w:sz w:val="20"/>
                <w:szCs w:val="20"/>
                <w:color w:val="auto"/>
              </w:rPr>
            </w:pPr>
            <w:r>
              <w:rPr>
                <w:rFonts w:ascii="Arial" w:cs="Arial" w:eastAsia="Arial" w:hAnsi="Arial"/>
                <w:sz w:val="18"/>
                <w:szCs w:val="18"/>
                <w:color w:val="auto"/>
              </w:rPr>
              <w:t>NN Europe ApS</w:t>
            </w:r>
          </w:p>
        </w:tc>
        <w:tc>
          <w:tcPr>
            <w:tcW w:w="4260" w:type="dxa"/>
            <w:vAlign w:val="bottom"/>
            <w:gridSpan w:val="2"/>
            <w:shd w:val="clear" w:color="auto" w:fill="E2EEF6"/>
          </w:tcPr>
          <w:p>
            <w:pPr>
              <w:ind w:left="60"/>
              <w:spacing w:after="0"/>
              <w:rPr>
                <w:sz w:val="20"/>
                <w:szCs w:val="20"/>
                <w:color w:val="auto"/>
              </w:rPr>
            </w:pPr>
            <w:r>
              <w:rPr>
                <w:rFonts w:ascii="Arial" w:cs="Arial" w:eastAsia="Arial" w:hAnsi="Arial"/>
                <w:sz w:val="18"/>
                <w:szCs w:val="18"/>
                <w:color w:val="auto"/>
              </w:rPr>
              <w:t>Denmark</w:t>
            </w:r>
          </w:p>
        </w:tc>
      </w:tr>
      <w:tr>
        <w:trPr>
          <w:trHeight w:val="243"/>
        </w:trPr>
        <w:tc>
          <w:tcPr>
            <w:tcW w:w="4280" w:type="dxa"/>
            <w:vAlign w:val="bottom"/>
            <w:gridSpan w:val="3"/>
          </w:tcPr>
          <w:p>
            <w:pPr>
              <w:ind w:left="60"/>
              <w:spacing w:after="0"/>
              <w:rPr>
                <w:sz w:val="20"/>
                <w:szCs w:val="20"/>
                <w:color w:val="auto"/>
              </w:rPr>
            </w:pPr>
            <w:r>
              <w:rPr>
                <w:rFonts w:ascii="Arial" w:cs="Arial" w:eastAsia="Arial" w:hAnsi="Arial"/>
                <w:sz w:val="18"/>
                <w:szCs w:val="18"/>
                <w:color w:val="auto"/>
              </w:rPr>
              <w:t>Kugelfertigung Eltmann GmbH</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Germany</w:t>
            </w:r>
          </w:p>
        </w:tc>
      </w:tr>
      <w:tr>
        <w:trPr>
          <w:trHeight w:val="243"/>
        </w:trPr>
        <w:tc>
          <w:tcPr>
            <w:tcW w:w="4280" w:type="dxa"/>
            <w:vAlign w:val="bottom"/>
            <w:gridSpan w:val="3"/>
            <w:shd w:val="clear" w:color="auto" w:fill="E2EEF6"/>
          </w:tcPr>
          <w:p>
            <w:pPr>
              <w:ind w:left="60"/>
              <w:spacing w:after="0"/>
              <w:rPr>
                <w:sz w:val="20"/>
                <w:szCs w:val="20"/>
                <w:color w:val="auto"/>
              </w:rPr>
            </w:pPr>
            <w:r>
              <w:rPr>
                <w:rFonts w:ascii="Arial" w:cs="Arial" w:eastAsia="Arial" w:hAnsi="Arial"/>
                <w:sz w:val="18"/>
                <w:szCs w:val="18"/>
                <w:color w:val="auto"/>
              </w:rPr>
              <w:t>Euroball S.p.A.</w:t>
            </w:r>
          </w:p>
        </w:tc>
        <w:tc>
          <w:tcPr>
            <w:tcW w:w="4260" w:type="dxa"/>
            <w:vAlign w:val="bottom"/>
            <w:gridSpan w:val="2"/>
            <w:shd w:val="clear" w:color="auto" w:fill="E2EEF6"/>
          </w:tcPr>
          <w:p>
            <w:pPr>
              <w:ind w:left="60"/>
              <w:spacing w:after="0"/>
              <w:rPr>
                <w:sz w:val="20"/>
                <w:szCs w:val="20"/>
                <w:color w:val="auto"/>
              </w:rPr>
            </w:pPr>
            <w:r>
              <w:rPr>
                <w:rFonts w:ascii="Arial" w:cs="Arial" w:eastAsia="Arial" w:hAnsi="Arial"/>
                <w:sz w:val="18"/>
                <w:szCs w:val="18"/>
                <w:color w:val="auto"/>
              </w:rPr>
              <w:t>Italy</w:t>
            </w:r>
          </w:p>
        </w:tc>
      </w:tr>
      <w:tr>
        <w:trPr>
          <w:trHeight w:val="216"/>
        </w:trPr>
        <w:tc>
          <w:tcPr>
            <w:tcW w:w="4280" w:type="dxa"/>
            <w:vAlign w:val="bottom"/>
            <w:gridSpan w:val="3"/>
          </w:tcPr>
          <w:p>
            <w:pPr>
              <w:ind w:left="40"/>
              <w:spacing w:after="0"/>
              <w:rPr>
                <w:sz w:val="20"/>
                <w:szCs w:val="20"/>
                <w:color w:val="auto"/>
              </w:rPr>
            </w:pPr>
            <w:r>
              <w:rPr>
                <w:rFonts w:ascii="Arial" w:cs="Arial" w:eastAsia="Arial" w:hAnsi="Arial"/>
                <w:sz w:val="18"/>
                <w:szCs w:val="18"/>
                <w:color w:val="auto"/>
              </w:rPr>
              <w:t>NN Euroball Ireland, Ltd.</w:t>
            </w:r>
          </w:p>
        </w:tc>
        <w:tc>
          <w:tcPr>
            <w:tcW w:w="4260" w:type="dxa"/>
            <w:vAlign w:val="bottom"/>
            <w:gridSpan w:val="2"/>
          </w:tcPr>
          <w:p>
            <w:pPr>
              <w:ind w:left="40"/>
              <w:spacing w:after="0"/>
              <w:rPr>
                <w:sz w:val="20"/>
                <w:szCs w:val="20"/>
                <w:color w:val="auto"/>
              </w:rPr>
            </w:pPr>
            <w:r>
              <w:rPr>
                <w:rFonts w:ascii="Arial" w:cs="Arial" w:eastAsia="Arial" w:hAnsi="Arial"/>
                <w:sz w:val="18"/>
                <w:szCs w:val="18"/>
                <w:color w:val="auto"/>
              </w:rPr>
              <w:t>Ireland</w:t>
            </w:r>
          </w:p>
        </w:tc>
      </w:tr>
      <w:tr>
        <w:trPr>
          <w:trHeight w:val="243"/>
        </w:trPr>
        <w:tc>
          <w:tcPr>
            <w:tcW w:w="4280" w:type="dxa"/>
            <w:vAlign w:val="bottom"/>
            <w:gridSpan w:val="3"/>
            <w:shd w:val="clear" w:color="auto" w:fill="E2EEF6"/>
          </w:tcPr>
          <w:p>
            <w:pPr>
              <w:ind w:left="60"/>
              <w:spacing w:after="0"/>
              <w:rPr>
                <w:sz w:val="20"/>
                <w:szCs w:val="20"/>
                <w:color w:val="auto"/>
              </w:rPr>
            </w:pPr>
            <w:r>
              <w:rPr>
                <w:rFonts w:ascii="Arial" w:cs="Arial" w:eastAsia="Arial" w:hAnsi="Arial"/>
                <w:sz w:val="18"/>
                <w:szCs w:val="18"/>
                <w:color w:val="auto"/>
              </w:rPr>
              <w:t>NN Mexico LLC</w:t>
            </w:r>
          </w:p>
        </w:tc>
        <w:tc>
          <w:tcPr>
            <w:tcW w:w="4260" w:type="dxa"/>
            <w:vAlign w:val="bottom"/>
            <w:gridSpan w:val="2"/>
            <w:shd w:val="clear" w:color="auto" w:fill="E2EEF6"/>
          </w:tcPr>
          <w:p>
            <w:pPr>
              <w:ind w:left="40"/>
              <w:spacing w:after="0"/>
              <w:rPr>
                <w:sz w:val="20"/>
                <w:szCs w:val="20"/>
                <w:color w:val="auto"/>
              </w:rPr>
            </w:pPr>
            <w:r>
              <w:rPr>
                <w:rFonts w:ascii="Arial" w:cs="Arial" w:eastAsia="Arial" w:hAnsi="Arial"/>
                <w:sz w:val="18"/>
                <w:szCs w:val="18"/>
                <w:color w:val="auto"/>
              </w:rPr>
              <w:t>Delaware</w:t>
            </w:r>
          </w:p>
        </w:tc>
      </w:tr>
      <w:tr>
        <w:trPr>
          <w:trHeight w:val="243"/>
        </w:trPr>
        <w:tc>
          <w:tcPr>
            <w:tcW w:w="4280" w:type="dxa"/>
            <w:vAlign w:val="bottom"/>
            <w:gridSpan w:val="3"/>
          </w:tcPr>
          <w:p>
            <w:pPr>
              <w:ind w:left="60"/>
              <w:spacing w:after="0"/>
              <w:rPr>
                <w:sz w:val="20"/>
                <w:szCs w:val="20"/>
                <w:color w:val="auto"/>
              </w:rPr>
            </w:pPr>
            <w:r>
              <w:rPr>
                <w:rFonts w:ascii="Arial" w:cs="Arial" w:eastAsia="Arial" w:hAnsi="Arial"/>
                <w:sz w:val="18"/>
                <w:szCs w:val="18"/>
                <w:color w:val="auto"/>
              </w:rPr>
              <w:t>NN Arte S De R.L. De D.V.</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Mexico</w:t>
            </w:r>
          </w:p>
        </w:tc>
      </w:tr>
      <w:tr>
        <w:trPr>
          <w:trHeight w:val="243"/>
        </w:trPr>
        <w:tc>
          <w:tcPr>
            <w:tcW w:w="4280" w:type="dxa"/>
            <w:vAlign w:val="bottom"/>
            <w:gridSpan w:val="3"/>
            <w:shd w:val="clear" w:color="auto" w:fill="E2EEF6"/>
          </w:tcPr>
          <w:p>
            <w:pPr>
              <w:ind w:left="60"/>
              <w:spacing w:after="0"/>
              <w:rPr>
                <w:sz w:val="20"/>
                <w:szCs w:val="20"/>
                <w:color w:val="auto"/>
              </w:rPr>
            </w:pPr>
            <w:r>
              <w:rPr>
                <w:rFonts w:ascii="Arial" w:cs="Arial" w:eastAsia="Arial" w:hAnsi="Arial"/>
                <w:sz w:val="18"/>
                <w:szCs w:val="18"/>
                <w:color w:val="auto"/>
              </w:rPr>
              <w:t>NN Netherlands B.V.</w:t>
            </w:r>
          </w:p>
        </w:tc>
        <w:tc>
          <w:tcPr>
            <w:tcW w:w="4260" w:type="dxa"/>
            <w:vAlign w:val="bottom"/>
            <w:gridSpan w:val="2"/>
            <w:shd w:val="clear" w:color="auto" w:fill="E2EEF6"/>
          </w:tcPr>
          <w:p>
            <w:pPr>
              <w:ind w:left="60"/>
              <w:spacing w:after="0"/>
              <w:rPr>
                <w:sz w:val="20"/>
                <w:szCs w:val="20"/>
                <w:color w:val="auto"/>
              </w:rPr>
            </w:pPr>
            <w:r>
              <w:rPr>
                <w:rFonts w:ascii="Arial" w:cs="Arial" w:eastAsia="Arial" w:hAnsi="Arial"/>
                <w:sz w:val="18"/>
                <w:szCs w:val="18"/>
                <w:color w:val="auto"/>
              </w:rPr>
              <w:t>The Netherlands</w:t>
            </w:r>
          </w:p>
        </w:tc>
      </w:tr>
      <w:tr>
        <w:trPr>
          <w:trHeight w:val="243"/>
        </w:trPr>
        <w:tc>
          <w:tcPr>
            <w:tcW w:w="4280" w:type="dxa"/>
            <w:vAlign w:val="bottom"/>
            <w:gridSpan w:val="3"/>
          </w:tcPr>
          <w:p>
            <w:pPr>
              <w:ind w:left="60"/>
              <w:spacing w:after="0"/>
              <w:rPr>
                <w:sz w:val="20"/>
                <w:szCs w:val="20"/>
                <w:color w:val="auto"/>
              </w:rPr>
            </w:pPr>
            <w:r>
              <w:rPr>
                <w:rFonts w:ascii="Arial" w:cs="Arial" w:eastAsia="Arial" w:hAnsi="Arial"/>
                <w:sz w:val="18"/>
                <w:szCs w:val="18"/>
                <w:color w:val="auto"/>
              </w:rPr>
              <w:t>NN Holdings B.V.</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The Netherlands</w:t>
            </w:r>
          </w:p>
        </w:tc>
      </w:tr>
      <w:tr>
        <w:trPr>
          <w:trHeight w:val="243"/>
        </w:trPr>
        <w:tc>
          <w:tcPr>
            <w:tcW w:w="4280" w:type="dxa"/>
            <w:vAlign w:val="bottom"/>
            <w:gridSpan w:val="3"/>
            <w:shd w:val="clear" w:color="auto" w:fill="E2EEF6"/>
          </w:tcPr>
          <w:p>
            <w:pPr>
              <w:ind w:left="60"/>
              <w:spacing w:after="0"/>
              <w:rPr>
                <w:sz w:val="20"/>
                <w:szCs w:val="20"/>
                <w:color w:val="auto"/>
              </w:rPr>
            </w:pPr>
            <w:r>
              <w:rPr>
                <w:rFonts w:ascii="Arial" w:cs="Arial" w:eastAsia="Arial" w:hAnsi="Arial"/>
                <w:sz w:val="18"/>
                <w:szCs w:val="18"/>
                <w:color w:val="auto"/>
              </w:rPr>
              <w:t>NN Slovakia, s.r.o</w:t>
            </w:r>
          </w:p>
        </w:tc>
        <w:tc>
          <w:tcPr>
            <w:tcW w:w="4260" w:type="dxa"/>
            <w:vAlign w:val="bottom"/>
            <w:gridSpan w:val="2"/>
            <w:shd w:val="clear" w:color="auto" w:fill="E2EEF6"/>
          </w:tcPr>
          <w:p>
            <w:pPr>
              <w:ind w:left="60"/>
              <w:spacing w:after="0"/>
              <w:rPr>
                <w:sz w:val="20"/>
                <w:szCs w:val="20"/>
                <w:color w:val="auto"/>
              </w:rPr>
            </w:pPr>
            <w:r>
              <w:rPr>
                <w:rFonts w:ascii="Arial" w:cs="Arial" w:eastAsia="Arial" w:hAnsi="Arial"/>
                <w:sz w:val="18"/>
                <w:szCs w:val="18"/>
                <w:color w:val="auto"/>
              </w:rPr>
              <w:t>Slovak Republic</w:t>
            </w:r>
          </w:p>
        </w:tc>
      </w:tr>
      <w:tr>
        <w:trPr>
          <w:trHeight w:val="243"/>
        </w:trPr>
        <w:tc>
          <w:tcPr>
            <w:tcW w:w="4280" w:type="dxa"/>
            <w:vAlign w:val="bottom"/>
            <w:gridSpan w:val="3"/>
          </w:tcPr>
          <w:p>
            <w:pPr>
              <w:ind w:left="60"/>
              <w:spacing w:after="0"/>
              <w:rPr>
                <w:sz w:val="20"/>
                <w:szCs w:val="20"/>
                <w:color w:val="auto"/>
              </w:rPr>
            </w:pPr>
            <w:r>
              <w:rPr>
                <w:rFonts w:ascii="Arial" w:cs="Arial" w:eastAsia="Arial" w:hAnsi="Arial"/>
                <w:sz w:val="18"/>
                <w:szCs w:val="18"/>
                <w:color w:val="auto"/>
              </w:rPr>
              <w:t>NN Precision Bearing Products Company Co., Ltd</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The People's Republic of China</w:t>
            </w:r>
          </w:p>
        </w:tc>
      </w:tr>
    </w:tbl>
    <w:p>
      <w:pPr>
        <w:sectPr>
          <w:pgSz w:w="11900" w:h="16838" w:orient="portrait"/>
          <w:cols w:equalWidth="0" w:num="1">
            <w:col w:w="10219"/>
          </w:cols>
          <w:pgMar w:left="240" w:top="118" w:right="1440"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23.1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85"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We hereby consent to the incorporation by reference in the Registration Statements on Forms S-8 (No. 333-130395, No. 333-50934, No. 33-87572, and No. 333-69588) and S-3 (No. 333-100119 and No. 333-89950) of NN, Inc. of our report dated March 15, 2006 relating to the financial statements, management’s assessment of the effectiveness of internal control over financial reporting and the effectiveness of internal control over financial reporting, which appears in this Form 10-K. We also consent to the reference to us under the heading “Selected Financial Data” in this Form 10-K.</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3" w:lineRule="auto"/>
        <w:rPr>
          <w:sz w:val="20"/>
          <w:szCs w:val="20"/>
          <w:color w:val="auto"/>
        </w:rPr>
      </w:pPr>
      <w:r>
        <w:rPr>
          <w:rFonts w:ascii="Arial" w:cs="Arial" w:eastAsia="Arial" w:hAnsi="Arial"/>
          <w:sz w:val="18"/>
          <w:szCs w:val="18"/>
          <w:color w:val="auto"/>
        </w:rPr>
        <w:t>Charlotte, North Carolina</w:t>
      </w:r>
    </w:p>
    <w:p>
      <w:pPr>
        <w:spacing w:after="0"/>
        <w:rPr>
          <w:sz w:val="20"/>
          <w:szCs w:val="20"/>
          <w:color w:val="auto"/>
        </w:rPr>
      </w:pPr>
      <w:r>
        <w:rPr>
          <w:rFonts w:ascii="Arial" w:cs="Arial" w:eastAsia="Arial" w:hAnsi="Arial"/>
          <w:sz w:val="18"/>
          <w:szCs w:val="18"/>
          <w:color w:val="auto"/>
        </w:rPr>
        <w:t>March 16, 2006</w:t>
      </w:r>
    </w:p>
    <w:p>
      <w:pPr>
        <w:sectPr>
          <w:pgSz w:w="11900" w:h="16838" w:orient="portrait"/>
          <w:cols w:equalWidth="0" w:num="1">
            <w:col w:w="11420"/>
          </w:cols>
          <w:pgMar w:left="240" w:top="607" w:right="239" w:bottom="1440" w:gutter="0" w:footer="0" w:header="0"/>
        </w:sectPr>
      </w:pPr>
    </w:p>
    <w:bookmarkStart w:id="80" w:name="page81"/>
    <w:bookmarkEnd w:id="80"/>
    <w:p>
      <w:pPr>
        <w:ind w:left="10500"/>
        <w:spacing w:after="0"/>
        <w:rPr>
          <w:sz w:val="20"/>
          <w:szCs w:val="20"/>
          <w:color w:val="auto"/>
        </w:rPr>
      </w:pPr>
      <w:r>
        <w:rPr>
          <w:rFonts w:ascii="Arial" w:cs="Arial" w:eastAsia="Arial" w:hAnsi="Arial"/>
          <w:sz w:val="16"/>
          <w:szCs w:val="16"/>
          <w:b w:val="1"/>
          <w:bCs w:val="1"/>
          <w:color w:val="auto"/>
        </w:rPr>
        <w:t>Exhibit 31.1</w:t>
      </w:r>
    </w:p>
    <w:p>
      <w:pPr>
        <w:spacing w:after="0" w:line="5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CERTIFICATION PURSUANT TO RULES 13a-14(a) AND 15d-14(a) UNDER THE SECURITIES EXCHANGE ACT OF 1934, AS AMENDED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Roderick R. Baty, certify that:</w:t>
      </w:r>
    </w:p>
    <w:p>
      <w:pPr>
        <w:spacing w:after="0" w:line="279" w:lineRule="exact"/>
        <w:rPr>
          <w:sz w:val="20"/>
          <w:szCs w:val="20"/>
          <w:color w:val="auto"/>
        </w:rPr>
      </w:pPr>
    </w:p>
    <w:p>
      <w:pPr>
        <w:ind w:left="340" w:hanging="248"/>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279" w:lineRule="exact"/>
        <w:rPr>
          <w:rFonts w:ascii="Arial" w:cs="Arial" w:eastAsia="Arial" w:hAnsi="Arial"/>
          <w:sz w:val="18"/>
          <w:szCs w:val="18"/>
          <w:color w:val="auto"/>
        </w:rPr>
      </w:pPr>
    </w:p>
    <w:p>
      <w:pPr>
        <w:ind w:left="340" w:hanging="248"/>
        <w:spacing w:after="0" w:line="34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left="340" w:hanging="248"/>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jc w:val="both"/>
        <w:ind w:left="340" w:hanging="248"/>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jc w:val="both"/>
        <w:ind w:left="660" w:hanging="244"/>
        <w:spacing w:after="0" w:line="264"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left="660" w:right="20" w:hanging="234"/>
        <w:spacing w:after="0" w:line="308" w:lineRule="auto"/>
        <w:tabs>
          <w:tab w:leader="none" w:pos="6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jc w:val="both"/>
        <w:ind w:left="660" w:hanging="244"/>
        <w:spacing w:after="0" w:line="264"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340" w:hanging="248"/>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4" w:lineRule="exact"/>
        <w:rPr>
          <w:rFonts w:ascii="Arial" w:cs="Arial" w:eastAsia="Arial" w:hAnsi="Arial"/>
          <w:sz w:val="18"/>
          <w:szCs w:val="18"/>
          <w:color w:val="auto"/>
        </w:rPr>
      </w:pPr>
    </w:p>
    <w:p>
      <w:pPr>
        <w:ind w:left="660" w:hanging="234"/>
        <w:spacing w:after="0" w:line="27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i w:val="1"/>
          <w:iCs w:val="1"/>
          <w:u w:val="single" w:color="auto"/>
          <w:color w:val="auto"/>
        </w:rPr>
        <w:t>s/ Roderick R.</w:t>
      </w:r>
      <w:r>
        <w:rPr>
          <w:rFonts w:ascii="Arial" w:cs="Arial" w:eastAsia="Arial" w:hAnsi="Arial"/>
          <w:sz w:val="22"/>
          <w:szCs w:val="22"/>
          <w:color w:val="auto"/>
        </w:rPr>
        <w:t xml:space="preserve"> </w:t>
      </w:r>
      <w:r>
        <w:rPr>
          <w:rFonts w:ascii="Arial" w:cs="Arial" w:eastAsia="Arial" w:hAnsi="Arial"/>
          <w:sz w:val="18"/>
          <w:szCs w:val="18"/>
          <w:i w:val="1"/>
          <w:iCs w:val="1"/>
          <w:u w:val="single" w:color="auto"/>
          <w:color w:val="auto"/>
        </w:rPr>
        <w:t>Baty</w:t>
      </w:r>
    </w:p>
    <w:p>
      <w:pPr>
        <w:spacing w:after="0"/>
        <w:tabs>
          <w:tab w:leader="none" w:pos="584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15, 2006</w:t>
      </w:r>
      <w:r>
        <w:rPr>
          <w:sz w:val="20"/>
          <w:szCs w:val="20"/>
          <w:color w:val="auto"/>
        </w:rPr>
        <w:tab/>
      </w:r>
      <w:r>
        <w:rPr>
          <w:rFonts w:ascii="Arial" w:cs="Arial" w:eastAsia="Arial" w:hAnsi="Arial"/>
          <w:sz w:val="16"/>
          <w:szCs w:val="16"/>
          <w:color w:val="auto"/>
        </w:rPr>
        <w:t>Roderick R. Baty</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121" w:right="239" w:bottom="1440" w:gutter="0" w:footer="0" w:header="0"/>
        </w:sectPr>
      </w:pPr>
    </w:p>
    <w:bookmarkStart w:id="81" w:name="page82"/>
    <w:bookmarkEnd w:id="8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RULES 13a-14(a) AND 15d-14(a) UNDER THE SECURITIES EXCHANGE ACT OF 1934, AS AMENDED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279" w:lineRule="exact"/>
        <w:rPr>
          <w:sz w:val="20"/>
          <w:szCs w:val="20"/>
          <w:color w:val="auto"/>
        </w:rPr>
      </w:pPr>
    </w:p>
    <w:p>
      <w:pPr>
        <w:ind w:left="340" w:hanging="248"/>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279" w:lineRule="exact"/>
        <w:rPr>
          <w:rFonts w:ascii="Arial" w:cs="Arial" w:eastAsia="Arial" w:hAnsi="Arial"/>
          <w:sz w:val="18"/>
          <w:szCs w:val="18"/>
          <w:color w:val="auto"/>
        </w:rPr>
      </w:pPr>
    </w:p>
    <w:p>
      <w:pPr>
        <w:ind w:left="340" w:hanging="248"/>
        <w:spacing w:after="0" w:line="342"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left="340" w:hanging="248"/>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jc w:val="both"/>
        <w:ind w:left="340" w:hanging="248"/>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jc w:val="both"/>
        <w:ind w:left="660" w:hanging="244"/>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left="660" w:right="20" w:hanging="234"/>
        <w:spacing w:after="0" w:line="308" w:lineRule="auto"/>
        <w:tabs>
          <w:tab w:leader="none" w:pos="6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jc w:val="both"/>
        <w:ind w:left="660" w:hanging="244"/>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340" w:hanging="248"/>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4" w:lineRule="exact"/>
        <w:rPr>
          <w:rFonts w:ascii="Arial" w:cs="Arial" w:eastAsia="Arial" w:hAnsi="Arial"/>
          <w:sz w:val="18"/>
          <w:szCs w:val="18"/>
          <w:color w:val="auto"/>
        </w:rPr>
      </w:pPr>
    </w:p>
    <w:p>
      <w:pPr>
        <w:ind w:left="660" w:hanging="234"/>
        <w:spacing w:after="0" w:line="27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7"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i w:val="1"/>
          <w:iCs w:val="1"/>
          <w:u w:val="single" w:color="auto"/>
          <w:color w:val="auto"/>
        </w:rPr>
        <w:t>s/ James H. Dorton</w:t>
      </w:r>
    </w:p>
    <w:p>
      <w:pPr>
        <w:spacing w:after="0"/>
        <w:tabs>
          <w:tab w:leader="none" w:pos="61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15, 2006</w:t>
      </w:r>
      <w:r>
        <w:rPr>
          <w:sz w:val="20"/>
          <w:szCs w:val="20"/>
          <w:color w:val="auto"/>
        </w:rPr>
        <w:tab/>
      </w:r>
      <w:r>
        <w:rPr>
          <w:rFonts w:ascii="Arial" w:cs="Arial" w:eastAsia="Arial" w:hAnsi="Arial"/>
          <w:sz w:val="16"/>
          <w:szCs w:val="16"/>
          <w:color w:val="auto"/>
        </w:rPr>
        <w:t>James H. Dorton</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Vice President- Corporate Development and Chief Financial Officer</w:t>
      </w:r>
    </w:p>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Annual Report of NN, Inc. (the “Company”) on Form 10-K for the annual period ended December 31, 2005,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 w:type="dxa"/>
            <w:vAlign w:val="bottom"/>
            <w:vMerge w:val="restart"/>
          </w:tcPr>
          <w:p>
            <w:pPr>
              <w:spacing w:after="0"/>
              <w:rPr>
                <w:sz w:val="20"/>
                <w:szCs w:val="20"/>
                <w:color w:val="auto"/>
              </w:rPr>
            </w:pPr>
            <w:r>
              <w:rPr>
                <w:rFonts w:ascii="Arial" w:cs="Arial" w:eastAsia="Arial" w:hAnsi="Arial"/>
                <w:sz w:val="18"/>
                <w:szCs w:val="18"/>
                <w:color w:val="auto"/>
                <w:w w:val="97"/>
              </w:rPr>
              <w:t>Date:</w:t>
            </w:r>
          </w:p>
        </w:tc>
        <w:tc>
          <w:tcPr>
            <w:tcW w:w="1140" w:type="dxa"/>
            <w:vAlign w:val="bottom"/>
            <w:vMerge w:val="restart"/>
          </w:tcPr>
          <w:p>
            <w:pPr>
              <w:spacing w:after="0"/>
              <w:rPr>
                <w:sz w:val="20"/>
                <w:szCs w:val="20"/>
                <w:color w:val="auto"/>
              </w:rPr>
            </w:pPr>
            <w:r>
              <w:rPr>
                <w:rFonts w:ascii="Arial" w:cs="Arial" w:eastAsia="Arial" w:hAnsi="Arial"/>
                <w:sz w:val="18"/>
                <w:szCs w:val="18"/>
                <w:color w:val="auto"/>
                <w:w w:val="89"/>
              </w:rPr>
              <w:t>March 15, 2006</w:t>
            </w:r>
          </w:p>
        </w:tc>
        <w:tc>
          <w:tcPr>
            <w:tcW w:w="5800" w:type="dxa"/>
            <w:vAlign w:val="bottom"/>
            <w:gridSpan w:val="3"/>
          </w:tcPr>
          <w:p>
            <w:pPr>
              <w:ind w:left="216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i w:val="1"/>
                <w:iCs w:val="1"/>
                <w:color w:val="auto"/>
              </w:rPr>
              <w:t>s/ Roderick R.</w:t>
            </w:r>
            <w:r>
              <w:rPr>
                <w:rFonts w:ascii="Arial" w:cs="Arial" w:eastAsia="Arial" w:hAnsi="Arial"/>
                <w:sz w:val="22"/>
                <w:szCs w:val="22"/>
                <w:color w:val="auto"/>
              </w:rPr>
              <w:t xml:space="preserve"> </w:t>
            </w:r>
            <w:r>
              <w:rPr>
                <w:rFonts w:ascii="Arial" w:cs="Arial" w:eastAsia="Arial" w:hAnsi="Arial"/>
                <w:sz w:val="18"/>
                <w:szCs w:val="18"/>
                <w:i w:val="1"/>
                <w:iCs w:val="1"/>
                <w:color w:val="auto"/>
              </w:rPr>
              <w:t>Baty</w:t>
            </w:r>
          </w:p>
        </w:tc>
        <w:tc>
          <w:tcPr>
            <w:tcW w:w="0" w:type="dxa"/>
            <w:vAlign w:val="bottom"/>
          </w:tcPr>
          <w:p>
            <w:pPr>
              <w:spacing w:after="0"/>
              <w:rPr>
                <w:sz w:val="1"/>
                <w:szCs w:val="1"/>
                <w:color w:val="auto"/>
              </w:rPr>
            </w:pPr>
          </w:p>
        </w:tc>
      </w:tr>
      <w:tr>
        <w:trPr>
          <w:trHeight w:val="183"/>
        </w:trPr>
        <w:tc>
          <w:tcPr>
            <w:tcW w:w="440" w:type="dxa"/>
            <w:vAlign w:val="bottom"/>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220" w:type="dxa"/>
            <w:vAlign w:val="bottom"/>
          </w:tcPr>
          <w:p>
            <w:pPr>
              <w:spacing w:after="0"/>
              <w:rPr>
                <w:sz w:val="15"/>
                <w:szCs w:val="15"/>
                <w:color w:val="auto"/>
              </w:rPr>
            </w:pPr>
          </w:p>
        </w:tc>
        <w:tc>
          <w:tcPr>
            <w:tcW w:w="1380" w:type="dxa"/>
            <w:vAlign w:val="bottom"/>
            <w:tcBorders>
              <w:top w:val="single" w:sz="8" w:color="auto"/>
              <w:bottom w:val="single" w:sz="8" w:color="auto"/>
            </w:tcBorders>
          </w:tcPr>
          <w:p>
            <w:pPr>
              <w:ind w:left="40"/>
              <w:spacing w:after="0" w:line="182" w:lineRule="exact"/>
              <w:rPr>
                <w:sz w:val="20"/>
                <w:szCs w:val="20"/>
                <w:color w:val="auto"/>
              </w:rPr>
            </w:pPr>
            <w:r>
              <w:rPr>
                <w:rFonts w:ascii="Arial" w:cs="Arial" w:eastAsia="Arial" w:hAnsi="Arial"/>
                <w:sz w:val="18"/>
                <w:szCs w:val="18"/>
                <w:color w:val="auto"/>
                <w:w w:val="97"/>
              </w:rPr>
              <w:t>Roderick R. Baty</w:t>
            </w: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3580" w:type="dxa"/>
            <w:vAlign w:val="bottom"/>
            <w:gridSpan w:val="2"/>
          </w:tcPr>
          <w:p>
            <w:pPr>
              <w:ind w:left="40"/>
              <w:spacing w:after="0"/>
              <w:rPr>
                <w:sz w:val="20"/>
                <w:szCs w:val="20"/>
                <w:color w:val="auto"/>
              </w:rPr>
            </w:pPr>
            <w:r>
              <w:rPr>
                <w:rFonts w:ascii="Arial" w:cs="Arial" w:eastAsia="Arial" w:hAnsi="Arial"/>
                <w:sz w:val="18"/>
                <w:szCs w:val="18"/>
                <w:color w:val="auto"/>
                <w:w w:val="90"/>
              </w:rPr>
              <w:t>Chairman, President and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32.2</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Annual Report of NN, Inc. (the “Company”) on Form 10-K for the annual period ended December 31, 2005,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i w:val="1"/>
          <w:iCs w:val="1"/>
          <w:u w:val="single" w:color="auto"/>
          <w:color w:val="auto"/>
        </w:rPr>
        <w:t>s/ James H. Dorton</w:t>
      </w:r>
    </w:p>
    <w:p>
      <w:pPr>
        <w:spacing w:after="0"/>
        <w:tabs>
          <w:tab w:leader="none" w:pos="61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15, 2006</w:t>
      </w:r>
      <w:r>
        <w:rPr>
          <w:sz w:val="20"/>
          <w:szCs w:val="20"/>
          <w:color w:val="auto"/>
        </w:rPr>
        <w:tab/>
      </w:r>
      <w:r>
        <w:rPr>
          <w:rFonts w:ascii="Arial" w:cs="Arial" w:eastAsia="Arial" w:hAnsi="Arial"/>
          <w:sz w:val="16"/>
          <w:szCs w:val="16"/>
          <w:color w:val="auto"/>
        </w:rPr>
        <w:t>James H. Dorton</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Vice President- Corporate Development and Chief Financial Officer</w:t>
      </w:r>
    </w:p>
    <w:p>
      <w:pPr>
        <w:spacing w:after="0" w:line="200" w:lineRule="exact"/>
        <w:rPr>
          <w:sz w:val="20"/>
          <w:szCs w:val="20"/>
          <w:color w:val="auto"/>
        </w:rPr>
      </w:pPr>
    </w:p>
    <w:p>
      <w:pPr>
        <w:spacing w:after="0" w:line="3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upperLetter"/>
      <w:start w:val="40"/>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lowerLetter"/>
      <w:start w:val="1"/>
    </w:lvl>
    <w:lvl w:ilvl="1">
      <w:lvlJc w:val="left"/>
      <w:lvlText w:val="%2"/>
      <w:numFmt w:val="upperLetter"/>
      <w:start w:val="40"/>
    </w:lvl>
  </w:abstractNum>
  <w:abstractNum w:abstractNumId="9">
    <w:nsid w:val="436C6125"/>
    <w:multiLevelType w:val="hybridMultilevel"/>
    <w:lvl w:ilvl="0">
      <w:lvlJc w:val="left"/>
      <w:lvlText w:val="(%1)"/>
      <w:numFmt w:val="lowerLetter"/>
      <w:start w:val="2"/>
    </w:lvl>
    <w:lvl w:ilvl="1">
      <w:lvlJc w:val="left"/>
      <w:lvlText w:val="%2"/>
      <w:numFmt w:val="upperLetter"/>
      <w:start w:val="1"/>
    </w:lvl>
  </w:abstractNum>
  <w:abstractNum w:abstractNumId="10">
    <w:nsid w:val="628C895D"/>
    <w:multiLevelType w:val="hybridMultilevel"/>
    <w:lvl w:ilvl="0">
      <w:lvlJc w:val="left"/>
      <w:lvlText w:val="%1)"/>
      <w:numFmt w:val="decimal"/>
      <w:start w:val="3"/>
    </w:lvl>
  </w:abstractNum>
  <w:abstractNum w:abstractNumId="11">
    <w:nsid w:val="333AB105"/>
    <w:multiLevelType w:val="hybridMultilevel"/>
    <w:lvl w:ilvl="0">
      <w:lvlJc w:val="left"/>
      <w:lvlText w:val="%1"/>
      <w:numFmt w:val="upperLetter"/>
      <w:start w:val="40"/>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upperLetter"/>
      <w:start w:val="40"/>
    </w:lvl>
  </w:abstractNum>
  <w:abstractNum w:abstractNumId="17">
    <w:nsid w:val="8EDBDAB"/>
    <w:multiLevelType w:val="hybridMultilevel"/>
    <w:lvl w:ilvl="0">
      <w:lvlJc w:val="left"/>
      <w:lvlText w:val="%1)"/>
      <w:numFmt w:val="decimal"/>
      <w:start w:val="17"/>
    </w:lvl>
  </w:abstractNum>
  <w:abstractNum w:abstractNumId="18">
    <w:nsid w:val="79838CB2"/>
    <w:multiLevelType w:val="hybridMultilevel"/>
    <w:lvl w:ilvl="0">
      <w:lvlJc w:val="left"/>
      <w:lvlText w:val="%1)"/>
      <w:numFmt w:val="decimal"/>
      <w:start w:val="18"/>
    </w:lvl>
  </w:abstractNum>
  <w:abstractNum w:abstractNumId="19">
    <w:nsid w:val="4353D0CD"/>
    <w:multiLevelType w:val="hybridMultilevel"/>
    <w:lvl w:ilvl="0">
      <w:lvlJc w:val="left"/>
      <w:lvlText w:val="(%1)"/>
      <w:numFmt w:val="lowerLetter"/>
      <w:start w:val="1"/>
    </w:lvl>
    <w:lvl w:ilvl="1">
      <w:lvlJc w:val="left"/>
      <w:lvlText w:val="%2."/>
      <w:numFmt w:val="decimal"/>
      <w:start w:val="1"/>
    </w:lvl>
  </w:abstractNum>
  <w:abstractNum w:abstractNumId="20">
    <w:nsid w:val="B03E0C6"/>
    <w:multiLevelType w:val="hybridMultilevel"/>
    <w:lvl w:ilvl="0">
      <w:lvlJc w:val="left"/>
      <w:lvlText w:val="%1"/>
      <w:numFmt w:val="lowerLetter"/>
      <w:start w:val="1"/>
    </w:lvl>
    <w:lvl w:ilvl="1">
      <w:lvlJc w:val="left"/>
      <w:lvlText w:val="%2."/>
      <w:numFmt w:val="decimal"/>
      <w:start w:val="3"/>
    </w:lvl>
  </w:abstractNum>
  <w:abstractNum w:abstractNumId="21">
    <w:nsid w:val="189A769B"/>
    <w:multiLevelType w:val="hybridMultilevel"/>
    <w:lvl w:ilvl="0">
      <w:lvlJc w:val="left"/>
      <w:lvlText w:val="(%1)"/>
      <w:numFmt w:val="lowerLetter"/>
      <w:start w:val="2"/>
    </w:lvl>
    <w:lvl w:ilvl="1">
      <w:lvlJc w:val="left"/>
      <w:lvlText w:val="%2"/>
      <w:numFmt w:val="decimal"/>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2"/>
    </w:lvl>
    <w:lvl w:ilvl="1">
      <w:lvlJc w:val="left"/>
      <w:lvlText w:val="%2."/>
      <w:numFmt w:val="lowerLetter"/>
      <w:start w:val="1"/>
    </w:lvl>
  </w:abstractNum>
  <w:abstractNum w:abstractNumId="26">
    <w:nsid w:val="2901D82"/>
    <w:multiLevelType w:val="hybridMultilevel"/>
    <w:lvl w:ilvl="0">
      <w:lvlJc w:val="left"/>
      <w:lvlText w:val="%1."/>
      <w:numFmt w:val="decimal"/>
      <w:start w:val="3"/>
    </w:lvl>
    <w:lvl w:ilvl="1">
      <w:lvlJc w:val="left"/>
      <w:lvlText w:val="%2."/>
      <w:numFmt w:val="lowerLetter"/>
      <w:start w:val="1"/>
    </w:lvl>
  </w:abstractNum>
  <w:abstractNum w:abstractNumId="27">
    <w:nsid w:val="3A95F874"/>
    <w:multiLevelType w:val="hybridMultilevel"/>
    <w:lvl w:ilvl="0">
      <w:lvlJc w:val="left"/>
      <w:lvlText w:val="%1."/>
      <w:numFmt w:val="decimal"/>
      <w:start w:val="7"/>
    </w:lvl>
    <w:lvl w:ilvl="1">
      <w:lvlJc w:val="left"/>
      <w:lvlText w:val="%2."/>
      <w:numFmt w:val="lowerLetter"/>
      <w:start w:val="1"/>
    </w:lvl>
  </w:abstractNum>
  <w:abstractNum w:abstractNumId="28">
    <w:nsid w:val="8138641"/>
    <w:multiLevelType w:val="hybridMultilevel"/>
    <w:lvl w:ilvl="0">
      <w:lvlJc w:val="left"/>
      <w:lvlText w:val="%1"/>
      <w:numFmt w:val="upperLetter"/>
      <w:start w:val="40"/>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2019-12-14T03:08:29Z</dcterms:created>
  <dcterms:modified xsi:type="dcterms:W3CDTF">2019-12-14T03:08:29Z</dcterms:modified>
</cp:coreProperties>
</file>