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751840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768985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65405</wp:posOffset>
            </wp:positionV>
            <wp:extent cx="173164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42545</wp:posOffset>
            </wp:positionV>
            <wp:extent cx="173164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June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58420</wp:posOffset>
            </wp:positionV>
            <wp:extent cx="173164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1645" cy="5715"/>
                    </a:xfrm>
                    <a:prstGeom prst="rect">
                      <a:avLst/>
                    </a:prstGeom>
                    <a:noFill/>
                  </pic:spPr>
                </pic:pic>
              </a:graphicData>
            </a:graphic>
          </wp:anchor>
        </w:drawing>
        <w:drawing>
          <wp:anchor simplePos="0" relativeHeight="251657728" behindDoc="1" locked="0" layoutInCell="0" allowOverlap="1">
            <wp:simplePos x="0" y="0"/>
            <wp:positionH relativeFrom="column">
              <wp:posOffset>2614295</wp:posOffset>
            </wp:positionH>
            <wp:positionV relativeFrom="paragraph">
              <wp:posOffset>104140</wp:posOffset>
            </wp:positionV>
            <wp:extent cx="491490" cy="365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1490" cy="3657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NN, Inc.</w:t>
      </w: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26670</wp:posOffset>
            </wp:positionV>
            <wp:extent cx="173164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0" w:lineRule="exact"/>
        <w:rPr>
          <w:sz w:val="24"/>
          <w:szCs w:val="24"/>
          <w:color w:val="auto"/>
        </w:rPr>
      </w:pPr>
    </w:p>
    <w:tbl>
      <w:tblPr>
        <w:tblLayout w:type="fixed"/>
        <w:tblInd w:w="2060" w:type="dxa"/>
        <w:tblCellMar>
          <w:top w:w="0" w:type="dxa"/>
          <w:left w:w="0" w:type="dxa"/>
          <w:bottom w:w="0" w:type="dxa"/>
          <w:right w:w="0" w:type="dxa"/>
        </w:tblCellMar>
      </w:tblPr>
      <w:tr>
        <w:trPr>
          <w:trHeight w:val="169"/>
        </w:trPr>
        <w:tc>
          <w:tcPr>
            <w:tcW w:w="1560" w:type="dxa"/>
            <w:vAlign w:val="bottom"/>
          </w:tcPr>
          <w:p>
            <w:pPr>
              <w:jc w:val="center"/>
              <w:ind w:right="226"/>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1880" w:type="dxa"/>
            <w:vAlign w:val="bottom"/>
          </w:tcPr>
          <w:p>
            <w:pPr>
              <w:jc w:val="right"/>
              <w:ind w:right="726"/>
              <w:spacing w:after="0"/>
              <w:rPr>
                <w:sz w:val="20"/>
                <w:szCs w:val="20"/>
                <w:color w:val="auto"/>
              </w:rPr>
            </w:pPr>
            <w:r>
              <w:rPr>
                <w:rFonts w:ascii="Times New Roman" w:cs="Times New Roman" w:eastAsia="Times New Roman" w:hAnsi="Times New Roman"/>
                <w:sz w:val="11"/>
                <w:szCs w:val="11"/>
                <w:b w:val="1"/>
                <w:bCs w:val="1"/>
                <w:color w:val="auto"/>
              </w:rPr>
              <w:t>001-39268</w:t>
            </w:r>
          </w:p>
        </w:tc>
        <w:tc>
          <w:tcPr>
            <w:tcW w:w="1200" w:type="dxa"/>
            <w:vAlign w:val="bottom"/>
          </w:tcPr>
          <w:p>
            <w:pPr>
              <w:jc w:val="center"/>
              <w:ind w:left="346"/>
              <w:spacing w:after="0"/>
              <w:rPr>
                <w:sz w:val="20"/>
                <w:szCs w:val="20"/>
                <w:color w:val="auto"/>
              </w:rPr>
            </w:pPr>
            <w:r>
              <w:rPr>
                <w:rFonts w:ascii="Times New Roman" w:cs="Times New Roman" w:eastAsia="Times New Roman" w:hAnsi="Times New Roman"/>
                <w:sz w:val="11"/>
                <w:szCs w:val="11"/>
                <w:b w:val="1"/>
                <w:bCs w:val="1"/>
                <w:color w:val="auto"/>
                <w:w w:val="97"/>
              </w:rPr>
              <w:t>62-1096725</w:t>
            </w:r>
          </w:p>
        </w:tc>
      </w:tr>
      <w:tr>
        <w:trPr>
          <w:trHeight w:val="112"/>
        </w:trPr>
        <w:tc>
          <w:tcPr>
            <w:tcW w:w="1560" w:type="dxa"/>
            <w:vAlign w:val="bottom"/>
          </w:tcPr>
          <w:p>
            <w:pPr>
              <w:jc w:val="center"/>
              <w:ind w:right="226"/>
              <w:spacing w:after="0" w:line="112" w:lineRule="exact"/>
              <w:rPr>
                <w:sz w:val="20"/>
                <w:szCs w:val="20"/>
                <w:color w:val="auto"/>
              </w:rPr>
            </w:pPr>
            <w:r>
              <w:rPr>
                <w:rFonts w:ascii="Times New Roman" w:cs="Times New Roman" w:eastAsia="Times New Roman" w:hAnsi="Times New Roman"/>
                <w:sz w:val="11"/>
                <w:szCs w:val="11"/>
                <w:i w:val="1"/>
                <w:iCs w:val="1"/>
                <w:color w:val="auto"/>
                <w:w w:val="99"/>
              </w:rPr>
              <w:t>(State or other jurisdiction of</w:t>
            </w:r>
          </w:p>
        </w:tc>
        <w:tc>
          <w:tcPr>
            <w:tcW w:w="1880" w:type="dxa"/>
            <w:vAlign w:val="bottom"/>
          </w:tcPr>
          <w:p>
            <w:pPr>
              <w:jc w:val="center"/>
              <w:ind w:right="86"/>
              <w:spacing w:after="0" w:line="112" w:lineRule="exact"/>
              <w:rPr>
                <w:sz w:val="20"/>
                <w:szCs w:val="20"/>
                <w:color w:val="auto"/>
              </w:rPr>
            </w:pPr>
            <w:r>
              <w:rPr>
                <w:rFonts w:ascii="Times New Roman" w:cs="Times New Roman" w:eastAsia="Times New Roman" w:hAnsi="Times New Roman"/>
                <w:sz w:val="11"/>
                <w:szCs w:val="11"/>
                <w:i w:val="1"/>
                <w:iCs w:val="1"/>
                <w:color w:val="auto"/>
                <w:w w:val="97"/>
              </w:rPr>
              <w:t>(Commission File Number)</w:t>
            </w:r>
          </w:p>
        </w:tc>
        <w:tc>
          <w:tcPr>
            <w:tcW w:w="1200" w:type="dxa"/>
            <w:vAlign w:val="bottom"/>
          </w:tcPr>
          <w:p>
            <w:pPr>
              <w:jc w:val="center"/>
              <w:ind w:left="346"/>
              <w:spacing w:after="0" w:line="112" w:lineRule="exact"/>
              <w:rPr>
                <w:sz w:val="20"/>
                <w:szCs w:val="20"/>
                <w:color w:val="auto"/>
              </w:rPr>
            </w:pPr>
            <w:r>
              <w:rPr>
                <w:rFonts w:ascii="Times New Roman" w:cs="Times New Roman" w:eastAsia="Times New Roman" w:hAnsi="Times New Roman"/>
                <w:sz w:val="11"/>
                <w:szCs w:val="11"/>
                <w:i w:val="1"/>
                <w:iCs w:val="1"/>
                <w:color w:val="auto"/>
                <w:w w:val="98"/>
              </w:rPr>
              <w:t>(I.R.S. Employer</w:t>
            </w:r>
          </w:p>
        </w:tc>
      </w:tr>
      <w:tr>
        <w:trPr>
          <w:trHeight w:val="142"/>
        </w:trPr>
        <w:tc>
          <w:tcPr>
            <w:tcW w:w="1560" w:type="dxa"/>
            <w:vAlign w:val="bottom"/>
          </w:tcPr>
          <w:p>
            <w:pPr>
              <w:jc w:val="center"/>
              <w:ind w:right="226"/>
              <w:spacing w:after="0"/>
              <w:rPr>
                <w:sz w:val="20"/>
                <w:szCs w:val="20"/>
                <w:color w:val="auto"/>
              </w:rPr>
            </w:pPr>
            <w:r>
              <w:rPr>
                <w:rFonts w:ascii="Times New Roman" w:cs="Times New Roman" w:eastAsia="Times New Roman" w:hAnsi="Times New Roman"/>
                <w:sz w:val="11"/>
                <w:szCs w:val="11"/>
                <w:i w:val="1"/>
                <w:iCs w:val="1"/>
                <w:color w:val="auto"/>
                <w:w w:val="98"/>
              </w:rPr>
              <w:t>incorporation)</w:t>
            </w:r>
          </w:p>
        </w:tc>
        <w:tc>
          <w:tcPr>
            <w:tcW w:w="1880" w:type="dxa"/>
            <w:vAlign w:val="bottom"/>
          </w:tcPr>
          <w:p>
            <w:pPr>
              <w:spacing w:after="0"/>
              <w:rPr>
                <w:sz w:val="12"/>
                <w:szCs w:val="12"/>
                <w:color w:val="auto"/>
              </w:rPr>
            </w:pPr>
          </w:p>
        </w:tc>
        <w:tc>
          <w:tcPr>
            <w:tcW w:w="1200" w:type="dxa"/>
            <w:vAlign w:val="bottom"/>
          </w:tcPr>
          <w:p>
            <w:pPr>
              <w:jc w:val="center"/>
              <w:ind w:left="346"/>
              <w:spacing w:after="0"/>
              <w:rPr>
                <w:sz w:val="20"/>
                <w:szCs w:val="20"/>
                <w:color w:val="auto"/>
              </w:rPr>
            </w:pPr>
            <w:r>
              <w:rPr>
                <w:rFonts w:ascii="Times New Roman" w:cs="Times New Roman" w:eastAsia="Times New Roman" w:hAnsi="Times New Roman"/>
                <w:sz w:val="11"/>
                <w:szCs w:val="11"/>
                <w:i w:val="1"/>
                <w:iCs w:val="1"/>
                <w:color w:val="auto"/>
                <w:w w:val="98"/>
              </w:rPr>
              <w:t>Identification No.)</w:t>
            </w:r>
          </w:p>
        </w:tc>
      </w:tr>
      <w:tr>
        <w:trPr>
          <w:trHeight w:val="439"/>
        </w:trPr>
        <w:tc>
          <w:tcPr>
            <w:tcW w:w="3440" w:type="dxa"/>
            <w:vAlign w:val="bottom"/>
            <w:gridSpan w:val="2"/>
          </w:tcPr>
          <w:p>
            <w:pPr>
              <w:jc w:val="center"/>
              <w:ind w:right="806"/>
              <w:spacing w:after="0"/>
              <w:rPr>
                <w:sz w:val="20"/>
                <w:szCs w:val="20"/>
                <w:color w:val="auto"/>
              </w:rPr>
            </w:pPr>
            <w:r>
              <w:rPr>
                <w:rFonts w:ascii="Times New Roman" w:cs="Times New Roman" w:eastAsia="Times New Roman" w:hAnsi="Times New Roman"/>
                <w:sz w:val="11"/>
                <w:szCs w:val="11"/>
                <w:b w:val="1"/>
                <w:bCs w:val="1"/>
                <w:color w:val="auto"/>
                <w:w w:val="97"/>
              </w:rPr>
              <w:t>6210 Ardrey Kell Road, Suite 120</w:t>
            </w:r>
          </w:p>
        </w:tc>
        <w:tc>
          <w:tcPr>
            <w:tcW w:w="1200" w:type="dxa"/>
            <w:vAlign w:val="bottom"/>
          </w:tcPr>
          <w:p>
            <w:pPr>
              <w:spacing w:after="0"/>
              <w:rPr>
                <w:sz w:val="24"/>
                <w:szCs w:val="24"/>
                <w:color w:val="auto"/>
              </w:rPr>
            </w:pPr>
          </w:p>
        </w:tc>
      </w:tr>
      <w:tr>
        <w:trPr>
          <w:trHeight w:val="171"/>
        </w:trPr>
        <w:tc>
          <w:tcPr>
            <w:tcW w:w="3440" w:type="dxa"/>
            <w:vAlign w:val="bottom"/>
            <w:gridSpan w:val="2"/>
          </w:tcPr>
          <w:p>
            <w:pPr>
              <w:jc w:val="center"/>
              <w:ind w:right="806"/>
              <w:spacing w:after="0"/>
              <w:rPr>
                <w:sz w:val="20"/>
                <w:szCs w:val="20"/>
                <w:color w:val="auto"/>
              </w:rPr>
            </w:pPr>
            <w:r>
              <w:rPr>
                <w:rFonts w:ascii="Times New Roman" w:cs="Times New Roman" w:eastAsia="Times New Roman" w:hAnsi="Times New Roman"/>
                <w:sz w:val="11"/>
                <w:szCs w:val="11"/>
                <w:b w:val="1"/>
                <w:bCs w:val="1"/>
                <w:color w:val="auto"/>
                <w:w w:val="99"/>
              </w:rPr>
              <w:t>Charlotte, North Carolina</w:t>
            </w:r>
          </w:p>
        </w:tc>
        <w:tc>
          <w:tcPr>
            <w:tcW w:w="120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28277</w:t>
            </w:r>
          </w:p>
        </w:tc>
      </w:tr>
      <w:tr>
        <w:trPr>
          <w:trHeight w:val="180"/>
        </w:trPr>
        <w:tc>
          <w:tcPr>
            <w:tcW w:w="3440" w:type="dxa"/>
            <w:vAlign w:val="bottom"/>
            <w:gridSpan w:val="2"/>
          </w:tcPr>
          <w:p>
            <w:pPr>
              <w:jc w:val="center"/>
              <w:ind w:right="806"/>
              <w:spacing w:after="0"/>
              <w:rPr>
                <w:sz w:val="20"/>
                <w:szCs w:val="20"/>
                <w:color w:val="auto"/>
              </w:rPr>
            </w:pPr>
            <w:r>
              <w:rPr>
                <w:rFonts w:ascii="Times New Roman" w:cs="Times New Roman" w:eastAsia="Times New Roman" w:hAnsi="Times New Roman"/>
                <w:sz w:val="11"/>
                <w:szCs w:val="11"/>
                <w:i w:val="1"/>
                <w:iCs w:val="1"/>
                <w:color w:val="auto"/>
                <w:w w:val="98"/>
              </w:rPr>
              <w:t>(Address of principal executive offices)</w:t>
            </w:r>
          </w:p>
        </w:tc>
        <w:tc>
          <w:tcPr>
            <w:tcW w:w="1200" w:type="dxa"/>
            <w:vAlign w:val="bottom"/>
          </w:tcPr>
          <w:p>
            <w:pPr>
              <w:jc w:val="center"/>
              <w:ind w:left="266"/>
              <w:spacing w:after="0"/>
              <w:rPr>
                <w:sz w:val="20"/>
                <w:szCs w:val="20"/>
                <w:color w:val="auto"/>
              </w:rPr>
            </w:pPr>
            <w:r>
              <w:rPr>
                <w:rFonts w:ascii="Times New Roman" w:cs="Times New Roman" w:eastAsia="Times New Roman" w:hAnsi="Times New Roman"/>
                <w:sz w:val="11"/>
                <w:szCs w:val="11"/>
                <w:i w:val="1"/>
                <w:iCs w:val="1"/>
                <w:color w:val="auto"/>
                <w:w w:val="99"/>
              </w:rPr>
              <w:t>(Zip Code)</w:t>
            </w:r>
          </w:p>
        </w:tc>
      </w:tr>
    </w:tbl>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(980) 264-4300</w:t>
      </w:r>
    </w:p>
    <w:p>
      <w:pPr>
        <w:jc w:val="center"/>
        <w:ind w:right="39"/>
        <w:spacing w:after="0"/>
        <w:rPr>
          <w:sz w:val="20"/>
          <w:szCs w:val="20"/>
          <w:color w:val="auto"/>
        </w:rPr>
      </w:pPr>
      <w:r>
        <w:rPr>
          <w:rFonts w:ascii="Times New Roman" w:cs="Times New Roman" w:eastAsia="Times New Roman" w:hAnsi="Times New Roman"/>
          <w:sz w:val="11"/>
          <w:szCs w:val="11"/>
          <w:i w:val="1"/>
          <w:iCs w:val="1"/>
          <w:color w:val="auto"/>
        </w:rPr>
        <w:t>(Registrant’s telephone number, including area code)</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17145</wp:posOffset>
            </wp:positionV>
            <wp:extent cx="234315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3150" cy="5715"/>
                    </a:xfrm>
                    <a:prstGeom prst="rect">
                      <a:avLst/>
                    </a:prstGeom>
                    <a:noFill/>
                  </pic:spPr>
                </pic:pic>
              </a:graphicData>
            </a:graphic>
          </wp:anchor>
        </w:drawing>
      </w:r>
    </w:p>
    <w:p>
      <w:pPr>
        <w:spacing w:after="0" w:line="204" w:lineRule="exact"/>
        <w:rPr>
          <w:sz w:val="24"/>
          <w:szCs w:val="24"/>
          <w:color w:val="auto"/>
        </w:rPr>
      </w:pPr>
    </w:p>
    <w:p>
      <w:pPr>
        <w:ind w:left="1440" w:right="1679"/>
        <w:spacing w:after="0" w:line="236" w:lineRule="auto"/>
        <w:rPr>
          <w:sz w:val="20"/>
          <w:szCs w:val="20"/>
          <w:color w:val="auto"/>
        </w:rPr>
      </w:pPr>
      <w:r>
        <w:rPr>
          <w:rFonts w:ascii="Times New Roman" w:cs="Times New Roman" w:eastAsia="Times New Roman" w:hAnsi="Times New Roman"/>
          <w:sz w:val="12"/>
          <w:szCs w:val="12"/>
          <w:color w:val="auto"/>
        </w:rPr>
        <w:t>Check the appropriate box if the Form 8-K filing is intended to simultaneously satisfy the filing obligation of the registrant under any of the following provisions (see General Instruction A.2. below):</w:t>
      </w:r>
    </w:p>
    <w:p>
      <w:pPr>
        <w:spacing w:after="0" w:line="35" w:lineRule="exact"/>
        <w:rPr>
          <w:sz w:val="24"/>
          <w:szCs w:val="24"/>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240.14d- 2(b))</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240.13e- 4(c))</w:t>
      </w: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12(b) of the Act:</w:t>
      </w:r>
    </w:p>
    <w:p>
      <w:pPr>
        <w:sectPr>
          <w:pgSz w:w="11900" w:h="16838" w:orient="portrait"/>
          <w:cols w:equalWidth="0" w:num="1">
            <w:col w:w="9019"/>
          </w:cols>
          <w:pgMar w:left="1440" w:top="1330" w:right="1440" w:bottom="1440" w:gutter="0" w:footer="0" w:header="0"/>
        </w:sectPr>
      </w:pPr>
    </w:p>
    <w:p>
      <w:pPr>
        <w:spacing w:after="0" w:line="2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8"/>
          <w:szCs w:val="8"/>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Trading symbol</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Name of each exchange on which registered</w:t>
      </w:r>
    </w:p>
    <w:p>
      <w:pPr>
        <w:spacing w:after="0" w:line="52" w:lineRule="exact"/>
        <w:rPr>
          <w:sz w:val="24"/>
          <w:szCs w:val="24"/>
          <w:color w:val="auto"/>
        </w:rPr>
      </w:pPr>
    </w:p>
    <w:p>
      <w:pPr>
        <w:sectPr>
          <w:pgSz w:w="11900" w:h="16838" w:orient="portrait"/>
          <w:cols w:equalWidth="0" w:num="3">
            <w:col w:w="3480" w:space="720"/>
            <w:col w:w="640" w:space="720"/>
            <w:col w:w="3459"/>
          </w:cols>
          <w:pgMar w:left="1440" w:top="1330" w:right="1440"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8"/>
          <w:szCs w:val="8"/>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The Nasdaq Stock Market LLC</w:t>
      </w:r>
    </w:p>
    <w:p>
      <w:pPr>
        <w:spacing w:after="0" w:line="139" w:lineRule="exact"/>
        <w:rPr>
          <w:sz w:val="24"/>
          <w:szCs w:val="24"/>
          <w:color w:val="auto"/>
        </w:rPr>
      </w:pPr>
    </w:p>
    <w:p>
      <w:pPr>
        <w:sectPr>
          <w:pgSz w:w="11900" w:h="16838" w:orient="portrait"/>
          <w:cols w:equalWidth="0" w:num="3">
            <w:col w:w="3640" w:space="720"/>
            <w:col w:w="680" w:space="720"/>
            <w:col w:w="3259"/>
          </w:cols>
          <w:pgMar w:left="1440" w:top="1330" w:right="1440" w:bottom="1440" w:gutter="0" w:footer="0" w:header="0"/>
          <w:type w:val="continuous"/>
        </w:sectPr>
      </w:pPr>
    </w:p>
    <w:p>
      <w:pPr>
        <w:ind w:left="1440" w:right="1559"/>
        <w:spacing w:after="0" w:line="244"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03" w:lineRule="exact"/>
        <w:rPr>
          <w:sz w:val="24"/>
          <w:szCs w:val="24"/>
          <w:color w:val="auto"/>
        </w:rPr>
      </w:pPr>
    </w:p>
    <w:p>
      <w:pPr>
        <w:ind w:left="1440" w:right="1599"/>
        <w:spacing w:after="0" w:line="237" w:lineRule="auto"/>
        <w:rPr>
          <w:sz w:val="20"/>
          <w:szCs w:val="20"/>
          <w:color w:val="auto"/>
        </w:rPr>
      </w:pPr>
      <w:r>
        <w:rPr>
          <w:rFonts w:ascii="Times New Roman" w:cs="Times New Roman" w:eastAsia="Times New Roman" w:hAnsi="Times New Roman"/>
          <w:sz w:val="11"/>
          <w:szCs w:val="11"/>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1" w:lineRule="exact"/>
        <w:rPr>
          <w:sz w:val="24"/>
          <w:szCs w:val="24"/>
          <w:color w:val="auto"/>
        </w:rPr>
      </w:pPr>
    </w:p>
    <w:p>
      <w:pPr>
        <w:ind w:left="1440"/>
        <w:spacing w:after="0" w:line="138" w:lineRule="exact"/>
        <w:rPr>
          <w:sz w:val="20"/>
          <w:szCs w:val="20"/>
          <w:color w:val="auto"/>
        </w:rPr>
      </w:pPr>
      <w:r>
        <w:rPr>
          <w:rFonts w:ascii="Times New Roman" w:cs="Times New Roman" w:eastAsia="Times New Roman" w:hAnsi="Times New Roman"/>
          <w:sz w:val="12"/>
          <w:szCs w:val="12"/>
          <w:color w:val="auto"/>
        </w:rPr>
        <w:t xml:space="preserve">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-741045</wp:posOffset>
            </wp:positionH>
            <wp:positionV relativeFrom="paragraph">
              <wp:posOffset>707390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68580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85725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1330" w:right="1440" w:bottom="1440" w:gutter="0" w:footer="0" w:header="0"/>
          <w:type w:val="continuous"/>
        </w:sectPr>
      </w:pPr>
    </w:p>
    <w:bookmarkStart w:id="1" w:name="page2"/>
    <w:bookmarkEnd w:id="1"/>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73" w:lineRule="exact"/>
        <w:rPr>
          <w:sz w:val="20"/>
          <w:szCs w:val="20"/>
          <w:color w:val="auto"/>
        </w:rPr>
      </w:pPr>
    </w:p>
    <w:p>
      <w:pPr>
        <w:ind w:right="100" w:firstLine="432"/>
        <w:spacing w:after="0" w:line="295" w:lineRule="auto"/>
        <w:rPr>
          <w:sz w:val="20"/>
          <w:szCs w:val="20"/>
          <w:color w:val="auto"/>
        </w:rPr>
      </w:pPr>
      <w:r>
        <w:rPr>
          <w:rFonts w:ascii="Times New Roman" w:cs="Times New Roman" w:eastAsia="Times New Roman" w:hAnsi="Times New Roman"/>
          <w:sz w:val="12"/>
          <w:szCs w:val="12"/>
          <w:color w:val="auto"/>
        </w:rPr>
        <w:t>On June 22, 2026, NN, Inc., a Delaware corporation (the “Company”), posted an updated copy of the investor presentation to its website at https://investors.nninc.com. The presentation will be used at the iAccess Alpha Best Ideas Summer Investment Conference on June 23, 2026, where certain officers of the Company are scheduled to participate. A copy of this presentation is included as Exhibit 99.1 to this Current Report.</w:t>
      </w:r>
    </w:p>
    <w:p>
      <w:pPr>
        <w:spacing w:after="0" w:line="138" w:lineRule="exact"/>
        <w:rPr>
          <w:sz w:val="20"/>
          <w:szCs w:val="20"/>
          <w:color w:val="auto"/>
        </w:rPr>
      </w:pPr>
    </w:p>
    <w:p>
      <w:pPr>
        <w:jc w:val="both"/>
        <w:ind w:firstLine="432"/>
        <w:spacing w:after="0" w:line="288" w:lineRule="auto"/>
        <w:rPr>
          <w:sz w:val="20"/>
          <w:szCs w:val="20"/>
          <w:color w:val="auto"/>
        </w:rPr>
      </w:pPr>
      <w:r>
        <w:rPr>
          <w:rFonts w:ascii="Times New Roman" w:cs="Times New Roman" w:eastAsia="Times New Roman" w:hAnsi="Times New Roman"/>
          <w:sz w:val="12"/>
          <w:szCs w:val="12"/>
          <w:color w:val="auto"/>
        </w:rPr>
        <w:t>Pursuant to the rules and regulations of the U.S. Securities and Exchange Commission, the information furnished pursuant to this Item 7.01 of this Current Report (including Exhibit 99.1) is deemed to have been furnished and shall not be deemed “filed” for the purposes of Section 18 of the Securities Exchange Act of 1934, as amended, or otherwise subject to the liabilities of that section. Such information shall not be incorporated by reference into any other filing of the Company under the Securities Act of 1933, as amended, or the Exchange Act, whether made before or after the date hereof, regardless of any general incorporation language in such filing.</w:t>
      </w:r>
    </w:p>
    <w:p>
      <w:pPr>
        <w:spacing w:after="0" w:line="133"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The Company routinely uses its investor relations website (https://investors.nninc.com) to post presentations to investors and other important information, including information that may be material. Accordingly, the Company encourages investors and others interested in the Company to review the information it makes public on its investor relations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567690</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99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 Exhibits.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700" w:type="dxa"/>
            <w:vAlign w:val="bottom"/>
            <w:gridSpan w:val="4"/>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104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 of Exhibit</w:t>
            </w:r>
          </w:p>
        </w:tc>
        <w:tc>
          <w:tcPr>
            <w:tcW w:w="0" w:type="dxa"/>
            <w:vAlign w:val="bottom"/>
          </w:tcPr>
          <w:p>
            <w:pPr>
              <w:spacing w:after="0"/>
              <w:rPr>
                <w:sz w:val="1"/>
                <w:szCs w:val="1"/>
                <w:color w:val="auto"/>
              </w:rPr>
            </w:pPr>
          </w:p>
        </w:tc>
      </w:tr>
      <w:tr>
        <w:trPr>
          <w:trHeight w:val="70"/>
        </w:trPr>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jc w:val="center"/>
              <w:spacing w:after="0" w:line="61" w:lineRule="exact"/>
              <w:rPr>
                <w:sz w:val="20"/>
                <w:szCs w:val="20"/>
                <w:color w:val="auto"/>
              </w:rPr>
            </w:pPr>
            <w:r>
              <w:rPr>
                <w:rFonts w:ascii="Times New Roman" w:cs="Times New Roman" w:eastAsia="Times New Roman" w:hAnsi="Times New Roman"/>
                <w:sz w:val="7"/>
                <w:szCs w:val="7"/>
                <w:b w:val="1"/>
                <w:bCs w:val="1"/>
                <w:color w:val="auto"/>
              </w:rPr>
              <w:t>No.</w:t>
            </w:r>
          </w:p>
        </w:tc>
        <w:tc>
          <w:tcPr>
            <w:tcW w:w="8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99.1</w:t>
            </w:r>
          </w:p>
        </w:tc>
        <w:tc>
          <w:tcPr>
            <w:tcW w:w="400" w:type="dxa"/>
            <w:vAlign w:val="bottom"/>
          </w:tcPr>
          <w:p>
            <w:pPr>
              <w:spacing w:after="0"/>
              <w:rPr>
                <w:sz w:val="12"/>
                <w:szCs w:val="12"/>
                <w:color w:val="auto"/>
              </w:rPr>
            </w:pPr>
          </w:p>
        </w:tc>
        <w:tc>
          <w:tcPr>
            <w:tcW w:w="1040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NN, Inc. June Investor Presentation</w:t>
            </w:r>
          </w:p>
        </w:tc>
        <w:tc>
          <w:tcPr>
            <w:tcW w:w="0" w:type="dxa"/>
            <w:vAlign w:val="bottom"/>
          </w:tcPr>
          <w:p>
            <w:pPr>
              <w:spacing w:after="0"/>
              <w:rPr>
                <w:sz w:val="1"/>
                <w:szCs w:val="1"/>
                <w:color w:val="auto"/>
              </w:rPr>
            </w:pPr>
          </w:p>
        </w:tc>
      </w:tr>
      <w:tr>
        <w:trPr>
          <w:trHeight w:val="20"/>
        </w:trPr>
        <w:tc>
          <w:tcPr>
            <w:tcW w:w="5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104</w:t>
            </w:r>
          </w:p>
        </w:tc>
        <w:tc>
          <w:tcPr>
            <w:tcW w:w="400" w:type="dxa"/>
            <w:vAlign w:val="bottom"/>
          </w:tcPr>
          <w:p>
            <w:pPr>
              <w:spacing w:after="0"/>
              <w:rPr>
                <w:sz w:val="13"/>
                <w:szCs w:val="13"/>
                <w:color w:val="auto"/>
              </w:rPr>
            </w:pPr>
          </w:p>
        </w:tc>
        <w:tc>
          <w:tcPr>
            <w:tcW w:w="104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1161"/>
        </w:trPr>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80"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343" w:lineRule="exact"/>
        <w:rPr>
          <w:sz w:val="20"/>
          <w:szCs w:val="20"/>
          <w:color w:val="auto"/>
        </w:rPr>
      </w:pPr>
    </w:p>
    <w:p>
      <w:pPr>
        <w:ind w:left="1440" w:right="1719" w:firstLine="297"/>
        <w:spacing w:after="0" w:line="236"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06" w:lineRule="exact"/>
        <w:rPr>
          <w:sz w:val="20"/>
          <w:szCs w:val="20"/>
          <w:color w:val="auto"/>
        </w:rPr>
      </w:pPr>
    </w:p>
    <w:p>
      <w:pPr>
        <w:ind w:left="1440"/>
        <w:spacing w:after="0"/>
        <w:tabs>
          <w:tab w:leader="none" w:pos="1820" w:val="left"/>
        </w:tabs>
        <w:rPr>
          <w:sz w:val="20"/>
          <w:szCs w:val="20"/>
          <w:color w:val="auto"/>
        </w:rPr>
      </w:pPr>
      <w:r>
        <w:rPr>
          <w:rFonts w:ascii="Times New Roman" w:cs="Times New Roman" w:eastAsia="Times New Roman" w:hAnsi="Times New Roman"/>
          <w:sz w:val="12"/>
          <w:szCs w:val="12"/>
          <w:color w:val="auto"/>
        </w:rPr>
        <w:t>Date:</w:t>
        <w:tab/>
        <w:t>June 22, 2026</w:t>
      </w:r>
    </w:p>
    <w:p>
      <w:pPr>
        <w:spacing w:after="0" w:line="308" w:lineRule="exact"/>
        <w:rPr>
          <w:sz w:val="20"/>
          <w:szCs w:val="20"/>
          <w:color w:val="auto"/>
        </w:rPr>
      </w:pPr>
    </w:p>
    <w:tbl>
      <w:tblPr>
        <w:tblLayout w:type="fixed"/>
        <w:tblInd w:w="4380" w:type="dxa"/>
        <w:tblCellMar>
          <w:top w:w="0" w:type="dxa"/>
          <w:left w:w="0" w:type="dxa"/>
          <w:bottom w:w="0" w:type="dxa"/>
          <w:right w:w="0" w:type="dxa"/>
        </w:tblCellMar>
      </w:tblPr>
      <w:tr>
        <w:trPr>
          <w:trHeight w:val="159"/>
        </w:trPr>
        <w:tc>
          <w:tcPr>
            <w:tcW w:w="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NN, INC.</w:t>
            </w:r>
          </w:p>
        </w:tc>
        <w:tc>
          <w:tcPr>
            <w:tcW w:w="2600" w:type="dxa"/>
            <w:vAlign w:val="bottom"/>
          </w:tcPr>
          <w:p>
            <w:pPr>
              <w:spacing w:after="0"/>
              <w:rPr>
                <w:sz w:val="13"/>
                <w:szCs w:val="13"/>
                <w:color w:val="auto"/>
              </w:rPr>
            </w:pPr>
          </w:p>
        </w:tc>
      </w:tr>
      <w:tr>
        <w:trPr>
          <w:trHeight w:val="351"/>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Christopher H. Bohnert</w:t>
            </w:r>
          </w:p>
        </w:tc>
      </w:tr>
      <w:tr>
        <w:trPr>
          <w:trHeight w:val="144"/>
        </w:trPr>
        <w:tc>
          <w:tcPr>
            <w:tcW w:w="6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Christopher H. Bohnert</w:t>
            </w:r>
          </w:p>
        </w:tc>
      </w:tr>
      <w:tr>
        <w:trPr>
          <w:trHeight w:val="178"/>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Senior Vice President and Chief Financial Officer</w:t>
            </w:r>
          </w:p>
        </w:tc>
      </w:tr>
    </w:tbl>
    <w:p>
      <w:pPr>
        <w:sectPr>
          <w:pgSz w:w="11900" w:h="16838" w:orient="portrait"/>
          <w:cols w:equalWidth="0" w:num="1">
            <w:col w:w="9019"/>
          </w:cols>
          <w:pgMar w:left="1440" w:top="989"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2026-06-22T08:03:08Z</dcterms:created>
  <dcterms:modified xsi:type="dcterms:W3CDTF">2026-06-22T08:03:08Z</dcterms:modified>
</cp:coreProperties>
</file>