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6996430" cy="527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2774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884"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NIXON D. GAIL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6210 ARDREY KELL ROAD</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ind w:left="360" w:hanging="351"/>
        <w:spacing w:after="0"/>
        <w:tabs>
          <w:tab w:leader="none" w:pos="360" w:val="left"/>
        </w:tabs>
        <w:numPr>
          <w:ilvl w:val="0"/>
          <w:numId w:val="1"/>
        </w:numPr>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03/18/2025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599"/>
        <w:spacing w:after="0"/>
        <w:rPr>
          <w:sz w:val="20"/>
          <w:szCs w:val="20"/>
          <w:color w:val="auto"/>
        </w:rPr>
      </w:pPr>
      <w:r>
        <w:rPr>
          <w:rFonts w:ascii="Times New Roman" w:cs="Times New Roman" w:eastAsia="Times New Roman" w:hAnsi="Times New Roman"/>
          <w:sz w:val="16"/>
          <w:szCs w:val="16"/>
          <w:color w:val="0000FF"/>
        </w:rPr>
        <w:t>Senior VP, Human Resources</w:t>
      </w:r>
    </w:p>
    <w:p>
      <w:pPr>
        <w:spacing w:after="0" w:line="311" w:lineRule="exact"/>
        <w:rPr>
          <w:sz w:val="24"/>
          <w:szCs w:val="24"/>
          <w:color w:val="auto"/>
        </w:rPr>
      </w:pPr>
    </w:p>
    <w:p>
      <w:pPr>
        <w:sectPr>
          <w:pgSz w:w="11900" w:h="16838" w:orient="portrait"/>
          <w:cols w:equalWidth="0" w:num="3">
            <w:col w:w="3180" w:space="720"/>
            <w:col w:w="3121" w:space="720"/>
            <w:col w:w="3339"/>
          </w:cols>
          <w:pgMar w:left="460" w:top="215" w:right="359" w:bottom="884"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6"/>
            <w:vMerge w:val="continue"/>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NC</w:t>
            </w:r>
          </w:p>
        </w:tc>
        <w:tc>
          <w:tcPr>
            <w:tcW w:w="9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28277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434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jc w:val="center"/>
              <w:ind w:left="611"/>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03/18/2025</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25,915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2.55</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153,899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03/18/2025</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5"/>
              </w:rPr>
              <w:t>1,844</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155,743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03/18/2025</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16"/>
                <w:szCs w:val="16"/>
                <w:color w:val="0000FF"/>
                <w:w w:val="89"/>
              </w:rPr>
              <w:t>628</w:t>
            </w:r>
            <w:r>
              <w:rPr>
                <w:rFonts w:ascii="Times New Roman" w:cs="Times New Roman" w:eastAsia="Times New Roman" w:hAnsi="Times New Roman"/>
                <w:sz w:val="21"/>
                <w:szCs w:val="21"/>
                <w:color w:val="008000"/>
                <w:w w:val="89"/>
                <w:vertAlign w:val="superscript"/>
              </w:rPr>
              <w:t>(4)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2.55</w:t>
            </w:r>
          </w:p>
        </w:tc>
        <w:tc>
          <w:tcPr>
            <w:tcW w:w="128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155,115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03/19/2025</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5"/>
              </w:rPr>
              <w:t>1,492</w:t>
            </w:r>
            <w:r>
              <w:rPr>
                <w:rFonts w:ascii="Times New Roman" w:cs="Times New Roman" w:eastAsia="Times New Roman" w:hAnsi="Times New Roman"/>
                <w:sz w:val="21"/>
                <w:szCs w:val="21"/>
                <w:color w:val="008000"/>
                <w:w w:val="95"/>
                <w:vertAlign w:val="superscript"/>
              </w:rPr>
              <w:t>(5)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2.63</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153,623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28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03/18/2025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51,830</w:t>
            </w:r>
          </w:p>
        </w:tc>
        <w:tc>
          <w:tcPr>
            <w:tcW w:w="4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0000FF"/>
                <w:w w:val="99"/>
              </w:rPr>
              <w:t>51,830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201,677</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9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03/18/2025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1,844</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1,844</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199,833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-1979930</wp:posOffset>
            </wp:positionV>
            <wp:extent cx="28575" cy="1985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85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March 18, 2026.</w:t>
      </w:r>
    </w:p>
    <w:p>
      <w:pPr>
        <w:spacing w:after="0" w:line="40" w:lineRule="exact"/>
        <w:rPr>
          <w:rFonts w:ascii="Times New Roman" w:cs="Times New Roman" w:eastAsia="Times New Roman" w:hAnsi="Times New Roman"/>
          <w:sz w:val="13"/>
          <w:szCs w:val="13"/>
          <w:color w:val="008000"/>
        </w:rPr>
      </w:pPr>
    </w:p>
    <w:p>
      <w:pPr>
        <w:ind w:left="40" w:right="300" w:hanging="1"/>
        <w:spacing w:after="0" w:line="247"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performance rights granted in March 2022: Represents shares earned from a Performance Share Unit ("PSU") award based on NN, Inc.'s (the "Issuer") achievement of total shareholder return ("TSR") as compared to the TSR of a custom S&amp;P "MicroCap" Capital Goods Index measured over 2022-2024.</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surrendered shares to the Issuer in order to fulfill tax withholding obligations in connection with the receipt of the PSUs.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NN, Inc. (the "Issuer") withheld 1,313 shares from the Reporting Person to cover taxes relating to the vesting of 4,388 shares of restricted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jc w:val="both"/>
        <w:ind w:left="40" w:right="180" w:hanging="1"/>
        <w:spacing w:after="0" w:line="233"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Amended and Restated Omnibus Incentive Plan and the applicable Performance Share Unit Award Agreement based on the relative TSR of the Issuer over a one-, two-, and three-year period, as compared to the TSR of a custom subset of the S&amp;P SmallCap 600 Capital Goods Index, plus the Issuer's compensation peers not included in the Index), over the period beginning on January 1, 2025 and ending December 31, 2027. The performance rights granted represent the right to receive the target shares, and actual performance rights earned may be between 25% and 150% of the target shares.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ind w:left="6600"/>
        <w:spacing w:after="0" w:line="186" w:lineRule="auto"/>
        <w:rPr>
          <w:sz w:val="20"/>
          <w:szCs w:val="20"/>
          <w:color w:val="auto"/>
        </w:rPr>
      </w:pPr>
      <w:r>
        <w:rPr>
          <w:rFonts w:ascii="Times New Roman" w:cs="Times New Roman" w:eastAsia="Times New Roman" w:hAnsi="Times New Roman"/>
          <w:sz w:val="16"/>
          <w:szCs w:val="16"/>
          <w:color w:val="0000FF"/>
        </w:rPr>
        <w:t xml:space="preserve">/s/ Richard F. Mattern by Power </w:t>
      </w:r>
      <w:r>
        <w:rPr>
          <w:rFonts w:ascii="Times New Roman" w:cs="Times New Roman" w:eastAsia="Times New Roman" w:hAnsi="Times New Roman"/>
          <w:sz w:val="32"/>
          <w:szCs w:val="32"/>
          <w:color w:val="0000FF"/>
          <w:vertAlign w:val="subscript"/>
        </w:rPr>
        <w:t>03/20/2025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88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03" w:lineRule="exact"/>
        <w:rPr>
          <w:sz w:val="20"/>
          <w:szCs w:val="20"/>
          <w:color w:val="auto"/>
        </w:rPr>
      </w:pPr>
    </w:p>
    <w:p>
      <w:pPr>
        <w:ind w:firstLine="732"/>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57" w:lineRule="exact"/>
        <w:rPr>
          <w:sz w:val="20"/>
          <w:szCs w:val="20"/>
          <w:color w:val="auto"/>
        </w:rPr>
      </w:pPr>
    </w:p>
    <w:p>
      <w:pPr>
        <w:ind w:left="1460" w:right="320" w:hanging="727"/>
        <w:spacing w:after="0" w:line="244"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3" w:lineRule="exact"/>
        <w:rPr>
          <w:rFonts w:ascii="Times New Roman" w:cs="Times New Roman" w:eastAsia="Times New Roman" w:hAnsi="Times New Roman"/>
          <w:sz w:val="19"/>
          <w:szCs w:val="19"/>
          <w:color w:val="auto"/>
        </w:rPr>
      </w:pPr>
    </w:p>
    <w:p>
      <w:pPr>
        <w:ind w:left="1460" w:right="640" w:hanging="727"/>
        <w:spacing w:after="0" w:line="248"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70" w:lineRule="exact"/>
        <w:rPr>
          <w:rFonts w:ascii="Times New Roman" w:cs="Times New Roman" w:eastAsia="Times New Roman" w:hAnsi="Times New Roman"/>
          <w:sz w:val="19"/>
          <w:szCs w:val="19"/>
          <w:color w:val="auto"/>
        </w:rPr>
      </w:pPr>
    </w:p>
    <w:p>
      <w:pPr>
        <w:ind w:left="1460" w:right="80" w:hanging="727"/>
        <w:spacing w:after="0" w:line="248"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0" w:lineRule="exact"/>
        <w:rPr>
          <w:rFonts w:ascii="Times New Roman" w:cs="Times New Roman" w:eastAsia="Times New Roman" w:hAnsi="Times New Roman"/>
          <w:sz w:val="19"/>
          <w:szCs w:val="19"/>
          <w:color w:val="auto"/>
        </w:rPr>
      </w:pPr>
    </w:p>
    <w:p>
      <w:pPr>
        <w:ind w:left="1460" w:right="280" w:hanging="727"/>
        <w:spacing w:after="0" w:line="262"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jc w:val="both"/>
        <w:ind w:firstLine="732"/>
        <w:spacing w:after="0"/>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8" w:lineRule="exact"/>
        <w:rPr>
          <w:sz w:val="20"/>
          <w:szCs w:val="20"/>
          <w:color w:val="auto"/>
        </w:rPr>
      </w:pPr>
    </w:p>
    <w:p>
      <w:pPr>
        <w:jc w:val="both"/>
        <w:ind w:firstLine="732"/>
        <w:spacing w:after="0" w:line="24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w:t>
      </w:r>
    </w:p>
    <w:p>
      <w:pPr>
        <w:spacing w:after="0" w:line="199" w:lineRule="exact"/>
        <w:rPr>
          <w:sz w:val="20"/>
          <w:szCs w:val="20"/>
          <w:color w:val="auto"/>
        </w:rPr>
      </w:pPr>
    </w:p>
    <w:tbl>
      <w:tblPr>
        <w:tblLayout w:type="fixed"/>
        <w:tblInd w:w="5400" w:type="dxa"/>
        <w:tblCellMar>
          <w:top w:w="0" w:type="dxa"/>
          <w:left w:w="0" w:type="dxa"/>
          <w:bottom w:w="0" w:type="dxa"/>
          <w:right w:w="0" w:type="dxa"/>
        </w:tblCellMar>
      </w:tblP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Gail Nixon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Gail Nixon</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833755</wp:posOffset>
            </wp:positionV>
            <wp:extent cx="699643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6430" cy="41275"/>
                    </a:xfrm>
                    <a:prstGeom prst="rect">
                      <a:avLst/>
                    </a:prstGeom>
                    <a:noFill/>
                  </pic:spPr>
                </pic:pic>
              </a:graphicData>
            </a:graphic>
          </wp:anchor>
        </w:drawing>
      </w:r>
    </w:p>
    <w:sectPr>
      <w:pgSz w:w="11900" w:h="16838" w:orient="portrait"/>
      <w:cols w:equalWidth="0" w:num="1">
        <w:col w:w="10980"/>
      </w:cols>
      <w:pgMar w:left="460" w:top="13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1350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2025-03-20T19:46:12Z</dcterms:created>
  <dcterms:modified xsi:type="dcterms:W3CDTF">2025-03-20T19:46:12Z</dcterms:modified>
</cp:coreProperties>
</file>