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9"/>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212"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b w:val="1"/>
          <w:bCs w:val="1"/>
          <w:color w:val="auto"/>
        </w:rPr>
        <w:t>FORM 10-Q</w:t>
      </w:r>
    </w:p>
    <w:p>
      <w:pPr>
        <w:spacing w:after="0" w:line="210" w:lineRule="exact"/>
        <w:rPr>
          <w:sz w:val="24"/>
          <w:szCs w:val="24"/>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/X/ QUARTERLY REPORT PURSUANT TO SECTION 13 OR 15(d) OF THE SECURITIES EXCHANGE ACT OF 1934</w:t>
      </w:r>
    </w:p>
    <w:p>
      <w:pPr>
        <w:spacing w:after="0" w:line="192"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 xml:space="preserve">For the quarterly period ended </w:t>
      </w:r>
      <w:r>
        <w:rPr>
          <w:rFonts w:ascii="Courier New" w:cs="Courier New" w:eastAsia="Courier New" w:hAnsi="Courier New"/>
          <w:sz w:val="17"/>
          <w:szCs w:val="17"/>
          <w:b w:val="1"/>
          <w:bCs w:val="1"/>
          <w:u w:val="single" w:color="auto"/>
          <w:color w:val="auto"/>
        </w:rPr>
        <w:t>September 30, 2002</w:t>
      </w:r>
    </w:p>
    <w:p>
      <w:pPr>
        <w:spacing w:after="0" w:line="210" w:lineRule="exact"/>
        <w:rPr>
          <w:sz w:val="24"/>
          <w:szCs w:val="24"/>
          <w:color w:val="auto"/>
        </w:rPr>
      </w:pPr>
    </w:p>
    <w:p>
      <w:pPr>
        <w:ind w:left="4100"/>
        <w:spacing w:after="0"/>
        <w:rPr>
          <w:sz w:val="20"/>
          <w:szCs w:val="20"/>
          <w:color w:val="auto"/>
        </w:rPr>
      </w:pPr>
      <w:r>
        <w:rPr>
          <w:rFonts w:ascii="Courier New" w:cs="Courier New" w:eastAsia="Courier New" w:hAnsi="Courier New"/>
          <w:sz w:val="17"/>
          <w:szCs w:val="17"/>
          <w:color w:val="auto"/>
        </w:rPr>
        <w:t>OR</w:t>
      </w:r>
    </w:p>
    <w:p>
      <w:pPr>
        <w:spacing w:after="0" w:line="210" w:lineRule="exact"/>
        <w:rPr>
          <w:sz w:val="24"/>
          <w:szCs w:val="24"/>
          <w:color w:val="auto"/>
        </w:rPr>
      </w:pPr>
    </w:p>
    <w:p>
      <w:pPr>
        <w:ind w:right="2679" w:firstLine="7"/>
        <w:spacing w:after="0" w:line="257" w:lineRule="auto"/>
        <w:tabs>
          <w:tab w:leader="none" w:pos="209"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2" w:lineRule="exact"/>
        <w:rPr>
          <w:sz w:val="24"/>
          <w:szCs w:val="24"/>
          <w:color w:val="auto"/>
        </w:rPr>
      </w:pPr>
    </w:p>
    <w:p>
      <w:pPr>
        <w:ind w:left="1480"/>
        <w:spacing w:after="0"/>
        <w:rPr>
          <w:sz w:val="20"/>
          <w:szCs w:val="20"/>
          <w:color w:val="auto"/>
        </w:rPr>
      </w:pPr>
      <w:r>
        <w:rPr>
          <w:rFonts w:ascii="Courier New" w:cs="Courier New" w:eastAsia="Courier New" w:hAnsi="Courier New"/>
          <w:sz w:val="17"/>
          <w:szCs w:val="17"/>
          <w:color w:val="auto"/>
        </w:rPr>
        <w:t>For the transition period from _________ to _________</w:t>
      </w:r>
    </w:p>
    <w:p>
      <w:pPr>
        <w:spacing w:after="0" w:line="200" w:lineRule="exact"/>
        <w:rPr>
          <w:sz w:val="24"/>
          <w:szCs w:val="24"/>
          <w:color w:val="auto"/>
        </w:rPr>
      </w:pPr>
    </w:p>
    <w:p>
      <w:pPr>
        <w:spacing w:after="0" w:line="212" w:lineRule="exact"/>
        <w:rPr>
          <w:sz w:val="24"/>
          <w:szCs w:val="24"/>
          <w:color w:val="auto"/>
        </w:rPr>
      </w:pPr>
    </w:p>
    <w:p>
      <w:pPr>
        <w:ind w:left="2620"/>
        <w:spacing w:after="0"/>
        <w:rPr>
          <w:sz w:val="20"/>
          <w:szCs w:val="20"/>
          <w:color w:val="auto"/>
        </w:rPr>
      </w:pPr>
      <w:r>
        <w:rPr>
          <w:rFonts w:ascii="Courier New" w:cs="Courier New" w:eastAsia="Courier New" w:hAnsi="Courier New"/>
          <w:sz w:val="17"/>
          <w:szCs w:val="17"/>
          <w:color w:val="auto"/>
        </w:rPr>
        <w:t>Commission File Number 0-23486</w:t>
      </w:r>
    </w:p>
    <w:p>
      <w:pPr>
        <w:spacing w:after="0" w:line="200" w:lineRule="exact"/>
        <w:rPr>
          <w:sz w:val="24"/>
          <w:szCs w:val="24"/>
          <w:color w:val="auto"/>
        </w:rPr>
      </w:pPr>
    </w:p>
    <w:p>
      <w:pPr>
        <w:spacing w:after="0" w:line="212"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NN, Inc.</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9" w:right="1440" w:bottom="0" w:gutter="0" w:footer="0" w:header="0"/>
        </w:sectPr>
      </w:pPr>
    </w:p>
    <w:p>
      <w:pPr>
        <w:spacing w:after="0" w:line="210" w:lineRule="exact"/>
        <w:rPr>
          <w:sz w:val="24"/>
          <w:szCs w:val="24"/>
          <w:color w:val="auto"/>
        </w:rPr>
      </w:pPr>
    </w:p>
    <w:p>
      <w:pPr>
        <w:ind w:left="1480"/>
        <w:spacing w:after="0"/>
        <w:rPr>
          <w:sz w:val="20"/>
          <w:szCs w:val="20"/>
          <w:color w:val="auto"/>
        </w:rPr>
      </w:pPr>
      <w:r>
        <w:rPr>
          <w:rFonts w:ascii="Courier New" w:cs="Courier New" w:eastAsia="Courier New" w:hAnsi="Courier New"/>
          <w:sz w:val="17"/>
          <w:szCs w:val="17"/>
          <w:b w:val="1"/>
          <w:bCs w:val="1"/>
          <w:color w:val="auto"/>
        </w:rPr>
        <w:t>Delaware</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(State or other jurisdiction of</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b w:val="1"/>
          <w:bCs w:val="1"/>
          <w:color w:val="auto"/>
        </w:rPr>
        <w:t>62-1096725</w:t>
      </w:r>
    </w:p>
    <w:p>
      <w:pPr>
        <w:spacing w:after="0" w:line="9"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(I.R.S. Employer</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Number)</w:t>
      </w:r>
    </w:p>
    <w:p>
      <w:pPr>
        <w:spacing w:after="0" w:line="200" w:lineRule="exact"/>
        <w:rPr>
          <w:sz w:val="24"/>
          <w:szCs w:val="24"/>
          <w:color w:val="auto"/>
        </w:rPr>
      </w:pPr>
    </w:p>
    <w:p>
      <w:pPr>
        <w:sectPr>
          <w:pgSz w:w="11900" w:h="16838" w:orient="portrait"/>
          <w:cols w:equalWidth="0" w:num="2">
            <w:col w:w="5360" w:space="720"/>
            <w:col w:w="4139"/>
          </w:cols>
          <w:pgMar w:left="240" w:top="249" w:right="1440" w:bottom="0" w:gutter="0" w:footer="0" w:header="0"/>
          <w:type w:val="continuous"/>
        </w:sectPr>
      </w:pPr>
    </w:p>
    <w:p>
      <w:pPr>
        <w:spacing w:after="0" w:line="10"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2000 Waters Edge Drive</w:t>
      </w:r>
    </w:p>
    <w:p>
      <w:pPr>
        <w:spacing w:after="0" w:line="9" w:lineRule="exact"/>
        <w:rPr>
          <w:sz w:val="24"/>
          <w:szCs w:val="24"/>
          <w:color w:val="auto"/>
        </w:rPr>
      </w:pPr>
    </w:p>
    <w:p>
      <w:pPr>
        <w:ind w:left="3140"/>
        <w:spacing w:after="0"/>
        <w:rPr>
          <w:sz w:val="20"/>
          <w:szCs w:val="20"/>
          <w:color w:val="auto"/>
        </w:rPr>
      </w:pPr>
      <w:r>
        <w:rPr>
          <w:rFonts w:ascii="Courier New" w:cs="Courier New" w:eastAsia="Courier New" w:hAnsi="Courier New"/>
          <w:sz w:val="17"/>
          <w:szCs w:val="17"/>
          <w:b w:val="1"/>
          <w:bCs w:val="1"/>
          <w:color w:val="auto"/>
        </w:rPr>
        <w:t>Building C, Suite 12</w:t>
      </w:r>
    </w:p>
    <w:p>
      <w:pPr>
        <w:spacing w:after="0" w:line="9"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b w:val="1"/>
          <w:bCs w:val="1"/>
          <w:color w:val="auto"/>
        </w:rPr>
        <w:t>Johnson City, Tennessee 37604</w:t>
      </w:r>
    </w:p>
    <w:p>
      <w:pPr>
        <w:sectPr>
          <w:pgSz w:w="11900" w:h="16838" w:orient="portrait"/>
          <w:cols w:equalWidth="0" w:num="1">
            <w:col w:w="10219"/>
          </w:cols>
          <w:pgMar w:left="240" w:top="249" w:right="1440" w:bottom="0" w:gutter="0" w:footer="0" w:header="0"/>
          <w:type w:val="continuous"/>
        </w:sectPr>
      </w:pP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b w:val="1"/>
          <w:bCs w:val="1"/>
          <w:color w:val="auto"/>
        </w:rPr>
        <w:t>(423) 743-9151</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212" w:lineRule="exact"/>
        <w:rPr>
          <w:sz w:val="24"/>
          <w:szCs w:val="24"/>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7" w:lineRule="exact"/>
        <w:rPr>
          <w:sz w:val="24"/>
          <w:szCs w:val="24"/>
          <w:color w:val="auto"/>
        </w:rPr>
      </w:pPr>
    </w:p>
    <w:p>
      <w:pPr>
        <w:ind w:right="1839"/>
        <w:spacing w:after="0" w:line="257" w:lineRule="auto"/>
        <w:rPr>
          <w:sz w:val="20"/>
          <w:szCs w:val="20"/>
          <w:color w:val="auto"/>
        </w:rPr>
      </w:pPr>
      <w:r>
        <w:rPr>
          <w:rFonts w:ascii="Courier New" w:cs="Courier New" w:eastAsia="Courier New" w:hAnsi="Courier New"/>
          <w:sz w:val="17"/>
          <w:szCs w:val="17"/>
          <w:color w:val="auto"/>
        </w:rPr>
        <w:t>As of November, 14, 2002 there were 15,367,773 of the registrant's common stock, par value $0.01 per share, outstanding.</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230505</wp:posOffset>
            </wp:positionV>
            <wp:extent cx="7272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b w:val="1"/>
          <w:bCs w:val="1"/>
          <w:color w:val="auto"/>
        </w:rPr>
        <w:t>NN, Inc.</w:t>
      </w:r>
    </w:p>
    <w:p>
      <w:pPr>
        <w:spacing w:after="0" w:line="9" w:lineRule="exact"/>
        <w:rPr>
          <w:sz w:val="24"/>
          <w:szCs w:val="24"/>
          <w:color w:val="auto"/>
        </w:rPr>
      </w:pPr>
    </w:p>
    <w:p>
      <w:pPr>
        <w:ind w:left="3880"/>
        <w:spacing w:after="0"/>
        <w:rPr>
          <w:sz w:val="20"/>
          <w:szCs w:val="20"/>
          <w:color w:val="auto"/>
        </w:rPr>
      </w:pPr>
      <w:r>
        <w:rPr>
          <w:rFonts w:ascii="Courier New" w:cs="Courier New" w:eastAsia="Courier New" w:hAnsi="Courier New"/>
          <w:sz w:val="17"/>
          <w:szCs w:val="17"/>
          <w:b w:val="1"/>
          <w:bCs w:val="1"/>
          <w:color w:val="auto"/>
        </w:rPr>
        <w:t>INDEX</w:t>
      </w:r>
    </w:p>
    <w:p>
      <w:pPr>
        <w:spacing w:after="0" w:line="200" w:lineRule="exact"/>
        <w:rPr>
          <w:sz w:val="24"/>
          <w:szCs w:val="24"/>
          <w:color w:val="auto"/>
        </w:rPr>
      </w:pPr>
    </w:p>
    <w:p>
      <w:pPr>
        <w:spacing w:after="0" w:line="212" w:lineRule="exact"/>
        <w:rPr>
          <w:sz w:val="24"/>
          <w:szCs w:val="24"/>
          <w:color w:val="auto"/>
        </w:rPr>
      </w:pPr>
    </w:p>
    <w:p>
      <w:pPr>
        <w:jc w:val="right"/>
        <w:ind w:right="1519"/>
        <w:spacing w:after="0"/>
        <w:rPr>
          <w:sz w:val="20"/>
          <w:szCs w:val="20"/>
          <w:color w:val="auto"/>
        </w:rPr>
      </w:pPr>
      <w:r>
        <w:rPr>
          <w:rFonts w:ascii="Courier New" w:cs="Courier New" w:eastAsia="Courier New" w:hAnsi="Courier New"/>
          <w:sz w:val="17"/>
          <w:szCs w:val="17"/>
          <w:u w:val="single" w:color="auto"/>
          <w:color w:val="auto"/>
        </w:rPr>
        <w:t>Page No.</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b w:val="1"/>
          <w:bCs w:val="1"/>
          <w:color w:val="auto"/>
        </w:rPr>
        <w:t>Part I. Financial Information</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Item 1. Financial Statements:</w:t>
      </w:r>
    </w:p>
    <w:p>
      <w:pPr>
        <w:spacing w:after="0" w:line="210"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Consolidated Statements of Income and Comprehensive Income for the three</w:t>
      </w:r>
    </w:p>
    <w:p>
      <w:pPr>
        <w:spacing w:after="0" w:line="9" w:lineRule="exact"/>
        <w:rPr>
          <w:sz w:val="24"/>
          <w:szCs w:val="24"/>
          <w:color w:val="auto"/>
        </w:rPr>
      </w:pPr>
    </w:p>
    <w:p>
      <w:pPr>
        <w:ind w:left="740"/>
        <w:spacing w:after="0"/>
        <w:tabs>
          <w:tab w:leader="dot" w:pos="8260" w:val="left"/>
        </w:tabs>
        <w:rPr>
          <w:sz w:val="20"/>
          <w:szCs w:val="20"/>
          <w:color w:val="auto"/>
        </w:rPr>
      </w:pPr>
      <w:r>
        <w:rPr>
          <w:rFonts w:ascii="Courier New" w:cs="Courier New" w:eastAsia="Courier New" w:hAnsi="Courier New"/>
          <w:sz w:val="17"/>
          <w:szCs w:val="17"/>
          <w:color w:val="auto"/>
        </w:rPr>
        <w:t>and nine months ended September 30, 2002 and 2001</w:t>
      </w:r>
      <w:r>
        <w:rPr>
          <w:sz w:val="20"/>
          <w:szCs w:val="20"/>
          <w:color w:val="auto"/>
        </w:rPr>
        <w:tab/>
      </w:r>
      <w:r>
        <w:rPr>
          <w:rFonts w:ascii="Courier New" w:cs="Courier New" w:eastAsia="Courier New" w:hAnsi="Courier New"/>
          <w:sz w:val="16"/>
          <w:szCs w:val="16"/>
          <w:color w:val="auto"/>
        </w:rPr>
        <w:t>2</w:t>
      </w:r>
    </w:p>
    <w:p>
      <w:pPr>
        <w:spacing w:after="0" w:line="210"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Condensed Consolidated Balance Sheets at September 30, 2002 and</w:t>
      </w:r>
    </w:p>
    <w:p>
      <w:pPr>
        <w:spacing w:after="0" w:line="9" w:lineRule="exact"/>
        <w:rPr>
          <w:sz w:val="24"/>
          <w:szCs w:val="24"/>
          <w:color w:val="auto"/>
        </w:rPr>
      </w:pPr>
    </w:p>
    <w:p>
      <w:pPr>
        <w:ind w:left="740"/>
        <w:spacing w:after="0"/>
        <w:tabs>
          <w:tab w:leader="dot" w:pos="8260" w:val="left"/>
        </w:tabs>
        <w:rPr>
          <w:sz w:val="20"/>
          <w:szCs w:val="20"/>
          <w:color w:val="auto"/>
        </w:rPr>
      </w:pPr>
      <w:r>
        <w:rPr>
          <w:rFonts w:ascii="Courier New" w:cs="Courier New" w:eastAsia="Courier New" w:hAnsi="Courier New"/>
          <w:sz w:val="17"/>
          <w:szCs w:val="17"/>
          <w:color w:val="auto"/>
        </w:rPr>
        <w:t>December 31, 2001</w:t>
      </w:r>
      <w:r>
        <w:rPr>
          <w:sz w:val="20"/>
          <w:szCs w:val="20"/>
          <w:color w:val="auto"/>
        </w:rPr>
        <w:tab/>
      </w:r>
      <w:r>
        <w:rPr>
          <w:rFonts w:ascii="Courier New" w:cs="Courier New" w:eastAsia="Courier New" w:hAnsi="Courier New"/>
          <w:sz w:val="16"/>
          <w:szCs w:val="16"/>
          <w:color w:val="auto"/>
        </w:rPr>
        <w:t>3</w:t>
      </w:r>
    </w:p>
    <w:p>
      <w:pPr>
        <w:spacing w:after="0" w:line="210"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Consolidated Statements of Changes in Stockholders' Equity for the nine</w:t>
      </w:r>
    </w:p>
    <w:p>
      <w:pPr>
        <w:spacing w:after="0" w:line="9" w:lineRule="exact"/>
        <w:rPr>
          <w:sz w:val="24"/>
          <w:szCs w:val="24"/>
          <w:color w:val="auto"/>
        </w:rPr>
      </w:pPr>
    </w:p>
    <w:p>
      <w:pPr>
        <w:ind w:left="740"/>
        <w:spacing w:after="0"/>
        <w:tabs>
          <w:tab w:leader="dot" w:pos="8260" w:val="left"/>
        </w:tabs>
        <w:rPr>
          <w:sz w:val="20"/>
          <w:szCs w:val="20"/>
          <w:color w:val="auto"/>
        </w:rPr>
      </w:pPr>
      <w:r>
        <w:rPr>
          <w:rFonts w:ascii="Courier New" w:cs="Courier New" w:eastAsia="Courier New" w:hAnsi="Courier New"/>
          <w:sz w:val="17"/>
          <w:szCs w:val="17"/>
          <w:color w:val="auto"/>
        </w:rPr>
        <w:t>months ended September 30, 2002 and 2001</w:t>
      </w:r>
      <w:r>
        <w:rPr>
          <w:sz w:val="20"/>
          <w:szCs w:val="20"/>
          <w:color w:val="auto"/>
        </w:rPr>
        <w:tab/>
      </w:r>
      <w:r>
        <w:rPr>
          <w:rFonts w:ascii="Courier New" w:cs="Courier New" w:eastAsia="Courier New" w:hAnsi="Courier New"/>
          <w:sz w:val="16"/>
          <w:szCs w:val="16"/>
          <w:color w:val="auto"/>
        </w:rPr>
        <w:t>4</w:t>
      </w:r>
    </w:p>
    <w:p>
      <w:pPr>
        <w:spacing w:after="0" w:line="210"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Consolidated Statements of Cash Flows for the nine months ended</w:t>
      </w:r>
    </w:p>
    <w:p>
      <w:pPr>
        <w:spacing w:after="0" w:line="9" w:lineRule="exact"/>
        <w:rPr>
          <w:sz w:val="24"/>
          <w:szCs w:val="24"/>
          <w:color w:val="auto"/>
        </w:rPr>
      </w:pPr>
    </w:p>
    <w:p>
      <w:pPr>
        <w:ind w:left="740"/>
        <w:spacing w:after="0"/>
        <w:tabs>
          <w:tab w:leader="dot" w:pos="8260" w:val="left"/>
        </w:tabs>
        <w:rPr>
          <w:sz w:val="20"/>
          <w:szCs w:val="20"/>
          <w:color w:val="auto"/>
        </w:rPr>
      </w:pPr>
      <w:r>
        <w:rPr>
          <w:rFonts w:ascii="Courier New" w:cs="Courier New" w:eastAsia="Courier New" w:hAnsi="Courier New"/>
          <w:sz w:val="17"/>
          <w:szCs w:val="17"/>
          <w:color w:val="auto"/>
        </w:rPr>
        <w:t>September 30, 2002 and 2001</w:t>
      </w:r>
      <w:r>
        <w:rPr>
          <w:sz w:val="20"/>
          <w:szCs w:val="20"/>
          <w:color w:val="auto"/>
        </w:rPr>
        <w:tab/>
      </w:r>
      <w:r>
        <w:rPr>
          <w:rFonts w:ascii="Courier New" w:cs="Courier New" w:eastAsia="Courier New" w:hAnsi="Courier New"/>
          <w:sz w:val="16"/>
          <w:szCs w:val="16"/>
          <w:color w:val="auto"/>
        </w:rPr>
        <w:t>5</w:t>
      </w:r>
    </w:p>
    <w:p>
      <w:pPr>
        <w:spacing w:after="0" w:line="210" w:lineRule="exact"/>
        <w:rPr>
          <w:sz w:val="24"/>
          <w:szCs w:val="24"/>
          <w:color w:val="auto"/>
        </w:rPr>
      </w:pPr>
    </w:p>
    <w:p>
      <w:pPr>
        <w:ind w:left="420"/>
        <w:spacing w:after="0"/>
        <w:tabs>
          <w:tab w:leader="dot" w:pos="8260" w:val="left"/>
        </w:tabs>
        <w:rPr>
          <w:sz w:val="20"/>
          <w:szCs w:val="20"/>
          <w:color w:val="auto"/>
        </w:rPr>
      </w:pPr>
      <w:r>
        <w:rPr>
          <w:rFonts w:ascii="Courier New" w:cs="Courier New" w:eastAsia="Courier New" w:hAnsi="Courier New"/>
          <w:sz w:val="17"/>
          <w:szCs w:val="17"/>
          <w:color w:val="auto"/>
        </w:rPr>
        <w:t>Notes to Consolidated Financial Statements</w:t>
      </w:r>
      <w:r>
        <w:rPr>
          <w:sz w:val="20"/>
          <w:szCs w:val="20"/>
          <w:color w:val="auto"/>
        </w:rPr>
        <w:tab/>
      </w:r>
      <w:r>
        <w:rPr>
          <w:rFonts w:ascii="Courier New" w:cs="Courier New" w:eastAsia="Courier New" w:hAnsi="Courier New"/>
          <w:sz w:val="16"/>
          <w:szCs w:val="16"/>
          <w:color w:val="auto"/>
        </w:rPr>
        <w:t>6</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Item 2. Management's Discussion and Analysis of Financial</w:t>
      </w:r>
    </w:p>
    <w:p>
      <w:pPr>
        <w:spacing w:after="0" w:line="9" w:lineRule="exact"/>
        <w:rPr>
          <w:sz w:val="24"/>
          <w:szCs w:val="24"/>
          <w:color w:val="auto"/>
        </w:rPr>
      </w:pPr>
    </w:p>
    <w:p>
      <w:pPr>
        <w:ind w:left="420"/>
        <w:spacing w:after="0"/>
        <w:tabs>
          <w:tab w:leader="dot" w:pos="8160" w:val="left"/>
        </w:tabs>
        <w:rPr>
          <w:sz w:val="20"/>
          <w:szCs w:val="20"/>
          <w:color w:val="auto"/>
        </w:rPr>
      </w:pPr>
      <w:r>
        <w:rPr>
          <w:rFonts w:ascii="Courier New" w:cs="Courier New" w:eastAsia="Courier New" w:hAnsi="Courier New"/>
          <w:sz w:val="17"/>
          <w:szCs w:val="17"/>
          <w:color w:val="auto"/>
        </w:rPr>
        <w:t>Condition and Results of Operations</w:t>
      </w:r>
      <w:r>
        <w:rPr>
          <w:sz w:val="20"/>
          <w:szCs w:val="20"/>
          <w:color w:val="auto"/>
        </w:rPr>
        <w:tab/>
      </w:r>
      <w:r>
        <w:rPr>
          <w:rFonts w:ascii="Courier New" w:cs="Courier New" w:eastAsia="Courier New" w:hAnsi="Courier New"/>
          <w:sz w:val="16"/>
          <w:szCs w:val="16"/>
          <w:color w:val="auto"/>
        </w:rPr>
        <w:t>12</w:t>
      </w:r>
    </w:p>
    <w:p>
      <w:pPr>
        <w:sectPr>
          <w:pgSz w:w="11900" w:h="16838" w:orient="portrait"/>
          <w:cols w:equalWidth="0" w:num="1">
            <w:col w:w="10219"/>
          </w:cols>
          <w:pgMar w:left="240" w:top="249" w:right="1440" w:bottom="0" w:gutter="0" w:footer="0" w:header="0"/>
          <w:type w:val="continuous"/>
        </w:sectPr>
      </w:pPr>
    </w:p>
    <w:bookmarkStart w:id="1" w:name="page2"/>
    <w:bookmarkEnd w:id="1"/>
    <w:p>
      <w:pPr>
        <w:spacing w:after="0"/>
        <w:tabs>
          <w:tab w:leader="dot" w:pos="8160" w:val="left"/>
        </w:tabs>
        <w:rPr>
          <w:sz w:val="20"/>
          <w:szCs w:val="20"/>
          <w:color w:val="auto"/>
        </w:rPr>
      </w:pPr>
      <w:r>
        <w:rPr>
          <w:rFonts w:ascii="Courier New" w:cs="Courier New" w:eastAsia="Courier New" w:hAnsi="Courier New"/>
          <w:sz w:val="17"/>
          <w:szCs w:val="17"/>
          <w:color w:val="auto"/>
        </w:rPr>
        <w:t>Item 3. Quantitative and Qualitative Disclosures about Market Risk</w:t>
      </w:r>
      <w:r>
        <w:rPr>
          <w:sz w:val="20"/>
          <w:szCs w:val="20"/>
          <w:color w:val="auto"/>
        </w:rPr>
        <w:tab/>
      </w:r>
      <w:r>
        <w:rPr>
          <w:rFonts w:ascii="Courier New" w:cs="Courier New" w:eastAsia="Courier New" w:hAnsi="Courier New"/>
          <w:sz w:val="16"/>
          <w:szCs w:val="16"/>
          <w:color w:val="auto"/>
        </w:rPr>
        <w:t>18</w:t>
      </w:r>
    </w:p>
    <w:p>
      <w:pPr>
        <w:spacing w:after="0" w:line="210"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Item 4. Controls and Procedures</w:t>
      </w:r>
      <w:r>
        <w:rPr>
          <w:sz w:val="20"/>
          <w:szCs w:val="20"/>
          <w:color w:val="auto"/>
        </w:rPr>
        <w:tab/>
      </w: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Part II. Other Information</w:t>
      </w:r>
    </w:p>
    <w:p>
      <w:pPr>
        <w:spacing w:after="0" w:line="210"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Item 1. Legal Proceedings</w:t>
      </w:r>
      <w:r>
        <w:rPr>
          <w:sz w:val="20"/>
          <w:szCs w:val="20"/>
          <w:color w:val="auto"/>
        </w:rPr>
        <w:tab/>
      </w:r>
      <w:r>
        <w:rPr>
          <w:rFonts w:ascii="Courier New" w:cs="Courier New" w:eastAsia="Courier New" w:hAnsi="Courier New"/>
          <w:sz w:val="16"/>
          <w:szCs w:val="16"/>
          <w:color w:val="auto"/>
        </w:rPr>
        <w:t>20</w:t>
      </w:r>
    </w:p>
    <w:p>
      <w:pPr>
        <w:spacing w:after="0" w:line="210"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Item 2. Exhibits and Reports on Form 8-K</w:t>
      </w:r>
      <w:r>
        <w:rPr>
          <w:sz w:val="20"/>
          <w:szCs w:val="20"/>
          <w:color w:val="auto"/>
        </w:rPr>
        <w:tab/>
      </w:r>
      <w:r>
        <w:rPr>
          <w:rFonts w:ascii="Courier New" w:cs="Courier New" w:eastAsia="Courier New" w:hAnsi="Courier New"/>
          <w:sz w:val="16"/>
          <w:szCs w:val="16"/>
          <w:color w:val="auto"/>
        </w:rPr>
        <w:t>20</w:t>
      </w:r>
    </w:p>
    <w:p>
      <w:pPr>
        <w:spacing w:after="0" w:line="210"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6"/>
          <w:szCs w:val="16"/>
          <w:color w:val="auto"/>
        </w:rPr>
        <w:t>21</w:t>
      </w:r>
    </w:p>
    <w:p>
      <w:pPr>
        <w:spacing w:after="0" w:line="210" w:lineRule="exact"/>
        <w:rPr>
          <w:sz w:val="20"/>
          <w:szCs w:val="20"/>
          <w:color w:val="auto"/>
        </w:rPr>
      </w:pPr>
    </w:p>
    <w:p>
      <w:pPr>
        <w:spacing w:after="0"/>
        <w:tabs>
          <w:tab w:leader="dot" w:pos="8160" w:val="left"/>
        </w:tabs>
        <w:rPr>
          <w:sz w:val="20"/>
          <w:szCs w:val="20"/>
          <w:color w:val="auto"/>
        </w:rPr>
      </w:pPr>
      <w:r>
        <w:rPr>
          <w:rFonts w:ascii="Courier New" w:cs="Courier New" w:eastAsia="Courier New" w:hAnsi="Courier New"/>
          <w:sz w:val="17"/>
          <w:szCs w:val="17"/>
          <w:color w:val="auto"/>
        </w:rPr>
        <w:t>Certifications</w:t>
      </w:r>
      <w:r>
        <w:rPr>
          <w:sz w:val="20"/>
          <w:szCs w:val="20"/>
          <w:color w:val="auto"/>
        </w:rPr>
        <w:tab/>
      </w:r>
      <w:r>
        <w:rPr>
          <w:rFonts w:ascii="Courier New" w:cs="Courier New" w:eastAsia="Courier New" w:hAnsi="Courier New"/>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80" w:type="dxa"/>
            <w:vAlign w:val="bottom"/>
            <w:gridSpan w:val="2"/>
          </w:tcPr>
          <w:p>
            <w:pPr>
              <w:jc w:val="center"/>
              <w:ind w:left="2533"/>
              <w:spacing w:after="0"/>
              <w:rPr>
                <w:sz w:val="20"/>
                <w:szCs w:val="20"/>
                <w:color w:val="auto"/>
              </w:rPr>
            </w:pPr>
            <w:r>
              <w:rPr>
                <w:rFonts w:ascii="Courier New" w:cs="Courier New" w:eastAsia="Courier New" w:hAnsi="Courier New"/>
                <w:sz w:val="17"/>
                <w:szCs w:val="17"/>
                <w:b w:val="1"/>
                <w:bCs w:val="1"/>
                <w:color w:val="auto"/>
              </w:rPr>
              <w:t>PART I. FINANCIAL INFORMATION</w:t>
            </w:r>
          </w:p>
        </w:tc>
        <w:tc>
          <w:tcPr>
            <w:tcW w:w="2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3"/>
        </w:trPr>
        <w:tc>
          <w:tcPr>
            <w:tcW w:w="5140" w:type="dxa"/>
            <w:vAlign w:val="bottom"/>
          </w:tcPr>
          <w:p>
            <w:pPr>
              <w:ind w:left="3780"/>
              <w:spacing w:after="0"/>
              <w:rPr>
                <w:sz w:val="20"/>
                <w:szCs w:val="20"/>
                <w:color w:val="auto"/>
              </w:rPr>
            </w:pPr>
            <w:r>
              <w:rPr>
                <w:rFonts w:ascii="Courier New" w:cs="Courier New" w:eastAsia="Courier New" w:hAnsi="Courier New"/>
                <w:sz w:val="17"/>
                <w:szCs w:val="17"/>
                <w:b w:val="1"/>
                <w:bCs w:val="1"/>
                <w:color w:val="auto"/>
              </w:rPr>
              <w:t>NN, Inc.</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1"/>
        </w:trPr>
        <w:tc>
          <w:tcPr>
            <w:tcW w:w="8180" w:type="dxa"/>
            <w:vAlign w:val="bottom"/>
            <w:gridSpan w:val="3"/>
          </w:tcPr>
          <w:p>
            <w:pPr>
              <w:jc w:val="right"/>
              <w:ind w:right="853"/>
              <w:spacing w:after="0"/>
              <w:rPr>
                <w:sz w:val="20"/>
                <w:szCs w:val="20"/>
                <w:color w:val="auto"/>
              </w:rPr>
            </w:pPr>
            <w:r>
              <w:rPr>
                <w:rFonts w:ascii="Courier New" w:cs="Courier New" w:eastAsia="Courier New" w:hAnsi="Courier New"/>
                <w:sz w:val="17"/>
                <w:szCs w:val="17"/>
                <w:b w:val="1"/>
                <w:bCs w:val="1"/>
                <w:color w:val="auto"/>
              </w:rPr>
              <w:t>Consolidated Statements of Income and Comprehensive Income</w:t>
            </w:r>
          </w:p>
        </w:tc>
        <w:tc>
          <w:tcPr>
            <w:tcW w:w="20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1"/>
        </w:trPr>
        <w:tc>
          <w:tcPr>
            <w:tcW w:w="5140" w:type="dxa"/>
            <w:vAlign w:val="bottom"/>
          </w:tcPr>
          <w:p>
            <w:pPr>
              <w:jc w:val="center"/>
              <w:ind w:left="3273"/>
              <w:spacing w:after="0"/>
              <w:rPr>
                <w:sz w:val="20"/>
                <w:szCs w:val="20"/>
                <w:color w:val="auto"/>
              </w:rPr>
            </w:pPr>
            <w:r>
              <w:rPr>
                <w:rFonts w:ascii="Courier New" w:cs="Courier New" w:eastAsia="Courier New" w:hAnsi="Courier New"/>
                <w:sz w:val="17"/>
                <w:szCs w:val="17"/>
                <w:b w:val="1"/>
                <w:bCs w:val="1"/>
                <w:color w:val="auto"/>
              </w:rPr>
              <w:t>(Unaudited)</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3"/>
        </w:trPr>
        <w:tc>
          <w:tcPr>
            <w:tcW w:w="5140" w:type="dxa"/>
            <w:vAlign w:val="bottom"/>
          </w:tcPr>
          <w:p>
            <w:pPr>
              <w:spacing w:after="0"/>
              <w:rPr>
                <w:sz w:val="24"/>
                <w:szCs w:val="24"/>
                <w:color w:val="auto"/>
              </w:rPr>
            </w:pPr>
          </w:p>
        </w:tc>
        <w:tc>
          <w:tcPr>
            <w:tcW w:w="3040" w:type="dxa"/>
            <w:vAlign w:val="bottom"/>
            <w:gridSpan w:val="2"/>
          </w:tcPr>
          <w:p>
            <w:pPr>
              <w:jc w:val="right"/>
              <w:ind w:right="653"/>
              <w:spacing w:after="0"/>
              <w:rPr>
                <w:sz w:val="20"/>
                <w:szCs w:val="20"/>
                <w:color w:val="auto"/>
              </w:rPr>
            </w:pPr>
            <w:r>
              <w:rPr>
                <w:rFonts w:ascii="Courier New" w:cs="Courier New" w:eastAsia="Courier New" w:hAnsi="Courier New"/>
                <w:sz w:val="17"/>
                <w:szCs w:val="17"/>
                <w:b w:val="1"/>
                <w:bCs w:val="1"/>
                <w:color w:val="auto"/>
              </w:rPr>
              <w:t>Three Months Ended</w:t>
            </w:r>
          </w:p>
        </w:tc>
        <w:tc>
          <w:tcPr>
            <w:tcW w:w="2520" w:type="dxa"/>
            <w:vAlign w:val="bottom"/>
            <w:gridSpan w:val="2"/>
          </w:tcPr>
          <w:p>
            <w:pPr>
              <w:ind w:left="740"/>
              <w:spacing w:after="0"/>
              <w:rPr>
                <w:sz w:val="20"/>
                <w:szCs w:val="20"/>
                <w:color w:val="auto"/>
              </w:rPr>
            </w:pPr>
            <w:r>
              <w:rPr>
                <w:rFonts w:ascii="Courier New" w:cs="Courier New" w:eastAsia="Courier New" w:hAnsi="Courier New"/>
                <w:sz w:val="17"/>
                <w:szCs w:val="17"/>
                <w:b w:val="1"/>
                <w:bCs w:val="1"/>
                <w:color w:val="auto"/>
              </w:rPr>
              <w:t>Nine Months Ended</w:t>
            </w:r>
          </w:p>
        </w:tc>
      </w:tr>
      <w:tr>
        <w:trPr>
          <w:trHeight w:val="201"/>
        </w:trPr>
        <w:tc>
          <w:tcPr>
            <w:tcW w:w="5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00" w:type="dxa"/>
            <w:vAlign w:val="bottom"/>
          </w:tcPr>
          <w:p>
            <w:pPr>
              <w:jc w:val="right"/>
              <w:ind w:right="853"/>
              <w:spacing w:after="0"/>
              <w:rPr>
                <w:sz w:val="20"/>
                <w:szCs w:val="20"/>
                <w:color w:val="auto"/>
              </w:rPr>
            </w:pPr>
            <w:r>
              <w:rPr>
                <w:rFonts w:ascii="Courier New" w:cs="Courier New" w:eastAsia="Courier New" w:hAnsi="Courier New"/>
                <w:sz w:val="17"/>
                <w:szCs w:val="17"/>
                <w:b w:val="1"/>
                <w:bCs w:val="1"/>
                <w:color w:val="auto"/>
              </w:rPr>
              <w:t>September 30,</w:t>
            </w:r>
          </w:p>
        </w:tc>
        <w:tc>
          <w:tcPr>
            <w:tcW w:w="2040" w:type="dxa"/>
            <w:vAlign w:val="bottom"/>
          </w:tcPr>
          <w:p>
            <w:pPr>
              <w:ind w:left="1040"/>
              <w:spacing w:after="0"/>
              <w:rPr>
                <w:sz w:val="20"/>
                <w:szCs w:val="20"/>
                <w:color w:val="auto"/>
              </w:rPr>
            </w:pPr>
            <w:r>
              <w:rPr>
                <w:rFonts w:ascii="Courier New" w:cs="Courier New" w:eastAsia="Courier New" w:hAnsi="Courier New"/>
                <w:sz w:val="17"/>
                <w:szCs w:val="17"/>
                <w:b w:val="1"/>
                <w:bCs w:val="1"/>
                <w:color w:val="auto"/>
              </w:rPr>
              <w:t>September</w:t>
            </w:r>
          </w:p>
        </w:tc>
        <w:tc>
          <w:tcPr>
            <w:tcW w:w="480" w:type="dxa"/>
            <w:vAlign w:val="bottom"/>
          </w:tcPr>
          <w:p>
            <w:pPr>
              <w:ind w:left="60"/>
              <w:spacing w:after="0"/>
              <w:rPr>
                <w:sz w:val="20"/>
                <w:szCs w:val="20"/>
                <w:color w:val="auto"/>
              </w:rPr>
            </w:pPr>
            <w:r>
              <w:rPr>
                <w:rFonts w:ascii="Courier New" w:cs="Courier New" w:eastAsia="Courier New" w:hAnsi="Courier New"/>
                <w:sz w:val="17"/>
                <w:szCs w:val="17"/>
                <w:b w:val="1"/>
                <w:bCs w:val="1"/>
                <w:color w:val="auto"/>
              </w:rPr>
              <w:t>30,</w:t>
            </w:r>
          </w:p>
        </w:tc>
      </w:tr>
      <w:tr>
        <w:trPr>
          <w:trHeight w:val="201"/>
        </w:trPr>
        <w:tc>
          <w:tcPr>
            <w:tcW w:w="5140" w:type="dxa"/>
            <w:vAlign w:val="bottom"/>
          </w:tcPr>
          <w:p>
            <w:pPr>
              <w:spacing w:after="0"/>
              <w:rPr>
                <w:sz w:val="20"/>
                <w:szCs w:val="20"/>
                <w:color w:val="auto"/>
              </w:rPr>
            </w:pPr>
            <w:r>
              <w:rPr>
                <w:rFonts w:ascii="Courier New" w:cs="Courier New" w:eastAsia="Courier New" w:hAnsi="Courier New"/>
                <w:sz w:val="17"/>
                <w:szCs w:val="17"/>
                <w:b w:val="1"/>
                <w:bCs w:val="1"/>
                <w:color w:val="auto"/>
              </w:rPr>
              <w:t>Thousands of Dollars, Except Per Share Data</w:t>
            </w:r>
          </w:p>
        </w:tc>
        <w:tc>
          <w:tcPr>
            <w:tcW w:w="74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2002</w:t>
            </w:r>
          </w:p>
        </w:tc>
        <w:tc>
          <w:tcPr>
            <w:tcW w:w="2300" w:type="dxa"/>
            <w:vAlign w:val="bottom"/>
          </w:tcPr>
          <w:p>
            <w:pPr>
              <w:jc w:val="right"/>
              <w:ind w:right="653"/>
              <w:spacing w:after="0"/>
              <w:rPr>
                <w:sz w:val="20"/>
                <w:szCs w:val="20"/>
                <w:color w:val="auto"/>
              </w:rPr>
            </w:pPr>
            <w:r>
              <w:rPr>
                <w:rFonts w:ascii="Courier New" w:cs="Courier New" w:eastAsia="Courier New" w:hAnsi="Courier New"/>
                <w:sz w:val="17"/>
                <w:szCs w:val="17"/>
                <w:b w:val="1"/>
                <w:bCs w:val="1"/>
                <w:color w:val="auto"/>
              </w:rPr>
              <w:t>2001</w:t>
            </w:r>
          </w:p>
        </w:tc>
        <w:tc>
          <w:tcPr>
            <w:tcW w:w="2040" w:type="dxa"/>
            <w:vAlign w:val="bottom"/>
          </w:tcPr>
          <w:p>
            <w:pPr>
              <w:ind w:left="720"/>
              <w:spacing w:after="0"/>
              <w:rPr>
                <w:sz w:val="20"/>
                <w:szCs w:val="20"/>
                <w:color w:val="auto"/>
              </w:rPr>
            </w:pPr>
            <w:r>
              <w:rPr>
                <w:rFonts w:ascii="Courier New" w:cs="Courier New" w:eastAsia="Courier New" w:hAnsi="Courier New"/>
                <w:sz w:val="17"/>
                <w:szCs w:val="17"/>
                <w:b w:val="1"/>
                <w:bCs w:val="1"/>
                <w:color w:val="auto"/>
              </w:rPr>
              <w:t>2002</w:t>
            </w:r>
          </w:p>
        </w:tc>
        <w:tc>
          <w:tcPr>
            <w:tcW w:w="480" w:type="dxa"/>
            <w:vAlign w:val="bottom"/>
          </w:tcPr>
          <w:p>
            <w:pPr>
              <w:ind w:left="60"/>
              <w:spacing w:after="0"/>
              <w:rPr>
                <w:sz w:val="20"/>
                <w:szCs w:val="20"/>
                <w:color w:val="auto"/>
              </w:rPr>
            </w:pPr>
            <w:r>
              <w:rPr>
                <w:rFonts w:ascii="Courier New" w:cs="Courier New" w:eastAsia="Courier New" w:hAnsi="Courier New"/>
                <w:sz w:val="17"/>
                <w:szCs w:val="17"/>
                <w:b w:val="1"/>
                <w:bCs w:val="1"/>
                <w:color w:val="auto"/>
                <w:w w:val="97"/>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$ 47,451</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$ 42,576</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$ 143,836</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$ 140,153</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35,631</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32,797</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107,302</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106,116</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Gross profit</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11,820</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9,779</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36,534</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34,037</w:t>
            </w:r>
          </w:p>
        </w:tc>
      </w:tr>
      <w:tr>
        <w:trPr>
          <w:trHeight w:val="403"/>
        </w:trPr>
        <w:tc>
          <w:tcPr>
            <w:tcW w:w="49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4,076</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4,239</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13,311</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12,324</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Depreciation and amortization</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2,881</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3,474</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8,443</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10,170</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Restructuring costs</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750</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78</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750</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4,863</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1,316</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14,702</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10,793</w:t>
            </w:r>
          </w:p>
        </w:tc>
      </w:tr>
      <w:tr>
        <w:trPr>
          <w:trHeight w:val="403"/>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597</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920</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1,876</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3,214</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Equity in (earnings) loss of unconsolidated</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320"/>
              <w:spacing w:after="0"/>
              <w:rPr>
                <w:sz w:val="20"/>
                <w:szCs w:val="20"/>
                <w:color w:val="auto"/>
              </w:rPr>
            </w:pPr>
            <w:r>
              <w:rPr>
                <w:rFonts w:ascii="Courier New" w:cs="Courier New" w:eastAsia="Courier New" w:hAnsi="Courier New"/>
                <w:sz w:val="17"/>
                <w:szCs w:val="17"/>
                <w:color w:val="auto"/>
              </w:rPr>
              <w:t>affiliates</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Net gain on involuntary conversion</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(1,359)</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(3,901)</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(516)</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(461)</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4,286</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1,727</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13,342</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11,954</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1,612</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806</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4,957</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4,879</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Minority interest of consolidated</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555</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177</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2,010</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1,279</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subsidiaries</w:t>
            </w: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Income before cumulative effect of change</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420"/>
              <w:spacing w:after="0"/>
              <w:rPr>
                <w:sz w:val="20"/>
                <w:szCs w:val="20"/>
                <w:color w:val="auto"/>
              </w:rPr>
            </w:pPr>
            <w:r>
              <w:rPr>
                <w:rFonts w:ascii="Courier New" w:cs="Courier New" w:eastAsia="Courier New" w:hAnsi="Courier New"/>
                <w:sz w:val="17"/>
                <w:szCs w:val="17"/>
                <w:color w:val="auto"/>
              </w:rPr>
              <w:t>in accounting principle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2,119</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744</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6,375</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5,796</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Cumulative effect of change in accounting</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principle, net of income tax benefit of $112</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and related minority interest impact of $84</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Net income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2,119</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744</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6,375</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5,698</w:t>
            </w:r>
          </w:p>
        </w:tc>
      </w:tr>
      <w:tr>
        <w:trPr>
          <w:trHeight w:val="403"/>
        </w:trPr>
        <w:tc>
          <w:tcPr>
            <w:tcW w:w="4920" w:type="dxa"/>
            <w:vAlign w:val="bottom"/>
          </w:tcPr>
          <w:p>
            <w:pPr>
              <w:spacing w:after="0"/>
              <w:rPr>
                <w:sz w:val="20"/>
                <w:szCs w:val="20"/>
                <w:color w:val="auto"/>
              </w:rPr>
            </w:pPr>
            <w:r>
              <w:rPr>
                <w:rFonts w:ascii="Courier New" w:cs="Courier New" w:eastAsia="Courier New" w:hAnsi="Courier New"/>
                <w:sz w:val="17"/>
                <w:szCs w:val="17"/>
                <w:color w:val="auto"/>
              </w:rPr>
              <w:t>Other comprehensive income (loss):</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Foreign currency translation</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(66)</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306</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1,267</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(2,875)</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Comprehensive income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$2,053</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$1,050</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$7,642</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$2,823</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920" w:type="dxa"/>
            <w:vAlign w:val="bottom"/>
          </w:tcPr>
          <w:p>
            <w:pPr>
              <w:spacing w:after="0"/>
              <w:rPr>
                <w:sz w:val="20"/>
                <w:szCs w:val="20"/>
                <w:color w:val="auto"/>
              </w:rPr>
            </w:pPr>
            <w:r>
              <w:rPr>
                <w:rFonts w:ascii="Courier New" w:cs="Courier New" w:eastAsia="Courier New" w:hAnsi="Courier New"/>
                <w:sz w:val="17"/>
                <w:szCs w:val="17"/>
                <w:color w:val="auto"/>
              </w:rPr>
              <w:t>Basic income per common share:</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Income before cumulative effect of change</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420"/>
              <w:spacing w:after="0"/>
              <w:rPr>
                <w:sz w:val="20"/>
                <w:szCs w:val="20"/>
                <w:color w:val="auto"/>
              </w:rPr>
            </w:pPr>
            <w:r>
              <w:rPr>
                <w:rFonts w:ascii="Courier New" w:cs="Courier New" w:eastAsia="Courier New" w:hAnsi="Courier New"/>
                <w:sz w:val="17"/>
                <w:szCs w:val="17"/>
                <w:color w:val="auto"/>
              </w:rPr>
              <w:t>in accounting principle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$0.14</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$0.05</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$0.42</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$0.38</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Cumulative effect of change in accounting</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420"/>
              <w:spacing w:after="0"/>
              <w:rPr>
                <w:sz w:val="20"/>
                <w:szCs w:val="20"/>
                <w:color w:val="auto"/>
              </w:rPr>
            </w:pPr>
            <w:r>
              <w:rPr>
                <w:rFonts w:ascii="Courier New" w:cs="Courier New" w:eastAsia="Courier New" w:hAnsi="Courier New"/>
                <w:sz w:val="17"/>
                <w:szCs w:val="17"/>
                <w:color w:val="auto"/>
              </w:rPr>
              <w:t>principle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(0.01)</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Net income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$0.14</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$0.05</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$0.42</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$0.37</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Weighted average shares outstanding</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15,368</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15,286</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15,344</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15,253</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20" w:type="dxa"/>
            <w:vAlign w:val="bottom"/>
          </w:tcPr>
          <w:p>
            <w:pPr>
              <w:spacing w:after="0"/>
              <w:rPr>
                <w:sz w:val="20"/>
                <w:szCs w:val="20"/>
                <w:color w:val="auto"/>
              </w:rPr>
            </w:pPr>
            <w:r>
              <w:rPr>
                <w:rFonts w:ascii="Courier New" w:cs="Courier New" w:eastAsia="Courier New" w:hAnsi="Courier New"/>
                <w:sz w:val="17"/>
                <w:szCs w:val="17"/>
                <w:color w:val="auto"/>
              </w:rPr>
              <w:t>Diluted income per common share:</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Income before cumulative effect of change</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420"/>
              <w:spacing w:after="0"/>
              <w:rPr>
                <w:sz w:val="20"/>
                <w:szCs w:val="20"/>
                <w:color w:val="auto"/>
              </w:rPr>
            </w:pPr>
            <w:r>
              <w:rPr>
                <w:rFonts w:ascii="Courier New" w:cs="Courier New" w:eastAsia="Courier New" w:hAnsi="Courier New"/>
                <w:sz w:val="17"/>
                <w:szCs w:val="17"/>
                <w:color w:val="auto"/>
              </w:rPr>
              <w:t>in accounting principle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$0.14</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$0.05</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$0.40</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$0.37</w:t>
            </w:r>
          </w:p>
        </w:tc>
      </w:tr>
      <w:tr>
        <w:trPr>
          <w:trHeight w:val="201"/>
        </w:trPr>
        <w:tc>
          <w:tcPr>
            <w:tcW w:w="4920" w:type="dxa"/>
            <w:vAlign w:val="bottom"/>
          </w:tcPr>
          <w:p>
            <w:pPr>
              <w:ind w:left="220"/>
              <w:spacing w:after="0"/>
              <w:rPr>
                <w:sz w:val="20"/>
                <w:szCs w:val="20"/>
                <w:color w:val="auto"/>
              </w:rPr>
            </w:pPr>
            <w:r>
              <w:rPr>
                <w:rFonts w:ascii="Courier New" w:cs="Courier New" w:eastAsia="Courier New" w:hAnsi="Courier New"/>
                <w:sz w:val="17"/>
                <w:szCs w:val="17"/>
                <w:color w:val="auto"/>
              </w:rPr>
              <w:t>Cumulative effect of change in accounting</w:t>
            </w:r>
          </w:p>
        </w:tc>
        <w:tc>
          <w:tcPr>
            <w:tcW w:w="1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1"/>
        </w:trPr>
        <w:tc>
          <w:tcPr>
            <w:tcW w:w="4920" w:type="dxa"/>
            <w:vAlign w:val="bottom"/>
          </w:tcPr>
          <w:p>
            <w:pPr>
              <w:ind w:left="420"/>
              <w:spacing w:after="0"/>
              <w:rPr>
                <w:sz w:val="20"/>
                <w:szCs w:val="20"/>
                <w:color w:val="auto"/>
              </w:rPr>
            </w:pPr>
            <w:r>
              <w:rPr>
                <w:rFonts w:ascii="Courier New" w:cs="Courier New" w:eastAsia="Courier New" w:hAnsi="Courier New"/>
                <w:sz w:val="17"/>
                <w:szCs w:val="17"/>
                <w:color w:val="auto"/>
              </w:rPr>
              <w:t>principle</w:t>
            </w:r>
          </w:p>
        </w:tc>
        <w:tc>
          <w:tcPr>
            <w:tcW w:w="14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(0.01)</w:t>
            </w:r>
          </w:p>
        </w:tc>
      </w:tr>
      <w:tr>
        <w:trPr>
          <w:trHeight w:val="201"/>
        </w:trPr>
        <w:tc>
          <w:tcPr>
            <w:tcW w:w="4920" w:type="dxa"/>
            <w:vAlign w:val="bottom"/>
          </w:tcPr>
          <w:p>
            <w:pPr>
              <w:spacing w:after="0"/>
              <w:rPr>
                <w:sz w:val="17"/>
                <w:szCs w:val="17"/>
                <w:color w:val="auto"/>
              </w:rPr>
            </w:pPr>
          </w:p>
        </w:tc>
        <w:tc>
          <w:tcPr>
            <w:tcW w:w="14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220"/>
          </w:cols>
          <w:pgMar w:left="240" w:top="142" w:right="439" w:bottom="0" w:gutter="0" w:footer="0" w:header="0"/>
        </w:sectPr>
      </w:pPr>
    </w:p>
    <w:bookmarkStart w:id="2" w:name="page3"/>
    <w:bookmarkEnd w:id="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42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$0.14</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$0.05</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$0.40</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$0.37</w:t>
            </w:r>
          </w:p>
        </w:tc>
      </w:tr>
      <w:tr>
        <w:trPr>
          <w:trHeight w:val="201"/>
        </w:trPr>
        <w:tc>
          <w:tcPr>
            <w:tcW w:w="4240" w:type="dxa"/>
            <w:vAlign w:val="bottom"/>
          </w:tcPr>
          <w:p>
            <w:pPr>
              <w:spacing w:after="0"/>
              <w:rPr>
                <w:sz w:val="17"/>
                <w:szCs w:val="17"/>
                <w:color w:val="auto"/>
              </w:rPr>
            </w:pPr>
          </w:p>
        </w:tc>
        <w:tc>
          <w:tcPr>
            <w:tcW w:w="1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24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15,648</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15,584</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15,755</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15,505</w:t>
            </w:r>
          </w:p>
        </w:tc>
      </w:tr>
      <w:tr>
        <w:trPr>
          <w:trHeight w:val="201"/>
        </w:trPr>
        <w:tc>
          <w:tcPr>
            <w:tcW w:w="4240" w:type="dxa"/>
            <w:vAlign w:val="bottom"/>
          </w:tcPr>
          <w:p>
            <w:pPr>
              <w:spacing w:after="0"/>
              <w:rPr>
                <w:sz w:val="17"/>
                <w:szCs w:val="17"/>
                <w:color w:val="auto"/>
              </w:rPr>
            </w:pPr>
          </w:p>
        </w:tc>
        <w:tc>
          <w:tcPr>
            <w:tcW w:w="1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240" w:type="dxa"/>
            <w:vAlign w:val="bottom"/>
          </w:tcPr>
          <w:p>
            <w:pPr>
              <w:spacing w:after="0"/>
              <w:rPr>
                <w:sz w:val="20"/>
                <w:szCs w:val="20"/>
                <w:color w:val="auto"/>
              </w:rPr>
            </w:pPr>
            <w:r>
              <w:rPr>
                <w:rFonts w:ascii="Courier New" w:cs="Courier New" w:eastAsia="Courier New" w:hAnsi="Courier New"/>
                <w:sz w:val="17"/>
                <w:szCs w:val="17"/>
                <w:color w:val="auto"/>
              </w:rPr>
              <w:t>Dividends declared per share</w:t>
            </w:r>
          </w:p>
        </w:tc>
        <w:tc>
          <w:tcPr>
            <w:tcW w:w="1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$0.08</w:t>
            </w:r>
          </w:p>
        </w:tc>
        <w:tc>
          <w:tcPr>
            <w:tcW w:w="162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$0.08</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$0.24</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$0.24</w:t>
            </w:r>
          </w:p>
        </w:tc>
      </w:tr>
      <w:tr>
        <w:trPr>
          <w:trHeight w:val="201"/>
        </w:trPr>
        <w:tc>
          <w:tcPr>
            <w:tcW w:w="4240" w:type="dxa"/>
            <w:vAlign w:val="bottom"/>
          </w:tcPr>
          <w:p>
            <w:pPr>
              <w:spacing w:after="0"/>
              <w:rPr>
                <w:sz w:val="17"/>
                <w:szCs w:val="17"/>
                <w:color w:val="auto"/>
              </w:rPr>
            </w:pPr>
          </w:p>
        </w:tc>
        <w:tc>
          <w:tcPr>
            <w:tcW w:w="1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6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NN, Inc.</w:t>
            </w:r>
          </w:p>
        </w:tc>
        <w:tc>
          <w:tcPr>
            <w:tcW w:w="2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226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Condensed Consolidated</w:t>
            </w:r>
          </w:p>
        </w:tc>
        <w:tc>
          <w:tcPr>
            <w:tcW w:w="2260" w:type="dxa"/>
            <w:vAlign w:val="bottom"/>
          </w:tcPr>
          <w:p>
            <w:pPr>
              <w:jc w:val="right"/>
              <w:ind w:right="653"/>
              <w:spacing w:after="0"/>
              <w:rPr>
                <w:sz w:val="20"/>
                <w:szCs w:val="20"/>
                <w:color w:val="auto"/>
              </w:rPr>
            </w:pPr>
            <w:r>
              <w:rPr>
                <w:rFonts w:ascii="Courier New" w:cs="Courier New" w:eastAsia="Courier New" w:hAnsi="Courier New"/>
                <w:sz w:val="17"/>
                <w:szCs w:val="17"/>
                <w:b w:val="1"/>
                <w:bCs w:val="1"/>
                <w:color w:val="auto"/>
              </w:rPr>
              <w:t>Balance Sheets</w:t>
            </w: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604"/>
        </w:trPr>
        <w:tc>
          <w:tcPr>
            <w:tcW w:w="2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60" w:type="dxa"/>
            <w:vAlign w:val="bottom"/>
          </w:tcPr>
          <w:p>
            <w:pPr>
              <w:jc w:val="right"/>
              <w:ind w:right="433"/>
              <w:spacing w:after="0"/>
              <w:rPr>
                <w:sz w:val="20"/>
                <w:szCs w:val="20"/>
                <w:color w:val="auto"/>
              </w:rPr>
            </w:pPr>
            <w:r>
              <w:rPr>
                <w:rFonts w:ascii="Courier New" w:cs="Courier New" w:eastAsia="Courier New" w:hAnsi="Courier New"/>
                <w:sz w:val="17"/>
                <w:szCs w:val="17"/>
                <w:b w:val="1"/>
                <w:bCs w:val="1"/>
                <w:color w:val="auto"/>
              </w:rPr>
              <w:t>September 30,</w:t>
            </w:r>
          </w:p>
        </w:tc>
        <w:tc>
          <w:tcPr>
            <w:tcW w:w="142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31,</w:t>
            </w:r>
          </w:p>
        </w:tc>
      </w:tr>
      <w:tr>
        <w:trPr>
          <w:trHeight w:val="201"/>
        </w:trPr>
        <w:tc>
          <w:tcPr>
            <w:tcW w:w="2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60" w:type="dxa"/>
            <w:vAlign w:val="bottom"/>
          </w:tcPr>
          <w:p>
            <w:pPr>
              <w:jc w:val="right"/>
              <w:ind w:right="853"/>
              <w:spacing w:after="0"/>
              <w:rPr>
                <w:sz w:val="20"/>
                <w:szCs w:val="20"/>
                <w:color w:val="auto"/>
              </w:rPr>
            </w:pPr>
            <w:r>
              <w:rPr>
                <w:rFonts w:ascii="Courier New" w:cs="Courier New" w:eastAsia="Courier New" w:hAnsi="Courier New"/>
                <w:sz w:val="17"/>
                <w:szCs w:val="17"/>
                <w:b w:val="1"/>
                <w:bCs w:val="1"/>
                <w:color w:val="auto"/>
              </w:rPr>
              <w:t>2002</w:t>
            </w:r>
          </w:p>
        </w:tc>
        <w:tc>
          <w:tcPr>
            <w:tcW w:w="142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2001</w:t>
            </w:r>
          </w:p>
        </w:tc>
        <w:tc>
          <w:tcPr>
            <w:tcW w:w="360" w:type="dxa"/>
            <w:vAlign w:val="bottom"/>
          </w:tcPr>
          <w:p>
            <w:pPr>
              <w:spacing w:after="0"/>
              <w:rPr>
                <w:sz w:val="17"/>
                <w:szCs w:val="17"/>
                <w:color w:val="auto"/>
              </w:rPr>
            </w:pPr>
          </w:p>
        </w:tc>
      </w:tr>
      <w:tr>
        <w:trPr>
          <w:trHeight w:val="201"/>
        </w:trPr>
        <w:tc>
          <w:tcPr>
            <w:tcW w:w="2260" w:type="dxa"/>
            <w:vAlign w:val="bottom"/>
          </w:tcPr>
          <w:p>
            <w:pPr>
              <w:spacing w:after="0"/>
              <w:rPr>
                <w:sz w:val="20"/>
                <w:szCs w:val="20"/>
                <w:color w:val="auto"/>
              </w:rPr>
            </w:pPr>
            <w:r>
              <w:rPr>
                <w:rFonts w:ascii="Courier New" w:cs="Courier New" w:eastAsia="Courier New" w:hAnsi="Courier New"/>
                <w:sz w:val="17"/>
                <w:szCs w:val="17"/>
                <w:b w:val="1"/>
                <w:bCs w:val="1"/>
                <w:color w:val="auto"/>
              </w:rPr>
              <w:t>Thousands of  Dollars</w:t>
            </w:r>
          </w:p>
        </w:tc>
        <w:tc>
          <w:tcPr>
            <w:tcW w:w="2400" w:type="dxa"/>
            <w:vAlign w:val="bottom"/>
          </w:tcPr>
          <w:p>
            <w:pPr>
              <w:spacing w:after="0"/>
              <w:rPr>
                <w:sz w:val="17"/>
                <w:szCs w:val="17"/>
                <w:color w:val="auto"/>
              </w:rPr>
            </w:pPr>
          </w:p>
        </w:tc>
        <w:tc>
          <w:tcPr>
            <w:tcW w:w="2260" w:type="dxa"/>
            <w:vAlign w:val="bottom"/>
          </w:tcPr>
          <w:p>
            <w:pPr>
              <w:jc w:val="right"/>
              <w:ind w:right="433"/>
              <w:spacing w:after="0"/>
              <w:rPr>
                <w:sz w:val="20"/>
                <w:szCs w:val="20"/>
                <w:color w:val="auto"/>
              </w:rPr>
            </w:pPr>
            <w:r>
              <w:rPr>
                <w:rFonts w:ascii="Courier New" w:cs="Courier New" w:eastAsia="Courier New" w:hAnsi="Courier New"/>
                <w:sz w:val="17"/>
                <w:szCs w:val="17"/>
                <w:b w:val="1"/>
                <w:bCs w:val="1"/>
                <w:color w:val="auto"/>
              </w:rPr>
              <w:t>(Unaudited)</w:t>
            </w: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r>
    </w:tbl>
    <w:p>
      <w:pPr>
        <w:spacing w:after="0" w:line="4" w:lineRule="exact"/>
        <w:rPr>
          <w:sz w:val="20"/>
          <w:szCs w:val="20"/>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b w:val="1"/>
          <w:bCs w:val="1"/>
          <w:color w:val="auto"/>
        </w:rPr>
        <w:t>Assets</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 assets: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Cash and cash equivalents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$4,607</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$3,024</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 net</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30,705</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24,832</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Inventories, net</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22,618</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23,418</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Other current assets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4,276</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4,343</w:t>
            </w:r>
          </w:p>
        </w:tc>
      </w:tr>
      <w:tr>
        <w:trPr>
          <w:trHeight w:val="201"/>
        </w:trPr>
        <w:tc>
          <w:tcPr>
            <w:tcW w:w="498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ind w:left="540"/>
              <w:spacing w:after="0"/>
              <w:rPr>
                <w:sz w:val="20"/>
                <w:szCs w:val="20"/>
                <w:color w:val="auto"/>
              </w:rPr>
            </w:pPr>
            <w:r>
              <w:rPr>
                <w:rFonts w:ascii="Courier New" w:cs="Courier New" w:eastAsia="Courier New" w:hAnsi="Courier New"/>
                <w:sz w:val="17"/>
                <w:szCs w:val="17"/>
                <w:color w:val="auto"/>
              </w:rPr>
              <w:t>Total current assets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62,206</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55,617</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84,483</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82,770</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Assets held for sale</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3,599</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4,348</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Goodwill, net</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41,192</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40,282</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5,013</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5,118</w:t>
            </w:r>
          </w:p>
        </w:tc>
      </w:tr>
      <w:tr>
        <w:trPr>
          <w:trHeight w:val="201"/>
        </w:trPr>
        <w:tc>
          <w:tcPr>
            <w:tcW w:w="498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ind w:left="540"/>
              <w:spacing w:after="0"/>
              <w:rPr>
                <w:sz w:val="20"/>
                <w:szCs w:val="20"/>
                <w:color w:val="auto"/>
              </w:rPr>
            </w:pPr>
            <w:r>
              <w:rPr>
                <w:rFonts w:ascii="Courier New" w:cs="Courier New" w:eastAsia="Courier New" w:hAnsi="Courier New"/>
                <w:sz w:val="17"/>
                <w:szCs w:val="17"/>
                <w:color w:val="auto"/>
              </w:rPr>
              <w:t>Total assets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$196,493</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$188,135</w:t>
            </w:r>
          </w:p>
        </w:tc>
      </w:tr>
      <w:tr>
        <w:trPr>
          <w:trHeight w:val="201"/>
        </w:trPr>
        <w:tc>
          <w:tcPr>
            <w:tcW w:w="498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b w:val="1"/>
                <w:bCs w:val="1"/>
                <w:color w:val="auto"/>
              </w:rPr>
              <w:t>Liabilities and Stockholders' Equity</w:t>
            </w:r>
          </w:p>
        </w:tc>
        <w:tc>
          <w:tcPr>
            <w:tcW w:w="18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$17,872</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$14,552</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Bank overdraft</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881</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1,141</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Accrued salaries &amp; wages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5,688</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3,813</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Income taxes payable</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4,261</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2,377</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Payable to affiliates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633</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1,277</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Short-term portion of long-term notes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7,000</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7,000</w:t>
            </w:r>
          </w:p>
        </w:tc>
      </w:tr>
      <w:tr>
        <w:trPr>
          <w:trHeight w:val="201"/>
        </w:trPr>
        <w:tc>
          <w:tcPr>
            <w:tcW w:w="4980" w:type="dxa"/>
            <w:vAlign w:val="bottom"/>
          </w:tcPr>
          <w:p>
            <w:pPr>
              <w:ind w:left="220"/>
              <w:spacing w:after="0"/>
              <w:rPr>
                <w:sz w:val="20"/>
                <w:szCs w:val="20"/>
                <w:color w:val="auto"/>
              </w:rPr>
            </w:pPr>
            <w:r>
              <w:rPr>
                <w:rFonts w:ascii="Courier New" w:cs="Courier New" w:eastAsia="Courier New" w:hAnsi="Courier New"/>
                <w:sz w:val="17"/>
                <w:szCs w:val="17"/>
                <w:color w:val="auto"/>
              </w:rPr>
              <w:t>Other current liabilities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9,799</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7,576</w:t>
            </w:r>
          </w:p>
        </w:tc>
      </w:tr>
      <w:tr>
        <w:trPr>
          <w:trHeight w:val="201"/>
        </w:trPr>
        <w:tc>
          <w:tcPr>
            <w:tcW w:w="498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ind w:left="540"/>
              <w:spacing w:after="0"/>
              <w:rPr>
                <w:sz w:val="20"/>
                <w:szCs w:val="20"/>
                <w:color w:val="auto"/>
              </w:rPr>
            </w:pPr>
            <w:r>
              <w:rPr>
                <w:rFonts w:ascii="Courier New" w:cs="Courier New" w:eastAsia="Courier New" w:hAnsi="Courier New"/>
                <w:sz w:val="17"/>
                <w:szCs w:val="17"/>
                <w:color w:val="auto"/>
              </w:rPr>
              <w:t>Total current liabilities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46,134</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37,736</w:t>
            </w:r>
          </w:p>
        </w:tc>
      </w:tr>
      <w:tr>
        <w:trPr>
          <w:trHeight w:val="403"/>
        </w:trPr>
        <w:tc>
          <w:tcPr>
            <w:tcW w:w="4980" w:type="dxa"/>
            <w:vAlign w:val="bottom"/>
          </w:tcPr>
          <w:p>
            <w:pPr>
              <w:spacing w:after="0"/>
              <w:rPr>
                <w:sz w:val="20"/>
                <w:szCs w:val="20"/>
                <w:color w:val="auto"/>
              </w:rPr>
            </w:pPr>
            <w:r>
              <w:rPr>
                <w:rFonts w:ascii="Courier New" w:cs="Courier New" w:eastAsia="Courier New" w:hAnsi="Courier New"/>
                <w:sz w:val="17"/>
                <w:szCs w:val="17"/>
                <w:color w:val="auto"/>
              </w:rPr>
              <w:t>Minority interest in consolidated subsidiaries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36,421</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30,932</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Non-current deferred tax liability</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6,643</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6,499</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36,660</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47,661</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Accrued pension</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3,331</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2,390</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976</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878</w:t>
            </w:r>
          </w:p>
        </w:tc>
      </w:tr>
      <w:tr>
        <w:trPr>
          <w:trHeight w:val="201"/>
        </w:trPr>
        <w:tc>
          <w:tcPr>
            <w:tcW w:w="498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980" w:type="dxa"/>
            <w:vAlign w:val="bottom"/>
          </w:tcPr>
          <w:p>
            <w:pPr>
              <w:ind w:left="540"/>
              <w:spacing w:after="0"/>
              <w:rPr>
                <w:sz w:val="20"/>
                <w:szCs w:val="20"/>
                <w:color w:val="auto"/>
              </w:rPr>
            </w:pPr>
            <w:r>
              <w:rPr>
                <w:rFonts w:ascii="Courier New" w:cs="Courier New" w:eastAsia="Courier New" w:hAnsi="Courier New"/>
                <w:sz w:val="17"/>
                <w:szCs w:val="17"/>
                <w:color w:val="auto"/>
              </w:rPr>
              <w:t>Total liabilities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130,165</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126,096</w:t>
            </w:r>
          </w:p>
        </w:tc>
      </w:tr>
      <w:tr>
        <w:trPr>
          <w:trHeight w:val="403"/>
        </w:trPr>
        <w:tc>
          <w:tcPr>
            <w:tcW w:w="4980" w:type="dxa"/>
            <w:vAlign w:val="bottom"/>
          </w:tcPr>
          <w:p>
            <w:pPr>
              <w:ind w:left="540"/>
              <w:spacing w:after="0"/>
              <w:rPr>
                <w:sz w:val="20"/>
                <w:szCs w:val="20"/>
                <w:color w:val="auto"/>
              </w:rPr>
            </w:pPr>
            <w:r>
              <w:rPr>
                <w:rFonts w:ascii="Courier New" w:cs="Courier New" w:eastAsia="Courier New" w:hAnsi="Courier New"/>
                <w:sz w:val="17"/>
                <w:szCs w:val="17"/>
                <w:color w:val="auto"/>
              </w:rPr>
              <w:t>Total stockholders' equity</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66,328</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62,039</w:t>
            </w:r>
          </w:p>
        </w:tc>
      </w:tr>
      <w:tr>
        <w:trPr>
          <w:trHeight w:val="201"/>
        </w:trPr>
        <w:tc>
          <w:tcPr>
            <w:tcW w:w="498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980" w:type="dxa"/>
            <w:vAlign w:val="bottom"/>
          </w:tcPr>
          <w:p>
            <w:pPr>
              <w:ind w:left="54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$196,493</w:t>
            </w:r>
          </w:p>
        </w:tc>
        <w:tc>
          <w:tcPr>
            <w:tcW w:w="1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$188,135</w:t>
            </w:r>
          </w:p>
        </w:tc>
      </w:tr>
      <w:tr>
        <w:trPr>
          <w:trHeight w:val="201"/>
        </w:trPr>
        <w:tc>
          <w:tcPr>
            <w:tcW w:w="4980" w:type="dxa"/>
            <w:vAlign w:val="bottom"/>
          </w:tcPr>
          <w:p>
            <w:pPr>
              <w:spacing w:after="0"/>
              <w:rPr>
                <w:sz w:val="17"/>
                <w:szCs w:val="17"/>
                <w:color w:val="auto"/>
              </w:rPr>
            </w:pPr>
          </w:p>
        </w:tc>
        <w:tc>
          <w:tcPr>
            <w:tcW w:w="18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See accompanying notes.</w:t>
      </w:r>
    </w:p>
    <w:p>
      <w:pPr>
        <w:sectPr>
          <w:pgSz w:w="11900" w:h="16838" w:orient="portrait"/>
          <w:cols w:equalWidth="0" w:num="1">
            <w:col w:w="11000"/>
          </w:cols>
          <w:pgMar w:left="240" w:top="142" w:right="659" w:bottom="55" w:gutter="0" w:footer="0" w:header="0"/>
        </w:sectPr>
      </w:pPr>
    </w:p>
    <w:bookmarkStart w:id="3" w:name="page4"/>
    <w:bookmarkEnd w:id="3"/>
    <w:p>
      <w:pPr>
        <w:ind w:left="4100"/>
        <w:spacing w:after="0"/>
        <w:rPr>
          <w:sz w:val="20"/>
          <w:szCs w:val="20"/>
          <w:color w:val="auto"/>
        </w:rPr>
      </w:pPr>
      <w:r>
        <w:rPr>
          <w:rFonts w:ascii="Courier New" w:cs="Courier New" w:eastAsia="Courier New" w:hAnsi="Courier New"/>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b w:val="1"/>
          <w:bCs w:val="1"/>
          <w:color w:val="auto"/>
        </w:rPr>
        <w:t>NN, Inc.</w:t>
      </w:r>
    </w:p>
    <w:p>
      <w:pPr>
        <w:spacing w:after="0" w:line="9"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b w:val="1"/>
          <w:bCs w:val="1"/>
          <w:color w:val="auto"/>
        </w:rPr>
        <w:t>Consolidated Statements of Changes in Stockholders' Equity</w:t>
      </w:r>
    </w:p>
    <w:p>
      <w:pPr>
        <w:spacing w:after="0" w:line="9"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b w:val="1"/>
          <w:bCs w:val="1"/>
          <w:color w:val="auto"/>
        </w:rPr>
        <w:t>Common Stock</w:t>
      </w:r>
    </w:p>
    <w:p>
      <w:pPr>
        <w:spacing w:after="0" w:line="210" w:lineRule="exact"/>
        <w:rPr>
          <w:sz w:val="20"/>
          <w:szCs w:val="20"/>
          <w:color w:val="auto"/>
        </w:rPr>
      </w:pPr>
    </w:p>
    <w:p>
      <w:pPr>
        <w:ind w:left="9220"/>
        <w:spacing w:after="0"/>
        <w:rPr>
          <w:sz w:val="20"/>
          <w:szCs w:val="20"/>
          <w:color w:val="auto"/>
        </w:rPr>
      </w:pPr>
      <w:r>
        <w:rPr>
          <w:rFonts w:ascii="Courier New" w:cs="Courier New" w:eastAsia="Courier New" w:hAnsi="Courier New"/>
          <w:sz w:val="17"/>
          <w:szCs w:val="17"/>
          <w:b w:val="1"/>
          <w:bCs w:val="1"/>
          <w:color w:val="auto"/>
        </w:rPr>
        <w:t>Accumulated</w:t>
      </w:r>
    </w:p>
    <w:p>
      <w:pPr>
        <w:spacing w:after="0" w:line="9" w:lineRule="exact"/>
        <w:rPr>
          <w:sz w:val="20"/>
          <w:szCs w:val="20"/>
          <w:color w:val="auto"/>
        </w:rPr>
      </w:pPr>
    </w:p>
    <w:p>
      <w:pPr>
        <w:spacing w:after="0"/>
        <w:tabs>
          <w:tab w:leader="none" w:pos="6280" w:val="left"/>
          <w:tab w:leader="none" w:pos="9420" w:val="left"/>
        </w:tabs>
        <w:rPr>
          <w:sz w:val="20"/>
          <w:szCs w:val="20"/>
          <w:color w:val="auto"/>
        </w:rPr>
      </w:pPr>
      <w:r>
        <w:rPr>
          <w:rFonts w:ascii="Courier New" w:cs="Courier New" w:eastAsia="Courier New" w:hAnsi="Courier New"/>
          <w:sz w:val="17"/>
          <w:szCs w:val="17"/>
          <w:b w:val="1"/>
          <w:bCs w:val="1"/>
          <w:color w:val="auto"/>
        </w:rPr>
        <w:t>In Thousands</w:t>
      </w:r>
      <w:r>
        <w:rPr>
          <w:sz w:val="20"/>
          <w:szCs w:val="20"/>
          <w:color w:val="auto"/>
        </w:rPr>
        <w:tab/>
      </w:r>
      <w:r>
        <w:rPr>
          <w:rFonts w:ascii="Courier New" w:cs="Courier New" w:eastAsia="Courier New" w:hAnsi="Courier New"/>
          <w:sz w:val="17"/>
          <w:szCs w:val="17"/>
          <w:b w:val="1"/>
          <w:bCs w:val="1"/>
          <w:color w:val="auto"/>
        </w:rPr>
        <w:t>Additional</w:t>
      </w:r>
      <w:r>
        <w:rPr>
          <w:sz w:val="20"/>
          <w:szCs w:val="20"/>
          <w:color w:val="auto"/>
        </w:rPr>
        <w:tab/>
      </w:r>
      <w:r>
        <w:rPr>
          <w:rFonts w:ascii="Courier New" w:cs="Courier New" w:eastAsia="Courier New" w:hAnsi="Courier New"/>
          <w:sz w:val="17"/>
          <w:szCs w:val="17"/>
          <w:b w:val="1"/>
          <w:bCs w:val="1"/>
          <w:color w:val="auto"/>
        </w:rPr>
        <w:t>Other</w:t>
      </w:r>
    </w:p>
    <w:p>
      <w:pPr>
        <w:spacing w:after="0" w:line="9" w:lineRule="exact"/>
        <w:rPr>
          <w:sz w:val="20"/>
          <w:szCs w:val="20"/>
          <w:color w:val="auto"/>
        </w:rPr>
      </w:pPr>
    </w:p>
    <w:p>
      <w:pPr>
        <w:ind w:left="3560"/>
        <w:spacing w:after="0"/>
        <w:tabs>
          <w:tab w:leader="none" w:pos="5320" w:val="left"/>
          <w:tab w:leader="none" w:pos="6480" w:val="left"/>
          <w:tab w:leader="none" w:pos="7840" w:val="left"/>
          <w:tab w:leader="none" w:pos="9000" w:val="left"/>
        </w:tabs>
        <w:rPr>
          <w:sz w:val="20"/>
          <w:szCs w:val="20"/>
          <w:color w:val="auto"/>
        </w:rPr>
      </w:pPr>
      <w:r>
        <w:rPr>
          <w:rFonts w:ascii="Courier New" w:cs="Courier New" w:eastAsia="Courier New" w:hAnsi="Courier New"/>
          <w:sz w:val="17"/>
          <w:szCs w:val="17"/>
          <w:b w:val="1"/>
          <w:bCs w:val="1"/>
          <w:color w:val="auto"/>
        </w:rPr>
        <w:t>Number of</w:t>
      </w:r>
      <w:r>
        <w:rPr>
          <w:sz w:val="20"/>
          <w:szCs w:val="20"/>
          <w:color w:val="auto"/>
        </w:rPr>
        <w:tab/>
      </w:r>
      <w:r>
        <w:rPr>
          <w:rFonts w:ascii="Courier New" w:cs="Courier New" w:eastAsia="Courier New" w:hAnsi="Courier New"/>
          <w:sz w:val="17"/>
          <w:szCs w:val="17"/>
          <w:b w:val="1"/>
          <w:bCs w:val="1"/>
          <w:color w:val="auto"/>
        </w:rPr>
        <w:t>Par</w:t>
      </w:r>
      <w:r>
        <w:rPr>
          <w:sz w:val="20"/>
          <w:szCs w:val="20"/>
          <w:color w:val="auto"/>
        </w:rPr>
        <w:tab/>
      </w:r>
      <w:r>
        <w:rPr>
          <w:rFonts w:ascii="Courier New" w:cs="Courier New" w:eastAsia="Courier New" w:hAnsi="Courier New"/>
          <w:sz w:val="17"/>
          <w:szCs w:val="17"/>
          <w:b w:val="1"/>
          <w:bCs w:val="1"/>
          <w:color w:val="auto"/>
        </w:rPr>
        <w:t>paid in</w:t>
      </w:r>
      <w:r>
        <w:rPr>
          <w:sz w:val="20"/>
          <w:szCs w:val="20"/>
          <w:color w:val="auto"/>
        </w:rPr>
        <w:tab/>
      </w:r>
      <w:r>
        <w:rPr>
          <w:rFonts w:ascii="Courier New" w:cs="Courier New" w:eastAsia="Courier New" w:hAnsi="Courier New"/>
          <w:sz w:val="17"/>
          <w:szCs w:val="17"/>
          <w:b w:val="1"/>
          <w:bCs w:val="1"/>
          <w:color w:val="auto"/>
        </w:rPr>
        <w:t>Retained</w:t>
      </w:r>
      <w:r>
        <w:rPr>
          <w:sz w:val="20"/>
          <w:szCs w:val="20"/>
          <w:color w:val="auto"/>
        </w:rPr>
        <w:tab/>
      </w:r>
      <w:r>
        <w:rPr>
          <w:rFonts w:ascii="Courier New" w:cs="Courier New" w:eastAsia="Courier New" w:hAnsi="Courier New"/>
          <w:sz w:val="17"/>
          <w:szCs w:val="17"/>
          <w:b w:val="1"/>
          <w:bCs w:val="1"/>
          <w:color w:val="auto"/>
        </w:rPr>
        <w:t>Comprehensive</w:t>
      </w:r>
    </w:p>
    <w:p>
      <w:pPr>
        <w:spacing w:after="0" w:line="9" w:lineRule="exact"/>
        <w:rPr>
          <w:sz w:val="20"/>
          <w:szCs w:val="20"/>
          <w:color w:val="auto"/>
        </w:rPr>
      </w:pPr>
    </w:p>
    <w:p>
      <w:pPr>
        <w:ind w:left="3680"/>
        <w:spacing w:after="0"/>
        <w:tabs>
          <w:tab w:leader="none" w:pos="5220" w:val="left"/>
          <w:tab w:leader="none" w:pos="6480" w:val="left"/>
          <w:tab w:leader="none" w:pos="7840" w:val="left"/>
          <w:tab w:leader="none" w:pos="9520" w:val="left"/>
          <w:tab w:leader="none" w:pos="10680" w:val="left"/>
        </w:tabs>
        <w:rPr>
          <w:sz w:val="20"/>
          <w:szCs w:val="20"/>
          <w:color w:val="auto"/>
        </w:rPr>
      </w:pPr>
      <w:r>
        <w:rPr>
          <w:rFonts w:ascii="Courier New" w:cs="Courier New" w:eastAsia="Courier New" w:hAnsi="Courier New"/>
          <w:sz w:val="17"/>
          <w:szCs w:val="17"/>
          <w:b w:val="1"/>
          <w:bCs w:val="1"/>
          <w:color w:val="auto"/>
        </w:rPr>
        <w:t>Shares</w:t>
      </w:r>
      <w:r>
        <w:rPr>
          <w:sz w:val="20"/>
          <w:szCs w:val="20"/>
          <w:color w:val="auto"/>
        </w:rPr>
        <w:tab/>
      </w:r>
      <w:r>
        <w:rPr>
          <w:rFonts w:ascii="Courier New" w:cs="Courier New" w:eastAsia="Courier New" w:hAnsi="Courier New"/>
          <w:sz w:val="17"/>
          <w:szCs w:val="17"/>
          <w:b w:val="1"/>
          <w:bCs w:val="1"/>
          <w:color w:val="auto"/>
        </w:rPr>
        <w:t>value</w:t>
      </w:r>
      <w:r>
        <w:rPr>
          <w:sz w:val="20"/>
          <w:szCs w:val="20"/>
          <w:color w:val="auto"/>
        </w:rPr>
        <w:tab/>
      </w:r>
      <w:r>
        <w:rPr>
          <w:rFonts w:ascii="Courier New" w:cs="Courier New" w:eastAsia="Courier New" w:hAnsi="Courier New"/>
          <w:sz w:val="17"/>
          <w:szCs w:val="17"/>
          <w:b w:val="1"/>
          <w:bCs w:val="1"/>
          <w:color w:val="auto"/>
        </w:rPr>
        <w:t>capital</w:t>
      </w:r>
      <w:r>
        <w:rPr>
          <w:sz w:val="20"/>
          <w:szCs w:val="20"/>
          <w:color w:val="auto"/>
        </w:rPr>
        <w:tab/>
      </w:r>
      <w:r>
        <w:rPr>
          <w:rFonts w:ascii="Courier New" w:cs="Courier New" w:eastAsia="Courier New" w:hAnsi="Courier New"/>
          <w:sz w:val="17"/>
          <w:szCs w:val="17"/>
          <w:b w:val="1"/>
          <w:bCs w:val="1"/>
          <w:color w:val="auto"/>
        </w:rPr>
        <w:t>Earnings</w:t>
      </w:r>
      <w:r>
        <w:rPr>
          <w:sz w:val="20"/>
          <w:szCs w:val="20"/>
          <w:color w:val="auto"/>
        </w:rPr>
        <w:tab/>
      </w:r>
      <w:r>
        <w:rPr>
          <w:rFonts w:ascii="Courier New" w:cs="Courier New" w:eastAsia="Courier New" w:hAnsi="Courier New"/>
          <w:sz w:val="17"/>
          <w:szCs w:val="17"/>
          <w:b w:val="1"/>
          <w:bCs w:val="1"/>
          <w:color w:val="auto"/>
        </w:rPr>
        <w:t>Loss</w:t>
      </w:r>
      <w:r>
        <w:rPr>
          <w:sz w:val="20"/>
          <w:szCs w:val="20"/>
          <w:color w:val="auto"/>
        </w:rPr>
        <w:tab/>
      </w:r>
      <w:r>
        <w:rPr>
          <w:rFonts w:ascii="Courier New" w:cs="Courier New" w:eastAsia="Courier New" w:hAnsi="Courier New"/>
          <w:sz w:val="17"/>
          <w:szCs w:val="17"/>
          <w:b w:val="1"/>
          <w:bCs w:val="1"/>
          <w:color w:val="auto"/>
        </w:rPr>
        <w:t>Total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00" w:type="dxa"/>
            <w:vAlign w:val="bottom"/>
          </w:tcPr>
          <w:p>
            <w:pPr>
              <w:spacing w:after="0"/>
              <w:rPr>
                <w:sz w:val="20"/>
                <w:szCs w:val="20"/>
                <w:color w:val="auto"/>
              </w:rPr>
            </w:pPr>
            <w:r>
              <w:rPr>
                <w:rFonts w:ascii="Courier New" w:cs="Courier New" w:eastAsia="Courier New" w:hAnsi="Courier New"/>
                <w:sz w:val="17"/>
                <w:szCs w:val="17"/>
                <w:color w:val="auto"/>
              </w:rPr>
              <w:t>Balance, January 1, 2001</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15,247</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$153</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$30,414</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$36,364</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$(1,685)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$65,246</w:t>
            </w:r>
          </w:p>
        </w:tc>
      </w:tr>
      <w:tr>
        <w:trPr>
          <w:trHeight w:val="201"/>
        </w:trPr>
        <w:tc>
          <w:tcPr>
            <w:tcW w:w="3100" w:type="dxa"/>
            <w:vAlign w:val="bottom"/>
          </w:tcPr>
          <w:p>
            <w:pPr>
              <w:ind w:left="120"/>
              <w:spacing w:after="0"/>
              <w:rPr>
                <w:sz w:val="20"/>
                <w:szCs w:val="20"/>
                <w:color w:val="auto"/>
              </w:rPr>
            </w:pPr>
            <w:r>
              <w:rPr>
                <w:rFonts w:ascii="Courier New" w:cs="Courier New" w:eastAsia="Courier New" w:hAnsi="Courier New"/>
                <w:sz w:val="17"/>
                <w:szCs w:val="17"/>
                <w:color w:val="auto"/>
              </w:rPr>
              <w:t>Shares issued</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50</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242</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243</w:t>
            </w:r>
          </w:p>
        </w:tc>
      </w:tr>
      <w:tr>
        <w:trPr>
          <w:trHeight w:val="201"/>
        </w:trPr>
        <w:tc>
          <w:tcPr>
            <w:tcW w:w="3100" w:type="dxa"/>
            <w:vAlign w:val="bottom"/>
          </w:tcPr>
          <w:p>
            <w:pPr>
              <w:ind w:left="120"/>
              <w:spacing w:after="0"/>
              <w:rPr>
                <w:sz w:val="20"/>
                <w:szCs w:val="20"/>
                <w:color w:val="auto"/>
              </w:rPr>
            </w:pPr>
            <w:r>
              <w:rPr>
                <w:rFonts w:ascii="Courier New" w:cs="Courier New" w:eastAsia="Courier New" w:hAnsi="Courier New"/>
                <w:sz w:val="17"/>
                <w:szCs w:val="17"/>
                <w:color w:val="auto"/>
              </w:rPr>
              <w:t>Net income</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5,698</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5,698</w:t>
            </w:r>
          </w:p>
        </w:tc>
      </w:tr>
      <w:tr>
        <w:trPr>
          <w:trHeight w:val="201"/>
        </w:trPr>
        <w:tc>
          <w:tcPr>
            <w:tcW w:w="3100" w:type="dxa"/>
            <w:vAlign w:val="bottom"/>
          </w:tcPr>
          <w:p>
            <w:pPr>
              <w:ind w:left="120"/>
              <w:spacing w:after="0"/>
              <w:rPr>
                <w:sz w:val="20"/>
                <w:szCs w:val="20"/>
                <w:color w:val="auto"/>
              </w:rPr>
            </w:pPr>
            <w:r>
              <w:rPr>
                <w:rFonts w:ascii="Courier New" w:cs="Courier New" w:eastAsia="Courier New" w:hAnsi="Courier New"/>
                <w:sz w:val="17"/>
                <w:szCs w:val="17"/>
                <w:color w:val="auto"/>
              </w:rPr>
              <w:t>Dividends paid</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(3,662)</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(3,662)</w:t>
            </w:r>
          </w:p>
        </w:tc>
      </w:tr>
      <w:tr>
        <w:trPr>
          <w:trHeight w:val="201"/>
        </w:trPr>
        <w:tc>
          <w:tcPr>
            <w:tcW w:w="3100" w:type="dxa"/>
            <w:vAlign w:val="bottom"/>
          </w:tcPr>
          <w:p>
            <w:pPr>
              <w:ind w:left="220"/>
              <w:spacing w:after="0"/>
              <w:rPr>
                <w:sz w:val="20"/>
                <w:szCs w:val="20"/>
                <w:color w:val="auto"/>
              </w:rPr>
            </w:pPr>
            <w:r>
              <w:rPr>
                <w:rFonts w:ascii="Courier New" w:cs="Courier New" w:eastAsia="Courier New" w:hAnsi="Courier New"/>
                <w:sz w:val="17"/>
                <w:szCs w:val="17"/>
                <w:color w:val="auto"/>
              </w:rPr>
              <w:t>Other comprehensive loss</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(2,875)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(2,875)</w:t>
            </w:r>
          </w:p>
        </w:tc>
      </w:tr>
      <w:tr>
        <w:trPr>
          <w:trHeight w:val="201"/>
        </w:trPr>
        <w:tc>
          <w:tcPr>
            <w:tcW w:w="3100" w:type="dxa"/>
            <w:vAlign w:val="bottom"/>
          </w:tcPr>
          <w:p>
            <w:pPr>
              <w:spacing w:after="0"/>
              <w:rPr>
                <w:sz w:val="17"/>
                <w:szCs w:val="17"/>
                <w:color w:val="auto"/>
              </w:rPr>
            </w:pPr>
          </w:p>
        </w:tc>
        <w:tc>
          <w:tcPr>
            <w:tcW w:w="832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  -----------  ----------  -----------  -----------  ----------</w:t>
            </w:r>
          </w:p>
        </w:tc>
      </w:tr>
      <w:tr>
        <w:trPr>
          <w:trHeight w:val="201"/>
        </w:trPr>
        <w:tc>
          <w:tcPr>
            <w:tcW w:w="3100" w:type="dxa"/>
            <w:vAlign w:val="bottom"/>
          </w:tcPr>
          <w:p>
            <w:pPr>
              <w:spacing w:after="0"/>
              <w:rPr>
                <w:sz w:val="20"/>
                <w:szCs w:val="20"/>
                <w:color w:val="auto"/>
              </w:rPr>
            </w:pPr>
            <w:r>
              <w:rPr>
                <w:rFonts w:ascii="Courier New" w:cs="Courier New" w:eastAsia="Courier New" w:hAnsi="Courier New"/>
                <w:sz w:val="17"/>
                <w:szCs w:val="17"/>
                <w:color w:val="auto"/>
              </w:rPr>
              <w:t>Balance, September 30, 2001</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15,297</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$154</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$30,656</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$38,400</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$(4,560)</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$64,650</w:t>
            </w:r>
          </w:p>
        </w:tc>
      </w:tr>
      <w:tr>
        <w:trPr>
          <w:trHeight w:val="201"/>
        </w:trPr>
        <w:tc>
          <w:tcPr>
            <w:tcW w:w="3100" w:type="dxa"/>
            <w:vAlign w:val="bottom"/>
          </w:tcPr>
          <w:p>
            <w:pPr>
              <w:spacing w:after="0"/>
              <w:rPr>
                <w:sz w:val="17"/>
                <w:szCs w:val="17"/>
                <w:color w:val="auto"/>
              </w:rPr>
            </w:pPr>
          </w:p>
        </w:tc>
        <w:tc>
          <w:tcPr>
            <w:tcW w:w="832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  ===========  ==========  ===========  ===========  ==========</w:t>
            </w:r>
          </w:p>
        </w:tc>
      </w:tr>
      <w:tr>
        <w:trPr>
          <w:trHeight w:val="403"/>
        </w:trPr>
        <w:tc>
          <w:tcPr>
            <w:tcW w:w="3100" w:type="dxa"/>
            <w:vAlign w:val="bottom"/>
          </w:tcPr>
          <w:p>
            <w:pPr>
              <w:spacing w:after="0"/>
              <w:rPr>
                <w:sz w:val="20"/>
                <w:szCs w:val="20"/>
                <w:color w:val="auto"/>
              </w:rPr>
            </w:pPr>
            <w:r>
              <w:rPr>
                <w:rFonts w:ascii="Courier New" w:cs="Courier New" w:eastAsia="Courier New" w:hAnsi="Courier New"/>
                <w:sz w:val="17"/>
                <w:szCs w:val="17"/>
                <w:color w:val="auto"/>
              </w:rPr>
              <w:t>Balance, January 1, 2002</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15,317</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$154</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$30,841</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$36,139</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$(5,095)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$ 62,039</w:t>
            </w:r>
          </w:p>
        </w:tc>
      </w:tr>
      <w:tr>
        <w:trPr>
          <w:trHeight w:val="201"/>
        </w:trPr>
        <w:tc>
          <w:tcPr>
            <w:tcW w:w="3100" w:type="dxa"/>
            <w:vAlign w:val="bottom"/>
          </w:tcPr>
          <w:p>
            <w:pPr>
              <w:ind w:left="120"/>
              <w:spacing w:after="0"/>
              <w:rPr>
                <w:sz w:val="20"/>
                <w:szCs w:val="20"/>
                <w:color w:val="auto"/>
              </w:rPr>
            </w:pPr>
            <w:r>
              <w:rPr>
                <w:rFonts w:ascii="Courier New" w:cs="Courier New" w:eastAsia="Courier New" w:hAnsi="Courier New"/>
                <w:sz w:val="17"/>
                <w:szCs w:val="17"/>
                <w:color w:val="auto"/>
              </w:rPr>
              <w:t>Shares issued</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51</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332</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332</w:t>
            </w:r>
          </w:p>
        </w:tc>
      </w:tr>
      <w:tr>
        <w:trPr>
          <w:trHeight w:val="201"/>
        </w:trPr>
        <w:tc>
          <w:tcPr>
            <w:tcW w:w="3100" w:type="dxa"/>
            <w:vAlign w:val="bottom"/>
          </w:tcPr>
          <w:p>
            <w:pPr>
              <w:ind w:left="120"/>
              <w:spacing w:after="0"/>
              <w:rPr>
                <w:sz w:val="20"/>
                <w:szCs w:val="20"/>
                <w:color w:val="auto"/>
              </w:rPr>
            </w:pPr>
            <w:r>
              <w:rPr>
                <w:rFonts w:ascii="Courier New" w:cs="Courier New" w:eastAsia="Courier New" w:hAnsi="Courier New"/>
                <w:sz w:val="17"/>
                <w:szCs w:val="17"/>
                <w:color w:val="auto"/>
              </w:rPr>
              <w:t>Net income</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6,375</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6,375</w:t>
            </w:r>
          </w:p>
        </w:tc>
      </w:tr>
      <w:tr>
        <w:trPr>
          <w:trHeight w:val="201"/>
        </w:trPr>
        <w:tc>
          <w:tcPr>
            <w:tcW w:w="3100" w:type="dxa"/>
            <w:vAlign w:val="bottom"/>
          </w:tcPr>
          <w:p>
            <w:pPr>
              <w:ind w:left="120"/>
              <w:spacing w:after="0"/>
              <w:rPr>
                <w:sz w:val="20"/>
                <w:szCs w:val="20"/>
                <w:color w:val="auto"/>
              </w:rPr>
            </w:pPr>
            <w:r>
              <w:rPr>
                <w:rFonts w:ascii="Courier New" w:cs="Courier New" w:eastAsia="Courier New" w:hAnsi="Courier New"/>
                <w:sz w:val="17"/>
                <w:szCs w:val="17"/>
                <w:color w:val="auto"/>
              </w:rPr>
              <w:t>Dividends paid</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(3,685)</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(3,685)</w:t>
            </w:r>
          </w:p>
        </w:tc>
      </w:tr>
      <w:tr>
        <w:trPr>
          <w:trHeight w:val="201"/>
        </w:trPr>
        <w:tc>
          <w:tcPr>
            <w:tcW w:w="3100" w:type="dxa"/>
            <w:vAlign w:val="bottom"/>
          </w:tcPr>
          <w:p>
            <w:pPr>
              <w:ind w:left="120"/>
              <w:spacing w:after="0"/>
              <w:rPr>
                <w:sz w:val="20"/>
                <w:szCs w:val="20"/>
                <w:color w:val="auto"/>
              </w:rPr>
            </w:pPr>
            <w:r>
              <w:rPr>
                <w:rFonts w:ascii="Courier New" w:cs="Courier New" w:eastAsia="Courier New" w:hAnsi="Courier New"/>
                <w:sz w:val="17"/>
                <w:szCs w:val="17"/>
                <w:color w:val="auto"/>
              </w:rPr>
              <w:t>Other comprehensive income</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1,267</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1,267</w:t>
            </w:r>
          </w:p>
        </w:tc>
      </w:tr>
      <w:tr>
        <w:trPr>
          <w:trHeight w:val="201"/>
        </w:trPr>
        <w:tc>
          <w:tcPr>
            <w:tcW w:w="3100" w:type="dxa"/>
            <w:vAlign w:val="bottom"/>
          </w:tcPr>
          <w:p>
            <w:pPr>
              <w:spacing w:after="0"/>
              <w:rPr>
                <w:sz w:val="17"/>
                <w:szCs w:val="17"/>
                <w:color w:val="auto"/>
              </w:rPr>
            </w:pPr>
          </w:p>
        </w:tc>
        <w:tc>
          <w:tcPr>
            <w:tcW w:w="832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  -----------  ----------  -----------  -----------  ----------</w:t>
            </w:r>
          </w:p>
        </w:tc>
      </w:tr>
      <w:tr>
        <w:trPr>
          <w:trHeight w:val="201"/>
        </w:trPr>
        <w:tc>
          <w:tcPr>
            <w:tcW w:w="3100" w:type="dxa"/>
            <w:vAlign w:val="bottom"/>
          </w:tcPr>
          <w:p>
            <w:pPr>
              <w:spacing w:after="0"/>
              <w:rPr>
                <w:sz w:val="20"/>
                <w:szCs w:val="20"/>
                <w:color w:val="auto"/>
              </w:rPr>
            </w:pPr>
            <w:r>
              <w:rPr>
                <w:rFonts w:ascii="Courier New" w:cs="Courier New" w:eastAsia="Courier New" w:hAnsi="Courier New"/>
                <w:sz w:val="17"/>
                <w:szCs w:val="17"/>
                <w:color w:val="auto"/>
              </w:rPr>
              <w:t>Balance, September 30, 2002</w:t>
            </w:r>
          </w:p>
        </w:tc>
        <w:tc>
          <w:tcPr>
            <w:tcW w:w="182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15,368</w:t>
            </w:r>
          </w:p>
        </w:tc>
        <w:tc>
          <w:tcPr>
            <w:tcW w:w="138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$154</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$31,173</w:t>
            </w:r>
          </w:p>
        </w:tc>
        <w:tc>
          <w:tcPr>
            <w:tcW w:w="13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$38,829</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$(3,828)</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$66,328</w:t>
            </w:r>
          </w:p>
        </w:tc>
      </w:tr>
      <w:tr>
        <w:trPr>
          <w:trHeight w:val="201"/>
        </w:trPr>
        <w:tc>
          <w:tcPr>
            <w:tcW w:w="3100" w:type="dxa"/>
            <w:vAlign w:val="bottom"/>
          </w:tcPr>
          <w:p>
            <w:pPr>
              <w:spacing w:after="0"/>
              <w:rPr>
                <w:sz w:val="17"/>
                <w:szCs w:val="17"/>
                <w:color w:val="auto"/>
              </w:rPr>
            </w:pPr>
          </w:p>
        </w:tc>
        <w:tc>
          <w:tcPr>
            <w:tcW w:w="1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See accompanying notes.</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7"/>
          <w:szCs w:val="17"/>
          <w:b w:val="1"/>
          <w:bCs w:val="1"/>
          <w:color w:val="auto"/>
        </w:rPr>
        <w:t>NN, Inc.</w:t>
      </w:r>
    </w:p>
    <w:p>
      <w:pPr>
        <w:spacing w:after="0" w:line="9"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b w:val="1"/>
          <w:bCs w:val="1"/>
          <w:color w:val="auto"/>
        </w:rPr>
        <w:t>Consolidated Statements of Cash Flows</w:t>
      </w:r>
    </w:p>
    <w:p>
      <w:pPr>
        <w:spacing w:after="0" w:line="9"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7"/>
          <w:szCs w:val="17"/>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3040" w:type="dxa"/>
            <w:vAlign w:val="bottom"/>
          </w:tcPr>
          <w:p>
            <w:pPr>
              <w:ind w:left="2560"/>
              <w:spacing w:after="0"/>
              <w:rPr>
                <w:sz w:val="20"/>
                <w:szCs w:val="20"/>
                <w:color w:val="auto"/>
              </w:rPr>
            </w:pPr>
            <w:r>
              <w:rPr>
                <w:rFonts w:ascii="Courier New" w:cs="Courier New" w:eastAsia="Courier New" w:hAnsi="Courier New"/>
                <w:sz w:val="17"/>
                <w:szCs w:val="17"/>
                <w:b w:val="1"/>
                <w:bCs w:val="1"/>
                <w:color w:val="auto"/>
              </w:rPr>
              <w:t>Nine</w:t>
            </w:r>
          </w:p>
        </w:tc>
        <w:tc>
          <w:tcPr>
            <w:tcW w:w="72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Months</w:t>
            </w:r>
          </w:p>
        </w:tc>
        <w:tc>
          <w:tcPr>
            <w:tcW w:w="680" w:type="dxa"/>
            <w:vAlign w:val="bottom"/>
          </w:tcPr>
          <w:p>
            <w:pPr>
              <w:ind w:left="60"/>
              <w:spacing w:after="0"/>
              <w:rPr>
                <w:sz w:val="20"/>
                <w:szCs w:val="20"/>
                <w:color w:val="auto"/>
              </w:rPr>
            </w:pPr>
            <w:r>
              <w:rPr>
                <w:rFonts w:ascii="Courier New" w:cs="Courier New" w:eastAsia="Courier New" w:hAnsi="Courier New"/>
                <w:sz w:val="17"/>
                <w:szCs w:val="17"/>
                <w:b w:val="1"/>
                <w:bCs w:val="1"/>
                <w:color w:val="auto"/>
              </w:rPr>
              <w:t>Ended</w:t>
            </w:r>
          </w:p>
        </w:tc>
      </w:tr>
      <w:tr>
        <w:trPr>
          <w:trHeight w:val="201"/>
        </w:trPr>
        <w:tc>
          <w:tcPr>
            <w:tcW w:w="4780" w:type="dxa"/>
            <w:vAlign w:val="bottom"/>
          </w:tcPr>
          <w:p>
            <w:pPr>
              <w:spacing w:after="0"/>
              <w:rPr>
                <w:sz w:val="17"/>
                <w:szCs w:val="17"/>
                <w:color w:val="auto"/>
              </w:rPr>
            </w:pPr>
          </w:p>
        </w:tc>
        <w:tc>
          <w:tcPr>
            <w:tcW w:w="3760" w:type="dxa"/>
            <w:vAlign w:val="bottom"/>
            <w:gridSpan w:val="2"/>
          </w:tcPr>
          <w:p>
            <w:pPr>
              <w:jc w:val="right"/>
              <w:spacing w:after="0"/>
              <w:rPr>
                <w:sz w:val="20"/>
                <w:szCs w:val="20"/>
                <w:color w:val="auto"/>
              </w:rPr>
            </w:pPr>
            <w:r>
              <w:rPr>
                <w:rFonts w:ascii="Courier New" w:cs="Courier New" w:eastAsia="Courier New" w:hAnsi="Courier New"/>
                <w:sz w:val="17"/>
                <w:szCs w:val="17"/>
                <w:b w:val="1"/>
                <w:bCs w:val="1"/>
                <w:color w:val="auto"/>
              </w:rPr>
              <w:t>September</w:t>
            </w:r>
          </w:p>
        </w:tc>
        <w:tc>
          <w:tcPr>
            <w:tcW w:w="680" w:type="dxa"/>
            <w:vAlign w:val="bottom"/>
          </w:tcPr>
          <w:p>
            <w:pPr>
              <w:ind w:left="60"/>
              <w:spacing w:after="0"/>
              <w:rPr>
                <w:sz w:val="20"/>
                <w:szCs w:val="20"/>
                <w:color w:val="auto"/>
              </w:rPr>
            </w:pPr>
            <w:r>
              <w:rPr>
                <w:rFonts w:ascii="Courier New" w:cs="Courier New" w:eastAsia="Courier New" w:hAnsi="Courier New"/>
                <w:sz w:val="17"/>
                <w:szCs w:val="17"/>
                <w:b w:val="1"/>
                <w:bCs w:val="1"/>
                <w:color w:val="auto"/>
              </w:rPr>
              <w:t>30,</w:t>
            </w:r>
          </w:p>
        </w:tc>
      </w:tr>
      <w:tr>
        <w:trPr>
          <w:trHeight w:val="403"/>
        </w:trPr>
        <w:tc>
          <w:tcPr>
            <w:tcW w:w="4780" w:type="dxa"/>
            <w:vAlign w:val="bottom"/>
          </w:tcPr>
          <w:p>
            <w:pPr>
              <w:spacing w:after="0"/>
              <w:rPr>
                <w:sz w:val="20"/>
                <w:szCs w:val="20"/>
                <w:color w:val="auto"/>
              </w:rPr>
            </w:pPr>
            <w:r>
              <w:rPr>
                <w:rFonts w:ascii="Courier New" w:cs="Courier New" w:eastAsia="Courier New" w:hAnsi="Courier New"/>
                <w:sz w:val="17"/>
                <w:szCs w:val="17"/>
                <w:b w:val="1"/>
                <w:bCs w:val="1"/>
                <w:color w:val="auto"/>
              </w:rPr>
              <w:t>Thousands of  Dollars</w:t>
            </w:r>
          </w:p>
        </w:tc>
        <w:tc>
          <w:tcPr>
            <w:tcW w:w="3040" w:type="dxa"/>
            <w:vAlign w:val="bottom"/>
          </w:tcPr>
          <w:p>
            <w:pPr>
              <w:ind w:left="2560"/>
              <w:spacing w:after="0"/>
              <w:rPr>
                <w:sz w:val="20"/>
                <w:szCs w:val="20"/>
                <w:color w:val="auto"/>
              </w:rPr>
            </w:pPr>
            <w:r>
              <w:rPr>
                <w:rFonts w:ascii="Courier New" w:cs="Courier New" w:eastAsia="Courier New" w:hAnsi="Courier New"/>
                <w:sz w:val="17"/>
                <w:szCs w:val="17"/>
                <w:b w:val="1"/>
                <w:bCs w:val="1"/>
                <w:color w:val="auto"/>
              </w:rPr>
              <w:t>2002</w:t>
            </w:r>
          </w:p>
        </w:tc>
        <w:tc>
          <w:tcPr>
            <w:tcW w:w="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2001</w:t>
            </w:r>
          </w:p>
        </w:tc>
      </w:tr>
    </w:tbl>
    <w:p>
      <w:pPr>
        <w:spacing w:after="0" w:line="4" w:lineRule="exact"/>
        <w:rPr>
          <w:sz w:val="20"/>
          <w:szCs w:val="20"/>
          <w:color w:val="auto"/>
        </w:rPr>
      </w:pPr>
    </w:p>
    <w:p>
      <w:pPr>
        <w:ind w:left="220" w:hanging="213"/>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b w:val="1"/>
          <w:bCs w:val="1"/>
          <w:color w:val="auto"/>
        </w:rPr>
        <w:t>Operating Activities:</w:t>
      </w:r>
    </w:p>
    <w:p>
      <w:pPr>
        <w:spacing w:after="0" w:line="9" w:lineRule="exact"/>
        <w:rPr>
          <w:sz w:val="20"/>
          <w:szCs w:val="20"/>
          <w:color w:val="auto"/>
        </w:rPr>
      </w:pPr>
    </w:p>
    <w:tbl>
      <w:tblPr>
        <w:tblLayout w:type="fixed"/>
        <w:tblInd w:w="220" w:type="dxa"/>
        <w:tblCellMar>
          <w:top w:w="0" w:type="dxa"/>
          <w:left w:w="0" w:type="dxa"/>
          <w:bottom w:w="0" w:type="dxa"/>
          <w:right w:w="0" w:type="dxa"/>
        </w:tblCellMar>
      </w:tblPr>
      <w:tr>
        <w:trPr>
          <w:trHeight w:val="197"/>
        </w:trPr>
        <w:tc>
          <w:tcPr>
            <w:tcW w:w="650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$6,375</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$5,698</w:t>
            </w:r>
          </w:p>
        </w:tc>
      </w:tr>
      <w:tr>
        <w:trPr>
          <w:trHeight w:val="201"/>
        </w:trPr>
        <w:tc>
          <w:tcPr>
            <w:tcW w:w="6500" w:type="dxa"/>
            <w:vAlign w:val="bottom"/>
          </w:tcPr>
          <w:p>
            <w:pPr>
              <w:spacing w:after="0"/>
              <w:rPr>
                <w:sz w:val="20"/>
                <w:szCs w:val="20"/>
                <w:color w:val="auto"/>
              </w:rPr>
            </w:pPr>
            <w:r>
              <w:rPr>
                <w:rFonts w:ascii="Courier New" w:cs="Courier New" w:eastAsia="Courier New" w:hAnsi="Courier New"/>
                <w:sz w:val="17"/>
                <w:szCs w:val="17"/>
                <w:color w:val="auto"/>
              </w:rPr>
              <w:t>Adjustments to reconcile net income:</w:t>
            </w: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Depreciation and amortization</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8,443</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10,170</w:t>
            </w:r>
          </w:p>
        </w:tc>
      </w:tr>
      <w:tr>
        <w:trPr>
          <w:trHeight w:val="201"/>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Cumulative effect of change in accounting principle</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98</w:t>
            </w:r>
          </w:p>
        </w:tc>
      </w:tr>
      <w:tr>
        <w:trPr>
          <w:trHeight w:val="201"/>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Gain on disposals of property, plant and equipment</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Equity in earnings of unconsolidated affiliate</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w:t>
            </w:r>
          </w:p>
        </w:tc>
      </w:tr>
      <w:tr>
        <w:trPr>
          <w:trHeight w:val="201"/>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Interest income on receivable from unconsolidated affiliate</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(104)</w:t>
            </w:r>
          </w:p>
        </w:tc>
      </w:tr>
      <w:tr>
        <w:trPr>
          <w:trHeight w:val="201"/>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Minority interest in consolidated subsidiary</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2,010</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1,279</w:t>
            </w:r>
          </w:p>
        </w:tc>
      </w:tr>
      <w:tr>
        <w:trPr>
          <w:trHeight w:val="201"/>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Restructuring costs</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78</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750</w:t>
            </w:r>
          </w:p>
        </w:tc>
      </w:tr>
      <w:tr>
        <w:trPr>
          <w:trHeight w:val="201"/>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6500" w:type="dxa"/>
            <w:vAlign w:val="bottom"/>
          </w:tcPr>
          <w:p>
            <w:pPr>
              <w:ind w:left="420"/>
              <w:spacing w:after="0"/>
              <w:rPr>
                <w:sz w:val="20"/>
                <w:szCs w:val="20"/>
                <w:color w:val="auto"/>
              </w:rPr>
            </w:pPr>
            <w:r>
              <w:rPr>
                <w:rFonts w:ascii="Courier New" w:cs="Courier New" w:eastAsia="Courier New" w:hAnsi="Courier New"/>
                <w:sz w:val="17"/>
                <w:szCs w:val="17"/>
                <w:color w:val="auto"/>
              </w:rPr>
              <w:t>Accounts receivable</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(5,117)</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1,317</w:t>
            </w:r>
          </w:p>
        </w:tc>
      </w:tr>
      <w:tr>
        <w:trPr>
          <w:trHeight w:val="201"/>
        </w:trPr>
        <w:tc>
          <w:tcPr>
            <w:tcW w:w="6500" w:type="dxa"/>
            <w:vAlign w:val="bottom"/>
          </w:tcPr>
          <w:p>
            <w:pPr>
              <w:ind w:left="420"/>
              <w:spacing w:after="0"/>
              <w:rPr>
                <w:sz w:val="20"/>
                <w:szCs w:val="20"/>
                <w:color w:val="auto"/>
              </w:rPr>
            </w:pPr>
            <w:r>
              <w:rPr>
                <w:rFonts w:ascii="Courier New" w:cs="Courier New" w:eastAsia="Courier New" w:hAnsi="Courier New"/>
                <w:sz w:val="17"/>
                <w:szCs w:val="17"/>
                <w:color w:val="auto"/>
              </w:rPr>
              <w:t>Inventories</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1,738</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1,005</w:t>
            </w:r>
          </w:p>
        </w:tc>
      </w:tr>
      <w:tr>
        <w:trPr>
          <w:trHeight w:val="201"/>
        </w:trPr>
        <w:tc>
          <w:tcPr>
            <w:tcW w:w="6500" w:type="dxa"/>
            <w:vAlign w:val="bottom"/>
          </w:tcPr>
          <w:p>
            <w:pPr>
              <w:ind w:left="420"/>
              <w:spacing w:after="0"/>
              <w:rPr>
                <w:sz w:val="20"/>
                <w:szCs w:val="20"/>
                <w:color w:val="auto"/>
              </w:rPr>
            </w:pPr>
            <w:r>
              <w:rPr>
                <w:rFonts w:ascii="Courier New" w:cs="Courier New" w:eastAsia="Courier New" w:hAnsi="Courier New"/>
                <w:sz w:val="17"/>
                <w:szCs w:val="17"/>
                <w:color w:val="auto"/>
              </w:rPr>
              <w:t>Other current assets</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425</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(1,611)</w:t>
            </w:r>
          </w:p>
        </w:tc>
      </w:tr>
      <w:tr>
        <w:trPr>
          <w:trHeight w:val="201"/>
        </w:trPr>
        <w:tc>
          <w:tcPr>
            <w:tcW w:w="6500" w:type="dxa"/>
            <w:vAlign w:val="bottom"/>
          </w:tcPr>
          <w:p>
            <w:pPr>
              <w:ind w:left="420"/>
              <w:spacing w:after="0"/>
              <w:rPr>
                <w:sz w:val="20"/>
                <w:szCs w:val="20"/>
                <w:color w:val="auto"/>
              </w:rPr>
            </w:pPr>
            <w:r>
              <w:rPr>
                <w:rFonts w:ascii="Courier New" w:cs="Courier New" w:eastAsia="Courier New" w:hAnsi="Courier New"/>
                <w:sz w:val="17"/>
                <w:szCs w:val="17"/>
                <w:color w:val="auto"/>
              </w:rPr>
              <w:t>Other assets</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(1,330)</w:t>
            </w:r>
          </w:p>
        </w:tc>
      </w:tr>
      <w:tr>
        <w:trPr>
          <w:trHeight w:val="201"/>
        </w:trPr>
        <w:tc>
          <w:tcPr>
            <w:tcW w:w="6500" w:type="dxa"/>
            <w:vAlign w:val="bottom"/>
          </w:tcPr>
          <w:p>
            <w:pPr>
              <w:ind w:left="420"/>
              <w:spacing w:after="0"/>
              <w:rPr>
                <w:sz w:val="20"/>
                <w:szCs w:val="20"/>
                <w:color w:val="auto"/>
              </w:rPr>
            </w:pPr>
            <w:r>
              <w:rPr>
                <w:rFonts w:ascii="Courier New" w:cs="Courier New" w:eastAsia="Courier New" w:hAnsi="Courier New"/>
                <w:sz w:val="17"/>
                <w:szCs w:val="17"/>
                <w:color w:val="auto"/>
              </w:rPr>
              <w:t>Accounts payable</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1,515</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(4,278)</w:t>
            </w:r>
          </w:p>
        </w:tc>
      </w:tr>
      <w:tr>
        <w:trPr>
          <w:trHeight w:val="201"/>
        </w:trPr>
        <w:tc>
          <w:tcPr>
            <w:tcW w:w="6500" w:type="dxa"/>
            <w:vAlign w:val="bottom"/>
          </w:tcPr>
          <w:p>
            <w:pPr>
              <w:ind w:left="420"/>
              <w:spacing w:after="0"/>
              <w:rPr>
                <w:sz w:val="20"/>
                <w:szCs w:val="20"/>
                <w:color w:val="auto"/>
              </w:rPr>
            </w:pPr>
            <w:r>
              <w:rPr>
                <w:rFonts w:ascii="Courier New" w:cs="Courier New" w:eastAsia="Courier New" w:hAnsi="Courier New"/>
                <w:sz w:val="17"/>
                <w:szCs w:val="17"/>
                <w:color w:val="auto"/>
              </w:rPr>
              <w:t>Income taxes payable</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1,883</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2,888</w:t>
            </w:r>
          </w:p>
        </w:tc>
      </w:tr>
      <w:tr>
        <w:trPr>
          <w:trHeight w:val="201"/>
        </w:trPr>
        <w:tc>
          <w:tcPr>
            <w:tcW w:w="6500" w:type="dxa"/>
            <w:vAlign w:val="bottom"/>
          </w:tcPr>
          <w:p>
            <w:pPr>
              <w:ind w:left="420"/>
              <w:spacing w:after="0"/>
              <w:rPr>
                <w:sz w:val="20"/>
                <w:szCs w:val="20"/>
                <w:color w:val="auto"/>
              </w:rPr>
            </w:pPr>
            <w:r>
              <w:rPr>
                <w:rFonts w:ascii="Courier New" w:cs="Courier New" w:eastAsia="Courier New" w:hAnsi="Courier New"/>
                <w:sz w:val="17"/>
                <w:szCs w:val="17"/>
                <w:color w:val="auto"/>
              </w:rPr>
              <w:t>Other liabilities</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4,063</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2,856</w:t>
            </w:r>
          </w:p>
        </w:tc>
      </w:tr>
      <w:tr>
        <w:trPr>
          <w:trHeight w:val="201"/>
        </w:trPr>
        <w:tc>
          <w:tcPr>
            <w:tcW w:w="650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500" w:type="dxa"/>
            <w:vAlign w:val="bottom"/>
          </w:tcPr>
          <w:p>
            <w:pPr>
              <w:ind w:left="74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21,395</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18,725</w:t>
            </w:r>
          </w:p>
        </w:tc>
      </w:tr>
      <w:tr>
        <w:trPr>
          <w:trHeight w:val="201"/>
        </w:trPr>
        <w:tc>
          <w:tcPr>
            <w:tcW w:w="6500" w:type="dxa"/>
            <w:vAlign w:val="bottom"/>
          </w:tcPr>
          <w:p>
            <w:pPr>
              <w:spacing w:after="0"/>
              <w:rPr>
                <w:sz w:val="17"/>
                <w:szCs w:val="17"/>
                <w:color w:val="auto"/>
              </w:rPr>
            </w:pPr>
          </w:p>
        </w:tc>
        <w:tc>
          <w:tcPr>
            <w:tcW w:w="13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142" w:right="1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Pr>
          <w:p>
            <w:pPr>
              <w:spacing w:after="0"/>
              <w:rPr>
                <w:sz w:val="20"/>
                <w:szCs w:val="20"/>
                <w:color w:val="auto"/>
              </w:rPr>
            </w:pPr>
            <w:r>
              <w:rPr>
                <w:rFonts w:ascii="Courier New" w:cs="Courier New" w:eastAsia="Courier New" w:hAnsi="Courier New"/>
                <w:sz w:val="17"/>
                <w:szCs w:val="17"/>
                <w:b w:val="1"/>
                <w:bCs w:val="1"/>
                <w:color w:val="auto"/>
              </w:rPr>
              <w:t>Investing Activities:</w:t>
            </w: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Acquisition of Delta Rubber Company, net of cash acquired</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(23,674)</w:t>
            </w: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Acquisition of property, plant, and equipment</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(4,626)</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(4,961)</w:t>
            </w: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Proceeds from disposals of property, plant and equipment</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43</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1"/>
        </w:trPr>
        <w:tc>
          <w:tcPr>
            <w:tcW w:w="6440" w:type="dxa"/>
            <w:vAlign w:val="bottom"/>
          </w:tcPr>
          <w:p>
            <w:pPr>
              <w:spacing w:after="0"/>
              <w:rPr>
                <w:sz w:val="17"/>
                <w:szCs w:val="17"/>
                <w:color w:val="auto"/>
              </w:rPr>
            </w:pPr>
          </w:p>
        </w:tc>
        <w:tc>
          <w:tcPr>
            <w:tcW w:w="1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440" w:type="dxa"/>
            <w:vAlign w:val="bottom"/>
          </w:tcPr>
          <w:p>
            <w:pPr>
              <w:ind w:left="960"/>
              <w:spacing w:after="0"/>
              <w:rPr>
                <w:sz w:val="20"/>
                <w:szCs w:val="20"/>
                <w:color w:val="auto"/>
              </w:rPr>
            </w:pPr>
            <w:r>
              <w:rPr>
                <w:rFonts w:ascii="Courier New" w:cs="Courier New" w:eastAsia="Courier New" w:hAnsi="Courier New"/>
                <w:sz w:val="17"/>
                <w:szCs w:val="17"/>
                <w:color w:val="auto"/>
              </w:rPr>
              <w:t>Net cash used by investing activities</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(4,583)</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(28,635)</w:t>
            </w:r>
          </w:p>
        </w:tc>
      </w:tr>
      <w:tr>
        <w:trPr>
          <w:trHeight w:val="201"/>
        </w:trPr>
        <w:tc>
          <w:tcPr>
            <w:tcW w:w="6440" w:type="dxa"/>
            <w:vAlign w:val="bottom"/>
          </w:tcPr>
          <w:p>
            <w:pPr>
              <w:spacing w:after="0"/>
              <w:rPr>
                <w:sz w:val="17"/>
                <w:szCs w:val="17"/>
                <w:color w:val="auto"/>
              </w:rPr>
            </w:pPr>
          </w:p>
        </w:tc>
        <w:tc>
          <w:tcPr>
            <w:tcW w:w="1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440" w:type="dxa"/>
            <w:vAlign w:val="bottom"/>
          </w:tcPr>
          <w:p>
            <w:pPr>
              <w:spacing w:after="0"/>
              <w:rPr>
                <w:sz w:val="20"/>
                <w:szCs w:val="20"/>
                <w:color w:val="auto"/>
              </w:rPr>
            </w:pPr>
            <w:r>
              <w:rPr>
                <w:rFonts w:ascii="Courier New" w:cs="Courier New" w:eastAsia="Courier New" w:hAnsi="Courier New"/>
                <w:sz w:val="17"/>
                <w:szCs w:val="17"/>
                <w:b w:val="1"/>
                <w:bCs w:val="1"/>
                <w:color w:val="auto"/>
              </w:rPr>
              <w:t>Financing Activities:</w:t>
            </w:r>
          </w:p>
        </w:tc>
        <w:tc>
          <w:tcPr>
            <w:tcW w:w="16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Net proceeds under revolving credit facility</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71,429</w:t>
            </w: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Increase (decrease) in bank overdraft</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(260)</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454</w:t>
            </w: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Repayment of long-term debt</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(11,971)</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(56,762)</w:t>
            </w: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Repayment of short-term debt</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(2,000)</w:t>
            </w: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Proceeds from issuance of stock</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332</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243</w:t>
            </w:r>
          </w:p>
        </w:tc>
      </w:tr>
      <w:tr>
        <w:trPr>
          <w:trHeight w:val="201"/>
        </w:trPr>
        <w:tc>
          <w:tcPr>
            <w:tcW w:w="6440" w:type="dxa"/>
            <w:vAlign w:val="bottom"/>
          </w:tcPr>
          <w:p>
            <w:pPr>
              <w:ind w:left="120"/>
              <w:spacing w:after="0"/>
              <w:rPr>
                <w:sz w:val="20"/>
                <w:szCs w:val="20"/>
                <w:color w:val="auto"/>
              </w:rPr>
            </w:pPr>
            <w:r>
              <w:rPr>
                <w:rFonts w:ascii="Courier New" w:cs="Courier New" w:eastAsia="Courier New" w:hAnsi="Courier New"/>
                <w:sz w:val="17"/>
                <w:szCs w:val="17"/>
                <w:color w:val="auto"/>
              </w:rPr>
              <w:t>Dividends paid</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(3,686)</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(3,662)</w:t>
            </w:r>
          </w:p>
        </w:tc>
      </w:tr>
      <w:tr>
        <w:trPr>
          <w:trHeight w:val="201"/>
        </w:trPr>
        <w:tc>
          <w:tcPr>
            <w:tcW w:w="6440" w:type="dxa"/>
            <w:vAlign w:val="bottom"/>
          </w:tcPr>
          <w:p>
            <w:pPr>
              <w:spacing w:after="0"/>
              <w:rPr>
                <w:sz w:val="17"/>
                <w:szCs w:val="17"/>
                <w:color w:val="auto"/>
              </w:rPr>
            </w:pPr>
          </w:p>
        </w:tc>
        <w:tc>
          <w:tcPr>
            <w:tcW w:w="1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440" w:type="dxa"/>
            <w:vAlign w:val="bottom"/>
          </w:tcPr>
          <w:p>
            <w:pPr>
              <w:ind w:left="960"/>
              <w:spacing w:after="0"/>
              <w:rPr>
                <w:sz w:val="20"/>
                <w:szCs w:val="20"/>
                <w:color w:val="auto"/>
              </w:rPr>
            </w:pPr>
            <w:r>
              <w:rPr>
                <w:rFonts w:ascii="Courier New" w:cs="Courier New" w:eastAsia="Courier New" w:hAnsi="Courier New"/>
                <w:sz w:val="17"/>
                <w:szCs w:val="17"/>
                <w:color w:val="auto"/>
              </w:rPr>
              <w:t>Net cash provided (used) by financing activities</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(15,585)</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9,702</w:t>
            </w:r>
          </w:p>
        </w:tc>
      </w:tr>
      <w:tr>
        <w:trPr>
          <w:trHeight w:val="201"/>
        </w:trPr>
        <w:tc>
          <w:tcPr>
            <w:tcW w:w="6440" w:type="dxa"/>
            <w:vAlign w:val="bottom"/>
          </w:tcPr>
          <w:p>
            <w:pPr>
              <w:spacing w:after="0"/>
              <w:rPr>
                <w:sz w:val="17"/>
                <w:szCs w:val="17"/>
                <w:color w:val="auto"/>
              </w:rPr>
            </w:pPr>
          </w:p>
        </w:tc>
        <w:tc>
          <w:tcPr>
            <w:tcW w:w="1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6440" w:type="dxa"/>
            <w:vAlign w:val="bottom"/>
          </w:tcPr>
          <w:p>
            <w:pPr>
              <w:spacing w:after="0"/>
              <w:rPr>
                <w:sz w:val="20"/>
                <w:szCs w:val="20"/>
                <w:color w:val="auto"/>
              </w:rPr>
            </w:pPr>
            <w:r>
              <w:rPr>
                <w:rFonts w:ascii="Courier New" w:cs="Courier New" w:eastAsia="Courier New" w:hAnsi="Courier New"/>
                <w:sz w:val="17"/>
                <w:szCs w:val="17"/>
                <w:color w:val="auto"/>
              </w:rPr>
              <w:t>Effect of exchange rate changes</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356</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(360)</w:t>
            </w:r>
          </w:p>
        </w:tc>
      </w:tr>
      <w:tr>
        <w:trPr>
          <w:trHeight w:val="403"/>
        </w:trPr>
        <w:tc>
          <w:tcPr>
            <w:tcW w:w="6440" w:type="dxa"/>
            <w:vAlign w:val="bottom"/>
          </w:tcPr>
          <w:p>
            <w:pPr>
              <w:spacing w:after="0"/>
              <w:rPr>
                <w:sz w:val="20"/>
                <w:szCs w:val="20"/>
                <w:color w:val="auto"/>
              </w:rPr>
            </w:pPr>
            <w:r>
              <w:rPr>
                <w:rFonts w:ascii="Courier New" w:cs="Courier New" w:eastAsia="Courier New" w:hAnsi="Courier New"/>
                <w:sz w:val="17"/>
                <w:szCs w:val="17"/>
                <w:b w:val="1"/>
                <w:bCs w:val="1"/>
                <w:color w:val="auto"/>
              </w:rPr>
              <w:t>Net Change in Cash and Cash Equivalents</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1,583</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(568)</w:t>
            </w:r>
          </w:p>
        </w:tc>
      </w:tr>
      <w:tr>
        <w:trPr>
          <w:trHeight w:val="201"/>
        </w:trPr>
        <w:tc>
          <w:tcPr>
            <w:tcW w:w="6440" w:type="dxa"/>
            <w:vAlign w:val="bottom"/>
          </w:tcPr>
          <w:p>
            <w:pPr>
              <w:spacing w:after="0"/>
              <w:rPr>
                <w:sz w:val="20"/>
                <w:szCs w:val="20"/>
                <w:color w:val="auto"/>
              </w:rPr>
            </w:pPr>
            <w:r>
              <w:rPr>
                <w:rFonts w:ascii="Courier New" w:cs="Courier New" w:eastAsia="Courier New" w:hAnsi="Courier New"/>
                <w:sz w:val="17"/>
                <w:szCs w:val="17"/>
                <w:b w:val="1"/>
                <w:bCs w:val="1"/>
                <w:color w:val="auto"/>
              </w:rPr>
              <w:t>Cash and Cash Equivalents at Beginning of Period</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3,024</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8,273</w:t>
            </w:r>
          </w:p>
        </w:tc>
      </w:tr>
      <w:tr>
        <w:trPr>
          <w:trHeight w:val="201"/>
        </w:trPr>
        <w:tc>
          <w:tcPr>
            <w:tcW w:w="6440" w:type="dxa"/>
            <w:vAlign w:val="bottom"/>
          </w:tcPr>
          <w:p>
            <w:pPr>
              <w:spacing w:after="0"/>
              <w:rPr>
                <w:sz w:val="17"/>
                <w:szCs w:val="17"/>
                <w:color w:val="auto"/>
              </w:rPr>
            </w:pPr>
          </w:p>
        </w:tc>
        <w:tc>
          <w:tcPr>
            <w:tcW w:w="1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6440" w:type="dxa"/>
            <w:vAlign w:val="bottom"/>
          </w:tcPr>
          <w:p>
            <w:pPr>
              <w:spacing w:after="0"/>
              <w:rPr>
                <w:sz w:val="20"/>
                <w:szCs w:val="20"/>
                <w:color w:val="auto"/>
              </w:rPr>
            </w:pPr>
            <w:r>
              <w:rPr>
                <w:rFonts w:ascii="Courier New" w:cs="Courier New" w:eastAsia="Courier New" w:hAnsi="Courier New"/>
                <w:sz w:val="17"/>
                <w:szCs w:val="17"/>
                <w:b w:val="1"/>
                <w:bCs w:val="1"/>
                <w:color w:val="auto"/>
              </w:rPr>
              <w:t>Cash and Cash Equivalents at End of Period</w:t>
            </w:r>
          </w:p>
        </w:tc>
        <w:tc>
          <w:tcPr>
            <w:tcW w:w="1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$4,607</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$7,705</w:t>
            </w:r>
          </w:p>
        </w:tc>
      </w:tr>
      <w:tr>
        <w:trPr>
          <w:trHeight w:val="201"/>
        </w:trPr>
        <w:tc>
          <w:tcPr>
            <w:tcW w:w="6440" w:type="dxa"/>
            <w:vAlign w:val="bottom"/>
          </w:tcPr>
          <w:p>
            <w:pPr>
              <w:spacing w:after="0"/>
              <w:rPr>
                <w:sz w:val="17"/>
                <w:szCs w:val="17"/>
                <w:color w:val="auto"/>
              </w:rPr>
            </w:pPr>
          </w:p>
        </w:tc>
        <w:tc>
          <w:tcPr>
            <w:tcW w:w="16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b w:val="1"/>
          <w:bCs w:val="1"/>
          <w:color w:val="auto"/>
        </w:rPr>
        <w:t>See accompanying notes.</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b w:val="1"/>
          <w:bCs w:val="1"/>
          <w:color w:val="auto"/>
        </w:rPr>
        <w:t>NN, Inc.</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b w:val="1"/>
          <w:bCs w:val="1"/>
          <w:color w:val="auto"/>
        </w:rPr>
        <w:t>Notes To Consolidated Financial Statements</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b w:val="1"/>
          <w:bCs w:val="1"/>
          <w:color w:val="auto"/>
        </w:rPr>
        <w:t>(unaudited)</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b w:val="1"/>
          <w:bCs w:val="1"/>
          <w:color w:val="auto"/>
        </w:rPr>
        <w:t>Note 1.</w:t>
        <w:tab/>
        <w:t>Interim Financial Statements</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accompanying consolidated financial statements of NN, Inc. (the "Company") have not been audited by independent accountants, except that the balance sheet at December 31, 2001 is derived from the Company's audited financial statements. In the opinion of the Company's management, the financial statements reflect all adjustments necessary to present fairly the results of operations for the three and nine month periods ended September 30, 2002 and 2001, the Company's financial position at September 30, 2002 and December 31, 2001, and the cash flows for the nine month periods ended September 30, 2002 and 2001. These adjustments are of a normal recurring nature and are, in the opinion of management, necessary for fair presentation of the financial position and operating results for the interim periods.</w:t>
      </w:r>
    </w:p>
    <w:p>
      <w:pPr>
        <w:spacing w:after="0" w:line="201" w:lineRule="exact"/>
        <w:rPr>
          <w:sz w:val="20"/>
          <w:szCs w:val="20"/>
          <w:color w:val="auto"/>
        </w:rPr>
      </w:pPr>
    </w:p>
    <w:p>
      <w:pPr>
        <w:jc w:val="both"/>
        <w:ind w:right="1939"/>
        <w:spacing w:after="0" w:line="253" w:lineRule="auto"/>
        <w:rPr>
          <w:sz w:val="20"/>
          <w:szCs w:val="20"/>
          <w:color w:val="auto"/>
        </w:rPr>
      </w:pPr>
      <w:r>
        <w:rPr>
          <w:rFonts w:ascii="Courier New" w:cs="Courier New" w:eastAsia="Courier New" w:hAnsi="Courier New"/>
          <w:sz w:val="17"/>
          <w:szCs w:val="17"/>
          <w:color w:val="auto"/>
        </w:rPr>
        <w:t>Certain information and footnote disclosures normally included in the financial statements prepared in accordance with generally accepted accounting principles have been condensed or omitted from the interim financial statements presented in this Quarterly Report on Form 10-Q.</w:t>
      </w:r>
    </w:p>
    <w:p>
      <w:pPr>
        <w:spacing w:after="0" w:line="195" w:lineRule="exact"/>
        <w:rPr>
          <w:sz w:val="20"/>
          <w:szCs w:val="20"/>
          <w:color w:val="auto"/>
        </w:rPr>
      </w:pPr>
    </w:p>
    <w:p>
      <w:pPr>
        <w:jc w:val="both"/>
        <w:ind w:right="1939"/>
        <w:spacing w:after="0" w:line="257" w:lineRule="auto"/>
        <w:rPr>
          <w:sz w:val="20"/>
          <w:szCs w:val="20"/>
          <w:color w:val="auto"/>
        </w:rPr>
      </w:pPr>
      <w:r>
        <w:rPr>
          <w:rFonts w:ascii="Courier New" w:cs="Courier New" w:eastAsia="Courier New" w:hAnsi="Courier New"/>
          <w:sz w:val="17"/>
          <w:szCs w:val="17"/>
          <w:color w:val="auto"/>
        </w:rPr>
        <w:t>The results for the first three quarters of 2002 are not necessarily indicative of future results.</w:t>
      </w:r>
    </w:p>
    <w:p>
      <w:pPr>
        <w:spacing w:after="0" w:line="192" w:lineRule="exact"/>
        <w:rPr>
          <w:sz w:val="20"/>
          <w:szCs w:val="20"/>
          <w:color w:val="auto"/>
        </w:rPr>
      </w:pPr>
    </w:p>
    <w:p>
      <w:pPr>
        <w:ind w:right="3099"/>
        <w:spacing w:after="0" w:line="257" w:lineRule="auto"/>
        <w:rPr>
          <w:sz w:val="20"/>
          <w:szCs w:val="20"/>
          <w:color w:val="auto"/>
        </w:rPr>
      </w:pPr>
      <w:r>
        <w:rPr>
          <w:rFonts w:ascii="Courier New" w:cs="Courier New" w:eastAsia="Courier New" w:hAnsi="Courier New"/>
          <w:sz w:val="17"/>
          <w:szCs w:val="17"/>
          <w:color w:val="auto"/>
        </w:rPr>
        <w:t>Certain 2001 amounts have been reclassified to conform with the 2002 presentation.</w:t>
      </w:r>
    </w:p>
    <w:p>
      <w:pPr>
        <w:spacing w:after="0" w:line="1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b w:val="1"/>
          <w:bCs w:val="1"/>
          <w:color w:val="auto"/>
        </w:rPr>
        <w:t>Note 2.</w:t>
        <w:tab/>
        <w:t>Derivative Financial Instruments</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has an interest rate swap accounted for in accordance with Statement of Financial Accounting Standards (SFAS) No. 133, "Accounting for Derivative Instruments and Hedging Activities", effective January 1, 2001. The Company adopted SFAS No. 133 on January 1, 2001, which establishes accounting and reporting standards for derivative instruments and for hedging activities. The Standard requires the recognition of all derivative instruments on the balance sheet at fair value. The Standard allows for hedge accounting if certain requirements are met including documentation of the hedging relationship at inception and upon adoption of the Standard.</w:t>
      </w:r>
    </w:p>
    <w:p>
      <w:pPr>
        <w:sectPr>
          <w:pgSz w:w="11900" w:h="16838" w:orient="portrait"/>
          <w:cols w:equalWidth="0" w:num="1">
            <w:col w:w="10219"/>
          </w:cols>
          <w:pgMar w:left="240" w:top="142" w:right="1440" w:bottom="0" w:gutter="0" w:footer="0" w:header="0"/>
        </w:sectPr>
      </w:pPr>
    </w:p>
    <w:bookmarkStart w:id="5" w:name="page6"/>
    <w:bookmarkEnd w:id="5"/>
    <w:p>
      <w:pPr>
        <w:ind w:right="2000"/>
        <w:spacing w:after="0" w:line="251" w:lineRule="auto"/>
        <w:rPr>
          <w:sz w:val="20"/>
          <w:szCs w:val="20"/>
          <w:color w:val="auto"/>
        </w:rPr>
      </w:pPr>
      <w:r>
        <w:rPr>
          <w:rFonts w:ascii="Courier New" w:cs="Courier New" w:eastAsia="Courier New" w:hAnsi="Courier New"/>
          <w:sz w:val="17"/>
          <w:szCs w:val="17"/>
          <w:color w:val="auto"/>
        </w:rPr>
        <w:t>In connection with a variable Euribor rate debt financing in July 2000, the Company's 54% owned subsidiary, NN Euroball ApS, entered into an interest rate swap with a notional amount of Euro 12.5 million for the purpose of fixing the interest rate on a portion of its debt financing. The interest rate swap provides for the Company to receive variable Euribor interest payments and pay 5.51% fixed interest. The interest rate swap agreement expires in July 2006 and the notional amount amortizes in relation to initially established principal payments on the underlying debt over the life of the swap.</w:t>
      </w:r>
    </w:p>
    <w:p>
      <w:pPr>
        <w:spacing w:after="0" w:line="201" w:lineRule="exact"/>
        <w:rPr>
          <w:sz w:val="20"/>
          <w:szCs w:val="20"/>
          <w:color w:val="auto"/>
        </w:rPr>
      </w:pPr>
    </w:p>
    <w:p>
      <w:pPr>
        <w:ind w:right="1900"/>
        <w:spacing w:after="0" w:line="252" w:lineRule="auto"/>
        <w:rPr>
          <w:sz w:val="20"/>
          <w:szCs w:val="20"/>
          <w:color w:val="auto"/>
        </w:rPr>
      </w:pPr>
      <w:r>
        <w:rPr>
          <w:rFonts w:ascii="Courier New" w:cs="Courier New" w:eastAsia="Courier New" w:hAnsi="Courier New"/>
          <w:sz w:val="17"/>
          <w:szCs w:val="17"/>
          <w:color w:val="auto"/>
        </w:rPr>
        <w:t>As of September 30, 2002, the fair value of the swap is a loss of approximately $448,000, which is recorded in other non-current liabilities. The change in fair value during the nine month periods ended September 30, 2002 and 2001 was a loss of approximately $42,000 and a loss of approximately $113,000, respectively, which have been included as a component of other (income) expense.</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b w:val="1"/>
          <w:bCs w:val="1"/>
          <w:color w:val="auto"/>
        </w:rPr>
        <w:t>Note 3.</w:t>
        <w:tab/>
        <w:t>Inventories</w:t>
      </w:r>
    </w:p>
    <w:p>
      <w:pPr>
        <w:spacing w:after="0" w:line="210" w:lineRule="exact"/>
        <w:rPr>
          <w:sz w:val="20"/>
          <w:szCs w:val="20"/>
          <w:color w:val="auto"/>
        </w:rPr>
      </w:pPr>
    </w:p>
    <w:p>
      <w:pPr>
        <w:ind w:right="2000"/>
        <w:spacing w:after="0" w:line="257" w:lineRule="auto"/>
        <w:rPr>
          <w:sz w:val="20"/>
          <w:szCs w:val="20"/>
          <w:color w:val="auto"/>
        </w:rPr>
      </w:pPr>
      <w:r>
        <w:rPr>
          <w:rFonts w:ascii="Courier New" w:cs="Courier New" w:eastAsia="Courier New" w:hAnsi="Courier New"/>
          <w:sz w:val="17"/>
          <w:szCs w:val="17"/>
          <w:color w:val="auto"/>
        </w:rPr>
        <w:t>Inventories are stated at the lower of cost or market. Cost is being determined using the first-in, first-out method.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 are comprised of the following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20" w:type="dxa"/>
            <w:vAlign w:val="bottom"/>
          </w:tcPr>
          <w:p>
            <w:pPr>
              <w:spacing w:after="0"/>
              <w:rPr>
                <w:sz w:val="17"/>
                <w:szCs w:val="17"/>
                <w:color w:val="auto"/>
              </w:rPr>
            </w:pPr>
          </w:p>
        </w:tc>
        <w:tc>
          <w:tcPr>
            <w:tcW w:w="3000" w:type="dxa"/>
            <w:vAlign w:val="bottom"/>
          </w:tcPr>
          <w:p>
            <w:pPr>
              <w:ind w:left="1420"/>
              <w:spacing w:after="0"/>
              <w:rPr>
                <w:sz w:val="20"/>
                <w:szCs w:val="20"/>
                <w:color w:val="auto"/>
              </w:rPr>
            </w:pPr>
            <w:r>
              <w:rPr>
                <w:rFonts w:ascii="Courier New" w:cs="Courier New" w:eastAsia="Courier New" w:hAnsi="Courier New"/>
                <w:sz w:val="17"/>
                <w:szCs w:val="17"/>
                <w:color w:val="auto"/>
              </w:rPr>
              <w:t>September 30,</w:t>
            </w:r>
          </w:p>
        </w:tc>
        <w:tc>
          <w:tcPr>
            <w:tcW w:w="16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Dec. 31,</w:t>
            </w:r>
          </w:p>
        </w:tc>
      </w:tr>
      <w:tr>
        <w:trPr>
          <w:trHeight w:val="201"/>
        </w:trPr>
        <w:tc>
          <w:tcPr>
            <w:tcW w:w="3720" w:type="dxa"/>
            <w:vAlign w:val="bottom"/>
          </w:tcPr>
          <w:p>
            <w:pPr>
              <w:spacing w:after="0"/>
              <w:rPr>
                <w:sz w:val="17"/>
                <w:szCs w:val="17"/>
                <w:color w:val="auto"/>
              </w:rPr>
            </w:pPr>
          </w:p>
        </w:tc>
        <w:tc>
          <w:tcPr>
            <w:tcW w:w="3000" w:type="dxa"/>
            <w:vAlign w:val="bottom"/>
          </w:tcPr>
          <w:p>
            <w:pPr>
              <w:jc w:val="center"/>
              <w:ind w:left="1013"/>
              <w:spacing w:after="0"/>
              <w:rPr>
                <w:sz w:val="20"/>
                <w:szCs w:val="20"/>
                <w:color w:val="auto"/>
              </w:rPr>
            </w:pPr>
            <w:r>
              <w:rPr>
                <w:rFonts w:ascii="Courier New" w:cs="Courier New" w:eastAsia="Courier New" w:hAnsi="Courier New"/>
                <w:sz w:val="17"/>
                <w:szCs w:val="17"/>
                <w:color w:val="auto"/>
              </w:rPr>
              <w:t>2002</w:t>
            </w:r>
          </w:p>
        </w:tc>
        <w:tc>
          <w:tcPr>
            <w:tcW w:w="16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2001</w:t>
            </w:r>
          </w:p>
        </w:tc>
      </w:tr>
      <w:tr>
        <w:trPr>
          <w:trHeight w:val="201"/>
        </w:trPr>
        <w:tc>
          <w:tcPr>
            <w:tcW w:w="3720" w:type="dxa"/>
            <w:vAlign w:val="bottom"/>
          </w:tcPr>
          <w:p>
            <w:pPr>
              <w:spacing w:after="0"/>
              <w:rPr>
                <w:sz w:val="17"/>
                <w:szCs w:val="17"/>
                <w:color w:val="auto"/>
              </w:rPr>
            </w:pPr>
          </w:p>
        </w:tc>
        <w:tc>
          <w:tcPr>
            <w:tcW w:w="3000" w:type="dxa"/>
            <w:vAlign w:val="bottom"/>
          </w:tcPr>
          <w:p>
            <w:pPr>
              <w:ind w:left="1420"/>
              <w:spacing w:after="0"/>
              <w:rPr>
                <w:sz w:val="20"/>
                <w:szCs w:val="20"/>
                <w:color w:val="auto"/>
              </w:rPr>
            </w:pPr>
            <w:r>
              <w:rPr>
                <w:rFonts w:ascii="Courier New" w:cs="Courier New" w:eastAsia="Courier New" w:hAnsi="Courier New"/>
                <w:sz w:val="17"/>
                <w:szCs w:val="17"/>
                <w:color w:val="auto"/>
              </w:rPr>
              <w:t>(Unaudited)</w:t>
            </w:r>
          </w:p>
        </w:tc>
        <w:tc>
          <w:tcPr>
            <w:tcW w:w="1660" w:type="dxa"/>
            <w:vAlign w:val="bottom"/>
          </w:tcPr>
          <w:p>
            <w:pPr>
              <w:spacing w:after="0"/>
              <w:rPr>
                <w:sz w:val="17"/>
                <w:szCs w:val="17"/>
                <w:color w:val="auto"/>
              </w:rPr>
            </w:pPr>
          </w:p>
        </w:tc>
      </w:tr>
      <w:tr>
        <w:trPr>
          <w:trHeight w:val="201"/>
        </w:trPr>
        <w:tc>
          <w:tcPr>
            <w:tcW w:w="3720" w:type="dxa"/>
            <w:vAlign w:val="bottom"/>
          </w:tcPr>
          <w:p>
            <w:pPr>
              <w:spacing w:after="0"/>
              <w:rPr>
                <w:sz w:val="17"/>
                <w:szCs w:val="17"/>
                <w:color w:val="auto"/>
              </w:rPr>
            </w:pPr>
          </w:p>
        </w:tc>
        <w:tc>
          <w:tcPr>
            <w:tcW w:w="3000" w:type="dxa"/>
            <w:vAlign w:val="bottom"/>
          </w:tcPr>
          <w:p>
            <w:pPr>
              <w:jc w:val="center"/>
              <w:ind w:left="101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3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$5,096</w:t>
            </w:r>
          </w:p>
        </w:tc>
        <w:tc>
          <w:tcPr>
            <w:tcW w:w="16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$5,494</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3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4,684</w:t>
            </w:r>
          </w:p>
        </w:tc>
        <w:tc>
          <w:tcPr>
            <w:tcW w:w="16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5,016</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3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13,042</w:t>
            </w:r>
          </w:p>
        </w:tc>
        <w:tc>
          <w:tcPr>
            <w:tcW w:w="16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13,065</w:t>
            </w:r>
          </w:p>
        </w:tc>
      </w:tr>
      <w:tr>
        <w:trPr>
          <w:trHeight w:val="201"/>
        </w:trPr>
        <w:tc>
          <w:tcPr>
            <w:tcW w:w="3720" w:type="dxa"/>
            <w:vAlign w:val="bottom"/>
          </w:tcPr>
          <w:p>
            <w:pPr>
              <w:spacing w:after="0"/>
              <w:rPr>
                <w:sz w:val="20"/>
                <w:szCs w:val="20"/>
                <w:color w:val="auto"/>
              </w:rPr>
            </w:pPr>
            <w:r>
              <w:rPr>
                <w:rFonts w:ascii="Courier New" w:cs="Courier New" w:eastAsia="Courier New" w:hAnsi="Courier New"/>
                <w:sz w:val="17"/>
                <w:szCs w:val="17"/>
                <w:color w:val="auto"/>
              </w:rPr>
              <w:t>Less inventory reserves</w:t>
            </w:r>
          </w:p>
        </w:tc>
        <w:tc>
          <w:tcPr>
            <w:tcW w:w="3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(204)</w:t>
            </w:r>
          </w:p>
        </w:tc>
        <w:tc>
          <w:tcPr>
            <w:tcW w:w="16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(157)</w:t>
            </w:r>
          </w:p>
        </w:tc>
      </w:tr>
      <w:tr>
        <w:trPr>
          <w:trHeight w:val="201"/>
        </w:trPr>
        <w:tc>
          <w:tcPr>
            <w:tcW w:w="3720" w:type="dxa"/>
            <w:vAlign w:val="bottom"/>
          </w:tcPr>
          <w:p>
            <w:pPr>
              <w:spacing w:after="0"/>
              <w:rPr>
                <w:sz w:val="17"/>
                <w:szCs w:val="17"/>
                <w:color w:val="auto"/>
              </w:rPr>
            </w:pPr>
          </w:p>
        </w:tc>
        <w:tc>
          <w:tcPr>
            <w:tcW w:w="3000" w:type="dxa"/>
            <w:vAlign w:val="bottom"/>
          </w:tcPr>
          <w:p>
            <w:pPr>
              <w:jc w:val="center"/>
              <w:ind w:left="101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720" w:type="dxa"/>
            <w:vAlign w:val="bottom"/>
          </w:tcPr>
          <w:p>
            <w:pPr>
              <w:spacing w:after="0"/>
              <w:rPr>
                <w:sz w:val="17"/>
                <w:szCs w:val="17"/>
                <w:color w:val="auto"/>
              </w:rPr>
            </w:pPr>
          </w:p>
        </w:tc>
        <w:tc>
          <w:tcPr>
            <w:tcW w:w="3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$22,618</w:t>
            </w:r>
          </w:p>
        </w:tc>
        <w:tc>
          <w:tcPr>
            <w:tcW w:w="16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$23,418</w:t>
            </w:r>
          </w:p>
        </w:tc>
      </w:tr>
      <w:tr>
        <w:trPr>
          <w:trHeight w:val="201"/>
        </w:trPr>
        <w:tc>
          <w:tcPr>
            <w:tcW w:w="3720" w:type="dxa"/>
            <w:vAlign w:val="bottom"/>
          </w:tcPr>
          <w:p>
            <w:pPr>
              <w:spacing w:after="0"/>
              <w:rPr>
                <w:sz w:val="17"/>
                <w:szCs w:val="17"/>
                <w:color w:val="auto"/>
              </w:rPr>
            </w:pPr>
          </w:p>
        </w:tc>
        <w:tc>
          <w:tcPr>
            <w:tcW w:w="3000" w:type="dxa"/>
            <w:vAlign w:val="bottom"/>
          </w:tcPr>
          <w:p>
            <w:pPr>
              <w:jc w:val="center"/>
              <w:ind w:left="1013"/>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ind w:right="2200"/>
        <w:spacing w:after="0" w:line="257" w:lineRule="auto"/>
        <w:rPr>
          <w:sz w:val="20"/>
          <w:szCs w:val="20"/>
          <w:color w:val="auto"/>
        </w:rPr>
      </w:pPr>
      <w:r>
        <w:rPr>
          <w:rFonts w:ascii="Courier New" w:cs="Courier New" w:eastAsia="Courier New" w:hAnsi="Courier New"/>
          <w:sz w:val="17"/>
          <w:szCs w:val="17"/>
          <w:color w:val="auto"/>
        </w:rPr>
        <w:t>Inventories on consignment at customer locations as of September 30, 2002 and December 31, 2001 were $2,643 and $2,908,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420" w:type="dxa"/>
            <w:vAlign w:val="bottom"/>
          </w:tcPr>
          <w:p>
            <w:pPr>
              <w:spacing w:after="0"/>
              <w:rPr>
                <w:sz w:val="20"/>
                <w:szCs w:val="20"/>
                <w:color w:val="auto"/>
              </w:rPr>
            </w:pPr>
            <w:r>
              <w:rPr>
                <w:rFonts w:ascii="Courier New" w:cs="Courier New" w:eastAsia="Courier New" w:hAnsi="Courier New"/>
                <w:sz w:val="17"/>
                <w:szCs w:val="17"/>
                <w:b w:val="1"/>
                <w:bCs w:val="1"/>
                <w:color w:val="auto"/>
              </w:rPr>
              <w:t>Note 4.  Net Income Per Share</w:t>
            </w:r>
          </w:p>
        </w:tc>
        <w:tc>
          <w:tcPr>
            <w:tcW w:w="16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3"/>
        </w:trPr>
        <w:tc>
          <w:tcPr>
            <w:tcW w:w="3420" w:type="dxa"/>
            <w:vAlign w:val="bottom"/>
          </w:tcPr>
          <w:p>
            <w:pPr>
              <w:spacing w:after="0"/>
              <w:rPr>
                <w:sz w:val="24"/>
                <w:szCs w:val="24"/>
                <w:color w:val="auto"/>
              </w:rPr>
            </w:pPr>
          </w:p>
        </w:tc>
        <w:tc>
          <w:tcPr>
            <w:tcW w:w="3440" w:type="dxa"/>
            <w:vAlign w:val="bottom"/>
            <w:gridSpan w:val="2"/>
          </w:tcPr>
          <w:p>
            <w:pPr>
              <w:jc w:val="right"/>
              <w:ind w:right="893"/>
              <w:spacing w:after="0"/>
              <w:rPr>
                <w:sz w:val="20"/>
                <w:szCs w:val="20"/>
                <w:color w:val="auto"/>
              </w:rPr>
            </w:pPr>
            <w:r>
              <w:rPr>
                <w:rFonts w:ascii="Courier New" w:cs="Courier New" w:eastAsia="Courier New" w:hAnsi="Courier New"/>
                <w:sz w:val="17"/>
                <w:szCs w:val="17"/>
                <w:b w:val="1"/>
                <w:bCs w:val="1"/>
                <w:color w:val="auto"/>
              </w:rPr>
              <w:t>Three Months Ended</w:t>
            </w:r>
          </w:p>
        </w:tc>
        <w:tc>
          <w:tcPr>
            <w:tcW w:w="3420" w:type="dxa"/>
            <w:vAlign w:val="bottom"/>
            <w:gridSpan w:val="2"/>
          </w:tcPr>
          <w:p>
            <w:pPr>
              <w:jc w:val="right"/>
              <w:ind w:right="653"/>
              <w:spacing w:after="0"/>
              <w:rPr>
                <w:sz w:val="20"/>
                <w:szCs w:val="20"/>
                <w:color w:val="auto"/>
              </w:rPr>
            </w:pPr>
            <w:r>
              <w:rPr>
                <w:rFonts w:ascii="Courier New" w:cs="Courier New" w:eastAsia="Courier New" w:hAnsi="Courier New"/>
                <w:sz w:val="17"/>
                <w:szCs w:val="17"/>
                <w:b w:val="1"/>
                <w:bCs w:val="1"/>
                <w:color w:val="auto"/>
              </w:rPr>
              <w:t>Nine Months Ended</w:t>
            </w:r>
          </w:p>
        </w:tc>
      </w:tr>
      <w:tr>
        <w:trPr>
          <w:trHeight w:val="201"/>
        </w:trPr>
        <w:tc>
          <w:tcPr>
            <w:tcW w:w="3420" w:type="dxa"/>
            <w:vAlign w:val="bottom"/>
          </w:tcPr>
          <w:p>
            <w:pPr>
              <w:spacing w:after="0"/>
              <w:rPr>
                <w:sz w:val="17"/>
                <w:szCs w:val="17"/>
                <w:color w:val="auto"/>
              </w:rPr>
            </w:pPr>
          </w:p>
        </w:tc>
        <w:tc>
          <w:tcPr>
            <w:tcW w:w="3440" w:type="dxa"/>
            <w:vAlign w:val="bottom"/>
            <w:gridSpan w:val="2"/>
          </w:tcPr>
          <w:p>
            <w:pPr>
              <w:jc w:val="right"/>
              <w:ind w:right="1113"/>
              <w:spacing w:after="0"/>
              <w:rPr>
                <w:sz w:val="20"/>
                <w:szCs w:val="20"/>
                <w:color w:val="auto"/>
              </w:rPr>
            </w:pPr>
            <w:r>
              <w:rPr>
                <w:rFonts w:ascii="Courier New" w:cs="Courier New" w:eastAsia="Courier New" w:hAnsi="Courier New"/>
                <w:sz w:val="17"/>
                <w:szCs w:val="17"/>
                <w:b w:val="1"/>
                <w:bCs w:val="1"/>
                <w:color w:val="auto"/>
              </w:rPr>
              <w:t>September 30,</w:t>
            </w:r>
          </w:p>
        </w:tc>
        <w:tc>
          <w:tcPr>
            <w:tcW w:w="3420" w:type="dxa"/>
            <w:vAlign w:val="bottom"/>
            <w:gridSpan w:val="2"/>
          </w:tcPr>
          <w:p>
            <w:pPr>
              <w:jc w:val="right"/>
              <w:ind w:right="873"/>
              <w:spacing w:after="0"/>
              <w:rPr>
                <w:sz w:val="20"/>
                <w:szCs w:val="20"/>
                <w:color w:val="auto"/>
              </w:rPr>
            </w:pPr>
            <w:r>
              <w:rPr>
                <w:rFonts w:ascii="Courier New" w:cs="Courier New" w:eastAsia="Courier New" w:hAnsi="Courier New"/>
                <w:sz w:val="17"/>
                <w:szCs w:val="17"/>
                <w:b w:val="1"/>
                <w:bCs w:val="1"/>
                <w:color w:val="auto"/>
              </w:rPr>
              <w:t>September 30,</w:t>
            </w:r>
          </w:p>
        </w:tc>
      </w:tr>
      <w:tr>
        <w:trPr>
          <w:trHeight w:val="201"/>
        </w:trPr>
        <w:tc>
          <w:tcPr>
            <w:tcW w:w="3420" w:type="dxa"/>
            <w:vAlign w:val="bottom"/>
          </w:tcPr>
          <w:p>
            <w:pPr>
              <w:spacing w:after="0"/>
              <w:rPr>
                <w:sz w:val="17"/>
                <w:szCs w:val="17"/>
                <w:color w:val="auto"/>
              </w:rPr>
            </w:pPr>
          </w:p>
        </w:tc>
        <w:tc>
          <w:tcPr>
            <w:tcW w:w="1620" w:type="dxa"/>
            <w:vAlign w:val="bottom"/>
          </w:tcPr>
          <w:p>
            <w:pPr>
              <w:jc w:val="right"/>
              <w:ind w:right="653"/>
              <w:spacing w:after="0"/>
              <w:rPr>
                <w:sz w:val="20"/>
                <w:szCs w:val="20"/>
                <w:color w:val="auto"/>
              </w:rPr>
            </w:pPr>
            <w:r>
              <w:rPr>
                <w:rFonts w:ascii="Courier New" w:cs="Courier New" w:eastAsia="Courier New" w:hAnsi="Courier New"/>
                <w:sz w:val="17"/>
                <w:szCs w:val="17"/>
                <w:b w:val="1"/>
                <w:bCs w:val="1"/>
                <w:color w:val="auto"/>
              </w:rPr>
              <w:t>2002</w:t>
            </w:r>
          </w:p>
        </w:tc>
        <w:tc>
          <w:tcPr>
            <w:tcW w:w="1820" w:type="dxa"/>
            <w:vAlign w:val="bottom"/>
          </w:tcPr>
          <w:p>
            <w:pPr>
              <w:jc w:val="right"/>
              <w:ind w:right="693"/>
              <w:spacing w:after="0"/>
              <w:rPr>
                <w:sz w:val="20"/>
                <w:szCs w:val="20"/>
                <w:color w:val="auto"/>
              </w:rPr>
            </w:pPr>
            <w:r>
              <w:rPr>
                <w:rFonts w:ascii="Courier New" w:cs="Courier New" w:eastAsia="Courier New" w:hAnsi="Courier New"/>
                <w:sz w:val="17"/>
                <w:szCs w:val="17"/>
                <w:b w:val="1"/>
                <w:bCs w:val="1"/>
                <w:color w:val="auto"/>
              </w:rPr>
              <w:t>2001</w:t>
            </w:r>
          </w:p>
        </w:tc>
        <w:tc>
          <w:tcPr>
            <w:tcW w:w="1780" w:type="dxa"/>
            <w:vAlign w:val="bottom"/>
          </w:tcPr>
          <w:p>
            <w:pPr>
              <w:jc w:val="right"/>
              <w:ind w:right="693"/>
              <w:spacing w:after="0"/>
              <w:rPr>
                <w:sz w:val="20"/>
                <w:szCs w:val="20"/>
                <w:color w:val="auto"/>
              </w:rPr>
            </w:pPr>
            <w:r>
              <w:rPr>
                <w:rFonts w:ascii="Courier New" w:cs="Courier New" w:eastAsia="Courier New" w:hAnsi="Courier New"/>
                <w:sz w:val="17"/>
                <w:szCs w:val="17"/>
                <w:b w:val="1"/>
                <w:bCs w:val="1"/>
                <w:color w:val="auto"/>
              </w:rPr>
              <w:t>2002</w:t>
            </w:r>
          </w:p>
        </w:tc>
        <w:tc>
          <w:tcPr>
            <w:tcW w:w="1640" w:type="dxa"/>
            <w:vAlign w:val="bottom"/>
          </w:tcPr>
          <w:p>
            <w:pPr>
              <w:jc w:val="right"/>
              <w:ind w:right="453"/>
              <w:spacing w:after="0"/>
              <w:rPr>
                <w:sz w:val="20"/>
                <w:szCs w:val="20"/>
                <w:color w:val="auto"/>
              </w:rPr>
            </w:pPr>
            <w:r>
              <w:rPr>
                <w:rFonts w:ascii="Courier New" w:cs="Courier New" w:eastAsia="Courier New" w:hAnsi="Courier New"/>
                <w:sz w:val="17"/>
                <w:szCs w:val="17"/>
                <w:b w:val="1"/>
                <w:bCs w:val="1"/>
                <w:color w:val="auto"/>
              </w:rPr>
              <w:t>2001</w:t>
            </w:r>
          </w:p>
        </w:tc>
      </w:tr>
      <w:tr>
        <w:trPr>
          <w:trHeight w:val="201"/>
        </w:trPr>
        <w:tc>
          <w:tcPr>
            <w:tcW w:w="3420" w:type="dxa"/>
            <w:vAlign w:val="bottom"/>
          </w:tcPr>
          <w:p>
            <w:pPr>
              <w:spacing w:after="0"/>
              <w:rPr>
                <w:sz w:val="17"/>
                <w:szCs w:val="17"/>
                <w:color w:val="auto"/>
              </w:rPr>
            </w:pPr>
          </w:p>
        </w:tc>
        <w:tc>
          <w:tcPr>
            <w:tcW w:w="16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420" w:type="dxa"/>
            <w:vAlign w:val="bottom"/>
          </w:tcPr>
          <w:p>
            <w:pPr>
              <w:spacing w:after="0"/>
              <w:rPr>
                <w:sz w:val="17"/>
                <w:szCs w:val="17"/>
                <w:color w:val="auto"/>
              </w:rPr>
            </w:pPr>
          </w:p>
        </w:tc>
        <w:tc>
          <w:tcPr>
            <w:tcW w:w="6860" w:type="dxa"/>
            <w:vAlign w:val="bottom"/>
            <w:gridSpan w:val="4"/>
          </w:tcPr>
          <w:p>
            <w:pPr>
              <w:jc w:val="right"/>
              <w:ind w:right="653"/>
              <w:spacing w:after="0"/>
              <w:rPr>
                <w:sz w:val="20"/>
                <w:szCs w:val="20"/>
                <w:color w:val="auto"/>
              </w:rPr>
            </w:pPr>
            <w:r>
              <w:rPr>
                <w:rFonts w:ascii="Courier New" w:cs="Courier New" w:eastAsia="Courier New" w:hAnsi="Courier New"/>
                <w:sz w:val="17"/>
                <w:szCs w:val="17"/>
                <w:color w:val="auto"/>
              </w:rPr>
              <w:t>Thousands of Dollars, Except Share and Per Share Data</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$2,119</w:t>
            </w:r>
          </w:p>
        </w:tc>
        <w:tc>
          <w:tcPr>
            <w:tcW w:w="18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$744</w:t>
            </w: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$6,375</w:t>
            </w:r>
          </w:p>
        </w:tc>
        <w:tc>
          <w:tcPr>
            <w:tcW w:w="1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$5,698</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Adjustments to net income</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1"/>
        </w:trPr>
        <w:tc>
          <w:tcPr>
            <w:tcW w:w="3420" w:type="dxa"/>
            <w:vAlign w:val="bottom"/>
          </w:tcPr>
          <w:p>
            <w:pPr>
              <w:spacing w:after="0"/>
              <w:rPr>
                <w:sz w:val="17"/>
                <w:szCs w:val="17"/>
                <w:color w:val="auto"/>
              </w:rPr>
            </w:pPr>
          </w:p>
        </w:tc>
        <w:tc>
          <w:tcPr>
            <w:tcW w:w="16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4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$2,119</w:t>
            </w:r>
          </w:p>
        </w:tc>
        <w:tc>
          <w:tcPr>
            <w:tcW w:w="18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$744</w:t>
            </w: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$6,375</w:t>
            </w:r>
          </w:p>
        </w:tc>
        <w:tc>
          <w:tcPr>
            <w:tcW w:w="1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$5,698</w:t>
            </w:r>
          </w:p>
        </w:tc>
      </w:tr>
      <w:tr>
        <w:trPr>
          <w:trHeight w:val="604"/>
        </w:trPr>
        <w:tc>
          <w:tcPr>
            <w:tcW w:w="3420" w:type="dxa"/>
            <w:vAlign w:val="bottom"/>
          </w:tcPr>
          <w:p>
            <w:pPr>
              <w:spacing w:after="0"/>
              <w:rPr>
                <w:sz w:val="20"/>
                <w:szCs w:val="20"/>
                <w:color w:val="auto"/>
              </w:rPr>
            </w:pPr>
            <w:r>
              <w:rPr>
                <w:rFonts w:ascii="Courier New" w:cs="Courier New" w:eastAsia="Courier New" w:hAnsi="Courier New"/>
                <w:sz w:val="17"/>
                <w:szCs w:val="17"/>
                <w:color w:val="auto"/>
              </w:rPr>
              <w:t>Weighted average basic shares</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15,367,773</w:t>
            </w:r>
          </w:p>
        </w:tc>
        <w:tc>
          <w:tcPr>
            <w:tcW w:w="18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15,285,606</w:t>
            </w: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15,344,116</w:t>
            </w:r>
          </w:p>
        </w:tc>
        <w:tc>
          <w:tcPr>
            <w:tcW w:w="1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15,252,869</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Effect of dilutive stock options</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279,865</w:t>
            </w:r>
          </w:p>
        </w:tc>
        <w:tc>
          <w:tcPr>
            <w:tcW w:w="18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298,870</w:t>
            </w: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411,297</w:t>
            </w:r>
          </w:p>
        </w:tc>
        <w:tc>
          <w:tcPr>
            <w:tcW w:w="1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252,545</w:t>
            </w:r>
          </w:p>
        </w:tc>
      </w:tr>
      <w:tr>
        <w:trPr>
          <w:trHeight w:val="201"/>
        </w:trPr>
        <w:tc>
          <w:tcPr>
            <w:tcW w:w="3420" w:type="dxa"/>
            <w:vAlign w:val="bottom"/>
          </w:tcPr>
          <w:p>
            <w:pPr>
              <w:spacing w:after="0"/>
              <w:rPr>
                <w:sz w:val="17"/>
                <w:szCs w:val="17"/>
                <w:color w:val="auto"/>
              </w:rPr>
            </w:pPr>
          </w:p>
        </w:tc>
        <w:tc>
          <w:tcPr>
            <w:tcW w:w="16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Weighted average dilutive shares</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15,647,638</w:t>
            </w:r>
          </w:p>
        </w:tc>
        <w:tc>
          <w:tcPr>
            <w:tcW w:w="18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15,584,476</w:t>
            </w: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15,755,413</w:t>
            </w:r>
          </w:p>
        </w:tc>
        <w:tc>
          <w:tcPr>
            <w:tcW w:w="1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15,505,414</w:t>
            </w:r>
          </w:p>
        </w:tc>
      </w:tr>
      <w:tr>
        <w:trPr>
          <w:trHeight w:val="403"/>
        </w:trPr>
        <w:tc>
          <w:tcPr>
            <w:tcW w:w="3420" w:type="dxa"/>
            <w:vAlign w:val="bottom"/>
          </w:tcPr>
          <w:p>
            <w:pPr>
              <w:spacing w:after="0"/>
              <w:rPr>
                <w:sz w:val="20"/>
                <w:szCs w:val="20"/>
                <w:color w:val="auto"/>
              </w:rPr>
            </w:pPr>
            <w:r>
              <w:rPr>
                <w:rFonts w:ascii="Courier New" w:cs="Courier New" w:eastAsia="Courier New" w:hAnsi="Courier New"/>
                <w:sz w:val="17"/>
                <w:szCs w:val="17"/>
                <w:color w:val="auto"/>
              </w:rPr>
              <w:t>Basic net income per share</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$0.14</w:t>
            </w:r>
          </w:p>
        </w:tc>
        <w:tc>
          <w:tcPr>
            <w:tcW w:w="18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$0.05</w:t>
            </w: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$0.42</w:t>
            </w:r>
          </w:p>
        </w:tc>
        <w:tc>
          <w:tcPr>
            <w:tcW w:w="1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$0.37</w:t>
            </w:r>
          </w:p>
        </w:tc>
      </w:tr>
      <w:tr>
        <w:trPr>
          <w:trHeight w:val="201"/>
        </w:trPr>
        <w:tc>
          <w:tcPr>
            <w:tcW w:w="3420" w:type="dxa"/>
            <w:vAlign w:val="bottom"/>
          </w:tcPr>
          <w:p>
            <w:pPr>
              <w:spacing w:after="0"/>
              <w:rPr>
                <w:sz w:val="20"/>
                <w:szCs w:val="20"/>
                <w:color w:val="auto"/>
              </w:rPr>
            </w:pPr>
            <w:r>
              <w:rPr>
                <w:rFonts w:ascii="Courier New" w:cs="Courier New" w:eastAsia="Courier New" w:hAnsi="Courier New"/>
                <w:sz w:val="17"/>
                <w:szCs w:val="17"/>
                <w:color w:val="auto"/>
              </w:rPr>
              <w:t>Diluted net income per share</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$0.14</w:t>
            </w:r>
          </w:p>
        </w:tc>
        <w:tc>
          <w:tcPr>
            <w:tcW w:w="182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$0.05</w:t>
            </w:r>
          </w:p>
        </w:tc>
        <w:tc>
          <w:tcPr>
            <w:tcW w:w="17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$0.40</w:t>
            </w:r>
          </w:p>
        </w:tc>
        <w:tc>
          <w:tcPr>
            <w:tcW w:w="16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$0.37</w:t>
            </w:r>
          </w:p>
        </w:tc>
      </w:tr>
    </w:tbl>
    <w:p>
      <w:pPr>
        <w:spacing w:after="0" w:line="205" w:lineRule="exact"/>
        <w:rPr>
          <w:sz w:val="20"/>
          <w:szCs w:val="20"/>
          <w:color w:val="auto"/>
        </w:rPr>
      </w:pPr>
    </w:p>
    <w:p>
      <w:pPr>
        <w:ind w:right="2200"/>
        <w:spacing w:after="0" w:line="253" w:lineRule="auto"/>
        <w:rPr>
          <w:sz w:val="20"/>
          <w:szCs w:val="20"/>
          <w:color w:val="auto"/>
        </w:rPr>
      </w:pPr>
      <w:r>
        <w:rPr>
          <w:rFonts w:ascii="Courier New" w:cs="Courier New" w:eastAsia="Courier New" w:hAnsi="Courier New"/>
          <w:sz w:val="17"/>
          <w:szCs w:val="17"/>
          <w:color w:val="auto"/>
        </w:rPr>
        <w:t>Excluded from the shares outstanding for each of the nine month periods ended September 30, 2002 and 2001 were 0 and 10,750 antidilutive options, respectively, which had exercise prices ranging from $9.75 to $11.50 as of September 30, 2001.</w:t>
      </w:r>
    </w:p>
    <w:p>
      <w:pPr>
        <w:spacing w:after="0" w:line="1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b w:val="1"/>
          <w:bCs w:val="1"/>
          <w:color w:val="auto"/>
        </w:rPr>
        <w:t>Note 5.</w:t>
        <w:tab/>
        <w:t>Segment Information</w:t>
      </w:r>
    </w:p>
    <w:p>
      <w:pPr>
        <w:spacing w:after="0" w:line="210" w:lineRule="exact"/>
        <w:rPr>
          <w:sz w:val="20"/>
          <w:szCs w:val="20"/>
          <w:color w:val="auto"/>
        </w:rPr>
      </w:pPr>
    </w:p>
    <w:p>
      <w:pPr>
        <w:ind w:right="1900"/>
        <w:spacing w:after="0" w:line="251" w:lineRule="auto"/>
        <w:rPr>
          <w:sz w:val="20"/>
          <w:szCs w:val="20"/>
          <w:color w:val="auto"/>
        </w:rPr>
      </w:pPr>
      <w:r>
        <w:rPr>
          <w:rFonts w:ascii="Courier New" w:cs="Courier New" w:eastAsia="Courier New" w:hAnsi="Courier New"/>
          <w:sz w:val="17"/>
          <w:szCs w:val="17"/>
          <w:color w:val="auto"/>
        </w:rPr>
        <w:t>During 2002 and 2001, the Company's reportable segments are based on differences in product lines and geographic locations and are divided among Domestic Ball and Roller, European operations ("Euroball") and Plastics. The Domestic Ball and Roller segment is comprised of two manufacturing facilities in the eastern United States. The Euroball segment was acquired in July 2000 and is comprised of manufacturing facilities located in Kilkenny, Ireland, Eltmann, Germany and Pinerolo, Italy. All of the facilities in the Domestic Ball and Roller and Euroball segments are engaged in the production of precision balls and rollers used primarily in the bearing industry. The Plastics segment is comprised of the</w:t>
      </w:r>
    </w:p>
    <w:p>
      <w:pPr>
        <w:sectPr>
          <w:pgSz w:w="11900" w:h="16838" w:orient="portrait"/>
          <w:cols w:equalWidth="0" w:num="1">
            <w:col w:w="10280"/>
          </w:cols>
          <w:pgMar w:left="240" w:top="142" w:right="1379" w:bottom="0" w:gutter="0" w:footer="0" w:header="0"/>
        </w:sectPr>
      </w:pPr>
    </w:p>
    <w:bookmarkStart w:id="6" w:name="page7"/>
    <w:bookmarkEnd w:id="6"/>
    <w:p>
      <w:pPr>
        <w:ind w:right="2300"/>
        <w:spacing w:after="0" w:line="251" w:lineRule="auto"/>
        <w:rPr>
          <w:sz w:val="20"/>
          <w:szCs w:val="20"/>
          <w:color w:val="auto"/>
        </w:rPr>
      </w:pPr>
      <w:r>
        <w:rPr>
          <w:rFonts w:ascii="Courier New" w:cs="Courier New" w:eastAsia="Courier New" w:hAnsi="Courier New"/>
          <w:sz w:val="17"/>
          <w:szCs w:val="17"/>
          <w:color w:val="auto"/>
        </w:rPr>
        <w:t>Industrial Molding Corporation ("IMC") business, located in Lubbock, Texas, which was acquired in July 1999, NN Arte ("Arte") formed in August of 2000, located in Guadalajara, Mexico and The Delta Rubber Company ("Delta") business, located in Danielson, Connecticut, which was acquired in February 2001. IMC and Arte are engaged in the production of plastic injection molded products for the bearing, automotive, instrumentation, fiber optic and certain consumer markets. Delta is engaged principally in the production of engineered bearing seals used principally in automotive, industrial, agricultural, mining and aerospace applications.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200"/>
        <w:spacing w:after="0" w:line="251" w:lineRule="auto"/>
        <w:rPr>
          <w:sz w:val="20"/>
          <w:szCs w:val="20"/>
          <w:color w:val="auto"/>
        </w:rPr>
      </w:pPr>
      <w:r>
        <w:rPr>
          <w:rFonts w:ascii="Courier New" w:cs="Courier New" w:eastAsia="Courier New" w:hAnsi="Courier New"/>
          <w:sz w:val="17"/>
          <w:szCs w:val="17"/>
          <w:color w:val="auto"/>
        </w:rPr>
        <w:t>The accounting policies of each segment are the same as those described in the summary of significant accounting policies in the Company's Annual Report on Form 10-K/A for the fiscal year ended December 31, 2001 and those policies as discussed in Note 8. The Company evaluates segment performance based on profit or loss from operations before income taxes and minority interest not including nonrecurring gains and losses. The Company accounts for inter-segment sales and transfers at current market prices; however, the Company did not have any material inter-segment transactions during the three or nine month periods ended September 30, 2002 and 2001.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60" w:type="dxa"/>
            <w:vAlign w:val="bottom"/>
            <w:gridSpan w:val="4"/>
          </w:tcPr>
          <w:p>
            <w:pPr>
              <w:jc w:val="right"/>
              <w:ind w:right="793"/>
              <w:spacing w:after="0"/>
              <w:rPr>
                <w:sz w:val="20"/>
                <w:szCs w:val="20"/>
                <w:color w:val="auto"/>
              </w:rPr>
            </w:pPr>
            <w:r>
              <w:rPr>
                <w:rFonts w:ascii="Courier New" w:cs="Courier New" w:eastAsia="Courier New" w:hAnsi="Courier New"/>
                <w:sz w:val="17"/>
                <w:szCs w:val="17"/>
                <w:b w:val="1"/>
                <w:bCs w:val="1"/>
                <w:color w:val="auto"/>
              </w:rPr>
              <w:t>Three Months Ended September 30,</w:t>
            </w: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jc w:val="right"/>
              <w:ind w:right="633"/>
              <w:spacing w:after="0"/>
              <w:rPr>
                <w:sz w:val="20"/>
                <w:szCs w:val="20"/>
                <w:color w:val="auto"/>
              </w:rPr>
            </w:pPr>
            <w:r>
              <w:rPr>
                <w:rFonts w:ascii="Courier New" w:cs="Courier New" w:eastAsia="Courier New" w:hAnsi="Courier New"/>
                <w:sz w:val="17"/>
                <w:szCs w:val="17"/>
                <w:b w:val="1"/>
                <w:bCs w:val="1"/>
                <w:color w:val="auto"/>
              </w:rPr>
              <w:t>2002</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b w:val="1"/>
                <w:bCs w:val="1"/>
                <w:color w:val="auto"/>
              </w:rPr>
              <w:t>2001</w:t>
            </w: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60" w:type="dxa"/>
            <w:vAlign w:val="bottom"/>
            <w:gridSpan w:val="3"/>
          </w:tcPr>
          <w:p>
            <w:pPr>
              <w:jc w:val="center"/>
              <w:ind w:left="213"/>
              <w:spacing w:after="0"/>
              <w:rPr>
                <w:sz w:val="20"/>
                <w:szCs w:val="20"/>
                <w:color w:val="auto"/>
              </w:rPr>
            </w:pPr>
            <w:r>
              <w:rPr>
                <w:rFonts w:ascii="Courier New" w:cs="Courier New" w:eastAsia="Courier New" w:hAnsi="Courier New"/>
                <w:sz w:val="17"/>
                <w:szCs w:val="17"/>
                <w:b w:val="1"/>
                <w:bCs w:val="1"/>
                <w:color w:val="auto"/>
              </w:rPr>
              <w:t>Thousands of Dollars</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ind w:right="233"/>
              <w:spacing w:after="0"/>
              <w:rPr>
                <w:sz w:val="20"/>
                <w:szCs w:val="20"/>
                <w:color w:val="auto"/>
              </w:rPr>
            </w:pPr>
            <w:r>
              <w:rPr>
                <w:rFonts w:ascii="Courier New" w:cs="Courier New" w:eastAsia="Courier New" w:hAnsi="Courier New"/>
                <w:sz w:val="17"/>
                <w:szCs w:val="17"/>
                <w:b w:val="1"/>
                <w:bCs w:val="1"/>
                <w:color w:val="auto"/>
              </w:rPr>
              <w:t>Domestic</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b w:val="1"/>
                <w:bCs w:val="1"/>
                <w:color w:val="auto"/>
              </w:rPr>
              <w:t>Domestic Ball</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ind w:right="233"/>
              <w:spacing w:after="0"/>
              <w:rPr>
                <w:sz w:val="20"/>
                <w:szCs w:val="20"/>
                <w:color w:val="auto"/>
              </w:rPr>
            </w:pPr>
            <w:r>
              <w:rPr>
                <w:rFonts w:ascii="Courier New" w:cs="Courier New" w:eastAsia="Courier New" w:hAnsi="Courier New"/>
                <w:sz w:val="17"/>
                <w:szCs w:val="17"/>
                <w:b w:val="1"/>
                <w:bCs w:val="1"/>
                <w:color w:val="auto"/>
              </w:rPr>
              <w:t>Ball &amp;</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jc w:val="right"/>
              <w:ind w:right="453"/>
              <w:spacing w:after="0"/>
              <w:rPr>
                <w:sz w:val="20"/>
                <w:szCs w:val="20"/>
                <w:color w:val="auto"/>
              </w:rPr>
            </w:pPr>
            <w:r>
              <w:rPr>
                <w:rFonts w:ascii="Courier New" w:cs="Courier New" w:eastAsia="Courier New" w:hAnsi="Courier New"/>
                <w:sz w:val="17"/>
                <w:szCs w:val="17"/>
                <w:b w:val="1"/>
                <w:bCs w:val="1"/>
                <w:color w:val="auto"/>
              </w:rPr>
              <w:t>&amp; Roller</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b w:val="1"/>
                <w:bCs w:val="1"/>
                <w:color w:val="auto"/>
                <w:w w:val="97"/>
              </w:rPr>
              <w:t>Euroball</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b w:val="1"/>
                <w:bCs w:val="1"/>
                <w:color w:val="auto"/>
              </w:rPr>
              <w:t>Plastics</w:t>
            </w:r>
          </w:p>
        </w:tc>
        <w:tc>
          <w:tcPr>
            <w:tcW w:w="1160" w:type="dxa"/>
            <w:vAlign w:val="bottom"/>
          </w:tcPr>
          <w:p>
            <w:pPr>
              <w:jc w:val="center"/>
              <w:ind w:right="233"/>
              <w:spacing w:after="0"/>
              <w:rPr>
                <w:sz w:val="20"/>
                <w:szCs w:val="20"/>
                <w:color w:val="auto"/>
              </w:rPr>
            </w:pPr>
            <w:r>
              <w:rPr>
                <w:rFonts w:ascii="Courier New" w:cs="Courier New" w:eastAsia="Courier New" w:hAnsi="Courier New"/>
                <w:sz w:val="17"/>
                <w:szCs w:val="17"/>
                <w:b w:val="1"/>
                <w:bCs w:val="1"/>
                <w:color w:val="auto"/>
              </w:rPr>
              <w:t>Roller</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b w:val="1"/>
                <w:bCs w:val="1"/>
                <w:color w:val="auto"/>
              </w:rPr>
              <w:t>Euroball</w:t>
            </w:r>
          </w:p>
        </w:tc>
        <w:tc>
          <w:tcPr>
            <w:tcW w:w="1200" w:type="dxa"/>
            <w:vAlign w:val="bottom"/>
          </w:tcPr>
          <w:p>
            <w:pPr>
              <w:ind w:left="60"/>
              <w:spacing w:after="0"/>
              <w:rPr>
                <w:sz w:val="20"/>
                <w:szCs w:val="20"/>
                <w:color w:val="auto"/>
              </w:rPr>
            </w:pPr>
            <w:r>
              <w:rPr>
                <w:rFonts w:ascii="Courier New" w:cs="Courier New" w:eastAsia="Courier New" w:hAnsi="Courier New"/>
                <w:sz w:val="17"/>
                <w:szCs w:val="17"/>
                <w:b w:val="1"/>
                <w:bCs w:val="1"/>
                <w:color w:val="auto"/>
              </w:rPr>
              <w:t>Plastics</w:t>
            </w:r>
          </w:p>
        </w:tc>
      </w:tr>
      <w:tr>
        <w:trPr>
          <w:trHeight w:val="201"/>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w w:val="99"/>
              </w:rPr>
              <w:t>----------</w:t>
            </w:r>
          </w:p>
        </w:tc>
      </w:tr>
      <w:tr>
        <w:trPr>
          <w:trHeight w:val="201"/>
        </w:trPr>
        <w:tc>
          <w:tcPr>
            <w:tcW w:w="300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$13,253</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$21,734</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$12,464</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$11,884</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$19,541</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$11,151</w:t>
            </w:r>
          </w:p>
        </w:tc>
      </w:tr>
      <w:tr>
        <w:trPr>
          <w:trHeight w:val="201"/>
        </w:trPr>
        <w:tc>
          <w:tcPr>
            <w:tcW w:w="3000" w:type="dxa"/>
            <w:vAlign w:val="bottom"/>
          </w:tcPr>
          <w:p>
            <w:pPr>
              <w:spacing w:after="0"/>
              <w:rPr>
                <w:sz w:val="20"/>
                <w:szCs w:val="20"/>
                <w:color w:val="auto"/>
              </w:rPr>
            </w:pPr>
            <w:r>
              <w:rPr>
                <w:rFonts w:ascii="Courier New" w:cs="Courier New" w:eastAsia="Courier New" w:hAnsi="Courier New"/>
                <w:sz w:val="17"/>
                <w:szCs w:val="17"/>
                <w:color w:val="auto"/>
              </w:rPr>
              <w:t>Segment pretax profit (loss)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1,613</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1,996</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677</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1,714</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1,056</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(1,043)</w:t>
            </w:r>
          </w:p>
        </w:tc>
      </w:tr>
      <w:tr>
        <w:trPr>
          <w:trHeight w:val="201"/>
        </w:trPr>
        <w:tc>
          <w:tcPr>
            <w:tcW w:w="3000" w:type="dxa"/>
            <w:vAlign w:val="bottom"/>
          </w:tcPr>
          <w:p>
            <w:pPr>
              <w:spacing w:after="0"/>
              <w:rPr>
                <w:sz w:val="20"/>
                <w:szCs w:val="20"/>
                <w:color w:val="auto"/>
              </w:rPr>
            </w:pPr>
            <w:r>
              <w:rPr>
                <w:rFonts w:ascii="Courier New" w:cs="Courier New" w:eastAsia="Courier New" w:hAnsi="Courier New"/>
                <w:sz w:val="17"/>
                <w:szCs w:val="17"/>
                <w:color w:val="auto"/>
              </w:rPr>
              <w:t>Segment assets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64,211</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75,254</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57,028</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61,162</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82,200</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58,243</w:t>
            </w:r>
          </w:p>
        </w:tc>
      </w:tr>
      <w:tr>
        <w:trPr>
          <w:trHeight w:val="403"/>
        </w:trPr>
        <w:tc>
          <w:tcPr>
            <w:tcW w:w="30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60" w:type="dxa"/>
            <w:vAlign w:val="bottom"/>
            <w:gridSpan w:val="4"/>
          </w:tcPr>
          <w:p>
            <w:pPr>
              <w:jc w:val="right"/>
              <w:ind w:right="793"/>
              <w:spacing w:after="0"/>
              <w:rPr>
                <w:sz w:val="20"/>
                <w:szCs w:val="20"/>
                <w:color w:val="auto"/>
              </w:rPr>
            </w:pPr>
            <w:r>
              <w:rPr>
                <w:rFonts w:ascii="Courier New" w:cs="Courier New" w:eastAsia="Courier New" w:hAnsi="Courier New"/>
                <w:sz w:val="17"/>
                <w:szCs w:val="17"/>
                <w:b w:val="1"/>
                <w:bCs w:val="1"/>
                <w:color w:val="auto"/>
              </w:rPr>
              <w:t>Nine Months Ended September 30,</w:t>
            </w:r>
          </w:p>
        </w:tc>
        <w:tc>
          <w:tcPr>
            <w:tcW w:w="1200" w:type="dxa"/>
            <w:vAlign w:val="bottom"/>
          </w:tcPr>
          <w:p>
            <w:pPr>
              <w:spacing w:after="0"/>
              <w:rPr>
                <w:sz w:val="24"/>
                <w:szCs w:val="24"/>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jc w:val="right"/>
              <w:ind w:right="633"/>
              <w:spacing w:after="0"/>
              <w:rPr>
                <w:sz w:val="20"/>
                <w:szCs w:val="20"/>
                <w:color w:val="auto"/>
              </w:rPr>
            </w:pPr>
            <w:r>
              <w:rPr>
                <w:rFonts w:ascii="Courier New" w:cs="Courier New" w:eastAsia="Courier New" w:hAnsi="Courier New"/>
                <w:sz w:val="17"/>
                <w:szCs w:val="17"/>
                <w:b w:val="1"/>
                <w:bCs w:val="1"/>
                <w:color w:val="auto"/>
              </w:rPr>
              <w:t>2002</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b w:val="1"/>
                <w:bCs w:val="1"/>
                <w:color w:val="auto"/>
              </w:rPr>
              <w:t>2001</w:t>
            </w: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660" w:type="dxa"/>
            <w:vAlign w:val="bottom"/>
            <w:gridSpan w:val="3"/>
          </w:tcPr>
          <w:p>
            <w:pPr>
              <w:jc w:val="center"/>
              <w:ind w:left="213"/>
              <w:spacing w:after="0"/>
              <w:rPr>
                <w:sz w:val="20"/>
                <w:szCs w:val="20"/>
                <w:color w:val="auto"/>
              </w:rPr>
            </w:pPr>
            <w:r>
              <w:rPr>
                <w:rFonts w:ascii="Courier New" w:cs="Courier New" w:eastAsia="Courier New" w:hAnsi="Courier New"/>
                <w:sz w:val="17"/>
                <w:szCs w:val="17"/>
                <w:b w:val="1"/>
                <w:bCs w:val="1"/>
                <w:color w:val="auto"/>
              </w:rPr>
              <w:t>Thousands of Dollars</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ind w:right="233"/>
              <w:spacing w:after="0"/>
              <w:rPr>
                <w:sz w:val="20"/>
                <w:szCs w:val="20"/>
                <w:color w:val="auto"/>
              </w:rPr>
            </w:pPr>
            <w:r>
              <w:rPr>
                <w:rFonts w:ascii="Courier New" w:cs="Courier New" w:eastAsia="Courier New" w:hAnsi="Courier New"/>
                <w:sz w:val="17"/>
                <w:szCs w:val="17"/>
                <w:b w:val="1"/>
                <w:bCs w:val="1"/>
                <w:color w:val="auto"/>
              </w:rPr>
              <w:t>Domestic</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jc w:val="right"/>
              <w:ind w:right="33"/>
              <w:spacing w:after="0"/>
              <w:rPr>
                <w:sz w:val="20"/>
                <w:szCs w:val="20"/>
                <w:color w:val="auto"/>
              </w:rPr>
            </w:pPr>
            <w:r>
              <w:rPr>
                <w:rFonts w:ascii="Courier New" w:cs="Courier New" w:eastAsia="Courier New" w:hAnsi="Courier New"/>
                <w:sz w:val="17"/>
                <w:szCs w:val="17"/>
                <w:b w:val="1"/>
                <w:bCs w:val="1"/>
                <w:color w:val="auto"/>
              </w:rPr>
              <w:t>Domestic Ball</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jc w:val="center"/>
              <w:ind w:right="233"/>
              <w:spacing w:after="0"/>
              <w:rPr>
                <w:sz w:val="20"/>
                <w:szCs w:val="20"/>
                <w:color w:val="auto"/>
              </w:rPr>
            </w:pPr>
            <w:r>
              <w:rPr>
                <w:rFonts w:ascii="Courier New" w:cs="Courier New" w:eastAsia="Courier New" w:hAnsi="Courier New"/>
                <w:sz w:val="17"/>
                <w:szCs w:val="17"/>
                <w:b w:val="1"/>
                <w:bCs w:val="1"/>
                <w:color w:val="auto"/>
              </w:rPr>
              <w:t>Ball &amp;</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3000" w:type="dxa"/>
            <w:vAlign w:val="bottom"/>
          </w:tcPr>
          <w:p>
            <w:pPr>
              <w:spacing w:after="0"/>
              <w:rPr>
                <w:sz w:val="17"/>
                <w:szCs w:val="17"/>
                <w:color w:val="auto"/>
              </w:rPr>
            </w:pPr>
          </w:p>
        </w:tc>
        <w:tc>
          <w:tcPr>
            <w:tcW w:w="1520" w:type="dxa"/>
            <w:vAlign w:val="bottom"/>
          </w:tcPr>
          <w:p>
            <w:pPr>
              <w:jc w:val="right"/>
              <w:ind w:right="453"/>
              <w:spacing w:after="0"/>
              <w:rPr>
                <w:sz w:val="20"/>
                <w:szCs w:val="20"/>
                <w:color w:val="auto"/>
              </w:rPr>
            </w:pPr>
            <w:r>
              <w:rPr>
                <w:rFonts w:ascii="Courier New" w:cs="Courier New" w:eastAsia="Courier New" w:hAnsi="Courier New"/>
                <w:sz w:val="17"/>
                <w:szCs w:val="17"/>
                <w:b w:val="1"/>
                <w:bCs w:val="1"/>
                <w:color w:val="auto"/>
              </w:rPr>
              <w:t>&amp; Roller</w:t>
            </w: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b w:val="1"/>
                <w:bCs w:val="1"/>
                <w:color w:val="auto"/>
                <w:w w:val="97"/>
              </w:rPr>
              <w:t>Euroball</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b w:val="1"/>
                <w:bCs w:val="1"/>
                <w:color w:val="auto"/>
              </w:rPr>
              <w:t>Plastics</w:t>
            </w:r>
          </w:p>
        </w:tc>
        <w:tc>
          <w:tcPr>
            <w:tcW w:w="1160" w:type="dxa"/>
            <w:vAlign w:val="bottom"/>
          </w:tcPr>
          <w:p>
            <w:pPr>
              <w:jc w:val="center"/>
              <w:ind w:right="233"/>
              <w:spacing w:after="0"/>
              <w:rPr>
                <w:sz w:val="20"/>
                <w:szCs w:val="20"/>
                <w:color w:val="auto"/>
              </w:rPr>
            </w:pPr>
            <w:r>
              <w:rPr>
                <w:rFonts w:ascii="Courier New" w:cs="Courier New" w:eastAsia="Courier New" w:hAnsi="Courier New"/>
                <w:sz w:val="17"/>
                <w:szCs w:val="17"/>
                <w:b w:val="1"/>
                <w:bCs w:val="1"/>
                <w:color w:val="auto"/>
              </w:rPr>
              <w:t>Roller</w:t>
            </w:r>
          </w:p>
        </w:tc>
        <w:tc>
          <w:tcPr>
            <w:tcW w:w="1200" w:type="dxa"/>
            <w:vAlign w:val="bottom"/>
          </w:tcPr>
          <w:p>
            <w:pPr>
              <w:jc w:val="right"/>
              <w:ind w:right="173"/>
              <w:spacing w:after="0"/>
              <w:rPr>
                <w:sz w:val="20"/>
                <w:szCs w:val="20"/>
                <w:color w:val="auto"/>
              </w:rPr>
            </w:pPr>
            <w:r>
              <w:rPr>
                <w:rFonts w:ascii="Courier New" w:cs="Courier New" w:eastAsia="Courier New" w:hAnsi="Courier New"/>
                <w:sz w:val="17"/>
                <w:szCs w:val="17"/>
                <w:b w:val="1"/>
                <w:bCs w:val="1"/>
                <w:color w:val="auto"/>
              </w:rPr>
              <w:t>Euroball</w:t>
            </w:r>
          </w:p>
        </w:tc>
        <w:tc>
          <w:tcPr>
            <w:tcW w:w="1200" w:type="dxa"/>
            <w:vAlign w:val="bottom"/>
          </w:tcPr>
          <w:p>
            <w:pPr>
              <w:ind w:left="60"/>
              <w:spacing w:after="0"/>
              <w:rPr>
                <w:sz w:val="20"/>
                <w:szCs w:val="20"/>
                <w:color w:val="auto"/>
              </w:rPr>
            </w:pPr>
            <w:r>
              <w:rPr>
                <w:rFonts w:ascii="Courier New" w:cs="Courier New" w:eastAsia="Courier New" w:hAnsi="Courier New"/>
                <w:sz w:val="17"/>
                <w:szCs w:val="17"/>
                <w:b w:val="1"/>
                <w:bCs w:val="1"/>
                <w:color w:val="auto"/>
              </w:rPr>
              <w:t>Plastics</w:t>
            </w:r>
          </w:p>
        </w:tc>
      </w:tr>
      <w:tr>
        <w:trPr>
          <w:trHeight w:val="201"/>
        </w:trPr>
        <w:tc>
          <w:tcPr>
            <w:tcW w:w="4520" w:type="dxa"/>
            <w:vAlign w:val="bottom"/>
            <w:gridSpan w:val="2"/>
          </w:tcPr>
          <w:p>
            <w:pPr>
              <w:spacing w:after="0"/>
              <w:rPr>
                <w:sz w:val="20"/>
                <w:szCs w:val="20"/>
                <w:color w:val="auto"/>
              </w:rPr>
            </w:pPr>
            <w:r>
              <w:rPr>
                <w:rFonts w:ascii="Courier New" w:cs="Courier New" w:eastAsia="Courier New" w:hAnsi="Courier New"/>
                <w:sz w:val="17"/>
                <w:szCs w:val="17"/>
                <w:color w:val="auto"/>
              </w:rPr>
              <w:t>- ---------------------------- ------------</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center"/>
              <w:ind w:left="133"/>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r>
      <w:tr>
        <w:trPr>
          <w:trHeight w:val="201"/>
        </w:trPr>
        <w:tc>
          <w:tcPr>
            <w:tcW w:w="300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$40,177</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$66,639</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$37,020</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$41,897</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$67,398</w:t>
            </w:r>
          </w:p>
        </w:tc>
        <w:tc>
          <w:tcPr>
            <w:tcW w:w="1200" w:type="dxa"/>
            <w:vAlign w:val="bottom"/>
          </w:tcPr>
          <w:p>
            <w:pPr>
              <w:ind w:left="60"/>
              <w:spacing w:after="0"/>
              <w:rPr>
                <w:sz w:val="20"/>
                <w:szCs w:val="20"/>
                <w:color w:val="auto"/>
              </w:rPr>
            </w:pPr>
            <w:r>
              <w:rPr>
                <w:rFonts w:ascii="Courier New" w:cs="Courier New" w:eastAsia="Courier New" w:hAnsi="Courier New"/>
                <w:sz w:val="17"/>
                <w:szCs w:val="17"/>
                <w:color w:val="auto"/>
              </w:rPr>
              <w:t>$30,858</w:t>
            </w:r>
          </w:p>
        </w:tc>
      </w:tr>
      <w:tr>
        <w:trPr>
          <w:trHeight w:val="201"/>
        </w:trPr>
        <w:tc>
          <w:tcPr>
            <w:tcW w:w="3000" w:type="dxa"/>
            <w:vAlign w:val="bottom"/>
          </w:tcPr>
          <w:p>
            <w:pPr>
              <w:spacing w:after="0"/>
              <w:rPr>
                <w:sz w:val="20"/>
                <w:szCs w:val="20"/>
                <w:color w:val="auto"/>
              </w:rPr>
            </w:pPr>
            <w:r>
              <w:rPr>
                <w:rFonts w:ascii="Courier New" w:cs="Courier New" w:eastAsia="Courier New" w:hAnsi="Courier New"/>
                <w:sz w:val="17"/>
                <w:szCs w:val="17"/>
                <w:color w:val="auto"/>
              </w:rPr>
              <w:t>Segment pretax profit (loss)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4,046</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7,055</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2,241</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7,699</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5,975</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(1,720)</w:t>
            </w:r>
          </w:p>
        </w:tc>
      </w:tr>
      <w:tr>
        <w:trPr>
          <w:trHeight w:val="201"/>
        </w:trPr>
        <w:tc>
          <w:tcPr>
            <w:tcW w:w="3000" w:type="dxa"/>
            <w:vAlign w:val="bottom"/>
          </w:tcPr>
          <w:p>
            <w:pPr>
              <w:spacing w:after="0"/>
              <w:rPr>
                <w:sz w:val="20"/>
                <w:szCs w:val="20"/>
                <w:color w:val="auto"/>
              </w:rPr>
            </w:pPr>
            <w:r>
              <w:rPr>
                <w:rFonts w:ascii="Courier New" w:cs="Courier New" w:eastAsia="Courier New" w:hAnsi="Courier New"/>
                <w:sz w:val="17"/>
                <w:szCs w:val="17"/>
                <w:color w:val="auto"/>
              </w:rPr>
              <w:t>Segment assets</w:t>
            </w:r>
          </w:p>
        </w:tc>
        <w:tc>
          <w:tcPr>
            <w:tcW w:w="15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64,211</w:t>
            </w:r>
          </w:p>
        </w:tc>
        <w:tc>
          <w:tcPr>
            <w:tcW w:w="12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75,254</w:t>
            </w:r>
          </w:p>
        </w:tc>
        <w:tc>
          <w:tcPr>
            <w:tcW w:w="12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57,028</w:t>
            </w: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61,162</w:t>
            </w:r>
          </w:p>
        </w:tc>
        <w:tc>
          <w:tcPr>
            <w:tcW w:w="12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82,200</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58,243</w:t>
            </w:r>
          </w:p>
        </w:tc>
      </w:tr>
    </w:tbl>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b w:val="1"/>
          <w:bCs w:val="1"/>
          <w:color w:val="auto"/>
        </w:rPr>
        <w:t>Note 6.</w:t>
        <w:tab/>
        <w:t>Acquisitions and Joint Ventures</w:t>
      </w:r>
    </w:p>
    <w:p>
      <w:pPr>
        <w:spacing w:after="0" w:line="210" w:lineRule="exact"/>
        <w:rPr>
          <w:sz w:val="20"/>
          <w:szCs w:val="20"/>
          <w:color w:val="auto"/>
        </w:rPr>
      </w:pPr>
    </w:p>
    <w:p>
      <w:pPr>
        <w:ind w:right="2200"/>
        <w:spacing w:after="0" w:line="252" w:lineRule="auto"/>
        <w:rPr>
          <w:sz w:val="20"/>
          <w:szCs w:val="20"/>
          <w:color w:val="auto"/>
        </w:rPr>
      </w:pPr>
      <w:r>
        <w:rPr>
          <w:rFonts w:ascii="Courier New" w:cs="Courier New" w:eastAsia="Courier New" w:hAnsi="Courier New"/>
          <w:sz w:val="17"/>
          <w:szCs w:val="17"/>
          <w:color w:val="auto"/>
        </w:rPr>
        <w:t>On February 16, 2001, the Company completed the acquisition of all of the outstanding stock of Delta for $22.5 million in cash. Delta manufactures and sells high quality engineered bearing seals to original equipment manufacturers and operates a manufacturing facility in Danielson, Connecticut. The Company has accounted for this acquisition using the purchase method of accounting.</w:t>
      </w:r>
    </w:p>
    <w:p>
      <w:pPr>
        <w:spacing w:after="0" w:line="19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b w:val="1"/>
          <w:bCs w:val="1"/>
          <w:color w:val="auto"/>
        </w:rPr>
        <w:t>Note 7.</w:t>
        <w:tab/>
        <w:t>Restructuring Charges</w:t>
      </w:r>
    </w:p>
    <w:p>
      <w:pPr>
        <w:spacing w:after="0" w:line="210" w:lineRule="exact"/>
        <w:rPr>
          <w:sz w:val="20"/>
          <w:szCs w:val="20"/>
          <w:color w:val="auto"/>
        </w:rPr>
      </w:pPr>
    </w:p>
    <w:p>
      <w:pPr>
        <w:ind w:right="2300"/>
        <w:spacing w:after="0" w:line="252" w:lineRule="auto"/>
        <w:rPr>
          <w:sz w:val="20"/>
          <w:szCs w:val="20"/>
          <w:color w:val="auto"/>
        </w:rPr>
      </w:pPr>
      <w:r>
        <w:rPr>
          <w:rFonts w:ascii="Courier New" w:cs="Courier New" w:eastAsia="Courier New" w:hAnsi="Courier New"/>
          <w:sz w:val="17"/>
          <w:szCs w:val="17"/>
          <w:color w:val="auto"/>
        </w:rPr>
        <w:t>In September of 2001, the Company announced that it would close its Walterboro, South Carolina ball manufacturing facility as part of its ongoing strategy to locate manufacturing capacity in closer proximity to customers. The closure was substantially completed by December 31, 2001. Current plans are to sell the land, building and machinery. The plant closing resulted in the termination of approximately 80 full time hourly and salaried employees in 2001.</w:t>
      </w:r>
    </w:p>
    <w:p>
      <w:pPr>
        <w:spacing w:after="0" w:line="197" w:lineRule="exact"/>
        <w:rPr>
          <w:sz w:val="20"/>
          <w:szCs w:val="20"/>
          <w:color w:val="auto"/>
        </w:rPr>
      </w:pPr>
    </w:p>
    <w:p>
      <w:pPr>
        <w:ind w:right="2200"/>
        <w:spacing w:after="0" w:line="251" w:lineRule="auto"/>
        <w:rPr>
          <w:sz w:val="20"/>
          <w:szCs w:val="20"/>
          <w:color w:val="auto"/>
        </w:rPr>
      </w:pPr>
      <w:r>
        <w:rPr>
          <w:rFonts w:ascii="Courier New" w:cs="Courier New" w:eastAsia="Courier New" w:hAnsi="Courier New"/>
          <w:sz w:val="17"/>
          <w:szCs w:val="17"/>
          <w:color w:val="auto"/>
        </w:rPr>
        <w:t>Prior to December 31, 2001, production capacity and certain machinery and equipment were transferred from the Walterboro facility to the Company's two domestic ball facilities in Erwin, Tennessee and Mountain City, Tennessee. The Company has recorded restructuring costs of $62,000, $0 and $0 for additional severance payments during the three month periods ended March 31, 2002, June 30, 2002 and September 30, 2002, respectively. Additionally, prior to December 31, 2001, the Company decided to sell the Walterboro land, building and certain machinery and incurred an impairment charge of approximately $1.1 million during 2001 to write down the land and building to its net realizable value of approximately $1.7 million, which was based upon fair market appraisals less costs to sell. The amounts the Company will ultimately realize upon disposition of these assets could differ materially from the amounts assumed in arriving at the 2001 impairment loss. The remaining equipment recorded at a historical net book value of $1.9 million is also held for sale. The Company anticipates selling the land, building and machinery within the next twelve months.</w:t>
      </w:r>
    </w:p>
    <w:p>
      <w:pPr>
        <w:sectPr>
          <w:pgSz w:w="11900" w:h="16838" w:orient="portrait"/>
          <w:cols w:equalWidth="0" w:num="1">
            <w:col w:w="10580"/>
          </w:cols>
          <w:pgMar w:left="240" w:top="142" w:right="1079" w:bottom="0" w:gutter="0" w:footer="0" w:header="0"/>
        </w:sectPr>
      </w:pPr>
    </w:p>
    <w:bookmarkStart w:id="7" w:name="page8"/>
    <w:bookmarkEnd w:id="7"/>
    <w:p>
      <w:pPr>
        <w:ind w:right="2039"/>
        <w:spacing w:after="0" w:line="257" w:lineRule="auto"/>
        <w:rPr>
          <w:sz w:val="20"/>
          <w:szCs w:val="20"/>
          <w:color w:val="auto"/>
        </w:rPr>
      </w:pPr>
      <w:r>
        <w:rPr>
          <w:rFonts w:ascii="Courier New" w:cs="Courier New" w:eastAsia="Courier New" w:hAnsi="Courier New"/>
          <w:sz w:val="17"/>
          <w:szCs w:val="17"/>
          <w:color w:val="auto"/>
        </w:rPr>
        <w:t>The Company has charged expenses for moving machinery, equipment and inventory to other production</w:t>
      </w:r>
    </w:p>
    <w:p>
      <w:pPr>
        <w:spacing w:after="0" w:line="39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facilities and other costs to close the facility, which will benefit future operations in the period they are incurred.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20" w:type="dxa"/>
            <w:vAlign w:val="bottom"/>
          </w:tcPr>
          <w:p>
            <w:pPr>
              <w:spacing w:after="0"/>
              <w:rPr>
                <w:sz w:val="17"/>
                <w:szCs w:val="17"/>
                <w:color w:val="auto"/>
              </w:rPr>
            </w:pPr>
          </w:p>
        </w:tc>
        <w:tc>
          <w:tcPr>
            <w:tcW w:w="1460" w:type="dxa"/>
            <w:vAlign w:val="bottom"/>
          </w:tcPr>
          <w:p>
            <w:pPr>
              <w:ind w:left="320"/>
              <w:spacing w:after="0"/>
              <w:rPr>
                <w:sz w:val="20"/>
                <w:szCs w:val="20"/>
                <w:color w:val="auto"/>
              </w:rPr>
            </w:pPr>
            <w:r>
              <w:rPr>
                <w:rFonts w:ascii="Courier New" w:cs="Courier New" w:eastAsia="Courier New" w:hAnsi="Courier New"/>
                <w:sz w:val="17"/>
                <w:szCs w:val="17"/>
                <w:color w:val="auto"/>
              </w:rPr>
              <w:t>Accrual</w:t>
            </w:r>
          </w:p>
        </w:tc>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Courier New" w:cs="Courier New" w:eastAsia="Courier New" w:hAnsi="Courier New"/>
                <w:sz w:val="17"/>
                <w:szCs w:val="17"/>
                <w:color w:val="auto"/>
              </w:rPr>
              <w:t>Accrual</w:t>
            </w:r>
          </w:p>
        </w:tc>
      </w:tr>
      <w:tr>
        <w:trPr>
          <w:trHeight w:val="201"/>
        </w:trPr>
        <w:tc>
          <w:tcPr>
            <w:tcW w:w="2420" w:type="dxa"/>
            <w:vAlign w:val="bottom"/>
          </w:tcPr>
          <w:p>
            <w:pPr>
              <w:spacing w:after="0"/>
              <w:rPr>
                <w:sz w:val="17"/>
                <w:szCs w:val="17"/>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7"/>
                <w:szCs w:val="17"/>
                <w:color w:val="auto"/>
              </w:rPr>
              <w:t>Balance at</w:t>
            </w:r>
          </w:p>
        </w:tc>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ind w:left="300"/>
              <w:spacing w:after="0"/>
              <w:rPr>
                <w:sz w:val="20"/>
                <w:szCs w:val="20"/>
                <w:color w:val="auto"/>
              </w:rPr>
            </w:pPr>
            <w:r>
              <w:rPr>
                <w:rFonts w:ascii="Courier New" w:cs="Courier New" w:eastAsia="Courier New" w:hAnsi="Courier New"/>
                <w:sz w:val="17"/>
                <w:szCs w:val="17"/>
                <w:color w:val="auto"/>
              </w:rPr>
              <w:t>Balance at</w:t>
            </w:r>
          </w:p>
        </w:tc>
      </w:tr>
      <w:tr>
        <w:trPr>
          <w:trHeight w:val="201"/>
        </w:trPr>
        <w:tc>
          <w:tcPr>
            <w:tcW w:w="24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12/31/01</w:t>
            </w:r>
          </w:p>
        </w:tc>
        <w:tc>
          <w:tcPr>
            <w:tcW w:w="1160" w:type="dxa"/>
            <w:vAlign w:val="bottom"/>
          </w:tcPr>
          <w:p>
            <w:pPr>
              <w:ind w:left="220"/>
              <w:spacing w:after="0"/>
              <w:rPr>
                <w:sz w:val="20"/>
                <w:szCs w:val="20"/>
                <w:color w:val="auto"/>
              </w:rPr>
            </w:pPr>
            <w:r>
              <w:rPr>
                <w:rFonts w:ascii="Courier New" w:cs="Courier New" w:eastAsia="Courier New" w:hAnsi="Courier New"/>
                <w:sz w:val="17"/>
                <w:szCs w:val="17"/>
                <w:color w:val="auto"/>
              </w:rPr>
              <w:t>Charges</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Paid in 2002</w:t>
            </w:r>
          </w:p>
        </w:tc>
        <w:tc>
          <w:tcPr>
            <w:tcW w:w="1560" w:type="dxa"/>
            <w:vAlign w:val="bottom"/>
          </w:tcPr>
          <w:p>
            <w:pPr>
              <w:ind w:left="420"/>
              <w:spacing w:after="0"/>
              <w:rPr>
                <w:sz w:val="20"/>
                <w:szCs w:val="20"/>
                <w:color w:val="auto"/>
              </w:rPr>
            </w:pPr>
            <w:r>
              <w:rPr>
                <w:rFonts w:ascii="Courier New" w:cs="Courier New" w:eastAsia="Courier New" w:hAnsi="Courier New"/>
                <w:sz w:val="17"/>
                <w:szCs w:val="17"/>
                <w:color w:val="auto"/>
              </w:rPr>
              <w:t>9/30/02</w:t>
            </w:r>
          </w:p>
        </w:tc>
      </w:tr>
      <w:tr>
        <w:trPr>
          <w:trHeight w:val="201"/>
        </w:trPr>
        <w:tc>
          <w:tcPr>
            <w:tcW w:w="24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Thousands of Dollars</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Severance and other</w:t>
            </w: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employee costs</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$513</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rPr>
              <w:t>$78</w:t>
            </w:r>
          </w:p>
        </w:tc>
        <w:tc>
          <w:tcPr>
            <w:tcW w:w="17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$591</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$0</w:t>
            </w:r>
          </w:p>
        </w:tc>
      </w:tr>
      <w:tr>
        <w:trPr>
          <w:trHeight w:val="201"/>
        </w:trPr>
        <w:tc>
          <w:tcPr>
            <w:tcW w:w="24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r>
      <w:tr>
        <w:trPr>
          <w:trHeight w:val="201"/>
        </w:trPr>
        <w:tc>
          <w:tcPr>
            <w:tcW w:w="242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$513</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rPr>
              <w:t>$78</w:t>
            </w:r>
          </w:p>
        </w:tc>
        <w:tc>
          <w:tcPr>
            <w:tcW w:w="178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$591</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$0</w:t>
            </w:r>
          </w:p>
        </w:tc>
      </w:tr>
      <w:tr>
        <w:trPr>
          <w:trHeight w:val="201"/>
        </w:trPr>
        <w:tc>
          <w:tcPr>
            <w:tcW w:w="24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center"/>
              <w:ind w:lef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b w:val="1"/>
          <w:bCs w:val="1"/>
          <w:color w:val="auto"/>
        </w:rPr>
        <w:t>Note 8.</w:t>
        <w:tab/>
        <w:t>New Accounting Pronouncements</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 June 2001, the Financial Accounting Standards Board ("FASB") issued Statement of Financial Accounting Standards No. 141, "Business Combinations" (Statement No. 141), and Statement of Financial Accounting Standards No. 142, "Goodwill and Other Intangible Assets" (Statement No. 142). Statement No. 141 requires that the purchase method of accounting be used for all business combinations initiated after June 30, 2001. Statement No. 141 also specifies criteria that intangible assets acquired in a purchase method business combination must meet to be recognized and reported apart from goodwill. Statement No. 142 requires that goodwill and intangible assets with indefinite useful lives no longer be amortized, but rather, periodically tested for impairment. The effective date of Statement No. 142 is January 1, 2002. As of the date of adoption, the Company had unamortized goodwill of approximately $40.3 million, which is subject to the provisions of Statement No. 142.</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As a result of adopting these standards in the first quarter of 2002, the Company no longer amortizes goodwill. The Company estimates that amortization expense for goodwill would have been approximately $0.5 million (or $0.3 million net of tax and minority interest) for the three month period ended September 30, 2002 and $1.4 million (or $0.8 million net of tax and minority interest) for the nine month period ended September 30, 2002.</w:t>
      </w:r>
    </w:p>
    <w:p>
      <w:pPr>
        <w:spacing w:after="0" w:line="197"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As a result of adopting these new standards, the Company's accounting policies for goodwill and other intangibles changed on January 1, 2002, as described below:</w:t>
      </w:r>
    </w:p>
    <w:p>
      <w:pPr>
        <w:spacing w:after="0" w:line="194"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Goodwill: The Company recognizes the excess of the purchase price of an acquired entity over the fair value of the net identifiable assets as goodwill. Goodwill is tested for impairment on an annual basis and between annual tests in certain circumstances. Impairment losses are recognized whenever the implied fair value of goodwill is less than its carrying value. Prior to January 1, 2002, goodwill was amortized over a twenty-year period using the straight-line method. Beginning January 1, 2002, goodwill is no longer amortized.</w:t>
      </w:r>
    </w:p>
    <w:p>
      <w:pPr>
        <w:spacing w:after="0" w:line="19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Other Acquired Intangibles: The Company recognizes an acquired intangible asset apart from goodwill whenever the asset arises from contractual or other legal rights, or whenever it is capable of being divided or separated from the acquired entity or sold, transferred, licensed, rented, or exchanged, whether individually or in combination with a related contract, asset or liability. An intangible asset other than goodwill is amortized over its estimated useful life unless that life is determined to be indefinite. The Company will review the lives of intangible assets each reporting period and, if necessary, recognize impairment losses if the carrying amount of an intangible asset subject to amortization is not recoverable from expected future cash flows and its carrying amount exceeds its fair value.</w:t>
      </w:r>
    </w:p>
    <w:p>
      <w:pPr>
        <w:spacing w:after="0" w:line="200" w:lineRule="exact"/>
        <w:rPr>
          <w:sz w:val="20"/>
          <w:szCs w:val="20"/>
          <w:color w:val="auto"/>
        </w:rPr>
      </w:pPr>
    </w:p>
    <w:p>
      <w:pPr>
        <w:spacing w:after="0" w:line="203"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 completed the transitional goodwill impairment reviews required by the new standards during the first six months of 2002. In performing the impairment reviews, the Company estimated the fair values of the reportable segments using a method that incorporates valuations derived from EBITDA multiples based upon market multiples and recent capital market transactions and also incorporates valuations determined by each segments discounted future cash</w:t>
      </w:r>
    </w:p>
    <w:p>
      <w:pPr>
        <w:sectPr>
          <w:pgSz w:w="11900" w:h="16838" w:orient="portrait"/>
          <w:cols w:equalWidth="0" w:num="1">
            <w:col w:w="10219"/>
          </w:cols>
          <w:pgMar w:left="240" w:top="343" w:right="1440" w:bottom="0" w:gutter="0" w:footer="0" w:header="0"/>
        </w:sectPr>
      </w:pPr>
    </w:p>
    <w:bookmarkStart w:id="8" w:name="page9"/>
    <w:bookmarkEnd w:id="8"/>
    <w:p>
      <w:pPr>
        <w:ind w:right="2820"/>
        <w:spacing w:after="0" w:line="252" w:lineRule="auto"/>
        <w:rPr>
          <w:sz w:val="20"/>
          <w:szCs w:val="20"/>
          <w:color w:val="auto"/>
        </w:rPr>
      </w:pPr>
      <w:r>
        <w:rPr>
          <w:rFonts w:ascii="Courier New" w:cs="Courier New" w:eastAsia="Courier New" w:hAnsi="Courier New"/>
          <w:sz w:val="17"/>
          <w:szCs w:val="17"/>
          <w:color w:val="auto"/>
        </w:rPr>
        <w:t>flows. As of January 1, 2002, the transition date, there was no impairment to goodwill as the fair values exceeded the carrying values of the segments. As of September 30, 2002, the carrying amounts of goodwill by segment are as follows: $26.1 million for the Plastics segment and $15.1 million for the Euroball segment. Since the transition date, January 1, 2002,</w:t>
      </w: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20"/>
        <w:spacing w:after="0" w:line="257" w:lineRule="auto"/>
        <w:rPr>
          <w:sz w:val="20"/>
          <w:szCs w:val="20"/>
          <w:color w:val="auto"/>
        </w:rPr>
      </w:pPr>
      <w:r>
        <w:rPr>
          <w:rFonts w:ascii="Courier New" w:cs="Courier New" w:eastAsia="Courier New" w:hAnsi="Courier New"/>
          <w:sz w:val="17"/>
          <w:szCs w:val="17"/>
          <w:color w:val="auto"/>
        </w:rPr>
        <w:t>the increase in goodwill of $0.9 million is principally due to foreign currency translation adjustments at the Euroball segment.</w:t>
      </w:r>
    </w:p>
    <w:p>
      <w:pPr>
        <w:spacing w:after="0" w:line="192" w:lineRule="exact"/>
        <w:rPr>
          <w:sz w:val="20"/>
          <w:szCs w:val="20"/>
          <w:color w:val="auto"/>
        </w:rPr>
      </w:pPr>
    </w:p>
    <w:p>
      <w:pPr>
        <w:ind w:right="3140"/>
        <w:spacing w:after="0" w:line="257" w:lineRule="auto"/>
        <w:rPr>
          <w:sz w:val="20"/>
          <w:szCs w:val="20"/>
          <w:color w:val="auto"/>
        </w:rPr>
      </w:pPr>
      <w:r>
        <w:rPr>
          <w:rFonts w:ascii="Courier New" w:cs="Courier New" w:eastAsia="Courier New" w:hAnsi="Courier New"/>
          <w:sz w:val="17"/>
          <w:szCs w:val="17"/>
          <w:color w:val="auto"/>
        </w:rPr>
        <w:t>The table below describes the impact of the amortization of goodwill for the three and nine month periods ended September 30, 2002 and 2001: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For the Three Months</w:t>
            </w:r>
          </w:p>
        </w:tc>
        <w:tc>
          <w:tcPr>
            <w:tcW w:w="30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For the Nine Months</w:t>
            </w:r>
          </w:p>
        </w:tc>
      </w:tr>
      <w:tr>
        <w:trPr>
          <w:trHeight w:val="201"/>
        </w:trPr>
        <w:tc>
          <w:tcPr>
            <w:tcW w:w="4720" w:type="dxa"/>
            <w:vAlign w:val="bottom"/>
          </w:tcPr>
          <w:p>
            <w:pPr>
              <w:spacing w:after="0"/>
              <w:rPr>
                <w:sz w:val="17"/>
                <w:szCs w:val="17"/>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Ended September 30,</w:t>
            </w:r>
          </w:p>
        </w:tc>
        <w:tc>
          <w:tcPr>
            <w:tcW w:w="3020" w:type="dxa"/>
            <w:vAlign w:val="bottom"/>
            <w:gridSpan w:val="2"/>
          </w:tcPr>
          <w:p>
            <w:pPr>
              <w:jc w:val="right"/>
              <w:ind w:right="213"/>
              <w:spacing w:after="0"/>
              <w:rPr>
                <w:sz w:val="20"/>
                <w:szCs w:val="20"/>
                <w:color w:val="auto"/>
              </w:rPr>
            </w:pPr>
            <w:r>
              <w:rPr>
                <w:rFonts w:ascii="Courier New" w:cs="Courier New" w:eastAsia="Courier New" w:hAnsi="Courier New"/>
                <w:sz w:val="17"/>
                <w:szCs w:val="17"/>
                <w:color w:val="auto"/>
              </w:rPr>
              <w:t>Ended September 30,</w:t>
            </w:r>
          </w:p>
        </w:tc>
      </w:tr>
      <w:tr>
        <w:trPr>
          <w:trHeight w:val="201"/>
        </w:trPr>
        <w:tc>
          <w:tcPr>
            <w:tcW w:w="47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7"/>
                <w:szCs w:val="17"/>
                <w:color w:val="auto"/>
              </w:rPr>
              <w:t>2002</w:t>
            </w:r>
          </w:p>
        </w:tc>
        <w:tc>
          <w:tcPr>
            <w:tcW w:w="178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2001</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rPr>
              <w:t>2002</w:t>
            </w:r>
          </w:p>
        </w:tc>
        <w:tc>
          <w:tcPr>
            <w:tcW w:w="14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2001</w:t>
            </w:r>
          </w:p>
        </w:tc>
      </w:tr>
      <w:tr>
        <w:trPr>
          <w:trHeight w:val="201"/>
        </w:trPr>
        <w:tc>
          <w:tcPr>
            <w:tcW w:w="4720" w:type="dxa"/>
            <w:vAlign w:val="bottom"/>
          </w:tcPr>
          <w:p>
            <w:pPr>
              <w:spacing w:after="0"/>
              <w:rPr>
                <w:sz w:val="17"/>
                <w:szCs w:val="17"/>
                <w:color w:val="auto"/>
              </w:rPr>
            </w:pPr>
          </w:p>
        </w:tc>
        <w:tc>
          <w:tcPr>
            <w:tcW w:w="33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w:t>
            </w:r>
          </w:p>
        </w:tc>
        <w:tc>
          <w:tcPr>
            <w:tcW w:w="3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4720" w:type="dxa"/>
            <w:vAlign w:val="bottom"/>
          </w:tcPr>
          <w:p>
            <w:pPr>
              <w:spacing w:after="0"/>
              <w:rPr>
                <w:sz w:val="17"/>
                <w:szCs w:val="17"/>
                <w:color w:val="auto"/>
              </w:rPr>
            </w:pPr>
          </w:p>
        </w:tc>
        <w:tc>
          <w:tcPr>
            <w:tcW w:w="498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Thousands of Dollars except per-share data</w:t>
            </w:r>
          </w:p>
        </w:tc>
        <w:tc>
          <w:tcPr>
            <w:tcW w:w="1400" w:type="dxa"/>
            <w:vAlign w:val="bottom"/>
          </w:tcPr>
          <w:p>
            <w:pPr>
              <w:spacing w:after="0"/>
              <w:rPr>
                <w:sz w:val="17"/>
                <w:szCs w:val="17"/>
                <w:color w:val="auto"/>
              </w:rPr>
            </w:pPr>
          </w:p>
        </w:tc>
      </w:tr>
      <w:tr>
        <w:trPr>
          <w:trHeight w:val="403"/>
        </w:trPr>
        <w:tc>
          <w:tcPr>
            <w:tcW w:w="4720" w:type="dxa"/>
            <w:vAlign w:val="bottom"/>
          </w:tcPr>
          <w:p>
            <w:pPr>
              <w:spacing w:after="0"/>
              <w:rPr>
                <w:sz w:val="20"/>
                <w:szCs w:val="20"/>
                <w:color w:val="auto"/>
              </w:rPr>
            </w:pPr>
            <w:r>
              <w:rPr>
                <w:rFonts w:ascii="Courier New" w:cs="Courier New" w:eastAsia="Courier New" w:hAnsi="Courier New"/>
                <w:sz w:val="17"/>
                <w:szCs w:val="17"/>
                <w:color w:val="auto"/>
              </w:rPr>
              <w:t>Reported net income</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$2,119</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$744</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$6,375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$5,698</w:t>
            </w:r>
          </w:p>
        </w:tc>
      </w:tr>
      <w:tr>
        <w:trPr>
          <w:trHeight w:val="201"/>
        </w:trPr>
        <w:tc>
          <w:tcPr>
            <w:tcW w:w="4720" w:type="dxa"/>
            <w:vAlign w:val="bottom"/>
          </w:tcPr>
          <w:p>
            <w:pPr>
              <w:spacing w:after="0"/>
              <w:rPr>
                <w:sz w:val="20"/>
                <w:szCs w:val="20"/>
                <w:color w:val="auto"/>
              </w:rPr>
            </w:pPr>
            <w:r>
              <w:rPr>
                <w:rFonts w:ascii="Courier New" w:cs="Courier New" w:eastAsia="Courier New" w:hAnsi="Courier New"/>
                <w:sz w:val="17"/>
                <w:szCs w:val="17"/>
                <w:color w:val="auto"/>
              </w:rPr>
              <w:t>Add back:  Goodwill amortization, net of tax</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1"/>
        </w:trPr>
        <w:tc>
          <w:tcPr>
            <w:tcW w:w="4720" w:type="dxa"/>
            <w:vAlign w:val="bottom"/>
          </w:tcPr>
          <w:p>
            <w:pPr>
              <w:ind w:left="2000"/>
              <w:spacing w:after="0"/>
              <w:rPr>
                <w:sz w:val="20"/>
                <w:szCs w:val="20"/>
                <w:color w:val="auto"/>
              </w:rPr>
            </w:pPr>
            <w:r>
              <w:rPr>
                <w:rFonts w:ascii="Courier New" w:cs="Courier New" w:eastAsia="Courier New" w:hAnsi="Courier New"/>
                <w:sz w:val="17"/>
                <w:szCs w:val="17"/>
                <w:color w:val="auto"/>
              </w:rPr>
              <w:t>and minority interest</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273</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765</w:t>
            </w:r>
          </w:p>
        </w:tc>
      </w:tr>
      <w:tr>
        <w:trPr>
          <w:trHeight w:val="201"/>
        </w:trPr>
        <w:tc>
          <w:tcPr>
            <w:tcW w:w="47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20" w:type="dxa"/>
            <w:vAlign w:val="bottom"/>
          </w:tcPr>
          <w:p>
            <w:pPr>
              <w:spacing w:after="0"/>
              <w:rPr>
                <w:sz w:val="20"/>
                <w:szCs w:val="20"/>
                <w:color w:val="auto"/>
              </w:rPr>
            </w:pPr>
            <w:r>
              <w:rPr>
                <w:rFonts w:ascii="Courier New" w:cs="Courier New" w:eastAsia="Courier New" w:hAnsi="Courier New"/>
                <w:sz w:val="17"/>
                <w:szCs w:val="17"/>
                <w:color w:val="auto"/>
              </w:rPr>
              <w:t>Pro-forma net income</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$2,119</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$1,017</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$6,375</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$6,463</w:t>
            </w:r>
          </w:p>
        </w:tc>
      </w:tr>
      <w:tr>
        <w:trPr>
          <w:trHeight w:val="201"/>
        </w:trPr>
        <w:tc>
          <w:tcPr>
            <w:tcW w:w="47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20" w:type="dxa"/>
            <w:vAlign w:val="bottom"/>
          </w:tcPr>
          <w:p>
            <w:pPr>
              <w:spacing w:after="0"/>
              <w:rPr>
                <w:sz w:val="20"/>
                <w:szCs w:val="20"/>
                <w:color w:val="auto"/>
              </w:rPr>
            </w:pPr>
            <w:r>
              <w:rPr>
                <w:rFonts w:ascii="Courier New" w:cs="Courier New" w:eastAsia="Courier New" w:hAnsi="Courier New"/>
                <w:sz w:val="17"/>
                <w:szCs w:val="17"/>
                <w:color w:val="auto"/>
              </w:rPr>
              <w:t>Basic earnings per share:</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1"/>
        </w:trPr>
        <w:tc>
          <w:tcPr>
            <w:tcW w:w="4720" w:type="dxa"/>
            <w:vAlign w:val="bottom"/>
          </w:tcPr>
          <w:p>
            <w:pPr>
              <w:ind w:left="220"/>
              <w:spacing w:after="0"/>
              <w:rPr>
                <w:sz w:val="20"/>
                <w:szCs w:val="20"/>
                <w:color w:val="auto"/>
              </w:rPr>
            </w:pPr>
            <w:r>
              <w:rPr>
                <w:rFonts w:ascii="Courier New" w:cs="Courier New" w:eastAsia="Courier New" w:hAnsi="Courier New"/>
                <w:sz w:val="17"/>
                <w:szCs w:val="17"/>
                <w:color w:val="auto"/>
              </w:rPr>
              <w:t>Reported net income</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$0.14</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$0.05</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$0.42</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$0.37</w:t>
            </w:r>
          </w:p>
        </w:tc>
      </w:tr>
      <w:tr>
        <w:trPr>
          <w:trHeight w:val="201"/>
        </w:trPr>
        <w:tc>
          <w:tcPr>
            <w:tcW w:w="4720" w:type="dxa"/>
            <w:vAlign w:val="bottom"/>
          </w:tcPr>
          <w:p>
            <w:pPr>
              <w:ind w:left="220"/>
              <w:spacing w:after="0"/>
              <w:rPr>
                <w:sz w:val="20"/>
                <w:szCs w:val="20"/>
                <w:color w:val="auto"/>
              </w:rPr>
            </w:pPr>
            <w:r>
              <w:rPr>
                <w:rFonts w:ascii="Courier New" w:cs="Courier New" w:eastAsia="Courier New" w:hAnsi="Courier New"/>
                <w:sz w:val="17"/>
                <w:szCs w:val="17"/>
                <w:color w:val="auto"/>
              </w:rPr>
              <w:t>Goodwill amortization</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0.02</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0.05</w:t>
            </w:r>
          </w:p>
        </w:tc>
      </w:tr>
      <w:tr>
        <w:trPr>
          <w:trHeight w:val="201"/>
        </w:trPr>
        <w:tc>
          <w:tcPr>
            <w:tcW w:w="47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20" w:type="dxa"/>
            <w:vAlign w:val="bottom"/>
          </w:tcPr>
          <w:p>
            <w:pPr>
              <w:ind w:left="220"/>
              <w:spacing w:after="0"/>
              <w:rPr>
                <w:sz w:val="20"/>
                <w:szCs w:val="20"/>
                <w:color w:val="auto"/>
              </w:rPr>
            </w:pPr>
            <w:r>
              <w:rPr>
                <w:rFonts w:ascii="Courier New" w:cs="Courier New" w:eastAsia="Courier New" w:hAnsi="Courier New"/>
                <w:sz w:val="17"/>
                <w:szCs w:val="17"/>
                <w:color w:val="auto"/>
              </w:rPr>
              <w:t>Pro-forma net income</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$0.14</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$0.07</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$0.42</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$0.42</w:t>
            </w:r>
          </w:p>
        </w:tc>
      </w:tr>
      <w:tr>
        <w:trPr>
          <w:trHeight w:val="201"/>
        </w:trPr>
        <w:tc>
          <w:tcPr>
            <w:tcW w:w="47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20" w:type="dxa"/>
            <w:vAlign w:val="bottom"/>
          </w:tcPr>
          <w:p>
            <w:pPr>
              <w:spacing w:after="0"/>
              <w:rPr>
                <w:sz w:val="20"/>
                <w:szCs w:val="20"/>
                <w:color w:val="auto"/>
              </w:rPr>
            </w:pPr>
            <w:r>
              <w:rPr>
                <w:rFonts w:ascii="Courier New" w:cs="Courier New" w:eastAsia="Courier New" w:hAnsi="Courier New"/>
                <w:sz w:val="17"/>
                <w:szCs w:val="17"/>
                <w:color w:val="auto"/>
              </w:rPr>
              <w:t>Diluted earnings per share:</w:t>
            </w:r>
          </w:p>
        </w:tc>
        <w:tc>
          <w:tcPr>
            <w:tcW w:w="1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1"/>
        </w:trPr>
        <w:tc>
          <w:tcPr>
            <w:tcW w:w="4720" w:type="dxa"/>
            <w:vAlign w:val="bottom"/>
          </w:tcPr>
          <w:p>
            <w:pPr>
              <w:ind w:left="220"/>
              <w:spacing w:after="0"/>
              <w:rPr>
                <w:sz w:val="20"/>
                <w:szCs w:val="20"/>
                <w:color w:val="auto"/>
              </w:rPr>
            </w:pPr>
            <w:r>
              <w:rPr>
                <w:rFonts w:ascii="Courier New" w:cs="Courier New" w:eastAsia="Courier New" w:hAnsi="Courier New"/>
                <w:sz w:val="17"/>
                <w:szCs w:val="17"/>
                <w:color w:val="auto"/>
              </w:rPr>
              <w:t>Reported net income</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$0.14</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$0.05</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$0.40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$0.37</w:t>
            </w:r>
          </w:p>
        </w:tc>
      </w:tr>
      <w:tr>
        <w:trPr>
          <w:trHeight w:val="201"/>
        </w:trPr>
        <w:tc>
          <w:tcPr>
            <w:tcW w:w="4720" w:type="dxa"/>
            <w:vAlign w:val="bottom"/>
          </w:tcPr>
          <w:p>
            <w:pPr>
              <w:ind w:left="220"/>
              <w:spacing w:after="0"/>
              <w:rPr>
                <w:sz w:val="20"/>
                <w:szCs w:val="20"/>
                <w:color w:val="auto"/>
              </w:rPr>
            </w:pPr>
            <w:r>
              <w:rPr>
                <w:rFonts w:ascii="Courier New" w:cs="Courier New" w:eastAsia="Courier New" w:hAnsi="Courier New"/>
                <w:sz w:val="17"/>
                <w:szCs w:val="17"/>
                <w:color w:val="auto"/>
              </w:rPr>
              <w:t>Goodwill amortization</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0.02</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0.05</w:t>
            </w:r>
          </w:p>
        </w:tc>
      </w:tr>
      <w:tr>
        <w:trPr>
          <w:trHeight w:val="201"/>
        </w:trPr>
        <w:tc>
          <w:tcPr>
            <w:tcW w:w="47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720" w:type="dxa"/>
            <w:vAlign w:val="bottom"/>
          </w:tcPr>
          <w:p>
            <w:pPr>
              <w:ind w:left="220"/>
              <w:spacing w:after="0"/>
              <w:rPr>
                <w:sz w:val="20"/>
                <w:szCs w:val="20"/>
                <w:color w:val="auto"/>
              </w:rPr>
            </w:pPr>
            <w:r>
              <w:rPr>
                <w:rFonts w:ascii="Courier New" w:cs="Courier New" w:eastAsia="Courier New" w:hAnsi="Courier New"/>
                <w:sz w:val="17"/>
                <w:szCs w:val="17"/>
                <w:color w:val="auto"/>
              </w:rPr>
              <w:t>Pro-forma net income</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$0.14</w:t>
            </w:r>
          </w:p>
        </w:tc>
        <w:tc>
          <w:tcPr>
            <w:tcW w:w="17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$0.07</w:t>
            </w:r>
          </w:p>
        </w:tc>
        <w:tc>
          <w:tcPr>
            <w:tcW w:w="16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$0.40</w:t>
            </w:r>
          </w:p>
        </w:tc>
        <w:tc>
          <w:tcPr>
            <w:tcW w:w="14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$0.42</w:t>
            </w:r>
          </w:p>
        </w:tc>
      </w:tr>
      <w:tr>
        <w:trPr>
          <w:trHeight w:val="201"/>
        </w:trPr>
        <w:tc>
          <w:tcPr>
            <w:tcW w:w="4720" w:type="dxa"/>
            <w:vAlign w:val="bottom"/>
          </w:tcPr>
          <w:p>
            <w:pPr>
              <w:spacing w:after="0"/>
              <w:rPr>
                <w:sz w:val="17"/>
                <w:szCs w:val="17"/>
                <w:color w:val="auto"/>
              </w:rPr>
            </w:pPr>
          </w:p>
        </w:tc>
        <w:tc>
          <w:tcPr>
            <w:tcW w:w="15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7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5" w:lineRule="exact"/>
        <w:rPr>
          <w:sz w:val="20"/>
          <w:szCs w:val="20"/>
          <w:color w:val="auto"/>
        </w:rPr>
      </w:pPr>
    </w:p>
    <w:p>
      <w:pPr>
        <w:ind w:right="2720"/>
        <w:spacing w:after="0" w:line="252" w:lineRule="auto"/>
        <w:rPr>
          <w:sz w:val="20"/>
          <w:szCs w:val="20"/>
          <w:color w:val="auto"/>
        </w:rPr>
      </w:pPr>
      <w:r>
        <w:rPr>
          <w:rFonts w:ascii="Courier New" w:cs="Courier New" w:eastAsia="Courier New" w:hAnsi="Courier New"/>
          <w:sz w:val="17"/>
          <w:szCs w:val="17"/>
          <w:color w:val="auto"/>
        </w:rPr>
        <w:t>In June 2001, the FASB issued Statement of Financial Accounting Standards No. 143, "Accounting For Asset Retirement Obligations." This Statement requires capitalizing any retirement costs as part of the total cost of the related long-lived asset and subsequently allocating the total expense to future periods using a systematic and rational method. Adoption of this Statement is required for fiscal years beginning after June 15, 2002. The Company is evaluating the impact of adoption of Statement No. 143.</w:t>
      </w:r>
    </w:p>
    <w:p>
      <w:pPr>
        <w:spacing w:after="0" w:line="196" w:lineRule="exact"/>
        <w:rPr>
          <w:sz w:val="20"/>
          <w:szCs w:val="20"/>
          <w:color w:val="auto"/>
        </w:rPr>
      </w:pPr>
    </w:p>
    <w:p>
      <w:pPr>
        <w:ind w:right="2720"/>
        <w:spacing w:after="0" w:line="251" w:lineRule="auto"/>
        <w:rPr>
          <w:sz w:val="20"/>
          <w:szCs w:val="20"/>
          <w:color w:val="auto"/>
        </w:rPr>
      </w:pPr>
      <w:r>
        <w:rPr>
          <w:rFonts w:ascii="Courier New" w:cs="Courier New" w:eastAsia="Courier New" w:hAnsi="Courier New"/>
          <w:sz w:val="17"/>
          <w:szCs w:val="17"/>
          <w:color w:val="auto"/>
        </w:rPr>
        <w:t>In August 2001, the FASB issued Statement of Financial Accounting Standards No. 144, "Accounting For The Impairment or Disposal of Long-lived Assets." This Statement supercedes Statement No. 121 but retains many of its fundamental provisions. Additionally, this Statement expands the scope of discontinued operations to include more disposal transactions. The provisions of this Statement are effective for financial statements issued for fiscal years beginning after December 15, 2001. The Company has adopted Statement No. 144 effective January 1, 2002. Management believes that as of September 30, 2002, no asset impairment exists under the provisions of Statement No. 144.</w:t>
      </w:r>
    </w:p>
    <w:p>
      <w:pPr>
        <w:spacing w:after="0" w:line="201" w:lineRule="exact"/>
        <w:rPr>
          <w:sz w:val="20"/>
          <w:szCs w:val="20"/>
          <w:color w:val="auto"/>
        </w:rPr>
      </w:pPr>
    </w:p>
    <w:p>
      <w:pPr>
        <w:ind w:right="2720"/>
        <w:spacing w:after="0" w:line="251" w:lineRule="auto"/>
        <w:rPr>
          <w:sz w:val="20"/>
          <w:szCs w:val="20"/>
          <w:color w:val="auto"/>
        </w:rPr>
      </w:pPr>
      <w:r>
        <w:rPr>
          <w:rFonts w:ascii="Courier New" w:cs="Courier New" w:eastAsia="Courier New" w:hAnsi="Courier New"/>
          <w:sz w:val="17"/>
          <w:szCs w:val="17"/>
          <w:color w:val="auto"/>
        </w:rPr>
        <w:t>In April 2002, the Financial Accounting Standards Board (FASB) issued SFAS No. 145, "Rescission of FASB Statements No. 4, 44, and 64, Amendment of FASB Statement No. 13, and Technical Corrrections". SFAS No. 4 had required all gains and losses from extinguishment of debt to be aggregated and, if material, classified as an extraordinary item, net of related income tax effect. SFAS No. 145 rescinds SFAS No. 4 and the related required classification gains and losses from extinguishment of debt as extraordinary items. Additionally, SFAS No. 145 amends SFAS No. 13 to require that certain lease modifications that have economic effects similar to sale-leaseback transactions be accounted for in the same manner as sale-leaseback transactions. SFAS No. 145 is applicable for the Company at the beginning of fiscal year 2003, with the provisions related to SFAS No. 13 for transactions occurring after May 15, 2002. The Company is evaluating the impact of adoption of Statement No. 145.</w:t>
      </w:r>
    </w:p>
    <w:p>
      <w:pPr>
        <w:spacing w:after="0" w:line="201" w:lineRule="exact"/>
        <w:rPr>
          <w:sz w:val="20"/>
          <w:szCs w:val="20"/>
          <w:color w:val="auto"/>
        </w:rPr>
      </w:pPr>
    </w:p>
    <w:p>
      <w:pPr>
        <w:ind w:right="2820"/>
        <w:spacing w:after="0" w:line="252" w:lineRule="auto"/>
        <w:rPr>
          <w:sz w:val="20"/>
          <w:szCs w:val="20"/>
          <w:color w:val="auto"/>
        </w:rPr>
      </w:pPr>
      <w:r>
        <w:rPr>
          <w:rFonts w:ascii="Courier New" w:cs="Courier New" w:eastAsia="Courier New" w:hAnsi="Courier New"/>
          <w:sz w:val="17"/>
          <w:szCs w:val="17"/>
          <w:color w:val="auto"/>
        </w:rPr>
        <w:t>In July 2002, the FASB issued SFAS No. 146, "Accounting for Costs Associated with Exit or Disposal Activities". SFAS No. 146 requires costs associated with exit or disposal activities to be recognized when they are incurred rather than at the date of a commitment to an exit or disposal plan. SFAS No. 146 is to be applied prospectively to exit or disposal activities initiated after December</w:t>
      </w:r>
    </w:p>
    <w:p>
      <w:pPr>
        <w:sectPr>
          <w:pgSz w:w="11900" w:h="16838" w:orient="portrait"/>
          <w:cols w:equalWidth="0" w:num="1">
            <w:col w:w="11100"/>
          </w:cols>
          <w:pgMar w:left="240" w:top="142" w:right="559"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31, 2002. The Company is evaluating the impact of adoption of Statement No. 146.</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b w:val="1"/>
          <w:bCs w:val="1"/>
          <w:color w:val="auto"/>
        </w:rPr>
        <w:t>Note 9.</w:t>
        <w:tab/>
        <w:t>Long-Term Debt</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On July 20, 2001, the Company entered into a syndicated loan agreement with AmSouth Bank ("AmSouth"), as the administrative agent for the lenders, for a senior non-secured revolving credit facility of up to $25 million, expiring on July 25, 2003 and a senior non-secured term loan facility for $35 million. On July 12, 2002, the Company amended this credit facility to convert the term loan portion into a reducing revolving credit line providing initial availability equivalent to the balance of the term loan prior to the amendment. Amounts available for borrowing under this facility will be reduced by $7.0 million per annum and the facility will expire on July 1, 2006. Additionally, on July 31, 2002, the Company amended the credit facility again to extend the $25 million senior non-secured revolving credit facility to July 25, 2004. Amounts outstanding under the revolving facility and the term loan facility bear interest at a floating rate equal to LIBOR (1.71% at September 30, 2002) plus an applicable margin of 0.75% to 2.00% based upon calculated financial ratios. The loan agreement contains customary financial and non-financial covenants. Such covenants specify that the Company must maintain a minimum fixed charge coverage ratio, a minimum funded indebtedness to EBITDA ratio and a maximum funded indebtedness to capitalization ratio and limits the amount of capital expenditures we may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 The Company was in compliance with all such covenants as of September 30, 2002.</w:t>
      </w:r>
    </w:p>
    <w:p>
      <w:pPr>
        <w:spacing w:after="0" w:line="200" w:lineRule="exact"/>
        <w:rPr>
          <w:sz w:val="20"/>
          <w:szCs w:val="20"/>
          <w:color w:val="auto"/>
        </w:rPr>
      </w:pPr>
    </w:p>
    <w:p>
      <w:pPr>
        <w:spacing w:after="0" w:line="203"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 connection with the Euroball transaction, NN Euroball ApS, entered into a Facility Agreement with HypoVereinsbank Luxembourg S.A. as agent for Bayerische Hypo-und Vereinsbank AG of Munich, Germany to provide up to Euro 36.0 million in term loans and Euro 5.0 million in revolving credit loans. The Company borrowed Euro 30.5 million ($28.8 million, computed at exchange rate on July 31, 2000, the date of the formation of Euroball) under the term loan facility and Euro 1.0 million ($0.9 million, computed at exchange rate on July 31, 2000, the date of the formation of Euroball) under the revolving credit facility. Amounts outstanding under the Facility Agreement are secured by the stock of Euroball ApS, inventory and accounts receivable and bear interest at EURIBOR (3.20% at September 30, 2002) plus an applicable margin between 1.125% and 2.25% based upon financial ratios. The shareholders of NN Euroball ApS, including the Company, have provided guarantees for the Facility Agreement. The loan agreement contains various restrictive covenants that specify, among other things, restrictions on the incurrence of indebtedness and the maintenance of certain financial ratios. These facilities also include certain negative pledges. Amounts outstanding under the Facility Agreement are secured by the stock of Euroball ApS, inventory and accounts receivable. NN Euroball ApS was in compliance with all such covenants as of September 30, 2002.</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b w:val="1"/>
          <w:bCs w:val="1"/>
          <w:color w:val="auto"/>
        </w:rPr>
        <w:t>MANAGEMENT'S DISCUSSION AND ANALYSIS OF</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b w:val="1"/>
          <w:bCs w:val="1"/>
          <w:color w:val="auto"/>
        </w:rPr>
        <w:t>FINANCIAL CONDITION AND RESULTS OF OPERATIONS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Results of Operations</w:t>
      </w:r>
    </w:p>
    <w:p>
      <w:pPr>
        <w:spacing w:after="0" w:line="210" w:lineRule="exact"/>
        <w:rPr>
          <w:sz w:val="20"/>
          <w:szCs w:val="20"/>
          <w:color w:val="auto"/>
        </w:rPr>
      </w:pPr>
    </w:p>
    <w:p>
      <w:pPr>
        <w:ind w:right="2679"/>
        <w:spacing w:after="0" w:line="257" w:lineRule="auto"/>
        <w:rPr>
          <w:sz w:val="20"/>
          <w:szCs w:val="20"/>
          <w:color w:val="auto"/>
        </w:rPr>
      </w:pPr>
      <w:r>
        <w:rPr>
          <w:rFonts w:ascii="Courier New" w:cs="Courier New" w:eastAsia="Courier New" w:hAnsi="Courier New"/>
          <w:sz w:val="17"/>
          <w:szCs w:val="17"/>
          <w:b w:val="1"/>
          <w:bCs w:val="1"/>
          <w:color w:val="auto"/>
        </w:rPr>
        <w:t>Three Months Ended September 30, 2002 Compared to the Three Months Ended September 30, 2001</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i w:val="1"/>
          <w:iCs w:val="1"/>
          <w:color w:val="auto"/>
        </w:rPr>
        <w:t xml:space="preserve">Net Sales. </w:t>
      </w:r>
      <w:r>
        <w:rPr>
          <w:rFonts w:ascii="Courier New" w:cs="Courier New" w:eastAsia="Courier New" w:hAnsi="Courier New"/>
          <w:sz w:val="17"/>
          <w:szCs w:val="17"/>
          <w:color w:val="auto"/>
        </w:rPr>
        <w:t>Net sales increased by approximately $4.9 million, or 11.5%,</w:t>
      </w:r>
    </w:p>
    <w:p>
      <w:pPr>
        <w:spacing w:after="0" w:line="9"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from $42.6 million for the third quarter of 2001 to $47.5 million for the third quarter of 2002. By segment, sales increased $1.4 million or 11.5% from $11.9 million for the third quarter of 2001 to $13.3 million for the same period in 2002 for the Domestic Ball and Roller segment. The Euroball segment sales increased $2.2 million or 11.2% from $19.5 million for the third quarter of 2001 to $21.7 million for the same period in 2002. The Plastics segment sales</w:t>
      </w:r>
    </w:p>
    <w:p>
      <w:pPr>
        <w:sectPr>
          <w:pgSz w:w="11900" w:h="16838" w:orient="portrait"/>
          <w:cols w:equalWidth="0" w:num="1">
            <w:col w:w="10219"/>
          </w:cols>
          <w:pgMar w:left="240" w:top="142" w:right="1440" w:bottom="0" w:gutter="0" w:footer="0" w:header="0"/>
        </w:sectPr>
      </w:pPr>
    </w:p>
    <w:bookmarkStart w:id="10" w:name="page11"/>
    <w:bookmarkEnd w:id="10"/>
    <w:p>
      <w:pPr>
        <w:ind w:right="1839"/>
        <w:spacing w:after="0" w:line="254" w:lineRule="auto"/>
        <w:rPr>
          <w:sz w:val="20"/>
          <w:szCs w:val="20"/>
          <w:color w:val="auto"/>
        </w:rPr>
      </w:pPr>
      <w:r>
        <w:rPr>
          <w:rFonts w:ascii="Courier New" w:cs="Courier New" w:eastAsia="Courier New" w:hAnsi="Courier New"/>
          <w:sz w:val="17"/>
          <w:szCs w:val="17"/>
          <w:color w:val="auto"/>
        </w:rPr>
        <w:t>increased $1.3 million or 11.8% from $11.2 million for the third quarter of 2001 to $12.5 million for the same period in 2002. The Euroball segment's sales increase of $2.2 million was principally due to favorable currency impacts.</w:t>
      </w:r>
    </w:p>
    <w:p>
      <w:pPr>
        <w:spacing w:after="0" w:line="194"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i w:val="1"/>
          <w:iCs w:val="1"/>
          <w:color w:val="auto"/>
        </w:rPr>
        <w:t xml:space="preserve">Gross Profit. </w:t>
      </w:r>
      <w:r>
        <w:rPr>
          <w:rFonts w:ascii="Courier New" w:cs="Courier New" w:eastAsia="Courier New" w:hAnsi="Courier New"/>
          <w:sz w:val="17"/>
          <w:szCs w:val="17"/>
          <w:color w:val="auto"/>
        </w:rPr>
        <w:t>Gross profit increased approximately $2.0 million or 20.9%, from</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$9.8 million for the third quarter of 2001 to $11.8 million for the third quarter of 2002. Sales volume increases in the Euroball and Domestic Ball &amp; Roller segments, in addition to cost reduction efforts, netted a $0.9 million increase. Additionally, sales volume increases and cost improvements from IMC and NN Arte contributed $0.4 million and $0.3 million, respectively. As a percentage of net sales, gross profit increased from 23.0% in the third quarter of 2001 to 24.9% for the same period in 2002.</w:t>
      </w:r>
    </w:p>
    <w:p>
      <w:pPr>
        <w:spacing w:after="0" w:line="201"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i w:val="1"/>
          <w:iCs w:val="1"/>
          <w:color w:val="auto"/>
        </w:rPr>
        <w:t xml:space="preserve">Selling, General and Administrative. </w:t>
      </w:r>
      <w:r>
        <w:rPr>
          <w:rFonts w:ascii="Courier New" w:cs="Courier New" w:eastAsia="Courier New" w:hAnsi="Courier New"/>
          <w:sz w:val="17"/>
          <w:szCs w:val="17"/>
          <w:color w:val="auto"/>
        </w:rPr>
        <w:t>Selling, general and administrative</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expenses decreased by approximately $0.1 million or 3.8% from $4.2 million in the third quarter of 2001 to $4.1 million in the third quarter of 2002. The reversal of non-cash compensation charges associated with the variable portion of certain employee stock options offset by increases related to currency</w:t>
      </w:r>
    </w:p>
    <w:p>
      <w:pPr>
        <w:ind w:right="1419"/>
        <w:spacing w:after="0" w:line="254" w:lineRule="auto"/>
        <w:rPr>
          <w:sz w:val="20"/>
          <w:szCs w:val="20"/>
          <w:color w:val="auto"/>
        </w:rPr>
      </w:pPr>
      <w:r>
        <w:rPr>
          <w:rFonts w:ascii="Courier New" w:cs="Courier New" w:eastAsia="Courier New" w:hAnsi="Courier New"/>
          <w:sz w:val="17"/>
          <w:szCs w:val="17"/>
          <w:color w:val="auto"/>
        </w:rPr>
        <w:t>impacts contributed $0.2 million. As a percentage of net sales, selling, general and administrative expenses decreased from 10.0% for the third quarter of 2001 to 8.6% for the same period in 2002.</w:t>
      </w:r>
    </w:p>
    <w:p>
      <w:pPr>
        <w:spacing w:after="0" w:line="194"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i w:val="1"/>
          <w:iCs w:val="1"/>
          <w:color w:val="auto"/>
        </w:rPr>
        <w:t xml:space="preserve">Depreciation and Amortization. </w:t>
      </w:r>
      <w:r>
        <w:rPr>
          <w:rFonts w:ascii="Courier New" w:cs="Courier New" w:eastAsia="Courier New" w:hAnsi="Courier New"/>
          <w:sz w:val="17"/>
          <w:szCs w:val="17"/>
          <w:color w:val="auto"/>
        </w:rPr>
        <w:t>Depreciation and amortization expense decreased</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by approximately $0.6 million or 17.1% from $3.5 million for the third quarter of 2001 to $2.9 million for the same period in 2002. The adoption of Statement No. 142 eliminated the amortization of goodwill and contributed $0.5 million of the decrease. Additionally, the assets held for sale as a result of the closing of the Walterboro, South Carolina ball facility contributed $0.3 million of the decrease. Offsetting these decreases were currency impacts in the Euroball Segment accounting for a $0.2 million increase. As a percentage of net sales, depreciation and amortization expense decreased from 8.2% in the third quarter of 2001 to 6.1% in the third quarter of 2002.</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i w:val="1"/>
          <w:iCs w:val="1"/>
          <w:color w:val="auto"/>
        </w:rPr>
        <w:t xml:space="preserve">Interest Expense. </w:t>
      </w:r>
      <w:r>
        <w:rPr>
          <w:rFonts w:ascii="Courier New" w:cs="Courier New" w:eastAsia="Courier New" w:hAnsi="Courier New"/>
          <w:sz w:val="17"/>
          <w:szCs w:val="17"/>
          <w:color w:val="auto"/>
        </w:rPr>
        <w:t>Interest expense, decreased by approximately $0.3 million from</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$0.9 million in the third quarter of 2001 to $0.6 million during the same period in 2002. This was due to decreased interest rates on the Company's credit facilities as well as decreased amounts outstanding on the debt. Total debt decreased from $64.2 million at September 30, 2001 to $43.7 million at September 30, 2002. As a percentage of net sales, interest expense decreased from 2.2% in the third quarter of 2001 to 1.3% for the same period in 2002.</w:t>
      </w:r>
    </w:p>
    <w:p>
      <w:pPr>
        <w:spacing w:after="0" w:line="196"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i w:val="1"/>
          <w:iCs w:val="1"/>
          <w:color w:val="auto"/>
        </w:rPr>
        <w:t xml:space="preserve">Equity in Earnings of Unconsolidated Affiliates. </w:t>
      </w:r>
      <w:r>
        <w:rPr>
          <w:rFonts w:ascii="Courier New" w:cs="Courier New" w:eastAsia="Courier New" w:hAnsi="Courier New"/>
          <w:sz w:val="17"/>
          <w:szCs w:val="17"/>
          <w:color w:val="auto"/>
        </w:rPr>
        <w:t>Equity in earnings of</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unconsolidated affiliates increased from a loss of $13,000 in the third quarter of 2001 to $0 during the same period of 2002. The change is due to the Company's sale of its minority interest in Jiangsu General Ball &amp; Roller Company, Ltd. effective December 21, 2001.</w:t>
      </w:r>
    </w:p>
    <w:p>
      <w:pPr>
        <w:spacing w:after="0" w:line="197"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i w:val="1"/>
          <w:iCs w:val="1"/>
          <w:color w:val="auto"/>
        </w:rPr>
        <w:t xml:space="preserve">Restructuring Costs. </w:t>
      </w:r>
      <w:r>
        <w:rPr>
          <w:rFonts w:ascii="Courier New" w:cs="Courier New" w:eastAsia="Courier New" w:hAnsi="Courier New"/>
          <w:sz w:val="17"/>
          <w:szCs w:val="17"/>
          <w:color w:val="auto"/>
        </w:rPr>
        <w:t>Restructuring costs decreased by $0.7 million from $0.7</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million in the third quarter of 2001 to $0 in the third quarter of 2002. The $0.7 million charge recorded during the third quarter of 2001 represented the accrual of severance costs for the approximately 80 people terminated as a result of the closing of the Company's Walterboro, South Carolina ball facility in December of 2001. As a percentage, restructuring costs were 1.8% of net sales in the third quarter of 2001.</w:t>
      </w: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i w:val="1"/>
          <w:iCs w:val="1"/>
          <w:color w:val="auto"/>
        </w:rPr>
        <w:t xml:space="preserve">Net Gain on Involuntary Conversion. </w:t>
      </w:r>
      <w:r>
        <w:rPr>
          <w:rFonts w:ascii="Courier New" w:cs="Courier New" w:eastAsia="Courier New" w:hAnsi="Courier New"/>
          <w:sz w:val="17"/>
          <w:szCs w:val="17"/>
          <w:color w:val="auto"/>
        </w:rPr>
        <w:t>Net gain on involuntary conversion decreased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million from $1.4 million for the third quarter of 2001 to $0 for the third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 of 2002. The Company realized a net gain on involuntary conversion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million in the third quarter of 2001. The gain is due to insurance proceeds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received over the net book value of assets destroyed in the March 12, 2000 fire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 the Erwin, Tennessee facility.</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Minority Interest of Consolidated Subsidiaries. </w:t>
      </w:r>
      <w:r>
        <w:rPr>
          <w:rFonts w:ascii="Courier New" w:cs="Courier New" w:eastAsia="Courier New" w:hAnsi="Courier New"/>
          <w:sz w:val="17"/>
          <w:szCs w:val="17"/>
          <w:color w:val="auto"/>
        </w:rPr>
        <w:t>Minority interest of</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consolidated subsidiaries increased by $0.4 million from $0.2 million for the third quarter of 2001 to $0.6 million for the third quarter of 2002. This increase is due to increased earnings at the Company's Euroball joint venture. The Company is required to consolidate this joint venture due to its majority ownership and ability to exercise control. The Company owns 54% of the shares of Euroball. Minority interest of consolidated subsidiary represents the combined interest of the minority partners of Euroball at 46%.</w:t>
      </w:r>
    </w:p>
    <w:p>
      <w:pPr>
        <w:spacing w:after="0" w:line="201"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i w:val="1"/>
          <w:iCs w:val="1"/>
          <w:color w:val="auto"/>
        </w:rPr>
        <w:t xml:space="preserve">Net Income. </w:t>
      </w:r>
      <w:r>
        <w:rPr>
          <w:rFonts w:ascii="Courier New" w:cs="Courier New" w:eastAsia="Courier New" w:hAnsi="Courier New"/>
          <w:sz w:val="17"/>
          <w:szCs w:val="17"/>
          <w:color w:val="auto"/>
        </w:rPr>
        <w:t>Net income increased by $1.4 million or 184.8%, from $0.7 million</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for the third quarter of 2001 to $2.1 million for the same period in 2002. As a percentage of net sales, net income increased from 1.7% in the third quarter of</w:t>
      </w:r>
    </w:p>
    <w:p>
      <w:pPr>
        <w:sectPr>
          <w:pgSz w:w="11900" w:h="16838" w:orient="portrait"/>
          <w:cols w:equalWidth="0" w:num="1">
            <w:col w:w="10219"/>
          </w:cols>
          <w:pgMar w:left="240" w:top="142"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2001 to 4.5% for the third quarter of 2002.</w:t>
      </w:r>
    </w:p>
    <w:p>
      <w:pPr>
        <w:spacing w:after="0" w:line="210" w:lineRule="exact"/>
        <w:rPr>
          <w:sz w:val="20"/>
          <w:szCs w:val="20"/>
          <w:color w:val="auto"/>
        </w:rPr>
      </w:pPr>
    </w:p>
    <w:p>
      <w:pPr>
        <w:ind w:right="1839"/>
        <w:spacing w:after="0" w:line="257" w:lineRule="auto"/>
        <w:rPr>
          <w:sz w:val="20"/>
          <w:szCs w:val="20"/>
          <w:color w:val="auto"/>
        </w:rPr>
      </w:pPr>
      <w:r>
        <w:rPr>
          <w:rFonts w:ascii="Courier New" w:cs="Courier New" w:eastAsia="Courier New" w:hAnsi="Courier New"/>
          <w:sz w:val="17"/>
          <w:szCs w:val="17"/>
          <w:b w:val="1"/>
          <w:bCs w:val="1"/>
          <w:color w:val="auto"/>
        </w:rPr>
        <w:t>Nine Months Ended September 30, 2002 Compared to the Nine Months Ended September 30, 2001</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i w:val="1"/>
          <w:iCs w:val="1"/>
          <w:color w:val="auto"/>
        </w:rPr>
        <w:t xml:space="preserve">Net Sales. </w:t>
      </w:r>
      <w:r>
        <w:rPr>
          <w:rFonts w:ascii="Courier New" w:cs="Courier New" w:eastAsia="Courier New" w:hAnsi="Courier New"/>
          <w:sz w:val="17"/>
          <w:szCs w:val="17"/>
          <w:color w:val="auto"/>
        </w:rPr>
        <w:t>Net sales increased by approximately $3.7 million, or 2.6%, from</w:t>
      </w:r>
    </w:p>
    <w:p>
      <w:pPr>
        <w:spacing w:after="0" w:line="9"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$140.2 million for the first nine months of 2001 to $143.8 million for the first nine months of 2002. By segment, sales decreased $1.7 million or 4.1% from $41.9 million for the first nine months of 2001 to $40.2 million for the same period in 2002 for the Domestic Ball and Roller segment. The Euroball segment sales decreased $0.8 million or 1.1% from $67.4 million for the first nine months of 2001 to $66.6 million for the same period in 2002. These decreases were due mainly to decreased demand for the Company's products as a result of the economic environment. Offsetting these decreases, the Plastics segment's sales increased $6.2 million or 20.0% from $30.8 million for the first nine months of 2001 to $37.0 million for the same period in 2002 versus the first nine months of 2001 resulting from the acquisition of Delta (incremental $4.4 million) as well as sales increases at NN Arte (incremental $1.0 million) and at IMC (incremental $0.8 million).</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Gross Profit. </w:t>
      </w:r>
      <w:r>
        <w:rPr>
          <w:rFonts w:ascii="Courier New" w:cs="Courier New" w:eastAsia="Courier New" w:hAnsi="Courier New"/>
          <w:sz w:val="17"/>
          <w:szCs w:val="17"/>
          <w:color w:val="auto"/>
        </w:rPr>
        <w:t>Gross profit increased approximately $2.5 million or 7.3%, from</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$34.0 million for the first nine months of 2001 to $36.5 million for the first nine months of 2002. This increase in gross profit as a percentage of sales was due primarily to cost savings associated with the closing of the South Carolina ball manufacturing facility as well as other cost reduction and containment programs initiated during 2001. During the first nine months of 2002, sales volume decreases and insurance increases in the Domestic Ball and Roller segment were partially offset by cost savings associated with the closing of the South Carolina ball manufacturing facility netting a $0.4 million decrease in gross profit. During the same period, sales volume decreases in the Euroball segment were offset by cost reductions, netting a $0.4 million increase in gross profit. Within the Plastics segment were sales volume increases and cost improvements from IMC and NN Arte netting $1.2 million and $0.5 million, respectively, while the inclusion of a full nine months of Delta results in 2002 versus approximately 7.5 months in 2001 contributed $0.7 million of increases in 2002. As a percentage of net sales, gross profit increased from 24.3% in the first nine months of 2001 to 25.4% for the same period in 2002.</w:t>
      </w:r>
    </w:p>
    <w:p>
      <w:pPr>
        <w:spacing w:after="0" w:line="20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Selling, General and Administrative. </w:t>
      </w:r>
      <w:r>
        <w:rPr>
          <w:rFonts w:ascii="Courier New" w:cs="Courier New" w:eastAsia="Courier New" w:hAnsi="Courier New"/>
          <w:sz w:val="17"/>
          <w:szCs w:val="17"/>
          <w:color w:val="auto"/>
        </w:rPr>
        <w:t>Selling, general and administrative</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expenses increased by approximately $1.0 million or 8.0% from $12.3 million in the first nine months of 2001 to $13.3 million in the first nine months of 2002. The acquisition of Delta contributed $0.3 million of the increase. Advisory service expenses principally associated with the previously announced desire of certain original founders of the Company to liquidate their holdings in the Company's stock contributed $0.3 million of the increase. Strategic planning and information technology initiatives at Euroball in addition to currency impacts contributed $0.5 million of the increase. As a percentage of net sales, selling, general and administrative expenses increased from 8.8% for the first nine months of 2001 to 9.3% for the same period in 2002.</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i w:val="1"/>
          <w:iCs w:val="1"/>
          <w:color w:val="auto"/>
        </w:rPr>
        <w:t xml:space="preserve">Depreciation and Amortization. </w:t>
      </w:r>
      <w:r>
        <w:rPr>
          <w:rFonts w:ascii="Courier New" w:cs="Courier New" w:eastAsia="Courier New" w:hAnsi="Courier New"/>
          <w:sz w:val="17"/>
          <w:szCs w:val="17"/>
          <w:color w:val="auto"/>
        </w:rPr>
        <w:t>Depreciation and amortization expense decreased</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by approximately $1.7 million or 17.0% from $10.2 million for the first nine months of 2001 to $8.4 million for the same period in 2002. The adoption of Statement No. 142 eliminated the amortization of goodwill and contributed $1.4 million of the decrease. Additionally, the assets held for sale as a result of the closing of the Walterboro, South Carolina ball facility, which are no longer depreciated, contributed $0.9 million of the decrease.</w:t>
      </w: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This was offset in part by a full nine months of Delta in 2002 as compared to 7.5 months in 2001 due to the February 2001 acquisition, which resulted in a $0.1 million increase. As a percentage of net sales, depreciation and amortization expense decreased from 7.3% in the first nine months of 2001 to 5.9% for the same period in 2002.</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Restructuring costs. </w:t>
      </w:r>
      <w:r>
        <w:rPr>
          <w:rFonts w:ascii="Courier New" w:cs="Courier New" w:eastAsia="Courier New" w:hAnsi="Courier New"/>
          <w:sz w:val="17"/>
          <w:szCs w:val="17"/>
          <w:color w:val="auto"/>
        </w:rPr>
        <w:t>Restructuring costs decreased by $0.7 million from $0.8</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million during the first nine months of 2001 to $0.1 million for the same period in 2002. The Company recorded a restructuring charge of $0.8 million and $0.1 million in the first nine months of 2001 and 2002, respectively. The restructuring costs principally pertain to the Company's decision and announcement to close the Walterboro, South Carolina ball facility in 2001. The $0.7 million charge recorded in 2001 and the $0.1 million charge recorded in 2002 primarily represent the accrual for severance costs related to the closing of this facility. As a percentage, restructuring costs represent 0.5% and 0.1%</w:t>
      </w:r>
    </w:p>
    <w:p>
      <w:pPr>
        <w:sectPr>
          <w:pgSz w:w="11900" w:h="16838" w:orient="portrait"/>
          <w:cols w:equalWidth="0" w:num="1">
            <w:col w:w="10219"/>
          </w:cols>
          <w:pgMar w:left="240" w:top="142"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of net sales in the first nine months of 2001 and 2002, respectively.</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i w:val="1"/>
          <w:iCs w:val="1"/>
          <w:color w:val="auto"/>
        </w:rPr>
        <w:t xml:space="preserve">Interest Expense. </w:t>
      </w:r>
      <w:r>
        <w:rPr>
          <w:rFonts w:ascii="Courier New" w:cs="Courier New" w:eastAsia="Courier New" w:hAnsi="Courier New"/>
          <w:sz w:val="17"/>
          <w:szCs w:val="17"/>
          <w:color w:val="auto"/>
        </w:rPr>
        <w:t>Interest expense decreased by approximately $1.3 million from</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$3.2 million in the first nine months of 2001 to $1.9 million during the same period in 2002. This was due to decreased interest rates on the Company's credit facilities as well as decreased amounts outstanding on the debt. Total debt decreased from $64.2 million at September 30, 2001 to $43.7 million at September 30, 2002. As a percentage of net sales, interest expense decreased from 2.3% in the first nine months of 2001 to 1.3% for the same period in 2002.</w:t>
      </w:r>
    </w:p>
    <w:p>
      <w:pPr>
        <w:spacing w:after="0" w:line="196"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i w:val="1"/>
          <w:iCs w:val="1"/>
          <w:color w:val="auto"/>
        </w:rPr>
        <w:t xml:space="preserve">Equity in Earnings of Unconsolidated Affiliates. </w:t>
      </w:r>
      <w:r>
        <w:rPr>
          <w:rFonts w:ascii="Courier New" w:cs="Courier New" w:eastAsia="Courier New" w:hAnsi="Courier New"/>
          <w:sz w:val="17"/>
          <w:szCs w:val="17"/>
          <w:color w:val="auto"/>
        </w:rPr>
        <w:t>Equity in earnings of</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unconsolidated affiliates decreased from earnings of $13,000 in the first nine months of 2001 to $0 during the same period of 2002. The decrease is due to the Company's sale of its minority interest in Jiangsu General Ball &amp; Roller Company, Ltd. effective December 21, 2001.</w:t>
      </w:r>
    </w:p>
    <w:p>
      <w:pPr>
        <w:spacing w:after="0" w:line="197"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i w:val="1"/>
          <w:iCs w:val="1"/>
          <w:color w:val="auto"/>
        </w:rPr>
        <w:t xml:space="preserve">Net Gain on Involuntary Conversion. </w:t>
      </w:r>
      <w:r>
        <w:rPr>
          <w:rFonts w:ascii="Courier New" w:cs="Courier New" w:eastAsia="Courier New" w:hAnsi="Courier New"/>
          <w:sz w:val="17"/>
          <w:szCs w:val="17"/>
          <w:color w:val="auto"/>
        </w:rPr>
        <w:t>Net gain on involuntary conversion decreased</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$3.9 million from $3.9 million for the first nine months of 2001 to $0 for the first nine months of 2002. The Company realized a net gain on involuntary conversion of $2.5 million and $1.4 million in the second and third quarters of 2001, respectively. The gain was due to insurance proceeds over the net book value of assets destroyed in the March 12, 2000 fire at the Erwin, Tennessee facility.</w:t>
      </w:r>
    </w:p>
    <w:p>
      <w:pPr>
        <w:spacing w:after="0" w:line="398"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Minority Interest of Consolidated Subsidiaries. </w:t>
      </w:r>
      <w:r>
        <w:rPr>
          <w:rFonts w:ascii="Courier New" w:cs="Courier New" w:eastAsia="Courier New" w:hAnsi="Courier New"/>
          <w:sz w:val="17"/>
          <w:szCs w:val="17"/>
          <w:color w:val="auto"/>
        </w:rPr>
        <w:t>Minority interest of</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consolidated subsidiaries increased $0.7 million from $1.3 million for the first nine months of 2001 to $2.0 million for the first nine months of 2002. This increase is due to increased earnings at the Company's Euroball joint venture. The Company is required to consolidate this joint venture due to its majority ownership and ability to exercise control. The Company owns 54% of the shares of Euroball. Minority interest of consolidated subsidiary represents the combined interest of the minority partners of Euroball at 46%.</w:t>
      </w:r>
    </w:p>
    <w:p>
      <w:pPr>
        <w:spacing w:after="0" w:line="201"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i w:val="1"/>
          <w:iCs w:val="1"/>
          <w:color w:val="auto"/>
        </w:rPr>
        <w:t xml:space="preserve">Net Income. </w:t>
      </w:r>
      <w:r>
        <w:rPr>
          <w:rFonts w:ascii="Courier New" w:cs="Courier New" w:eastAsia="Courier New" w:hAnsi="Courier New"/>
          <w:sz w:val="17"/>
          <w:szCs w:val="17"/>
          <w:color w:val="auto"/>
        </w:rPr>
        <w:t>Net income increased by $0.7 million or 11.9%, from $5.7 million for</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the first nine months of 2001 to $6.4 million for the same period in 2002. As a percentage of net sales, net income increased from 4.1% in the first nine months of 2001 to 4.4% for the same period in 2002.</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Liquidity and Capital Resources</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On July 20, 2001 the Company entered into a $25 million syndicated senior non-secured revolving credit facility and a senior non-secured term loan for $35 million. Amounts outstanding under the revolving facility and the reducing revolving credit line facility bear interest at a floating rate equal to LIBOR (1.71% at September 30, 2002) plus an applicable margin of 0.75% to 2.00% based upon calculated financial ratios. The loan agreement contains customary financial and non-financial covenants. Such covenants specify that the Company must maintain a minimum fixed charge coverage ratio, a minimum funded indebtedness to EBITDA ratio and a maximum funded indebtedness to capitalization ratio and limits the amount of capital expenditures we may make in any fiscal year. The loan agreement also contains customary restrictions on, among other things, additional indebtedness, liens on our assets, sales or transfers of assets, investments, restricted payments (including payment of dividends and stock repurchases), issuance of equity securities, and mergers, acquisitions and other fundamental changes in our business.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was in compliance with all such covenants as of September 30, 2002. On July 12, 2002, the Company amended its credit facility to convert the term loan portion into a reducing revolving credit line providing initial availability equivalent to the balance of the term loan prior to the amendment. Amounts available for borrowing under this facility will be reduced by $7.0 million per annum and the facility will expire on July 1, 2006. Additionally, on July 31, 2002, the Company amended the credit facility again to extend the $25 million senior non-secured revolving credit facility from July 25, 2003 to July 25, 2004.</w:t>
      </w:r>
    </w:p>
    <w:p>
      <w:pPr>
        <w:spacing w:after="0" w:line="200" w:lineRule="exact"/>
        <w:rPr>
          <w:sz w:val="20"/>
          <w:szCs w:val="20"/>
          <w:color w:val="auto"/>
        </w:rPr>
      </w:pPr>
    </w:p>
    <w:p>
      <w:pPr>
        <w:spacing w:after="0" w:line="203"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 July 2000, NN Euroball ApS, and its subsidiaries entered into a senior secured revolving credit facility of Euro 5.0 million, expiring on July 15, 2006 and a senior secured term loan of Euro 36.0 million, expiring on July 15, 2006. On July 31, 2000, upon closing of the joint venture, NN Euroball ApS borrowed a total of Euro 31.5 million against these facilities for acquisition financing. Additional working capital and capital expenditure financing are provided for under the facility. Amounts outstanding under the facilities accrue interest at</w:t>
      </w:r>
    </w:p>
    <w:p>
      <w:pPr>
        <w:sectPr>
          <w:pgSz w:w="11900" w:h="16838" w:orient="portrait"/>
          <w:cols w:equalWidth="0" w:num="1">
            <w:col w:w="10219"/>
          </w:cols>
          <w:pgMar w:left="240" w:top="142" w:right="1440" w:bottom="0" w:gutter="0" w:footer="0" w:header="0"/>
        </w:sectPr>
      </w:pPr>
    </w:p>
    <w:bookmarkStart w:id="13" w:name="page14"/>
    <w:bookmarkEnd w:id="13"/>
    <w:p>
      <w:pPr>
        <w:ind w:right="1839"/>
        <w:spacing w:after="0" w:line="251" w:lineRule="auto"/>
        <w:rPr>
          <w:sz w:val="20"/>
          <w:szCs w:val="20"/>
          <w:color w:val="auto"/>
        </w:rPr>
      </w:pPr>
      <w:r>
        <w:rPr>
          <w:rFonts w:ascii="Courier New" w:cs="Courier New" w:eastAsia="Courier New" w:hAnsi="Courier New"/>
          <w:sz w:val="17"/>
          <w:szCs w:val="17"/>
          <w:color w:val="auto"/>
        </w:rPr>
        <w:t>a floating rate equal to EURIBOR (3.20% at September 30, 2002) plus an applicable margin of 1.125% to 2.25% based upon calculated financial ratios. The loan agreement contains various restrictive covenants that specify, among other things, restrictions on the incurrence of indebtedness and the maintenance of certain financial ratios. These facilities also include certain negative pledges. Amounts outstanding under the Facility Agreement are secured by the stock of Euroball ApS, inventory and accounts receivable. Euroball was in compliance with all such covenants as of September 30, 2002.</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Company's arrangements with its domestic customers typically provide that payments are due within 30 days following the date of the Company's shipment of goods, while arrangements with foreign customers generally provide that payments are due within 90 to 120 days following the date of shipment. The Company's net sales and receivables can be influenced by seasonality due to the Company's relative percentage of European business coupled with many foreign customers ceasing or significantly slowing production during the month of August.</w:t>
      </w:r>
    </w:p>
    <w:p>
      <w:pPr>
        <w:spacing w:after="0" w:line="19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bills and receives payment from some of its foreign customers in Euro or other currencies. To date, the Company has not been materially adversely affected by currency fluctuations or foreign exchange restrictions. To manage risks associated with currency fluctuations and foreign exchange restrictions, the Company has strategies in place, including a hedging program, which allow management to hedge foreign currencies when exposures reach certain levels. However, the Company has not entered into any currency hedges in 2001 or during the current year. Strengthening of the U.S. dollar against foreign currencies could impair the ability of the Company to compete with international competitors for foreign as well as domestic sales. Working capital, which consists principally of accounts receivable and inventories, was $16.1 million at September 30, 2002 as compared to $17.9 million at December 31, 2001. The ratio of current assets to current liabilities decreased from 1.47:1 at December 31, 2001 to 1.35:1 at September 30, 2002. Cash flow from operations increased from $18.7 million during the first nine months of 2001 to $21.4 million during the first nine months of 2002.</w:t>
      </w:r>
    </w:p>
    <w:p>
      <w:pPr>
        <w:spacing w:after="0" w:line="20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During 2002, the Company plans to spend approximately $6.5 million on capital expenditures (of which approximately $4.6 million has been spent through September 30, 2002) including the purchase of additional machinery and equipment for all of the Company's domestic and international ball facilities. The Company intends to finance these activities with cash generated from operations and funds available under the credit facilities described above. The Company believes that funds generated from operations and borrowings from the credit facilities will be sufficient to finance the Company's working capital needs and projected capital expenditure requirements through at least December 2003.</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In addition, FAG and SKF have the right to require the Company to purchase their interests in Euroball beginning in January 2003, based on a formula using Euroball's historical net income and cash flow. As a result, the exact amount of the purchase price cannot be determined until the put right is exercised. The Company anticipates that if such purchase is required, it may need to borrow additional funds.</w:t>
      </w:r>
    </w:p>
    <w:p>
      <w:pPr>
        <w:spacing w:after="0" w:line="398"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The Euro</w:t>
      </w:r>
    </w:p>
    <w:p>
      <w:pPr>
        <w:spacing w:after="0" w:line="210" w:lineRule="exact"/>
        <w:rPr>
          <w:sz w:val="20"/>
          <w:szCs w:val="20"/>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 Company currently has operations in Italy, Germany and Ireland, all of which are Euro participating countries, and sells product to customers in many of the participating countries. The Euro has been adopted as the functional currency at these locations.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Seasonality and Fluctuation in Results of Operations</w:t>
      </w:r>
    </w:p>
    <w:p>
      <w:pPr>
        <w:spacing w:after="0" w:line="210"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The Company's net sales historically have been of a seasonal nature, and as foreign sales have increased as a percentage of total sales, seasonality has become a more significant factor for the Company in that many foreign customers cease production during the month of August.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Inflation and Changes in Prices</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While the Company's operations have not been affected by inflation during recent years, prices for 52100 chrome steel and other raw materials are subject to change. For example, during 1995, due to an increase in worldwide demand for 52100 chrome steel and the decrease in the value of the United States dollar relative to foreign currencies, the Company experienced an increase in the price of 52100 chrome steel and some difficulty in obtaining an adequate supply of 52100 chrome steel from its existing suppliers. In our U.S. operations, the</w:t>
      </w:r>
    </w:p>
    <w:p>
      <w:pPr>
        <w:sectPr>
          <w:pgSz w:w="11900" w:h="16838" w:orient="portrait"/>
          <w:cols w:equalWidth="0" w:num="1">
            <w:col w:w="10219"/>
          </w:cols>
          <w:pgMar w:left="240" w:top="142" w:right="1440" w:bottom="0" w:gutter="0" w:footer="0" w:header="0"/>
        </w:sectPr>
      </w:pPr>
    </w:p>
    <w:bookmarkStart w:id="14" w:name="page15"/>
    <w:bookmarkEnd w:id="14"/>
    <w:p>
      <w:pPr>
        <w:ind w:right="2039"/>
        <w:spacing w:after="0" w:line="251" w:lineRule="auto"/>
        <w:rPr>
          <w:sz w:val="20"/>
          <w:szCs w:val="20"/>
          <w:color w:val="auto"/>
        </w:rPr>
      </w:pPr>
      <w:r>
        <w:rPr>
          <w:rFonts w:ascii="Courier New" w:cs="Courier New" w:eastAsia="Courier New" w:hAnsi="Courier New"/>
          <w:sz w:val="17"/>
          <w:szCs w:val="17"/>
          <w:color w:val="auto"/>
        </w:rPr>
        <w:t>Company's typical pricing arrangements with its steel suppliers are subject to adjustment once every six months. In an effort to limit its exposure to fluctuations in steel prices, the Company has generally avoided the use of long-term, fixed price contracts with its customers. Instead, the Company typically reserves the right to increase product prices periodically in the event of increases in its raw material costs. The Company was able to minimize the impact on its operations resulting from the 52100 chrome steel price increases by taking such measures.</w:t>
      </w:r>
    </w:p>
    <w:p>
      <w:pPr>
        <w:spacing w:after="0" w:line="201" w:lineRule="exact"/>
        <w:rPr>
          <w:sz w:val="20"/>
          <w:szCs w:val="20"/>
          <w:color w:val="auto"/>
        </w:rPr>
      </w:pPr>
    </w:p>
    <w:p>
      <w:pPr>
        <w:ind w:right="2559"/>
        <w:spacing w:after="0" w:line="257" w:lineRule="auto"/>
        <w:rPr>
          <w:sz w:val="20"/>
          <w:szCs w:val="20"/>
          <w:color w:val="auto"/>
        </w:rPr>
      </w:pPr>
      <w:r>
        <w:rPr>
          <w:rFonts w:ascii="Courier New" w:cs="Courier New" w:eastAsia="Courier New" w:hAnsi="Courier New"/>
          <w:sz w:val="17"/>
          <w:szCs w:val="17"/>
          <w:b w:val="1"/>
          <w:bCs w:val="1"/>
          <w:color w:val="auto"/>
        </w:rPr>
        <w:t>Cautionary Statements for Purposes of the "Safe Harbor" Provisions of the Private Securities Litigation Reform Act of 1995</w:t>
      </w:r>
    </w:p>
    <w:p>
      <w:pPr>
        <w:spacing w:after="0" w:line="19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Certain statements contained in this report, future filings of the Company, press releases and other statements made by the Company or its authorized representatives may be deemed to be forward-looking statements. These statements discuss, among other things, future acquisitions and dispositions, proposed financings and refinancings, future revenues, costs, and expenses, and projected working capital needs and are based on current expectations. The forward looking statements involve risks and uncertainties that could cause actual results to differ materially from those described.</w:t>
      </w:r>
    </w:p>
    <w:p>
      <w:pPr>
        <w:spacing w:after="0" w:line="20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following paragraphs discuss the risk factors the Company regards as the most significant, although the Company wishes to caution that other factors that are currently not considered as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96" w:lineRule="exact"/>
        <w:rPr>
          <w:sz w:val="20"/>
          <w:szCs w:val="20"/>
          <w:color w:val="auto"/>
        </w:rPr>
      </w:pPr>
    </w:p>
    <w:p>
      <w:pPr>
        <w:ind w:right="1519"/>
        <w:spacing w:after="0" w:line="251" w:lineRule="auto"/>
        <w:rPr>
          <w:sz w:val="20"/>
          <w:szCs w:val="20"/>
          <w:color w:val="auto"/>
        </w:rPr>
      </w:pPr>
      <w:r>
        <w:rPr>
          <w:rFonts w:ascii="Courier New" w:cs="Courier New" w:eastAsia="Courier New" w:hAnsi="Courier New"/>
          <w:sz w:val="17"/>
          <w:szCs w:val="17"/>
          <w:i w:val="1"/>
          <w:iCs w:val="1"/>
          <w:color w:val="auto"/>
        </w:rPr>
        <w:t xml:space="preserve">The demand for our products is cyclical, which could adversely impact our revenues. </w:t>
      </w:r>
      <w:r>
        <w:rPr>
          <w:rFonts w:ascii="Courier New" w:cs="Courier New" w:eastAsia="Courier New" w:hAnsi="Courier New"/>
          <w:sz w:val="17"/>
          <w:szCs w:val="17"/>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w:t>
      </w:r>
    </w:p>
    <w:p>
      <w:pPr>
        <w:ind w:right="2259"/>
        <w:spacing w:after="0" w:line="254" w:lineRule="auto"/>
        <w:rPr>
          <w:sz w:val="20"/>
          <w:szCs w:val="20"/>
          <w:color w:val="auto"/>
        </w:rPr>
      </w:pPr>
      <w:r>
        <w:rPr>
          <w:rFonts w:ascii="Courier New" w:cs="Courier New" w:eastAsia="Courier New" w:hAnsi="Courier New"/>
          <w:sz w:val="17"/>
          <w:szCs w:val="17"/>
          <w:color w:val="auto"/>
        </w:rPr>
        <w:t>in the future will be negatively affected, by adverse conditions in the industrial production sector of the economy or by adverse global or national economic conditions generally.</w:t>
      </w:r>
    </w:p>
    <w:p>
      <w:pPr>
        <w:spacing w:after="0" w:line="194"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We depend on a very limited number of foreign sources for our primary raw material and are subject to risks of shortages and price fluctuation. </w:t>
      </w:r>
      <w:r>
        <w:rPr>
          <w:rFonts w:ascii="Courier New" w:cs="Courier New" w:eastAsia="Courier New" w:hAnsi="Courier New"/>
          <w:sz w:val="17"/>
          <w:szCs w:val="17"/>
          <w:color w:val="auto"/>
        </w:rPr>
        <w:t>The steel</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197"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i w:val="1"/>
          <w:iCs w:val="1"/>
          <w:color w:val="auto"/>
        </w:rPr>
        <w:t xml:space="preserve">We operate in and sell products to customers outside the U.S. and are subject to several related risks. </w:t>
      </w:r>
      <w:r>
        <w:rPr>
          <w:rFonts w:ascii="Courier New" w:cs="Courier New" w:eastAsia="Courier New" w:hAnsi="Courier New"/>
          <w:sz w:val="17"/>
          <w:szCs w:val="17"/>
          <w:color w:val="auto"/>
        </w:rPr>
        <w:t>Because we obtain a majority of our raw materials from</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overseas suppliers, actively participate in overseas manufacturing operations and sell to a large number of international customers, we face risks associated with the following:</w:t>
      </w:r>
    </w:p>
    <w:p>
      <w:pPr>
        <w:spacing w:after="0" w:line="197" w:lineRule="exact"/>
        <w:rPr>
          <w:sz w:val="20"/>
          <w:szCs w:val="20"/>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adverse foreign currency fluctuations;</w:t>
      </w:r>
    </w:p>
    <w:p>
      <w:pPr>
        <w:spacing w:after="0" w:line="210" w:lineRule="exact"/>
        <w:rPr>
          <w:rFonts w:ascii="Courier New" w:cs="Courier New" w:eastAsia="Courier New" w:hAnsi="Courier New"/>
          <w:sz w:val="17"/>
          <w:szCs w:val="17"/>
          <w:color w:val="auto"/>
        </w:rPr>
      </w:pPr>
    </w:p>
    <w:p>
      <w:pPr>
        <w:ind w:left="960" w:right="1719" w:hanging="953"/>
        <w:spacing w:after="0" w:line="257" w:lineRule="auto"/>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trade, monetary and fiscal policies, laws and regulations, and other activities of governments, agencies and similar organizations;</w:t>
      </w:r>
    </w:p>
    <w:p>
      <w:pPr>
        <w:spacing w:after="0" w:line="19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trade restrictions or prohibitions;</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high tax rates that discourage the repatriation of funds to the U.S.;</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import or other duties or taxes; and</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unstable governments or legal systems in countries in which our</w:t>
      </w:r>
    </w:p>
    <w:p>
      <w:pPr>
        <w:sectPr>
          <w:pgSz w:w="11900" w:h="16838" w:orient="portrait"/>
          <w:cols w:equalWidth="0" w:num="1">
            <w:col w:w="10219"/>
          </w:cols>
          <w:pgMar w:left="240" w:top="142" w:right="1440" w:bottom="0" w:gutter="0" w:footer="0" w:header="0"/>
        </w:sectPr>
      </w:pPr>
    </w:p>
    <w:bookmarkStart w:id="15" w:name="page16"/>
    <w:bookmarkEnd w:id="15"/>
    <w:p>
      <w:pPr>
        <w:ind w:left="960"/>
        <w:spacing w:after="0"/>
        <w:rPr>
          <w:sz w:val="20"/>
          <w:szCs w:val="20"/>
          <w:color w:val="auto"/>
        </w:rPr>
      </w:pPr>
      <w:r>
        <w:rPr>
          <w:rFonts w:ascii="Courier New" w:cs="Courier New" w:eastAsia="Courier New" w:hAnsi="Courier New"/>
          <w:sz w:val="17"/>
          <w:szCs w:val="17"/>
          <w:color w:val="auto"/>
        </w:rPr>
        <w:t>suppliers, manufacturing operations, and customers are located.</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We do not have a hedging program in place to help limit the risk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196" w:lineRule="exact"/>
        <w:rPr>
          <w:sz w:val="20"/>
          <w:szCs w:val="20"/>
          <w:color w:val="auto"/>
        </w:rPr>
      </w:pPr>
    </w:p>
    <w:p>
      <w:pPr>
        <w:ind w:right="1839"/>
        <w:spacing w:after="0" w:line="254" w:lineRule="auto"/>
        <w:rPr>
          <w:sz w:val="20"/>
          <w:szCs w:val="20"/>
          <w:color w:val="auto"/>
        </w:rPr>
      </w:pPr>
      <w:r>
        <w:rPr>
          <w:rFonts w:ascii="Courier New" w:cs="Courier New" w:eastAsia="Courier New" w:hAnsi="Courier New"/>
          <w:sz w:val="17"/>
          <w:szCs w:val="17"/>
          <w:color w:val="auto"/>
        </w:rPr>
        <w:t>In addition, due to the typical slower summer manufacturing season in Europe, we expect that revenues in the third fiscal quarter will reflect lower sales, as our sales to foreign customers have increased as a percentage of net sales.</w:t>
      </w:r>
    </w:p>
    <w:p>
      <w:pPr>
        <w:spacing w:after="0" w:line="194"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We depend heavily on a relatively limited number of customers, and the loss of any major customer would have a material adverse effect on our business. </w:t>
      </w:r>
      <w:r>
        <w:rPr>
          <w:rFonts w:ascii="Courier New" w:cs="Courier New" w:eastAsia="Courier New" w:hAnsi="Courier New"/>
          <w:sz w:val="17"/>
          <w:szCs w:val="17"/>
          <w:color w:val="auto"/>
        </w:rPr>
        <w:t>Sales</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to various U.S. and foreign divisions of SKF, which is one of the largest bearing manufacturers in the world, accounted for approximately 35% of consolidated net sales in 2001, and sales to INA/FAG accounted for approximately 19% of consolidated net sales in 2001. During 2001, our ten largest customers accounted for approximately 73% of our consolidated net sales. None of our other customers individually accounted for more than 5% of our consolidated net sales for 2001. The loss of all or a substantial portion of sales to these customers would have a material adverse effect on our financial position, results of operations and cash flows.</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The costs and difficulties of integrating acquired business could impede our future growth. </w:t>
      </w:r>
      <w:r>
        <w:rPr>
          <w:rFonts w:ascii="Courier New" w:cs="Courier New" w:eastAsia="Courier New" w:hAnsi="Courier New"/>
          <w:sz w:val="17"/>
          <w:szCs w:val="17"/>
          <w:color w:val="auto"/>
        </w:rPr>
        <w:t>We cannot assure you that any future acquisition will enhance our</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If we are not able to integrate the operations of acquired companies successfully into our business, our future earnings and profitability could be materially and adversely affected.</w:t>
      </w:r>
    </w:p>
    <w:p>
      <w:pPr>
        <w:spacing w:after="0" w:line="201"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We may not be able to continue to make the acquisitions necessary for us to realize our growth strategy. </w:t>
      </w:r>
      <w:r>
        <w:rPr>
          <w:rFonts w:ascii="Courier New" w:cs="Courier New" w:eastAsia="Courier New" w:hAnsi="Courier New"/>
          <w:sz w:val="17"/>
          <w:szCs w:val="17"/>
          <w:color w:val="auto"/>
        </w:rPr>
        <w:t>Acquiring businesses that complement or expand our</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NN Euroball, ApS ("Euroball") with our two largest bearing customers, SKF and INA/FAG, in 2000 and acquired our bearing</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seal operations 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196"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Additionally, SKF and INA/FAG, the minority shareholders in Euroball, each have the right to require us to purchase their interest beginning in January 2003. The Company may need to borrow funds to pay for all or a portion of the purchase of an interest or may be required to make a purchase at a time that is less favorable to the Company.</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Our growth strategy depends on outsourcing, and if the industry trend toward outsourcing does not continue, our business could be adversely affected. </w:t>
      </w:r>
      <w:r>
        <w:rPr>
          <w:rFonts w:ascii="Courier New" w:cs="Courier New" w:eastAsia="Courier New" w:hAnsi="Courier New"/>
          <w:sz w:val="17"/>
          <w:szCs w:val="17"/>
          <w:color w:val="auto"/>
        </w:rPr>
        <w:t>Our</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200" w:lineRule="exact"/>
        <w:rPr>
          <w:sz w:val="20"/>
          <w:szCs w:val="20"/>
          <w:color w:val="auto"/>
        </w:rPr>
      </w:pPr>
    </w:p>
    <w:p>
      <w:pPr>
        <w:spacing w:after="0" w:line="203"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i w:val="1"/>
          <w:iCs w:val="1"/>
          <w:color w:val="auto"/>
        </w:rPr>
        <w:t xml:space="preserve">Our market is highly competitive and many of our competitors have significant advantages that could adversely affect our business. </w:t>
      </w:r>
      <w:r>
        <w:rPr>
          <w:rFonts w:ascii="Courier New" w:cs="Courier New" w:eastAsia="Courier New" w:hAnsi="Courier New"/>
          <w:sz w:val="17"/>
          <w:szCs w:val="17"/>
          <w:color w:val="auto"/>
        </w:rPr>
        <w:t>The global market for</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bearing components is highly competitive, with a majority of production represented by the captive production operations of certain large bearing manufacturers and the balance represented by independent manufacturers. Captive</w:t>
      </w:r>
    </w:p>
    <w:p>
      <w:pPr>
        <w:sectPr>
          <w:pgSz w:w="11900" w:h="16838" w:orient="portrait"/>
          <w:cols w:equalWidth="0" w:num="1">
            <w:col w:w="10219"/>
          </w:cols>
          <w:pgMar w:left="240" w:top="142" w:right="1440" w:bottom="0" w:gutter="0" w:footer="0" w:header="0"/>
        </w:sectPr>
      </w:pPr>
    </w:p>
    <w:bookmarkStart w:id="16" w:name="page17"/>
    <w:bookmarkEnd w:id="16"/>
    <w:p>
      <w:pPr>
        <w:ind w:right="1939"/>
        <w:spacing w:after="0" w:line="252" w:lineRule="auto"/>
        <w:rPr>
          <w:sz w:val="20"/>
          <w:szCs w:val="20"/>
          <w:color w:val="auto"/>
        </w:rPr>
      </w:pPr>
      <w:r>
        <w:rPr>
          <w:rFonts w:ascii="Courier New" w:cs="Courier New" w:eastAsia="Courier New" w:hAnsi="Courier New"/>
          <w:sz w:val="17"/>
          <w:szCs w:val="17"/>
          <w:color w:val="auto"/>
        </w:rPr>
        <w:t>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196"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i w:val="1"/>
          <w:iCs w:val="1"/>
          <w:color w:val="auto"/>
        </w:rPr>
        <w:t xml:space="preserve">The production capacity we have added over the last several years has at times resulted in our having more capacity than we need, causing out operating costs to be higher than expected. </w:t>
      </w:r>
      <w:r>
        <w:rPr>
          <w:rFonts w:ascii="Courier New" w:cs="Courier New" w:eastAsia="Courier New" w:hAnsi="Courier New"/>
          <w:sz w:val="17"/>
          <w:szCs w:val="17"/>
          <w:color w:val="auto"/>
        </w:rPr>
        <w:t>We have significantly expanded our ball and roller</w:t>
      </w:r>
      <w:r>
        <w:rPr>
          <w:rFonts w:ascii="Courier New" w:cs="Courier New" w:eastAsia="Courier New" w:hAnsi="Courier New"/>
          <w:sz w:val="17"/>
          <w:szCs w:val="17"/>
          <w:i w:val="1"/>
          <w:iCs w:val="1"/>
          <w:color w:val="auto"/>
        </w:rPr>
        <w:t xml:space="preserve"> </w:t>
      </w:r>
      <w:r>
        <w:rPr>
          <w:rFonts w:ascii="Courier New" w:cs="Courier New" w:eastAsia="Courier New" w:hAnsi="Courier New"/>
          <w:sz w:val="17"/>
          <w:szCs w:val="17"/>
          <w:color w:val="auto"/>
        </w:rPr>
        <w:t>production facilities and capacity over the last several years. During 1997, we built an additional manufacturing plant in Kilkenny, Ireland, and we continued this expansion in 2000 through the formation of Euroball with SKF and INA/FAG. Our ball and roller facilities currently are not operating at full capacity and our results of operations for 2001 and the first and second quarters of 2002 were adversely affected by the under utilization of our production facitilies, and we face risks of further under utilization or inefficient utilization of our production facilities in future years.</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b w:val="1"/>
          <w:bCs w:val="1"/>
          <w:color w:val="auto"/>
        </w:rPr>
        <w:t>Item 3.</w:t>
      </w:r>
      <w:r>
        <w:rPr>
          <w:sz w:val="20"/>
          <w:szCs w:val="20"/>
          <w:color w:val="auto"/>
        </w:rPr>
        <w:tab/>
      </w:r>
      <w:r>
        <w:rPr>
          <w:rFonts w:ascii="Courier New" w:cs="Courier New" w:eastAsia="Courier New" w:hAnsi="Courier New"/>
          <w:sz w:val="17"/>
          <w:szCs w:val="17"/>
          <w:b w:val="1"/>
          <w:bCs w:val="1"/>
          <w:color w:val="auto"/>
        </w:rPr>
        <w:t>Quantitative and Qualitative Disclosures About Market Risk</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The Company is exposed to changes in financial market conditions in the normal course of its business due to its use of certain financial instruments as well as transacting in various foreign currencies. To mitigate its exposure to these market risks, the Company has established policies, procedures and internal processes governing its management of financial market risks.</w:t>
      </w:r>
    </w:p>
    <w:p>
      <w:pPr>
        <w:spacing w:after="0" w:line="197"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 is exposed to changes in interest rates primarily as a result of its borrowing activities, which include a $25.0 million senior, non-secured floating rate revolving credit facility which is used to maintain liquidity and fund its business operations as well as a reducing revolving credit line facility. Additionally, Euroball has a Euro 5.0 million senior secured floating rate revolving credit facility and a Euro 6.0 million floating rate senior secured term loan. Additionally, the Company has an interest rate swap that fixes the interest rate for Euro 12.5 million outstanding under the facilities. The interest rate swap expires in July 2006. At September 30, 2002, the Company had $37.7 million outstanding under the domestic revolving credit facility and reducing revolving credit line and Euroball had $6.0 million outstanding under the Euroball revolving credit facility and term loan. At these debt levels, a one-percent increase in the interest rate charged on the Company's outstanding borrowings under the revolving credit facility and term loans would result in annual interest expense increasing by approximately $440,000. The nature and amount of the Company's borrowings may vary as a result of future business requirements, market conditions and other factors.</w:t>
      </w:r>
    </w:p>
    <w:p>
      <w:pPr>
        <w:spacing w:after="0" w:line="20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Company's operating cash flows denominated in foreign currencies are exposed to changes in foreign exchange rates. Beginning in the 1997 fourth quarter, upon the commencement of production in its Kilkenny, Ireland facility, the Company began to bill and receive payment from some of its foreign customers in their own currency. To date, the Company has not been materially adversely affected by currency fluctuations related to foreign exchange rates. The Company did not hold a position in any foreign currency derivative instruments as of September 30, 2002.</w:t>
      </w:r>
    </w:p>
    <w:p>
      <w:pPr>
        <w:spacing w:after="0" w:line="200" w:lineRule="exact"/>
        <w:rPr>
          <w:sz w:val="20"/>
          <w:szCs w:val="20"/>
          <w:color w:val="auto"/>
        </w:rPr>
      </w:pP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b w:val="1"/>
          <w:bCs w:val="1"/>
          <w:color w:val="auto"/>
        </w:rPr>
        <w:t>Item 4.</w:t>
      </w:r>
      <w:r>
        <w:rPr>
          <w:sz w:val="20"/>
          <w:szCs w:val="20"/>
          <w:color w:val="auto"/>
        </w:rPr>
        <w:tab/>
      </w:r>
      <w:r>
        <w:rPr>
          <w:rFonts w:ascii="Courier New" w:cs="Courier New" w:eastAsia="Courier New" w:hAnsi="Courier New"/>
          <w:sz w:val="17"/>
          <w:szCs w:val="17"/>
          <w:b w:val="1"/>
          <w:bCs w:val="1"/>
          <w:color w:val="auto"/>
        </w:rPr>
        <w:t>Controls and Procedures</w:t>
      </w:r>
    </w:p>
    <w:p>
      <w:pPr>
        <w:spacing w:after="0" w:line="210" w:lineRule="exact"/>
        <w:rPr>
          <w:sz w:val="20"/>
          <w:szCs w:val="20"/>
          <w:color w:val="auto"/>
        </w:rPr>
      </w:pPr>
    </w:p>
    <w:p>
      <w:pPr>
        <w:ind w:left="540" w:right="1839" w:hanging="533"/>
        <w:spacing w:after="0" w:line="251" w:lineRule="auto"/>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the 90-day period prior to the date of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(the "Exchange Act"). Based upon that evaluation, the Company's management, including the Chief Executive Officer and Chief Financial Officer, concluded that the Company's disclosure controls and procedures are effective in timely alerting them to material information relating to the Company (including its consolidated subsidiaries) required to be included in the Company's Exchange Act filings.</w:t>
      </w:r>
    </w:p>
    <w:p>
      <w:pPr>
        <w:spacing w:after="0" w:line="201" w:lineRule="exact"/>
        <w:rPr>
          <w:rFonts w:ascii="Courier New" w:cs="Courier New" w:eastAsia="Courier New" w:hAnsi="Courier New"/>
          <w:sz w:val="17"/>
          <w:szCs w:val="17"/>
          <w:color w:val="auto"/>
        </w:rPr>
      </w:pPr>
    </w:p>
    <w:p>
      <w:pPr>
        <w:ind w:left="540" w:right="2039" w:hanging="533"/>
        <w:spacing w:after="0" w:line="254" w:lineRule="auto"/>
        <w:tabs>
          <w:tab w:leader="none" w:pos="5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have been no significant changes in the Company's internal controls or in other factors which could significantly affect internal controls subsequent to the date the Company carried out its evaluation.</w:t>
      </w:r>
    </w:p>
    <w:p>
      <w:pPr>
        <w:sectPr>
          <w:pgSz w:w="11900" w:h="16838" w:orient="portrait"/>
          <w:cols w:equalWidth="0" w:num="1">
            <w:col w:w="10219"/>
          </w:cols>
          <w:pgMar w:left="240" w:top="142" w:right="1440" w:bottom="0" w:gutter="0" w:footer="0" w:header="0"/>
        </w:sectPr>
      </w:pPr>
    </w:p>
    <w:bookmarkStart w:id="17" w:name="page18"/>
    <w:bookmarkEnd w:id="17"/>
    <w:p>
      <w:pPr>
        <w:ind w:left="4100"/>
        <w:spacing w:after="0"/>
        <w:rPr>
          <w:sz w:val="20"/>
          <w:szCs w:val="20"/>
          <w:color w:val="auto"/>
        </w:rPr>
      </w:pPr>
      <w:r>
        <w:rPr>
          <w:rFonts w:ascii="Courier New" w:cs="Courier New" w:eastAsia="Courier New" w:hAnsi="Courier New"/>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Part II. Other Information</w:t>
      </w:r>
    </w:p>
    <w:p>
      <w:pPr>
        <w:spacing w:after="0" w:line="21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7"/>
          <w:szCs w:val="17"/>
          <w:b w:val="1"/>
          <w:bCs w:val="1"/>
          <w:color w:val="auto"/>
        </w:rPr>
        <w:t>Item 1.</w:t>
      </w:r>
      <w:r>
        <w:rPr>
          <w:sz w:val="20"/>
          <w:szCs w:val="20"/>
          <w:color w:val="auto"/>
        </w:rPr>
        <w:tab/>
      </w:r>
      <w:r>
        <w:rPr>
          <w:rFonts w:ascii="Courier New" w:cs="Courier New" w:eastAsia="Courier New" w:hAnsi="Courier New"/>
          <w:sz w:val="17"/>
          <w:szCs w:val="17"/>
          <w:b w:val="1"/>
          <w:bCs w:val="1"/>
          <w:color w:val="auto"/>
        </w:rPr>
        <w:t>Legal Proceedings</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Company is involved in various legal proceedings that are of an ordinary and routine nature and are incidental to the operations of the Company. Management believes that such proceedings should not, individually or in the aggregate, have a material adverse effect on the Company's business or financial condition or on the results of operations.</w:t>
      </w:r>
    </w:p>
    <w:p>
      <w:pPr>
        <w:spacing w:after="0" w:line="197"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7"/>
          <w:szCs w:val="17"/>
          <w:b w:val="1"/>
          <w:bCs w:val="1"/>
          <w:color w:val="auto"/>
        </w:rPr>
        <w:t>Item 2.</w:t>
      </w:r>
      <w:r>
        <w:rPr>
          <w:sz w:val="20"/>
          <w:szCs w:val="20"/>
          <w:color w:val="auto"/>
        </w:rPr>
        <w:tab/>
      </w:r>
      <w:r>
        <w:rPr>
          <w:rFonts w:ascii="Courier New" w:cs="Courier New" w:eastAsia="Courier New" w:hAnsi="Courier New"/>
          <w:sz w:val="17"/>
          <w:szCs w:val="17"/>
          <w:b w:val="1"/>
          <w:bCs w:val="1"/>
          <w:color w:val="auto"/>
        </w:rPr>
        <w:t>Exhibits and Reports on Form 8-K.</w:t>
      </w:r>
    </w:p>
    <w:p>
      <w:pPr>
        <w:spacing w:after="0" w:line="210" w:lineRule="exact"/>
        <w:rPr>
          <w:sz w:val="20"/>
          <w:szCs w:val="20"/>
          <w:color w:val="auto"/>
        </w:rPr>
      </w:pPr>
    </w:p>
    <w:p>
      <w:pPr>
        <w:ind w:left="960" w:hanging="953"/>
        <w:spacing w:after="0"/>
        <w:tabs>
          <w:tab w:leader="none" w:pos="9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 Required by Item 601 of Regulation S-K</w:t>
      </w:r>
    </w:p>
    <w:p>
      <w:pPr>
        <w:spacing w:after="0" w:line="210" w:lineRule="exact"/>
        <w:rPr>
          <w:sz w:val="20"/>
          <w:szCs w:val="20"/>
          <w:color w:val="auto"/>
        </w:rPr>
      </w:pPr>
    </w:p>
    <w:p>
      <w:pPr>
        <w:ind w:left="1580" w:right="1839" w:hanging="523"/>
        <w:spacing w:after="0" w:line="252" w:lineRule="auto"/>
        <w:rPr>
          <w:sz w:val="20"/>
          <w:szCs w:val="20"/>
          <w:color w:val="auto"/>
        </w:rPr>
      </w:pPr>
      <w:r>
        <w:rPr>
          <w:rFonts w:ascii="Courier New" w:cs="Courier New" w:eastAsia="Courier New" w:hAnsi="Courier New"/>
          <w:sz w:val="17"/>
          <w:szCs w:val="17"/>
          <w:color w:val="auto"/>
        </w:rPr>
        <w:t>10.1 Amendment No. 3 dated July 31, 2002 to Credit Agreement among NN, Inc., as the Borrower, the Lenders identified therein, Bank One, Kentucky, N A, as Co-Agent, and AmSouth Bank as Administrative Agent (incorporated by reference to Exhibit 10.1 of the Company's Quarterly Report on Form 10-Q for the period ended June 30, 2002).</w:t>
      </w:r>
    </w:p>
    <w:p>
      <w:pPr>
        <w:spacing w:after="0" w:line="399" w:lineRule="exact"/>
        <w:rPr>
          <w:sz w:val="20"/>
          <w:szCs w:val="20"/>
          <w:color w:val="auto"/>
        </w:rPr>
      </w:pPr>
    </w:p>
    <w:p>
      <w:pPr>
        <w:ind w:left="1580" w:right="1839" w:hanging="523"/>
        <w:spacing w:after="0" w:line="252" w:lineRule="auto"/>
        <w:rPr>
          <w:sz w:val="20"/>
          <w:szCs w:val="20"/>
          <w:color w:val="auto"/>
        </w:rPr>
      </w:pPr>
      <w:r>
        <w:rPr>
          <w:rFonts w:ascii="Courier New" w:cs="Courier New" w:eastAsia="Courier New" w:hAnsi="Courier New"/>
          <w:sz w:val="17"/>
          <w:szCs w:val="17"/>
          <w:color w:val="auto"/>
        </w:rPr>
        <w:t>10.2 Amendment No. 2 dated July 12, 2002 to Credit Agreement among NN, Inc., as the Borrower, the Lenders identified therein, Bank One, Kentucky, N A, as Co-Agent, and AmSouth Bank as Administrative Agent (incorporated by reference to Exhibit 10.9 of the Company's Registration Statement on Form S-3/A filed July 15, 2002).</w:t>
      </w:r>
    </w:p>
    <w:p>
      <w:pPr>
        <w:spacing w:after="0" w:line="197" w:lineRule="exact"/>
        <w:rPr>
          <w:sz w:val="20"/>
          <w:szCs w:val="20"/>
          <w:color w:val="auto"/>
        </w:rPr>
      </w:pPr>
    </w:p>
    <w:p>
      <w:pPr>
        <w:ind w:left="1580" w:right="1939" w:hanging="523"/>
        <w:spacing w:after="0" w:line="257" w:lineRule="auto"/>
        <w:rPr>
          <w:sz w:val="20"/>
          <w:szCs w:val="20"/>
          <w:color w:val="auto"/>
        </w:rPr>
      </w:pPr>
      <w:r>
        <w:rPr>
          <w:rFonts w:ascii="Courier New" w:cs="Courier New" w:eastAsia="Courier New" w:hAnsi="Courier New"/>
          <w:sz w:val="17"/>
          <w:szCs w:val="17"/>
          <w:color w:val="auto"/>
        </w:rPr>
        <w:t>99.1 Certifications pursuant to Section 906 of the Sarbanes-Oxley Act of 2002.</w:t>
      </w:r>
    </w:p>
    <w:p>
      <w:pPr>
        <w:spacing w:after="0" w:line="192" w:lineRule="exact"/>
        <w:rPr>
          <w:sz w:val="20"/>
          <w:szCs w:val="20"/>
          <w:color w:val="auto"/>
        </w:rPr>
      </w:pPr>
    </w:p>
    <w:p>
      <w:pPr>
        <w:ind w:left="960" w:hanging="953"/>
        <w:spacing w:after="0"/>
        <w:tabs>
          <w:tab w:leader="none" w:pos="9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10" w:lineRule="exact"/>
        <w:rPr>
          <w:sz w:val="20"/>
          <w:szCs w:val="20"/>
          <w:color w:val="auto"/>
        </w:rPr>
      </w:pPr>
    </w:p>
    <w:p>
      <w:pPr>
        <w:ind w:left="1060" w:right="2139"/>
        <w:spacing w:after="0" w:line="257" w:lineRule="auto"/>
        <w:rPr>
          <w:sz w:val="20"/>
          <w:szCs w:val="20"/>
          <w:color w:val="auto"/>
        </w:rPr>
      </w:pPr>
      <w:r>
        <w:rPr>
          <w:rFonts w:ascii="Courier New" w:cs="Courier New" w:eastAsia="Courier New" w:hAnsi="Courier New"/>
          <w:sz w:val="17"/>
          <w:szCs w:val="17"/>
          <w:color w:val="auto"/>
        </w:rPr>
        <w:t>The Company filed a Form 8-K on July 18, 2002 announcing its second quarter earnings.</w:t>
      </w:r>
    </w:p>
    <w:p>
      <w:pPr>
        <w:spacing w:after="0" w:line="192" w:lineRule="exact"/>
        <w:rPr>
          <w:sz w:val="20"/>
          <w:szCs w:val="20"/>
          <w:color w:val="auto"/>
        </w:rPr>
      </w:pPr>
    </w:p>
    <w:p>
      <w:pPr>
        <w:jc w:val="both"/>
        <w:ind w:left="1060" w:right="1839"/>
        <w:spacing w:after="0" w:line="254" w:lineRule="auto"/>
        <w:rPr>
          <w:sz w:val="20"/>
          <w:szCs w:val="20"/>
          <w:color w:val="auto"/>
        </w:rPr>
      </w:pPr>
      <w:r>
        <w:rPr>
          <w:rFonts w:ascii="Courier New" w:cs="Courier New" w:eastAsia="Courier New" w:hAnsi="Courier New"/>
          <w:sz w:val="17"/>
          <w:szCs w:val="17"/>
          <w:color w:val="auto"/>
        </w:rPr>
        <w:t>The Company filed a Form 8-K on August 6, 2002 announcing that, due to unfavorable market conditions, it has postponed the proposed follow-on public offering of its common stock.</w:t>
      </w:r>
    </w:p>
    <w:p>
      <w:pPr>
        <w:spacing w:after="0" w:line="194" w:lineRule="exact"/>
        <w:rPr>
          <w:sz w:val="20"/>
          <w:szCs w:val="20"/>
          <w:color w:val="auto"/>
        </w:rPr>
      </w:pPr>
    </w:p>
    <w:p>
      <w:pPr>
        <w:ind w:left="1060" w:right="1839"/>
        <w:spacing w:after="0" w:line="254" w:lineRule="auto"/>
        <w:rPr>
          <w:sz w:val="20"/>
          <w:szCs w:val="20"/>
          <w:color w:val="auto"/>
        </w:rPr>
      </w:pPr>
      <w:r>
        <w:rPr>
          <w:rFonts w:ascii="Courier New" w:cs="Courier New" w:eastAsia="Courier New" w:hAnsi="Courier New"/>
          <w:sz w:val="17"/>
          <w:szCs w:val="17"/>
          <w:color w:val="auto"/>
        </w:rPr>
        <w:t>The Company filed a Form 8-K on September 26, 2002 announcing it filed a shelf registration statement with the Securities and Exchange Commission.</w:t>
      </w:r>
    </w:p>
    <w:p>
      <w:pPr>
        <w:spacing w:after="0" w:line="3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b w:val="1"/>
          <w:bCs w:val="1"/>
          <w:color w:val="auto"/>
        </w:rPr>
        <w:t>SIGNATURES</w:t>
      </w:r>
    </w:p>
    <w:p>
      <w:pPr>
        <w:spacing w:after="0" w:line="200" w:lineRule="exact"/>
        <w:rPr>
          <w:sz w:val="20"/>
          <w:szCs w:val="20"/>
          <w:color w:val="auto"/>
        </w:rPr>
      </w:pPr>
    </w:p>
    <w:p>
      <w:pPr>
        <w:spacing w:after="0" w:line="212" w:lineRule="exact"/>
        <w:rPr>
          <w:sz w:val="20"/>
          <w:szCs w:val="20"/>
          <w:color w:val="auto"/>
        </w:rPr>
      </w:pPr>
    </w:p>
    <w:p>
      <w:pPr>
        <w:jc w:val="both"/>
        <w:ind w:right="2679"/>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54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Roderick R. Baty</w:t>
      </w:r>
    </w:p>
    <w:p>
      <w:pPr>
        <w:spacing w:after="0" w:line="200" w:lineRule="exact"/>
        <w:rPr>
          <w:sz w:val="20"/>
          <w:szCs w:val="20"/>
          <w:color w:val="auto"/>
        </w:rPr>
      </w:pPr>
    </w:p>
    <w:p>
      <w:pPr>
        <w:sectPr>
          <w:pgSz w:w="11900" w:h="16838" w:orient="portrait"/>
          <w:cols w:equalWidth="0" w:num="3">
            <w:col w:w="540" w:space="420"/>
            <w:col w:w="3140" w:space="720"/>
            <w:col w:w="5399"/>
          </w:cols>
          <w:pgMar w:left="240" w:top="545"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400" w:space="520"/>
            <w:col w:w="5299"/>
          </w:cols>
          <w:pgMar w:left="240" w:top="545" w:right="1440" w:bottom="0" w:gutter="0" w:footer="0" w:header="0"/>
          <w:type w:val="continuous"/>
        </w:sectPr>
      </w:pPr>
    </w:p>
    <w:p>
      <w:pPr>
        <w:spacing w:after="0" w:line="10"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Roderick R. Baty,</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Chairman, President and Chief</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Executive Officer</w:t>
      </w:r>
    </w:p>
    <w:p>
      <w:pPr>
        <w:sectPr>
          <w:pgSz w:w="11900" w:h="16838" w:orient="portrait"/>
          <w:cols w:equalWidth="0" w:num="1">
            <w:col w:w="10219"/>
          </w:cols>
          <w:pgMar w:left="240" w:top="545"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14, 2002</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L. Dyckman</w:t>
      </w:r>
    </w:p>
    <w:p>
      <w:pPr>
        <w:spacing w:after="0" w:line="200" w:lineRule="exact"/>
        <w:rPr>
          <w:sz w:val="20"/>
          <w:szCs w:val="20"/>
          <w:color w:val="auto"/>
        </w:rPr>
      </w:pPr>
    </w:p>
    <w:p>
      <w:pPr>
        <w:sectPr>
          <w:pgSz w:w="11900" w:h="16838" w:orient="portrait"/>
          <w:cols w:equalWidth="0" w:num="3">
            <w:col w:w="540" w:space="420"/>
            <w:col w:w="3140" w:space="720"/>
            <w:col w:w="5399"/>
          </w:cols>
          <w:pgMar w:left="240" w:top="545"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2">
            <w:col w:w="4400" w:space="520"/>
            <w:col w:w="5299"/>
          </w:cols>
          <w:pgMar w:left="240" w:top="545" w:right="1440" w:bottom="0" w:gutter="0" w:footer="0" w:header="0"/>
          <w:type w:val="continuous"/>
        </w:sectPr>
      </w:pPr>
    </w:p>
    <w:bookmarkStart w:id="18" w:name="page19"/>
    <w:bookmarkEnd w:id="18"/>
    <w:p>
      <w:pPr>
        <w:ind w:left="4820"/>
        <w:spacing w:after="0"/>
        <w:rPr>
          <w:sz w:val="20"/>
          <w:szCs w:val="20"/>
          <w:color w:val="auto"/>
        </w:rPr>
      </w:pPr>
      <w:r>
        <w:rPr>
          <w:rFonts w:ascii="Courier New" w:cs="Courier New" w:eastAsia="Courier New" w:hAnsi="Courier New"/>
          <w:sz w:val="17"/>
          <w:szCs w:val="17"/>
          <w:color w:val="auto"/>
        </w:rPr>
        <w:t>David L. Dyckman,</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Chief Financial Officer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(Principal Financial Officer)</w:t>
      </w:r>
    </w:p>
    <w:p>
      <w:pPr>
        <w:sectPr>
          <w:pgSz w:w="11900" w:h="16838" w:orient="portrait"/>
          <w:cols w:equalWidth="0" w:num="1">
            <w:col w:w="10219"/>
          </w:cols>
          <w:pgMar w:left="240" w:top="343" w:right="1440" w:bottom="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14, 2002</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C. Kelly, Jr.</w:t>
      </w:r>
    </w:p>
    <w:p>
      <w:pPr>
        <w:spacing w:after="0" w:line="200" w:lineRule="exact"/>
        <w:rPr>
          <w:sz w:val="20"/>
          <w:szCs w:val="20"/>
          <w:color w:val="auto"/>
        </w:rPr>
      </w:pPr>
    </w:p>
    <w:p>
      <w:pPr>
        <w:sectPr>
          <w:pgSz w:w="11900" w:h="16838" w:orient="portrait"/>
          <w:cols w:equalWidth="0" w:num="3">
            <w:col w:w="540" w:space="420"/>
            <w:col w:w="3140" w:space="720"/>
            <w:col w:w="5399"/>
          </w:cols>
          <w:pgMar w:left="240" w:top="343"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400" w:space="640"/>
            <w:col w:w="5179"/>
          </w:cols>
          <w:pgMar w:left="240" w:top="343" w:right="1440" w:bottom="0" w:gutter="0" w:footer="0" w:header="0"/>
          <w:type w:val="continuous"/>
        </w:sectPr>
      </w:pPr>
    </w:p>
    <w:p>
      <w:pPr>
        <w:spacing w:after="0" w:line="10"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William C. Kelly, Jr.,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Treasurer, Secretary and Chief</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Accounting Officer</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(Principal Accounting Officer)</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ectPr>
          <w:pgSz w:w="11900" w:h="16838" w:orient="portrait"/>
          <w:cols w:equalWidth="0" w:num="1">
            <w:col w:w="10219"/>
          </w:cols>
          <w:pgMar w:left="240" w:top="343"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b w:val="1"/>
          <w:bCs w:val="1"/>
          <w:color w:val="auto"/>
        </w:rPr>
        <w:t>CERTIFICATIONS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Roderick R. Baty, certify that:</w:t>
      </w:r>
    </w:p>
    <w:p>
      <w:pPr>
        <w:spacing w:after="0" w:line="210" w:lineRule="exact"/>
        <w:rPr>
          <w:sz w:val="20"/>
          <w:szCs w:val="20"/>
          <w:color w:val="auto"/>
        </w:rPr>
      </w:pPr>
    </w:p>
    <w:p>
      <w:pPr>
        <w:ind w:left="540" w:hanging="533"/>
        <w:spacing w:after="0"/>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NN, Inc.;</w:t>
      </w:r>
    </w:p>
    <w:p>
      <w:pPr>
        <w:spacing w:after="0" w:line="210" w:lineRule="exact"/>
        <w:rPr>
          <w:rFonts w:ascii="Courier New" w:cs="Courier New" w:eastAsia="Courier New" w:hAnsi="Courier New"/>
          <w:sz w:val="17"/>
          <w:szCs w:val="17"/>
          <w:color w:val="auto"/>
        </w:rPr>
      </w:pPr>
    </w:p>
    <w:p>
      <w:pPr>
        <w:ind w:left="540" w:right="1939" w:hanging="533"/>
        <w:spacing w:after="0" w:line="252" w:lineRule="auto"/>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Courier New" w:cs="Courier New" w:eastAsia="Courier New" w:hAnsi="Courier New"/>
          <w:sz w:val="17"/>
          <w:szCs w:val="17"/>
          <w:color w:val="auto"/>
        </w:rPr>
      </w:pPr>
    </w:p>
    <w:p>
      <w:pPr>
        <w:ind w:left="540" w:right="2039" w:hanging="533"/>
        <w:spacing w:after="0" w:line="252" w:lineRule="auto"/>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Courier New" w:cs="Courier New" w:eastAsia="Courier New" w:hAnsi="Courier New"/>
          <w:sz w:val="17"/>
          <w:szCs w:val="17"/>
          <w:color w:val="auto"/>
        </w:rPr>
      </w:pPr>
    </w:p>
    <w:p>
      <w:pPr>
        <w:ind w:left="540" w:right="1839" w:hanging="533"/>
        <w:spacing w:after="0" w:line="254" w:lineRule="auto"/>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are responsible for establishing and maintaining disclosure controls and procedures (as defined in Exchange Act Rules 13a-14 and 15d-14) for the registrant and we have:</w:t>
      </w:r>
    </w:p>
    <w:p>
      <w:pPr>
        <w:spacing w:after="0" w:line="194" w:lineRule="exact"/>
        <w:rPr>
          <w:rFonts w:ascii="Courier New" w:cs="Courier New" w:eastAsia="Courier New" w:hAnsi="Courier New"/>
          <w:sz w:val="17"/>
          <w:szCs w:val="17"/>
          <w:color w:val="auto"/>
        </w:rPr>
      </w:pPr>
    </w:p>
    <w:p>
      <w:pPr>
        <w:ind w:left="1060" w:right="1939" w:hanging="529"/>
        <w:spacing w:after="0" w:line="252" w:lineRule="auto"/>
        <w:tabs>
          <w:tab w:leader="none" w:pos="106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Courier New" w:cs="Courier New" w:eastAsia="Courier New" w:hAnsi="Courier New"/>
          <w:sz w:val="17"/>
          <w:szCs w:val="17"/>
          <w:color w:val="auto"/>
        </w:rPr>
      </w:pPr>
    </w:p>
    <w:p>
      <w:pPr>
        <w:ind w:left="1060" w:right="1839" w:hanging="529"/>
        <w:spacing w:after="0" w:line="254" w:lineRule="auto"/>
        <w:tabs>
          <w:tab w:leader="none" w:pos="106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date of this quarterly report (the "Evaluation Date"); and</w:t>
      </w:r>
    </w:p>
    <w:p>
      <w:pPr>
        <w:spacing w:after="0" w:line="194" w:lineRule="exact"/>
        <w:rPr>
          <w:rFonts w:ascii="Courier New" w:cs="Courier New" w:eastAsia="Courier New" w:hAnsi="Courier New"/>
          <w:sz w:val="17"/>
          <w:szCs w:val="17"/>
          <w:color w:val="auto"/>
        </w:rPr>
      </w:pPr>
    </w:p>
    <w:p>
      <w:pPr>
        <w:ind w:left="1060" w:right="1939" w:hanging="529"/>
        <w:spacing w:after="0" w:line="254" w:lineRule="auto"/>
        <w:tabs>
          <w:tab w:leader="none" w:pos="106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this disclosure controls and procedures based on our evaluation as of the Evaluation Date;</w:t>
      </w:r>
    </w:p>
    <w:p>
      <w:pPr>
        <w:spacing w:after="0" w:line="194" w:lineRule="exact"/>
        <w:rPr>
          <w:rFonts w:ascii="Courier New" w:cs="Courier New" w:eastAsia="Courier New" w:hAnsi="Courier New"/>
          <w:sz w:val="17"/>
          <w:szCs w:val="17"/>
          <w:color w:val="auto"/>
        </w:rPr>
      </w:pPr>
    </w:p>
    <w:p>
      <w:pPr>
        <w:ind w:left="540" w:right="2039" w:hanging="533"/>
        <w:spacing w:after="0" w:line="253" w:lineRule="auto"/>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95" w:lineRule="exact"/>
        <w:rPr>
          <w:rFonts w:ascii="Courier New" w:cs="Courier New" w:eastAsia="Courier New" w:hAnsi="Courier New"/>
          <w:sz w:val="17"/>
          <w:szCs w:val="17"/>
          <w:color w:val="auto"/>
        </w:rPr>
      </w:pPr>
    </w:p>
    <w:p>
      <w:pPr>
        <w:ind w:left="1060" w:right="2139" w:hanging="529"/>
        <w:spacing w:after="0" w:line="252" w:lineRule="auto"/>
        <w:tabs>
          <w:tab w:leader="none" w:pos="106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7" w:lineRule="exact"/>
        <w:rPr>
          <w:rFonts w:ascii="Courier New" w:cs="Courier New" w:eastAsia="Courier New" w:hAnsi="Courier New"/>
          <w:sz w:val="17"/>
          <w:szCs w:val="17"/>
          <w:color w:val="auto"/>
        </w:rPr>
      </w:pPr>
    </w:p>
    <w:p>
      <w:pPr>
        <w:ind w:left="1060" w:right="1939" w:hanging="529"/>
        <w:spacing w:after="0" w:line="254" w:lineRule="auto"/>
        <w:tabs>
          <w:tab w:leader="none" w:pos="106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194"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19"/>
          </w:cols>
          <w:pgMar w:left="240" w:top="343" w:right="1440" w:bottom="0" w:gutter="0" w:footer="0" w:header="0"/>
          <w:type w:val="continuous"/>
        </w:sectPr>
      </w:pPr>
    </w:p>
    <w:bookmarkStart w:id="19" w:name="page20"/>
    <w:bookmarkEnd w:id="19"/>
    <w:p>
      <w:pPr>
        <w:spacing w:after="0"/>
        <w:tabs>
          <w:tab w:leader="none" w:pos="720" w:val="left"/>
        </w:tabs>
        <w:rPr>
          <w:sz w:val="20"/>
          <w:szCs w:val="20"/>
          <w:color w:val="auto"/>
        </w:rPr>
      </w:pPr>
      <w:r>
        <w:rPr>
          <w:rFonts w:ascii="Courier New" w:cs="Courier New" w:eastAsia="Courier New" w:hAnsi="Courier New"/>
          <w:sz w:val="17"/>
          <w:szCs w:val="17"/>
          <w:color w:val="auto"/>
        </w:rPr>
        <w:t>Date:</w:t>
        <w:tab/>
        <w:t>November 14, 2002</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/s/ Roderick R. Baty</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Roderick R. Baty</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Chairman, President and Chief Executive Officer</w:t>
      </w: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358140</wp:posOffset>
            </wp:positionV>
            <wp:extent cx="7272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I,</w:t>
      </w:r>
      <w:r>
        <w:rPr>
          <w:sz w:val="20"/>
          <w:szCs w:val="20"/>
          <w:color w:val="auto"/>
        </w:rPr>
        <w:tab/>
      </w:r>
      <w:r>
        <w:rPr>
          <w:rFonts w:ascii="Courier New" w:cs="Courier New" w:eastAsia="Courier New" w:hAnsi="Courier New"/>
          <w:sz w:val="17"/>
          <w:szCs w:val="17"/>
          <w:color w:val="auto"/>
        </w:rPr>
        <w:t>David L. Dyckman, certify that:</w:t>
      </w:r>
    </w:p>
    <w:p>
      <w:pPr>
        <w:spacing w:after="0" w:line="210" w:lineRule="exact"/>
        <w:rPr>
          <w:sz w:val="20"/>
          <w:szCs w:val="20"/>
          <w:color w:val="auto"/>
        </w:rPr>
      </w:pPr>
    </w:p>
    <w:p>
      <w:pPr>
        <w:ind w:left="540" w:hanging="533"/>
        <w:spacing w:after="0"/>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NN, Inc.;</w:t>
      </w:r>
    </w:p>
    <w:p>
      <w:pPr>
        <w:spacing w:after="0" w:line="210" w:lineRule="exact"/>
        <w:rPr>
          <w:rFonts w:ascii="Courier New" w:cs="Courier New" w:eastAsia="Courier New" w:hAnsi="Courier New"/>
          <w:sz w:val="17"/>
          <w:szCs w:val="17"/>
          <w:color w:val="auto"/>
        </w:rPr>
      </w:pPr>
    </w:p>
    <w:p>
      <w:pPr>
        <w:ind w:left="540" w:right="1939" w:hanging="533"/>
        <w:spacing w:after="0" w:line="252"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7" w:lineRule="exact"/>
        <w:rPr>
          <w:rFonts w:ascii="Courier New" w:cs="Courier New" w:eastAsia="Courier New" w:hAnsi="Courier New"/>
          <w:sz w:val="17"/>
          <w:szCs w:val="17"/>
          <w:color w:val="auto"/>
        </w:rPr>
      </w:pPr>
    </w:p>
    <w:p>
      <w:pPr>
        <w:ind w:left="540" w:right="2039" w:hanging="533"/>
        <w:spacing w:after="0" w:line="252"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97" w:lineRule="exact"/>
        <w:rPr>
          <w:rFonts w:ascii="Courier New" w:cs="Courier New" w:eastAsia="Courier New" w:hAnsi="Courier New"/>
          <w:sz w:val="17"/>
          <w:szCs w:val="17"/>
          <w:color w:val="auto"/>
        </w:rPr>
      </w:pPr>
    </w:p>
    <w:p>
      <w:pPr>
        <w:ind w:left="540" w:right="1839" w:hanging="533"/>
        <w:spacing w:after="0" w:line="254"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are responsible for establishing and maintaining disclosure controls and procedures (as defined in Exchange Act Rules 13a-14 and 15d-14) for the registrant and we have:</w:t>
      </w:r>
    </w:p>
    <w:p>
      <w:pPr>
        <w:spacing w:after="0" w:line="194" w:lineRule="exact"/>
        <w:rPr>
          <w:rFonts w:ascii="Courier New" w:cs="Courier New" w:eastAsia="Courier New" w:hAnsi="Courier New"/>
          <w:sz w:val="17"/>
          <w:szCs w:val="17"/>
          <w:color w:val="auto"/>
        </w:rPr>
      </w:pPr>
    </w:p>
    <w:p>
      <w:pPr>
        <w:ind w:left="1060" w:right="1939" w:hanging="529"/>
        <w:spacing w:after="0" w:line="252" w:lineRule="auto"/>
        <w:tabs>
          <w:tab w:leader="none" w:pos="106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97" w:lineRule="exact"/>
        <w:rPr>
          <w:rFonts w:ascii="Courier New" w:cs="Courier New" w:eastAsia="Courier New" w:hAnsi="Courier New"/>
          <w:sz w:val="17"/>
          <w:szCs w:val="17"/>
          <w:color w:val="auto"/>
        </w:rPr>
      </w:pPr>
    </w:p>
    <w:p>
      <w:pPr>
        <w:ind w:left="1060" w:right="1839" w:hanging="529"/>
        <w:spacing w:after="0" w:line="254" w:lineRule="auto"/>
        <w:tabs>
          <w:tab w:leader="none" w:pos="106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date of this quarterly report (the "Evaluation Date"); and</w:t>
      </w:r>
    </w:p>
    <w:p>
      <w:pPr>
        <w:spacing w:after="0" w:line="194" w:lineRule="exact"/>
        <w:rPr>
          <w:rFonts w:ascii="Courier New" w:cs="Courier New" w:eastAsia="Courier New" w:hAnsi="Courier New"/>
          <w:sz w:val="17"/>
          <w:szCs w:val="17"/>
          <w:color w:val="auto"/>
        </w:rPr>
      </w:pPr>
    </w:p>
    <w:p>
      <w:pPr>
        <w:ind w:left="1060" w:right="1939" w:hanging="529"/>
        <w:spacing w:after="0" w:line="254" w:lineRule="auto"/>
        <w:tabs>
          <w:tab w:leader="none" w:pos="106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this disclosure controls and procedures based on our evaluation as of the Evaluation Date;</w:t>
      </w:r>
    </w:p>
    <w:p>
      <w:pPr>
        <w:spacing w:after="0" w:line="194" w:lineRule="exact"/>
        <w:rPr>
          <w:rFonts w:ascii="Courier New" w:cs="Courier New" w:eastAsia="Courier New" w:hAnsi="Courier New"/>
          <w:sz w:val="17"/>
          <w:szCs w:val="17"/>
          <w:color w:val="auto"/>
        </w:rPr>
      </w:pPr>
    </w:p>
    <w:p>
      <w:pPr>
        <w:ind w:left="540" w:right="2039" w:hanging="533"/>
        <w:spacing w:after="0" w:line="253"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95" w:lineRule="exact"/>
        <w:rPr>
          <w:rFonts w:ascii="Courier New" w:cs="Courier New" w:eastAsia="Courier New" w:hAnsi="Courier New"/>
          <w:sz w:val="17"/>
          <w:szCs w:val="17"/>
          <w:color w:val="auto"/>
        </w:rPr>
      </w:pPr>
    </w:p>
    <w:p>
      <w:pPr>
        <w:ind w:left="1060" w:right="2139" w:hanging="529"/>
        <w:spacing w:after="0" w:line="252" w:lineRule="auto"/>
        <w:tabs>
          <w:tab w:leader="none" w:pos="106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97" w:lineRule="exact"/>
        <w:rPr>
          <w:rFonts w:ascii="Courier New" w:cs="Courier New" w:eastAsia="Courier New" w:hAnsi="Courier New"/>
          <w:sz w:val="17"/>
          <w:szCs w:val="17"/>
          <w:color w:val="auto"/>
        </w:rPr>
      </w:pPr>
    </w:p>
    <w:p>
      <w:pPr>
        <w:ind w:left="1060" w:right="1939" w:hanging="529"/>
        <w:spacing w:after="0" w:line="254" w:lineRule="auto"/>
        <w:tabs>
          <w:tab w:leader="none" w:pos="1060"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194"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November 14, 2002</w:t>
      </w: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/s/ David L. Dyckman</w:t>
      </w:r>
    </w:p>
    <w:p>
      <w:pPr>
        <w:spacing w:after="0" w:line="9"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David L. Dyckman</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Chief Financial Officer</w:t>
      </w:r>
    </w:p>
    <w:sectPr>
      <w:pgSz w:w="11900" w:h="16838" w:orient="portrait"/>
      <w:cols w:equalWidth="0" w:num="1">
        <w:col w:w="10219"/>
      </w:cols>
      <w:pgMar w:left="240" w:top="142" w:right="1440" w:bottom="6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2019-12-14T03:16:14Z</dcterms:created>
  <dcterms:modified xsi:type="dcterms:W3CDTF">2019-12-14T03:16:14Z</dcterms:modified>
</cp:coreProperties>
</file>