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color w:val="auto"/>
        </w:rPr>
        <w:t>As Filed with the Securities and Exchange Commission on June 29, 2022</w:t>
      </w:r>
    </w:p>
    <w:p>
      <w:pPr>
        <w:spacing w:after="0" w:line="381" w:lineRule="exact"/>
        <w:rPr>
          <w:sz w:val="24"/>
          <w:szCs w:val="24"/>
          <w:color w:val="auto"/>
        </w:rPr>
      </w:pPr>
    </w:p>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55880</wp:posOffset>
            </wp:positionV>
            <wp:extent cx="57175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73025</wp:posOffset>
            </wp:positionV>
            <wp:extent cx="57175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7540" cy="8890"/>
                    </a:xfrm>
                    <a:prstGeom prst="rect">
                      <a:avLst/>
                    </a:prstGeom>
                    <a:noFill/>
                  </pic:spPr>
                </pic:pic>
              </a:graphicData>
            </a:graphic>
          </wp:anchor>
        </w:drawing>
        <w:drawing>
          <wp:anchor simplePos="0" relativeHeight="251657728" behindDoc="1" locked="0" layoutInCell="0" allowOverlap="1">
            <wp:simplePos x="0" y="0"/>
            <wp:positionH relativeFrom="column">
              <wp:posOffset>2555240</wp:posOffset>
            </wp:positionH>
            <wp:positionV relativeFrom="paragraph">
              <wp:posOffset>175895</wp:posOffset>
            </wp:positionV>
            <wp:extent cx="643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25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039"/>
          </w:cols>
          <w:pgMar w:left="1420" w:top="868" w:right="1440" w:bottom="1440" w:gutter="0" w:footer="0" w:header="0"/>
        </w:sectPr>
      </w:pPr>
    </w:p>
    <w:p>
      <w:pPr>
        <w:spacing w:after="0" w:line="200" w:lineRule="exact"/>
        <w:rPr>
          <w:sz w:val="24"/>
          <w:szCs w:val="24"/>
          <w:color w:val="auto"/>
        </w:rPr>
      </w:pPr>
    </w:p>
    <w:p>
      <w:pPr>
        <w:spacing w:after="0" w:line="298"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62-1096725</w:t>
      </w:r>
    </w:p>
    <w:p>
      <w:pPr>
        <w:spacing w:after="0" w:line="43" w:lineRule="exact"/>
        <w:rPr>
          <w:sz w:val="24"/>
          <w:szCs w:val="24"/>
          <w:color w:val="auto"/>
        </w:rPr>
      </w:pPr>
    </w:p>
    <w:p>
      <w:pPr>
        <w:sectPr>
          <w:pgSz w:w="11900" w:h="16838" w:orient="portrait"/>
          <w:cols w:equalWidth="0" w:num="2">
            <w:col w:w="5800" w:space="720"/>
            <w:col w:w="2519"/>
          </w:cols>
          <w:pgMar w:left="1420" w:top="868" w:right="1440"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779"/>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33" w:lineRule="exact"/>
        <w:rPr>
          <w:sz w:val="24"/>
          <w:szCs w:val="24"/>
          <w:color w:val="auto"/>
        </w:rPr>
      </w:pPr>
    </w:p>
    <w:p>
      <w:pPr>
        <w:sectPr>
          <w:pgSz w:w="11900" w:h="16838" w:orient="portrait"/>
          <w:cols w:equalWidth="0" w:num="2">
            <w:col w:w="4920" w:space="720"/>
            <w:col w:w="3399"/>
          </w:cols>
          <w:pgMar w:left="1420" w:top="868"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6210 Ardrey Kell Road</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Charlotte, North Carolina 28277</w:t>
      </w:r>
    </w:p>
    <w:p>
      <w:pPr>
        <w:jc w:val="center"/>
        <w:ind w:right="-40"/>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 2022 OMNIBUS INCENTIVE PLAN</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Matthew S. Heiter, Esq.</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Senior Vice President and General Counsel</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NN, Inc.</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6210 Ardrey Kell Road</w:t>
      </w:r>
    </w:p>
    <w:p>
      <w:pPr>
        <w:ind w:left="3280"/>
        <w:spacing w:after="0" w:line="203" w:lineRule="auto"/>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Copy to:</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Richard F. Mattern, Esq.</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Bass, Berry &amp; Sims PLC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100 Peabody Place, Suite 1300</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Memphis, Tennessee 38103</w:t>
      </w:r>
    </w:p>
    <w:p>
      <w:pPr>
        <w:jc w:val="center"/>
        <w:spacing w:after="0"/>
        <w:rPr>
          <w:sz w:val="20"/>
          <w:szCs w:val="20"/>
          <w:color w:val="auto"/>
        </w:rPr>
      </w:pPr>
      <w:r>
        <w:rPr>
          <w:rFonts w:ascii="Times New Roman" w:cs="Times New Roman" w:eastAsia="Times New Roman" w:hAnsi="Times New Roman"/>
          <w:sz w:val="18"/>
          <w:szCs w:val="18"/>
          <w:b w:val="1"/>
          <w:bCs w:val="1"/>
          <w:color w:val="auto"/>
        </w:rPr>
        <w:t>(901) 543-5933</w:t>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w:t>
      </w:r>
    </w:p>
    <w:p>
      <w:pPr>
        <w:spacing w:after="0" w:line="2" w:lineRule="exact"/>
        <w:rPr>
          <w:sz w:val="24"/>
          <w:szCs w:val="24"/>
          <w:color w:val="auto"/>
        </w:rPr>
      </w:pPr>
    </w:p>
    <w:p>
      <w:pPr>
        <w:ind w:right="359"/>
        <w:spacing w:after="0" w:line="226" w:lineRule="auto"/>
        <w:rPr>
          <w:sz w:val="20"/>
          <w:szCs w:val="20"/>
          <w:color w:val="auto"/>
        </w:rPr>
      </w:pPr>
      <w:r>
        <w:rPr>
          <w:rFonts w:ascii="Times New Roman" w:cs="Times New Roman" w:eastAsia="Times New Roman" w:hAnsi="Times New Roman"/>
          <w:sz w:val="18"/>
          <w:szCs w:val="18"/>
          <w:color w:val="auto"/>
        </w:rPr>
        <w:t>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1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w:t>
      </w:r>
    </w:p>
    <w:p>
      <w:pPr>
        <w:spacing w:after="0" w:line="14" w:lineRule="exact"/>
        <w:rPr>
          <w:sz w:val="24"/>
          <w:szCs w:val="24"/>
          <w:color w:val="auto"/>
        </w:rPr>
      </w:pPr>
    </w:p>
    <w:p>
      <w:pPr>
        <w:ind w:right="639"/>
        <w:spacing w:after="0" w:line="205" w:lineRule="exact"/>
        <w:rPr>
          <w:sz w:val="20"/>
          <w:szCs w:val="20"/>
          <w:color w:val="auto"/>
        </w:rPr>
      </w:pPr>
      <w:r>
        <w:rPr>
          <w:rFonts w:ascii="Times New Roman" w:cs="Times New Roman" w:eastAsia="Times New Roman" w:hAnsi="Times New Roman"/>
          <w:sz w:val="18"/>
          <w:szCs w:val="18"/>
          <w:color w:val="auto"/>
        </w:rPr>
        <w:t xml:space="preserve">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9039"/>
          </w:cols>
          <w:pgMar w:left="1420" w:top="868" w:right="1440"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right="20" w:firstLine="180"/>
        <w:spacing w:after="0" w:line="216" w:lineRule="auto"/>
        <w:rPr>
          <w:sz w:val="20"/>
          <w:szCs w:val="20"/>
          <w:color w:val="auto"/>
        </w:rPr>
      </w:pPr>
      <w:r>
        <w:rPr>
          <w:rFonts w:ascii="Times New Roman" w:cs="Times New Roman" w:eastAsia="Times New Roman" w:hAnsi="Times New Roman"/>
          <w:sz w:val="18"/>
          <w:szCs w:val="18"/>
          <w:color w:val="auto"/>
        </w:rPr>
        <w:t>NN, Inc. (the “Registrant”) has sent or given or will send or give documents containing the information specified by Part I of this Registration Statement on Form S-8 (the “Registration Statement”) to participants in the plan to which this Registration Statement relates, as specified in Rule 428(b)(1) promulgated by the Securities and Exchange Commission (the “Commission”) under the Securities Act of 1933, as amended (the “Securities Act”). The</w:t>
      </w:r>
    </w:p>
    <w:p>
      <w:pPr>
        <w:spacing w:after="0" w:line="1"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Registrant is not filing such documents with the Commission, but these documents constitute (along with the documents incorporated by reference into the Registration Statement pursuant to Item 3 of Part II hereof) a prospectus that meets the requirements of Section 10(a) of the Securities Act.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Incorporation of Documents by Reference.</w:t>
      </w:r>
    </w:p>
    <w:p>
      <w:pPr>
        <w:spacing w:after="0" w:line="216" w:lineRule="exact"/>
        <w:rPr>
          <w:sz w:val="20"/>
          <w:szCs w:val="20"/>
          <w:color w:val="auto"/>
        </w:rPr>
      </w:pPr>
    </w:p>
    <w:p>
      <w:pPr>
        <w:ind w:right="340" w:firstLine="177"/>
        <w:spacing w:after="0" w:line="279" w:lineRule="auto"/>
        <w:rPr>
          <w:sz w:val="20"/>
          <w:szCs w:val="20"/>
          <w:color w:val="auto"/>
        </w:rPr>
      </w:pPr>
      <w:r>
        <w:rPr>
          <w:rFonts w:ascii="Times New Roman" w:cs="Times New Roman" w:eastAsia="Times New Roman" w:hAnsi="Times New Roman"/>
          <w:sz w:val="17"/>
          <w:szCs w:val="17"/>
          <w:color w:val="auto"/>
        </w:rPr>
        <w:t>The following documents filed by the Registrant with the Commission, pursuant to the Securities Act or the Securities Exchange Act of 1934, as amended (the “Exchange Act”), are hereby incorporated by reference and shall be deemed to be a part hereof from the date of filing of such document:</w:t>
      </w:r>
    </w:p>
    <w:p>
      <w:pPr>
        <w:spacing w:after="0" w:line="153" w:lineRule="exact"/>
        <w:rPr>
          <w:sz w:val="20"/>
          <w:szCs w:val="20"/>
          <w:color w:val="auto"/>
        </w:rPr>
      </w:pPr>
    </w:p>
    <w:p>
      <w:pPr>
        <w:ind w:left="820" w:hanging="488"/>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11">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with the Commission on March 11, 2022;</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12">
        <w:r>
          <w:rPr>
            <w:rFonts w:ascii="Times New Roman" w:cs="Times New Roman" w:eastAsia="Times New Roman" w:hAnsi="Times New Roman"/>
            <w:sz w:val="18"/>
            <w:szCs w:val="18"/>
            <w:u w:val="single" w:color="auto"/>
            <w:color w:val="0000FF"/>
          </w:rPr>
          <w:t>Quarterly Report on 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filed with the Commission on May 6, 2022;</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13">
        <w:r>
          <w:rPr>
            <w:rFonts w:ascii="Times New Roman" w:cs="Times New Roman" w:eastAsia="Times New Roman" w:hAnsi="Times New Roman"/>
            <w:sz w:val="18"/>
            <w:szCs w:val="18"/>
            <w:u w:val="single" w:color="auto"/>
            <w:color w:val="0000FF"/>
          </w:rPr>
          <w:t>March 4,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4">
        <w:r>
          <w:rPr>
            <w:rFonts w:ascii="Times New Roman" w:cs="Times New Roman" w:eastAsia="Times New Roman" w:hAnsi="Times New Roman"/>
            <w:sz w:val="18"/>
            <w:szCs w:val="18"/>
            <w:u w:val="single" w:color="auto"/>
            <w:color w:val="0000FF"/>
          </w:rPr>
          <w:t>May 26, 2022</w:t>
        </w:r>
      </w:hyperlink>
      <w:r>
        <w:rPr>
          <w:rFonts w:ascii="Times New Roman" w:cs="Times New Roman" w:eastAsia="Times New Roman" w:hAnsi="Times New Roman"/>
          <w:sz w:val="18"/>
          <w:szCs w:val="18"/>
          <w:color w:val="auto"/>
        </w:rPr>
        <w:t>; and</w:t>
      </w:r>
    </w:p>
    <w:p>
      <w:pPr>
        <w:spacing w:after="0" w:line="76" w:lineRule="exact"/>
        <w:rPr>
          <w:rFonts w:ascii="Times New Roman" w:cs="Times New Roman" w:eastAsia="Times New Roman" w:hAnsi="Times New Roman"/>
          <w:sz w:val="18"/>
          <w:szCs w:val="18"/>
          <w:color w:val="auto"/>
        </w:rPr>
      </w:pPr>
    </w:p>
    <w:p>
      <w:pPr>
        <w:ind w:left="820" w:right="240" w:hanging="488"/>
        <w:spacing w:after="0" w:line="263" w:lineRule="auto"/>
        <w:tabs>
          <w:tab w:leader="none" w:pos="81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common stock contained in the Registrant’s </w:t>
      </w:r>
      <w:hyperlink r:id="rId15">
        <w:r>
          <w:rPr>
            <w:rFonts w:ascii="Times New Roman" w:cs="Times New Roman" w:eastAsia="Times New Roman" w:hAnsi="Times New Roman"/>
            <w:sz w:val="17"/>
            <w:szCs w:val="17"/>
            <w:u w:val="single" w:color="auto"/>
            <w:color w:val="0000FF"/>
          </w:rPr>
          <w:t>Amendment No. 1 to Registration Statement on Form 8-A/A</w:t>
        </w:r>
      </w:hyperlink>
      <w:r>
        <w:rPr>
          <w:rFonts w:ascii="Times New Roman" w:cs="Times New Roman" w:eastAsia="Times New Roman" w:hAnsi="Times New Roman"/>
          <w:sz w:val="17"/>
          <w:szCs w:val="17"/>
          <w:color w:val="auto"/>
        </w:rPr>
        <w:t>, filed with the Commission on November 22, 2002, including any amendment or report filed for the purpose of updating such description.</w:t>
      </w:r>
    </w:p>
    <w:p>
      <w:pPr>
        <w:spacing w:after="0" w:line="112" w:lineRule="exact"/>
        <w:rPr>
          <w:rFonts w:ascii="Times New Roman" w:cs="Times New Roman" w:eastAsia="Times New Roman" w:hAnsi="Times New Roman"/>
          <w:sz w:val="18"/>
          <w:szCs w:val="18"/>
          <w:color w:val="auto"/>
        </w:rPr>
      </w:pPr>
    </w:p>
    <w:p>
      <w:pPr>
        <w:ind w:right="460" w:firstLine="180"/>
        <w:spacing w:after="0" w:line="222" w:lineRule="auto"/>
        <w:rPr>
          <w:sz w:val="20"/>
          <w:szCs w:val="20"/>
          <w:color w:val="auto"/>
        </w:rPr>
      </w:pPr>
      <w:r>
        <w:rPr>
          <w:rFonts w:ascii="Times New Roman" w:cs="Times New Roman" w:eastAsia="Times New Roman" w:hAnsi="Times New Roman"/>
          <w:sz w:val="18"/>
          <w:szCs w:val="18"/>
          <w:color w:val="auto"/>
        </w:rPr>
        <w:t>Except to the extent that information therein is deemed furnished and not filed pursuant to the Exchange Act, all documents filed by the Registrant pursuant to Sections 13(a), 13(c), 14 and 15(d) of the Exchange Act after the date hereof and prior to the filing of a post-effective amendment to this</w:t>
      </w:r>
    </w:p>
    <w:p>
      <w:pPr>
        <w:spacing w:after="0" w:line="2" w:lineRule="exact"/>
        <w:rPr>
          <w:rFonts w:ascii="Times New Roman" w:cs="Times New Roman" w:eastAsia="Times New Roman" w:hAnsi="Times New Roman"/>
          <w:sz w:val="18"/>
          <w:szCs w:val="18"/>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Registration Statement which indicates that all securities offered hereby have been sold or which deregisters all securities then remaining unsold, shall be deemed to be incorporated by reference herein and to be a part hereof from the date of filing of such documents. Any statements contained in a document incorporated or deemed to be incorporated by reference herein shall be deemed to be modified or replaced for purposes hereof to the extent that a statement</w:t>
      </w:r>
    </w:p>
    <w:p>
      <w:pPr>
        <w:spacing w:after="0" w:line="2" w:lineRule="exact"/>
        <w:rPr>
          <w:rFonts w:ascii="Times New Roman" w:cs="Times New Roman" w:eastAsia="Times New Roman" w:hAnsi="Times New Roman"/>
          <w:sz w:val="18"/>
          <w:szCs w:val="18"/>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contained herein (or in any other subsequently filed document which also is incorporated or deemed to be incorporated by reference herein) modifies or replaces such statement. Any statement so modified or replaced shall not be deemed, except as so modified or replaced, to constitute a part hereof.</w:t>
      </w:r>
    </w:p>
    <w:p>
      <w:pPr>
        <w:spacing w:after="0" w:line="184" w:lineRule="exact"/>
        <w:rPr>
          <w:rFonts w:ascii="Times New Roman" w:cs="Times New Roman" w:eastAsia="Times New Roman" w:hAnsi="Times New Roman"/>
          <w:sz w:val="18"/>
          <w:szCs w:val="18"/>
          <w:color w:val="auto"/>
        </w:rPr>
      </w:pPr>
    </w:p>
    <w:p>
      <w:pPr>
        <w:ind w:right="200" w:firstLine="180"/>
        <w:spacing w:after="0" w:line="250" w:lineRule="auto"/>
        <w:rPr>
          <w:sz w:val="20"/>
          <w:szCs w:val="20"/>
          <w:color w:val="auto"/>
        </w:rPr>
      </w:pPr>
      <w:r>
        <w:rPr>
          <w:rFonts w:ascii="Times New Roman" w:cs="Times New Roman" w:eastAsia="Times New Roman" w:hAnsi="Times New Roman"/>
          <w:sz w:val="18"/>
          <w:szCs w:val="18"/>
          <w:color w:val="auto"/>
        </w:rPr>
        <w:t>Notwithstanding the foregoing, information furnished under Items 2.02 and 7.01 of any Current Report on Form 8-K, including the related exhibits, is not incorporated by reference in this Registration Statement or the related prospectus.</w:t>
      </w:r>
    </w:p>
    <w:p>
      <w:pPr>
        <w:spacing w:after="0" w:line="172" w:lineRule="exact"/>
        <w:rPr>
          <w:rFonts w:ascii="Times New Roman" w:cs="Times New Roman" w:eastAsia="Times New Roman" w:hAnsi="Times New Roman"/>
          <w:sz w:val="18"/>
          <w:szCs w:val="18"/>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Description of Securities.</w:t>
      </w:r>
    </w:p>
    <w:p>
      <w:pPr>
        <w:spacing w:after="0" w:line="216" w:lineRule="exact"/>
        <w:rPr>
          <w:rFonts w:ascii="Times New Roman" w:cs="Times New Roman" w:eastAsia="Times New Roman" w:hAnsi="Times New Roman"/>
          <w:sz w:val="18"/>
          <w:szCs w:val="18"/>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Interests of Named Experts and Counsel.</w:t>
      </w:r>
    </w:p>
    <w:p>
      <w:pPr>
        <w:spacing w:after="0" w:line="216"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rFonts w:ascii="Times New Roman" w:cs="Times New Roman" w:eastAsia="Times New Roman" w:hAnsi="Times New Roman"/>
          <w:sz w:val="18"/>
          <w:szCs w:val="18"/>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Indemnification of Directors and Officers.</w:t>
      </w:r>
    </w:p>
    <w:p>
      <w:pPr>
        <w:spacing w:after="0" w:line="162" w:lineRule="exact"/>
        <w:rPr>
          <w:rFonts w:ascii="Times New Roman" w:cs="Times New Roman" w:eastAsia="Times New Roman" w:hAnsi="Times New Roman"/>
          <w:sz w:val="18"/>
          <w:szCs w:val="18"/>
          <w:color w:val="auto"/>
        </w:rPr>
      </w:pPr>
    </w:p>
    <w:p>
      <w:pPr>
        <w:ind w:right="60" w:firstLine="621"/>
        <w:spacing w:after="0" w:line="216" w:lineRule="auto"/>
        <w:rPr>
          <w:sz w:val="20"/>
          <w:szCs w:val="20"/>
          <w:color w:val="auto"/>
        </w:rPr>
      </w:pPr>
      <w:r>
        <w:rPr>
          <w:rFonts w:ascii="Times New Roman" w:cs="Times New Roman" w:eastAsia="Times New Roman" w:hAnsi="Times New Roman"/>
          <w:sz w:val="18"/>
          <w:szCs w:val="18"/>
          <w:color w:val="auto"/>
        </w:rPr>
        <w:t>Section 102(b)(7) of the General Corporation Law of the State of Delaware (“DGCL”), which is applicable to the Registrant, allows a corporation to include in its certificate of incorporation a provision that limits or eliminates the personal liability of directors of a corporation or its stockholders for monetary damages for a breach of a fiduciary duty as a director, except where the director breached his duty of loyalty, failed to act in good faith, engaged</w:t>
      </w:r>
    </w:p>
    <w:p>
      <w:pPr>
        <w:spacing w:after="0" w:line="1" w:lineRule="exact"/>
        <w:rPr>
          <w:rFonts w:ascii="Times New Roman" w:cs="Times New Roman" w:eastAsia="Times New Roman" w:hAnsi="Times New Roman"/>
          <w:sz w:val="18"/>
          <w:szCs w:val="18"/>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in intentional misconduct or knowingly violated a law, authorized the payment of a dividend or approved a stock repurchase or redemption in violation of Delaware corporate law or obtained an improper personal benefit.</w:t>
      </w:r>
    </w:p>
    <w:p>
      <w:pPr>
        <w:spacing w:after="0" w:line="130" w:lineRule="exact"/>
        <w:rPr>
          <w:rFonts w:ascii="Times New Roman" w:cs="Times New Roman" w:eastAsia="Times New Roman" w:hAnsi="Times New Roman"/>
          <w:sz w:val="18"/>
          <w:szCs w:val="18"/>
          <w:color w:val="auto"/>
        </w:rPr>
      </w:pPr>
    </w:p>
    <w:p>
      <w:pPr>
        <w:ind w:right="440" w:firstLine="441"/>
        <w:spacing w:after="0" w:line="229" w:lineRule="auto"/>
        <w:rPr>
          <w:sz w:val="20"/>
          <w:szCs w:val="20"/>
          <w:color w:val="auto"/>
        </w:rPr>
      </w:pPr>
      <w:r>
        <w:rPr>
          <w:rFonts w:ascii="Times New Roman" w:cs="Times New Roman" w:eastAsia="Times New Roman" w:hAnsi="Times New Roman"/>
          <w:sz w:val="17"/>
          <w:szCs w:val="17"/>
          <w:color w:val="auto"/>
        </w:rPr>
        <w:t>Section 145 of the DGCL authorizes a corporation to indemnify any person who was or is a party or is threatened to be made a party to any threatened, pending or completed action, suit or proceeding, other than an action by or in the right of the corporation, because such person is or was a director, officer, employee or agent of the corporation or is or was serving at the request of the corporation as a director, officer, employee or agent of</w:t>
      </w:r>
    </w:p>
    <w:p>
      <w:pPr>
        <w:ind w:right="120"/>
        <w:spacing w:after="0" w:line="220" w:lineRule="auto"/>
        <w:rPr>
          <w:sz w:val="20"/>
          <w:szCs w:val="20"/>
          <w:color w:val="auto"/>
        </w:rPr>
      </w:pPr>
      <w:r>
        <w:rPr>
          <w:rFonts w:ascii="Times New Roman" w:cs="Times New Roman" w:eastAsia="Times New Roman" w:hAnsi="Times New Roman"/>
          <w:sz w:val="17"/>
          <w:szCs w:val="17"/>
          <w:color w:val="auto"/>
        </w:rPr>
        <w:t>another corporation or other enterprise, against expenses, including attorneys’ fees, judgments, fines and amounts paid in settlement actually and reasonably incurred by him or her in connection with such suit or proceeding if he or she acted in good faith and in a manner he reasonably believed to be in or not opposed to the best interests of the corporation, and, with respect to any criminal action or proceeding, had no reason to believe his conduct was</w:t>
      </w:r>
    </w:p>
    <w:p>
      <w:pPr>
        <w:spacing w:after="0" w:line="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unlawful. Similar indemnity is authorized for such persons against expenses, including</w:t>
      </w: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200"/>
          </w:cols>
          <w:pgMar w:left="320" w:top="752"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attorneys’ fees, actually and reasonably incurred in defense or settlement of any such pending, completed or threatened action or suit by or in the right of</w:t>
      </w:r>
    </w:p>
    <w:p>
      <w:pPr>
        <w:spacing w:after="0" w:line="2" w:lineRule="exact"/>
        <w:rPr>
          <w:sz w:val="20"/>
          <w:szCs w:val="20"/>
          <w:color w:val="auto"/>
        </w:rPr>
      </w:pPr>
    </w:p>
    <w:p>
      <w:pPr>
        <w:jc w:val="both"/>
        <w:ind w:right="180"/>
        <w:spacing w:after="0" w:line="208" w:lineRule="auto"/>
        <w:rPr>
          <w:sz w:val="20"/>
          <w:szCs w:val="20"/>
          <w:color w:val="auto"/>
        </w:rPr>
      </w:pPr>
      <w:r>
        <w:rPr>
          <w:rFonts w:ascii="Times New Roman" w:cs="Times New Roman" w:eastAsia="Times New Roman" w:hAnsi="Times New Roman"/>
          <w:sz w:val="18"/>
          <w:szCs w:val="18"/>
          <w:color w:val="auto"/>
        </w:rPr>
        <w:t>the corporation if such person acted in good faith and in a manner he reasonably believed to be in or not opposed to the best interests of the corporation, and provided further that, unless a court of competent jurisdiction otherwise provides, such person shall not have been adjudged liable to the corporation. Any such indemnification may be made only as authorized in each specific case upon a determination by the stockholders or disinterested directors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is proper because the indemnitee has met the applicable standard of conduct.</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145 of the DGCL also authorizes a corporation to purchase and maintain insurance on behalf of any person who is or was a director, officer,</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The Registrant maintains insurance policies under which its</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directors and officers are insured, within the limits and subject to the limitations of the policies, against expenses in connection with the defense of actions, suits or proceedings, and certain liabilities that might be imposed as a result of such actions, suits or proceedings, to which they are parties by reason of being or having been a director or officer of the Registrant.</w:t>
      </w:r>
    </w:p>
    <w:p>
      <w:pPr>
        <w:spacing w:after="0" w:line="131" w:lineRule="exact"/>
        <w:rPr>
          <w:sz w:val="20"/>
          <w:szCs w:val="20"/>
          <w:color w:val="auto"/>
        </w:rPr>
      </w:pPr>
    </w:p>
    <w:p>
      <w:pPr>
        <w:ind w:right="220" w:firstLine="441"/>
        <w:spacing w:after="0" w:line="236" w:lineRule="auto"/>
        <w:rPr>
          <w:sz w:val="20"/>
          <w:szCs w:val="20"/>
          <w:color w:val="auto"/>
        </w:rPr>
      </w:pPr>
      <w:r>
        <w:rPr>
          <w:rFonts w:ascii="Times New Roman" w:cs="Times New Roman" w:eastAsia="Times New Roman" w:hAnsi="Times New Roman"/>
          <w:sz w:val="17"/>
          <w:szCs w:val="17"/>
          <w:color w:val="auto"/>
        </w:rPr>
        <w:t>The Registrant’s certificate of incorporation and bylaws provide that the Registrant will indemnify its directors and executive officers to the fullest extent provided by the DGCL and that any repeal or modification of such provisions will be prospective only and will not adversely affect the rights</w:t>
      </w:r>
    </w:p>
    <w:p>
      <w:pPr>
        <w:spacing w:after="0" w:line="220" w:lineRule="auto"/>
        <w:rPr>
          <w:sz w:val="20"/>
          <w:szCs w:val="20"/>
          <w:color w:val="auto"/>
        </w:rPr>
      </w:pPr>
      <w:r>
        <w:rPr>
          <w:rFonts w:ascii="Times New Roman" w:cs="Times New Roman" w:eastAsia="Times New Roman" w:hAnsi="Times New Roman"/>
          <w:sz w:val="17"/>
          <w:szCs w:val="17"/>
          <w:color w:val="auto"/>
        </w:rPr>
        <w:t>provided by the certificate of incorporation and bylaws in effect at the time of the alleged occurrence of any action or omission to act that is the cause of any proceeding against any agent of the Registrant. In addition, the Registrant’s bylaws provide that the Registrant is not required to indemnify any director or executive officer in connection with any proceeding initiated by such person unless the indemnification is expressly required to be made by law,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proceeding was authorized by the Board of Directors of the Registrant, such indemnification is provided by the Registrant, in its sole discretion, pursuant to the DGCL or any other applicable law. The Registrant’s bylaws further provide that the Registrant may modify the extent of indemnification of its directors and executive officers by individual contract.</w:t>
      </w:r>
    </w:p>
    <w:p>
      <w:pPr>
        <w:spacing w:after="0" w:line="1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Exhibits.</w:t>
      </w:r>
    </w:p>
    <w:p>
      <w:pPr>
        <w:spacing w:after="0" w:line="216" w:lineRule="exact"/>
        <w:rPr>
          <w:sz w:val="20"/>
          <w:szCs w:val="20"/>
          <w:color w:val="auto"/>
        </w:rPr>
      </w:pPr>
    </w:p>
    <w:p>
      <w:pPr>
        <w:ind w:left="420" w:right="280" w:hanging="647"/>
        <w:spacing w:after="0" w:line="237" w:lineRule="auto"/>
        <w:tabs>
          <w:tab w:leader="none" w:pos="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6">
        <w:r>
          <w:rPr>
            <w:rFonts w:ascii="Times New Roman" w:cs="Times New Roman" w:eastAsia="Times New Roman" w:hAnsi="Times New Roman"/>
            <w:sz w:val="18"/>
            <w:szCs w:val="18"/>
            <w:u w:val="single" w:color="auto"/>
            <w:color w:val="0000FF"/>
          </w:rPr>
          <w:t xml:space="preserve">Restated Certificate of Incorporation of NN,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by reference to Exhibit 3.1 of NN, Inc.’s Registration Statement No. 333-89950 on</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Form S-3 filed June 6, 2002).</w:t>
      </w:r>
    </w:p>
    <w:p>
      <w:pPr>
        <w:spacing w:after="0" w:line="199" w:lineRule="exact"/>
        <w:rPr>
          <w:sz w:val="20"/>
          <w:szCs w:val="20"/>
          <w:color w:val="auto"/>
        </w:rPr>
      </w:pPr>
    </w:p>
    <w:p>
      <w:pPr>
        <w:ind w:left="420" w:right="80" w:hanging="647"/>
        <w:spacing w:after="0" w:line="237" w:lineRule="auto"/>
        <w:tabs>
          <w:tab w:leader="none" w:pos="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7">
        <w:r>
          <w:rPr>
            <w:rFonts w:ascii="Times New Roman" w:cs="Times New Roman" w:eastAsia="Times New Roman" w:hAnsi="Times New Roman"/>
            <w:sz w:val="18"/>
            <w:szCs w:val="18"/>
            <w:u w:val="single" w:color="auto"/>
            <w:color w:val="0000FF"/>
          </w:rPr>
          <w:t xml:space="preserve">Certificate of Amendment of Restated Certificate of Incorporation of NN,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by reference to Exhibit 3.1 to NN, Inc.’s Current Report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on Form 8-K filed on May 20, 2019).</w:t>
      </w:r>
    </w:p>
    <w:p>
      <w:pPr>
        <w:spacing w:after="0" w:line="185" w:lineRule="exact"/>
        <w:rPr>
          <w:sz w:val="20"/>
          <w:szCs w:val="20"/>
          <w:color w:val="auto"/>
        </w:rPr>
      </w:pPr>
    </w:p>
    <w:p>
      <w:pPr>
        <w:spacing w:after="0"/>
        <w:tabs>
          <w:tab w:leader="none" w:pos="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18">
        <w:r>
          <w:rPr>
            <w:rFonts w:ascii="Times New Roman" w:cs="Times New Roman" w:eastAsia="Times New Roman" w:hAnsi="Times New Roman"/>
            <w:sz w:val="17"/>
            <w:szCs w:val="17"/>
            <w:u w:val="single" w:color="auto"/>
            <w:color w:val="0000FF"/>
          </w:rPr>
          <w:t xml:space="preserve">Certificate of Amendment of Restated Certificate of Incorporation of NN, Inc.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by reference to Exhibit 3.2 to NN, Inc.’s Current Report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Form 8-K filed on May 20, 2019).</w:t>
      </w:r>
    </w:p>
    <w:p>
      <w:pPr>
        <w:spacing w:after="0" w:line="180" w:lineRule="exact"/>
        <w:rPr>
          <w:sz w:val="20"/>
          <w:szCs w:val="20"/>
          <w:color w:val="auto"/>
        </w:rPr>
      </w:pPr>
    </w:p>
    <w:p>
      <w:pPr>
        <w:spacing w:after="0"/>
        <w:tabs>
          <w:tab w:leader="none" w:pos="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19">
        <w:r>
          <w:rPr>
            <w:rFonts w:ascii="Times New Roman" w:cs="Times New Roman" w:eastAsia="Times New Roman" w:hAnsi="Times New Roman"/>
            <w:sz w:val="17"/>
            <w:szCs w:val="17"/>
            <w:u w:val="single" w:color="auto"/>
            <w:color w:val="0000FF"/>
          </w:rPr>
          <w:t xml:space="preserve">Amended and Restated Bylaws of NN, Inc.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by reference to Exhibit 3.1 to NN, Inc.’s Current Report on Form 8-K filed on November</w:t>
      </w:r>
    </w:p>
    <w:p>
      <w:pPr>
        <w:ind w:left="660"/>
        <w:spacing w:after="0"/>
        <w:rPr>
          <w:sz w:val="20"/>
          <w:szCs w:val="20"/>
          <w:color w:val="auto"/>
        </w:rPr>
      </w:pPr>
      <w:r>
        <w:rPr>
          <w:rFonts w:ascii="Times New Roman" w:cs="Times New Roman" w:eastAsia="Times New Roman" w:hAnsi="Times New Roman"/>
          <w:sz w:val="18"/>
          <w:szCs w:val="18"/>
          <w:color w:val="auto"/>
        </w:rPr>
        <w:t>20, 2015).</w:t>
      </w:r>
    </w:p>
    <w:p>
      <w:pPr>
        <w:spacing w:after="0" w:line="192" w:lineRule="exact"/>
        <w:rPr>
          <w:sz w:val="20"/>
          <w:szCs w:val="20"/>
          <w:color w:val="auto"/>
        </w:rPr>
      </w:pPr>
    </w:p>
    <w:p>
      <w:pPr>
        <w:ind w:left="420" w:right="240" w:hanging="647"/>
        <w:spacing w:after="0" w:line="250" w:lineRule="auto"/>
        <w:tabs>
          <w:tab w:leader="none" w:pos="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20">
        <w:r>
          <w:rPr>
            <w:rFonts w:ascii="Times New Roman" w:cs="Times New Roman" w:eastAsia="Times New Roman" w:hAnsi="Times New Roman"/>
            <w:sz w:val="18"/>
            <w:szCs w:val="18"/>
            <w:u w:val="single" w:color="auto"/>
            <w:color w:val="0000FF"/>
          </w:rPr>
          <w:t xml:space="preserve">Amendment to the Amended and Restated Bylaws of NN,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by reference to Exhibit 3.3 to NN, Inc.’s Current Report on Form 8-K</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on May 20, 2019).</w:t>
      </w:r>
    </w:p>
    <w:p>
      <w:pPr>
        <w:spacing w:after="0" w:line="176" w:lineRule="exact"/>
        <w:rPr>
          <w:sz w:val="20"/>
          <w:szCs w:val="20"/>
          <w:color w:val="auto"/>
        </w:rPr>
      </w:pPr>
    </w:p>
    <w:p>
      <w:pPr>
        <w:ind w:left="420" w:right="280" w:hanging="647"/>
        <w:spacing w:after="0" w:line="237" w:lineRule="auto"/>
        <w:tabs>
          <w:tab w:leader="none" w:pos="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w:t>
      </w:r>
      <w:r>
        <w:rPr>
          <w:sz w:val="20"/>
          <w:szCs w:val="20"/>
          <w:color w:val="auto"/>
        </w:rPr>
        <w:tab/>
      </w:r>
      <w:hyperlink r:id="rId21">
        <w:r>
          <w:rPr>
            <w:rFonts w:ascii="Times New Roman" w:cs="Times New Roman" w:eastAsia="Times New Roman" w:hAnsi="Times New Roman"/>
            <w:sz w:val="18"/>
            <w:szCs w:val="18"/>
            <w:u w:val="single" w:color="auto"/>
            <w:color w:val="0000FF"/>
          </w:rPr>
          <w:t xml:space="preserve">The specimen stock certificate representing NN, Inc.’s Common Stock, par value $0.01 per share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by reference to Exhibit 4.1 of NN,</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Inc.’s Registration Statement No. 333-89950 on Form S-3 filed on June 6, 2002).</w:t>
      </w:r>
    </w:p>
    <w:p>
      <w:pPr>
        <w:spacing w:after="0" w:line="19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FF"/>
        </w:rPr>
        <w:t>Opinion of Bass, Berry &amp; Sims PLC.</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Grant Thornton LLP, Independent Registered Public Accounting Firm.</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FF"/>
        </w:rPr>
        <w:t>Consent of PricewaterhouseCoopers LLP, Independent Registered Public Accounting Firm.</w:t>
      </w:r>
    </w:p>
    <w:p>
      <w:pPr>
        <w:spacing w:after="0" w:line="22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u w:val="single" w:color="auto"/>
          <w:color w:val="0000FF"/>
        </w:rPr>
        <w:t>Consent of Bass, Berry &amp; Sims PLC (included in Exhibit 5.1).</w:t>
      </w:r>
    </w:p>
    <w:p>
      <w:pPr>
        <w:spacing w:after="0" w:line="21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FF"/>
        </w:rPr>
        <w:t>Power of Attorney (included on signature page hereto).</w:t>
      </w:r>
    </w:p>
    <w:p>
      <w:pPr>
        <w:spacing w:after="0" w:line="212" w:lineRule="exact"/>
        <w:rPr>
          <w:sz w:val="20"/>
          <w:szCs w:val="20"/>
          <w:color w:val="auto"/>
        </w:rPr>
      </w:pPr>
    </w:p>
    <w:p>
      <w:pPr>
        <w:ind w:left="500" w:right="180" w:hanging="647"/>
        <w:spacing w:after="0" w:line="250" w:lineRule="auto"/>
        <w:tabs>
          <w:tab w:leader="none" w:pos="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r:id="rId22">
        <w:r>
          <w:rPr>
            <w:rFonts w:ascii="Times New Roman" w:cs="Times New Roman" w:eastAsia="Times New Roman" w:hAnsi="Times New Roman"/>
            <w:sz w:val="18"/>
            <w:szCs w:val="18"/>
            <w:u w:val="single" w:color="auto"/>
            <w:color w:val="0000FF"/>
          </w:rPr>
          <w:t xml:space="preserve">NN, Inc. 2022 Omnibus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by reference to Appendix A to NN, Inc.’s Definitive Proxy Statement on Schedule 14A filed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with the Securities and Exchange Commission on April 15, 2022).</w:t>
      </w:r>
    </w:p>
    <w:p>
      <w:pPr>
        <w:spacing w:after="0" w:line="1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u w:val="single" w:color="auto"/>
          <w:color w:val="0000FF"/>
        </w:rPr>
        <w:t>Filing Fee Table.</w:t>
      </w:r>
    </w:p>
    <w:p>
      <w:pPr>
        <w:spacing w:after="0" w:line="21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Undertakings.</w:t>
      </w:r>
    </w:p>
    <w:p>
      <w:pPr>
        <w:spacing w:after="0" w:line="216" w:lineRule="exact"/>
        <w:rPr>
          <w:sz w:val="20"/>
          <w:szCs w:val="20"/>
          <w:color w:val="auto"/>
        </w:rPr>
      </w:pPr>
    </w:p>
    <w:p>
      <w:pPr>
        <w:ind w:left="660"/>
        <w:spacing w:after="0"/>
        <w:tabs>
          <w:tab w:leader="none" w:pos="1000" w:val="left"/>
        </w:tabs>
        <w:rPr>
          <w:sz w:val="20"/>
          <w:szCs w:val="20"/>
          <w:color w:val="auto"/>
        </w:rPr>
      </w:pPr>
      <w:r>
        <w:rPr>
          <w:rFonts w:ascii="Times New Roman" w:cs="Times New Roman" w:eastAsia="Times New Roman" w:hAnsi="Times New Roman"/>
          <w:sz w:val="18"/>
          <w:szCs w:val="18"/>
          <w:color w:val="auto"/>
        </w:rPr>
        <w:t>(a)</w:t>
        <w:tab/>
        <w:t>The undersigned Registrant hereby undertakes:</w:t>
      </w:r>
    </w:p>
    <w:p>
      <w:pPr>
        <w:sectPr>
          <w:pgSz w:w="11900" w:h="16838" w:orient="portrait"/>
          <w:cols w:equalWidth="0" w:num="1">
            <w:col w:w="11220"/>
          </w:cols>
          <w:pgMar w:left="320" w:top="931"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- 3 -</w:t>
      </w:r>
    </w:p>
    <w:p>
      <w:pPr>
        <w:sectPr>
          <w:pgSz w:w="11900" w:h="16838" w:orient="portrait"/>
          <w:cols w:equalWidth="0" w:num="1">
            <w:col w:w="11220"/>
          </w:cols>
          <w:pgMar w:left="320" w:top="931" w:right="359" w:bottom="1440" w:gutter="0" w:footer="0" w:header="0"/>
          <w:type w:val="continuous"/>
        </w:sectPr>
      </w:pPr>
    </w:p>
    <w:bookmarkStart w:id="3" w:name="page4"/>
    <w:bookmarkEnd w:id="3"/>
    <w:p>
      <w:pPr>
        <w:ind w:left="1560" w:hanging="256"/>
        <w:spacing w:after="0"/>
        <w:tabs>
          <w:tab w:leader="none" w:pos="1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1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right="40" w:firstLine="1952"/>
        <w:spacing w:after="0" w:line="217" w:lineRule="auto"/>
        <w:tabs>
          <w:tab w:leader="none" w:pos="220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0" w:lineRule="exact"/>
        <w:rPr>
          <w:rFonts w:ascii="Times New Roman" w:cs="Times New Roman" w:eastAsia="Times New Roman" w:hAnsi="Times New Roman"/>
          <w:sz w:val="18"/>
          <w:szCs w:val="18"/>
          <w:color w:val="auto"/>
        </w:rPr>
      </w:pPr>
    </w:p>
    <w:p>
      <w:pPr>
        <w:ind w:right="480" w:firstLine="1952"/>
        <w:spacing w:after="0" w:line="237" w:lineRule="auto"/>
        <w:tabs>
          <w:tab w:leader="none" w:pos="225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p>
    <w:p>
      <w:pPr>
        <w:spacing w:after="0" w:line="4"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paragraphs is contained in reports filed with or furnished to the Commission by the Registrant pursuant to Section 13 or 15(d) of the Securities Exchange Act of 1934 that are incorporated by reference in the registration statement.</w:t>
      </w:r>
    </w:p>
    <w:p>
      <w:pPr>
        <w:spacing w:after="0" w:line="184" w:lineRule="exact"/>
        <w:rPr>
          <w:sz w:val="20"/>
          <w:szCs w:val="20"/>
          <w:color w:val="auto"/>
        </w:rPr>
      </w:pPr>
    </w:p>
    <w:p>
      <w:pPr>
        <w:ind w:right="60" w:firstLine="1304"/>
        <w:spacing w:after="0" w:line="231" w:lineRule="auto"/>
        <w:tabs>
          <w:tab w:leader="none" w:pos="155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85" w:lineRule="exact"/>
        <w:rPr>
          <w:rFonts w:ascii="Times New Roman" w:cs="Times New Roman" w:eastAsia="Times New Roman" w:hAnsi="Times New Roman"/>
          <w:sz w:val="18"/>
          <w:szCs w:val="18"/>
          <w:color w:val="auto"/>
        </w:rPr>
      </w:pPr>
    </w:p>
    <w:p>
      <w:pPr>
        <w:ind w:firstLine="1304"/>
        <w:spacing w:after="0" w:line="250" w:lineRule="auto"/>
        <w:tabs>
          <w:tab w:leader="none" w:pos="155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76" w:lineRule="exact"/>
        <w:rPr>
          <w:rFonts w:ascii="Times New Roman" w:cs="Times New Roman" w:eastAsia="Times New Roman" w:hAnsi="Times New Roman"/>
          <w:sz w:val="18"/>
          <w:szCs w:val="18"/>
          <w:color w:val="auto"/>
        </w:rPr>
      </w:pPr>
    </w:p>
    <w:p>
      <w:pPr>
        <w:ind w:right="20" w:firstLine="656"/>
        <w:spacing w:after="0" w:line="220"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98" w:lineRule="exact"/>
        <w:rPr>
          <w:rFonts w:ascii="Times New Roman" w:cs="Times New Roman" w:eastAsia="Times New Roman" w:hAnsi="Times New Roman"/>
          <w:sz w:val="18"/>
          <w:szCs w:val="18"/>
          <w:color w:val="auto"/>
        </w:rPr>
      </w:pPr>
    </w:p>
    <w:p>
      <w:pPr>
        <w:ind w:right="160" w:firstLine="656"/>
        <w:spacing w:after="0" w:line="215" w:lineRule="auto"/>
        <w:tabs>
          <w:tab w:leader="none" w:pos="8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3"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240"/>
          </w:cols>
          <w:pgMar w:left="320" w:top="99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w:t>
      </w:r>
    </w:p>
    <w:p>
      <w:pPr>
        <w:spacing w:after="0" w:line="2" w:lineRule="exact"/>
        <w:rPr>
          <w:sz w:val="20"/>
          <w:szCs w:val="20"/>
          <w:color w:val="auto"/>
        </w:rPr>
      </w:pPr>
    </w:p>
    <w:p>
      <w:pPr>
        <w:ind w:right="99"/>
        <w:spacing w:after="0" w:line="218" w:lineRule="auto"/>
        <w:rPr>
          <w:sz w:val="20"/>
          <w:szCs w:val="20"/>
          <w:color w:val="auto"/>
        </w:rPr>
      </w:pPr>
      <w:r>
        <w:rPr>
          <w:rFonts w:ascii="Times New Roman" w:cs="Times New Roman" w:eastAsia="Times New Roman" w:hAnsi="Times New Roman"/>
          <w:sz w:val="18"/>
          <w:szCs w:val="18"/>
          <w:color w:val="auto"/>
        </w:rPr>
        <w:t>believe that it meets all of the requirements for filing on Form S-8 and has duly caused this Registration Statement to be signed on its behalf by the undersigned, thereunto duly authorized, in the City of Charlotte, State of North Carolina, on June 29, 2022.</w:t>
      </w:r>
    </w:p>
    <w:p>
      <w:pPr>
        <w:spacing w:after="0" w:line="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24" w:lineRule="exact"/>
        <w:rPr>
          <w:sz w:val="20"/>
          <w:szCs w:val="20"/>
          <w:color w:val="auto"/>
        </w:rPr>
      </w:pPr>
    </w:p>
    <w:p>
      <w:pPr>
        <w:ind w:left="4540"/>
        <w:spacing w:after="0"/>
        <w:tabs>
          <w:tab w:leader="none" w:pos="5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17145</wp:posOffset>
            </wp:positionV>
            <wp:extent cx="2494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Warren A. Veltman</w:t>
      </w:r>
    </w:p>
    <w:p>
      <w:pPr>
        <w:spacing w:after="0" w:line="5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83" w:lineRule="exact"/>
        <w:rPr>
          <w:sz w:val="20"/>
          <w:szCs w:val="20"/>
          <w:color w:val="auto"/>
        </w:rPr>
      </w:pPr>
    </w:p>
    <w:p>
      <w:pPr>
        <w:ind w:right="119" w:firstLine="648"/>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KNOW ALL MEN BY THESE PRESENTS, </w:t>
      </w:r>
      <w:r>
        <w:rPr>
          <w:rFonts w:ascii="Times New Roman" w:cs="Times New Roman" w:eastAsia="Times New Roman" w:hAnsi="Times New Roman"/>
          <w:sz w:val="17"/>
          <w:szCs w:val="17"/>
          <w:color w:val="auto"/>
        </w:rPr>
        <w:t>each person whose signature appears below hereby constitutes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appoints Warren A. Veltman, Michael C. Felcher, and Matthew S. Heiter, and each of them, as his or her true and lawful</w:t>
      </w:r>
    </w:p>
    <w:p>
      <w:pPr>
        <w:spacing w:after="0" w:line="1" w:lineRule="exact"/>
        <w:rPr>
          <w:sz w:val="20"/>
          <w:szCs w:val="20"/>
          <w:color w:val="auto"/>
        </w:rPr>
      </w:pPr>
    </w:p>
    <w:p>
      <w:pPr>
        <w:ind w:right="159"/>
        <w:spacing w:after="0" w:line="219" w:lineRule="auto"/>
        <w:rPr>
          <w:sz w:val="20"/>
          <w:szCs w:val="20"/>
          <w:color w:val="auto"/>
        </w:rPr>
      </w:pPr>
      <w:r>
        <w:rPr>
          <w:rFonts w:ascii="Times New Roman" w:cs="Times New Roman" w:eastAsia="Times New Roman" w:hAnsi="Times New Roman"/>
          <w:sz w:val="18"/>
          <w:szCs w:val="18"/>
          <w:color w:val="auto"/>
        </w:rPr>
        <w:t>attorneys-in-fact and agents, with full power of substitution and resubstitution, for him or her and in his or her name, place, and stead, in any and all capacities, to sign any and all amendments (including post-effective amendments) to this</w:t>
      </w:r>
    </w:p>
    <w:p>
      <w:pPr>
        <w:ind w:right="79"/>
        <w:spacing w:after="0" w:line="219" w:lineRule="auto"/>
        <w:rPr>
          <w:sz w:val="20"/>
          <w:szCs w:val="20"/>
          <w:color w:val="auto"/>
        </w:rPr>
      </w:pPr>
      <w:r>
        <w:rPr>
          <w:rFonts w:ascii="Times New Roman" w:cs="Times New Roman" w:eastAsia="Times New Roman" w:hAnsi="Times New Roman"/>
          <w:sz w:val="18"/>
          <w:szCs w:val="18"/>
          <w:color w:val="auto"/>
        </w:rPr>
        <w:t>Registration Statement, and to file the same, with all exhibits thereto, and other documents in connection therewith, with the Securities and Exchange Commission, granting unto said attorneys-in-fact and agents, and each of them, full power and</w:t>
      </w:r>
    </w:p>
    <w:p>
      <w:pPr>
        <w:ind w:right="99"/>
        <w:spacing w:after="0" w:line="218" w:lineRule="auto"/>
        <w:rPr>
          <w:sz w:val="20"/>
          <w:szCs w:val="20"/>
          <w:color w:val="auto"/>
        </w:rPr>
      </w:pPr>
      <w:r>
        <w:rPr>
          <w:rFonts w:ascii="Times New Roman" w:cs="Times New Roman" w:eastAsia="Times New Roman" w:hAnsi="Times New Roman"/>
          <w:sz w:val="18"/>
          <w:szCs w:val="18"/>
          <w:color w:val="auto"/>
        </w:rPr>
        <w:t>authority to do and perform each and every act and thing requisite and necessary, as fully to all intents and purposes as he or she might or could do in person, hereby ratifying and confirming all that said attorneys-in-fact and agents or his or her substitute or substitutes, may lawfully do or cause to be done by virtue hereof.</w:t>
      </w:r>
    </w:p>
    <w:p>
      <w:pPr>
        <w:spacing w:after="0" w:line="280" w:lineRule="exact"/>
        <w:rPr>
          <w:sz w:val="20"/>
          <w:szCs w:val="20"/>
          <w:color w:val="auto"/>
        </w:rPr>
      </w:pPr>
    </w:p>
    <w:p>
      <w:pPr>
        <w:ind w:right="499"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9039"/>
          </w:cols>
          <w:pgMar w:left="1420" w:top="752" w:right="1440" w:bottom="1440" w:gutter="0" w:footer="0" w:header="0"/>
        </w:sectPr>
      </w:pPr>
    </w:p>
    <w:p>
      <w:pPr>
        <w:spacing w:after="0" w:line="384" w:lineRule="exact"/>
        <w:rPr>
          <w:sz w:val="20"/>
          <w:szCs w:val="20"/>
          <w:color w:val="auto"/>
        </w:rPr>
      </w:pPr>
    </w:p>
    <w:p>
      <w:pPr>
        <w:ind w:left="440"/>
        <w:spacing w:after="0"/>
        <w:tabs>
          <w:tab w:leader="none" w:pos="5400" w:val="left"/>
        </w:tabs>
        <w:rPr>
          <w:sz w:val="20"/>
          <w:szCs w:val="20"/>
          <w:color w:val="auto"/>
        </w:rPr>
      </w:pPr>
      <w:r>
        <w:rPr>
          <w:rFonts w:ascii="Times New Roman" w:cs="Times New Roman" w:eastAsia="Times New Roman" w:hAnsi="Times New Roman"/>
          <w:sz w:val="18"/>
          <w:szCs w:val="18"/>
          <w:b w:val="1"/>
          <w:bCs w:val="1"/>
          <w:u w:val="single" w:color="auto"/>
          <w:color w:val="auto"/>
        </w:rPr>
        <w:t>Name and Signature</w:t>
      </w:r>
      <w:r>
        <w:rPr>
          <w:sz w:val="20"/>
          <w:szCs w:val="20"/>
          <w:color w:val="auto"/>
        </w:rPr>
        <w:tab/>
      </w:r>
      <w:r>
        <w:rPr>
          <w:rFonts w:ascii="Times New Roman" w:cs="Times New Roman" w:eastAsia="Times New Roman" w:hAnsi="Times New Roman"/>
          <w:sz w:val="16"/>
          <w:szCs w:val="16"/>
          <w:b w:val="1"/>
          <w:bCs w:val="1"/>
          <w:u w:val="single" w:color="auto"/>
          <w:color w:val="auto"/>
        </w:rPr>
        <w:t>Title</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Date</w:t>
      </w:r>
    </w:p>
    <w:p>
      <w:pPr>
        <w:spacing w:after="0" w:line="40" w:lineRule="exact"/>
        <w:rPr>
          <w:sz w:val="20"/>
          <w:szCs w:val="20"/>
          <w:color w:val="auto"/>
        </w:rPr>
      </w:pPr>
    </w:p>
    <w:p>
      <w:pPr>
        <w:sectPr>
          <w:pgSz w:w="11900" w:h="16838" w:orient="portrait"/>
          <w:cols w:equalWidth="0" w:num="2">
            <w:col w:w="7260" w:space="720"/>
            <w:col w:w="1059"/>
          </w:cols>
          <w:pgMar w:left="1420" w:top="752" w:right="1440" w:bottom="1440" w:gutter="0" w:footer="0" w:header="0"/>
          <w:type w:val="continuous"/>
        </w:sectPr>
      </w:pPr>
    </w:p>
    <w:p>
      <w:pPr>
        <w:spacing w:after="0" w:line="27"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Warren A. Veltman</w:t>
      </w:r>
    </w:p>
    <w:p>
      <w:pPr>
        <w:spacing w:after="0" w:line="27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Michael C. Felcher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Michael C. Felcher</w:t>
      </w:r>
    </w:p>
    <w:p>
      <w:pPr>
        <w:spacing w:after="0" w:line="27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Jeri J. Harman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Jeri J. Harman</w:t>
      </w:r>
    </w:p>
    <w:p>
      <w:pPr>
        <w:spacing w:after="0" w:line="21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/s/ Raynard D. Benvenuti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41"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Raynard D. Benvenuti</w:t>
      </w:r>
    </w:p>
    <w:p>
      <w:pPr>
        <w:spacing w:after="0" w:line="27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Robert E.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577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Robert E. Brunner</w:t>
      </w:r>
    </w:p>
    <w:p>
      <w:pPr>
        <w:spacing w:after="0" w:line="27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Christina E.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5773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Christina E. Carroll</w:t>
      </w:r>
    </w:p>
    <w:p>
      <w:pPr>
        <w:spacing w:after="0" w:line="27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João Faria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5773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João Faria</w:t>
      </w:r>
    </w:p>
    <w:p>
      <w:pPr>
        <w:spacing w:after="0" w:line="21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/s/ Rajeev Gautam,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15773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41"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Rajeev Gautam, Ph.D.</w:t>
      </w:r>
    </w:p>
    <w:p>
      <w:pPr>
        <w:spacing w:after="0" w:line="21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Shihab Kuran,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5773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Shihab Kuran, Ph.D.</w:t>
      </w:r>
    </w:p>
    <w:p>
      <w:pPr>
        <w:spacing w:after="0" w:line="27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Tom H. Wilson,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5773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Tom H. Wilson, Jr.</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18"/>
          <w:szCs w:val="18"/>
          <w:color w:val="auto"/>
        </w:rPr>
        <w:t>President, Chief Executive Officer and Director (Principal Executive Officer)</w:t>
      </w:r>
    </w:p>
    <w:p>
      <w:pPr>
        <w:spacing w:after="0" w:line="334" w:lineRule="exact"/>
        <w:rPr>
          <w:sz w:val="20"/>
          <w:szCs w:val="20"/>
          <w:color w:val="auto"/>
        </w:rPr>
      </w:pPr>
    </w:p>
    <w:p>
      <w:pPr>
        <w:ind w:right="440"/>
        <w:spacing w:after="0" w:line="263" w:lineRule="auto"/>
        <w:rPr>
          <w:sz w:val="20"/>
          <w:szCs w:val="20"/>
          <w:color w:val="auto"/>
        </w:rPr>
      </w:pPr>
      <w:r>
        <w:rPr>
          <w:rFonts w:ascii="Times New Roman" w:cs="Times New Roman" w:eastAsia="Times New Roman" w:hAnsi="Times New Roman"/>
          <w:sz w:val="17"/>
          <w:szCs w:val="17"/>
          <w:color w:val="auto"/>
        </w:rPr>
        <w:t>Senior Vice President and Chief Financial Officer (Principal Financial Officer and Accounting Officer)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Chairman,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June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2022</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2022</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2022</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2022</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2022</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2022</w:t>
      </w:r>
    </w:p>
    <w:p>
      <w:pPr>
        <w:spacing w:after="0" w:line="238" w:lineRule="exact"/>
        <w:rPr>
          <w:sz w:val="20"/>
          <w:szCs w:val="20"/>
          <w:color w:val="auto"/>
        </w:rPr>
      </w:pPr>
    </w:p>
    <w:p>
      <w:pPr>
        <w:sectPr>
          <w:pgSz w:w="11900" w:h="16838" w:orient="portrait"/>
          <w:cols w:equalWidth="0" w:num="3">
            <w:col w:w="2140" w:space="560"/>
            <w:col w:w="4240" w:space="720"/>
            <w:col w:w="1379"/>
          </w:cols>
          <w:pgMar w:left="1420" w:top="752" w:right="1440"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- 5 -</w:t>
      </w:r>
    </w:p>
    <w:p>
      <w:pPr>
        <w:sectPr>
          <w:pgSz w:w="11900" w:h="16838" w:orient="portrait"/>
          <w:cols w:equalWidth="0" w:num="1">
            <w:col w:w="9039"/>
          </w:cols>
          <w:pgMar w:left="1420" w:top="752" w:right="1440"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391160</wp:posOffset>
            </wp:positionV>
            <wp:extent cx="21431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214312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Tower at Peabody Place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 Peabody Place, Suite 1300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Memphis, Tennessee 38103</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(901) 543-5900</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29,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6210 Ardrey Kell Road</w:t>
      </w:r>
    </w:p>
    <w:p>
      <w:pPr>
        <w:spacing w:after="0"/>
        <w:rPr>
          <w:sz w:val="20"/>
          <w:szCs w:val="20"/>
          <w:color w:val="auto"/>
        </w:rPr>
      </w:pPr>
      <w:r>
        <w:rPr>
          <w:rFonts w:ascii="Times New Roman" w:cs="Times New Roman" w:eastAsia="Times New Roman" w:hAnsi="Times New Roman"/>
          <w:sz w:val="18"/>
          <w:szCs w:val="18"/>
          <w:color w:val="auto"/>
        </w:rPr>
        <w:t>Charlotte, North Carolina 28277</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Registration Statement on Form S-8 relating to the NN, Inc. 2022 Omnibus Incentive Plan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acted as counsel to NN,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of a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relating to 3,700,000 shares of Company’s common stock, par value $0.01 per share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available for issuance pursuant to the NN, Inc. 2022 Omnibus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such records, documents, certificates, and other instruments as we have deemed necessary or appropriate in order to express the opinions hereinafter set forth. We have also assumed the legal capacity of all natural persons, the genuineness of all signatures, the authenticity of all documents submitted to us as originals, the conformity to original documents of all documents submitted to us as copies, the authenticity of the originals of such latter documents, the legal competence of all signatories to such documents, and, except to the extent we express an opinion as to due authorization in the next paragraph of this letter, the due authorization, execution and delivery of all documents by the parties thereto. As to various questions of fact relevant to the opinion expressed herein, we have relied upon, and assume the accuracy of, certificates and oral or written statements and other information of or from public officials and officers and representatives of the Company.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and subject to the qualifications, assumptions and limitations set forth herein, we are of the opinion that:</w:t>
      </w:r>
    </w:p>
    <w:p>
      <w:pPr>
        <w:spacing w:after="0" w:line="171" w:lineRule="exact"/>
        <w:rPr>
          <w:sz w:val="20"/>
          <w:szCs w:val="20"/>
          <w:color w:val="auto"/>
        </w:rPr>
      </w:pPr>
    </w:p>
    <w:p>
      <w:pPr>
        <w:ind w:right="540" w:firstLine="656"/>
        <w:spacing w:after="0" w:line="282"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and existing under and by virtue of the laws of the State of Delaware and in good standing with the Secretary of State of the State of Delaware; and</w:t>
      </w:r>
    </w:p>
    <w:p>
      <w:pPr>
        <w:spacing w:after="0" w:line="107" w:lineRule="exact"/>
        <w:rPr>
          <w:rFonts w:ascii="Times New Roman" w:cs="Times New Roman" w:eastAsia="Times New Roman" w:hAnsi="Times New Roman"/>
          <w:sz w:val="18"/>
          <w:szCs w:val="18"/>
          <w:color w:val="auto"/>
        </w:rPr>
      </w:pPr>
    </w:p>
    <w:p>
      <w:pPr>
        <w:ind w:right="280" w:firstLine="656"/>
        <w:spacing w:after="0" w:line="282" w:lineRule="auto"/>
        <w:tabs>
          <w:tab w:leader="none" w:pos="12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issuable in connection with the Plan have been duly authorized and, when issued in accordance with the terms of the Plan, will be validly issued, fully paid and non-assessable.</w:t>
      </w:r>
    </w:p>
    <w:p>
      <w:pPr>
        <w:spacing w:after="0" w:line="10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opinions expressed above are limited to the General Corporation Law of the State of Delaware (which includes applicable provisions of the Delaware Constitution and reported judicial decisions interpreting the General Corporation Law of the State of Delaware and the Delaware Constitution).</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as Exhibit 5.1 to the Registration Statement. In giving this consent, we do not thereby admit that we are in the category of persons whose consent is required under Section 7 of the Securities Act of 1933, as amended, or the rules and regulations of the Commission.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opinion is limited to the specific issues addressed herein, and no opinion may be inferred or implied beyond that expressly stated herein.</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is furnished to you in connection with the filing of the Registration Statement. Our opinion is rendered as of the date hereof, and we assume no obligation to advise you of changes in law or fact (or the effect thereof on the opinions expressed herein) that hereafter may come to our attention.</w:t>
      </w:r>
    </w:p>
    <w:p>
      <w:pPr>
        <w:spacing w:after="0" w:line="1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Sincerely,</w:t>
      </w: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Bass, Berry &amp; Sims PLC</w:t>
      </w:r>
    </w:p>
    <w:p>
      <w:pPr>
        <w:sectPr>
          <w:pgSz w:w="11900" w:h="16838" w:orient="portrait"/>
          <w:cols w:equalWidth="0" w:num="1">
            <w:col w:w="11240"/>
          </w:cols>
          <w:pgMar w:left="320" w:top="10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issued our reports dated March 11, 2022 with respect to the consolidated financial statements and internal control over financial reporting of NN, Inc. included in the Annual Report on Form 10-K for the year ended December 31, 2021, which are incorporated by reference in this Registration Statement. We consent to the incorporation by reference of the aforementioned reports in this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2022</w:t>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52" w:lineRule="exact"/>
        <w:rPr>
          <w:sz w:val="20"/>
          <w:szCs w:val="20"/>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our report dated March 16, 2020, except for the effect of discontinued operations discussed in Note 2 to the consolidated financial statements, as to which the date is March 15, 2021, and except for the 2019 summarized financial information of the unconsolidated joint venture in Note 9 to the consolidated financial statements, as to which the date is March 11, 2022, relating to the consolidated financial statements, which appears in NN, Inc.’s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2022</w:t>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50" w:lineRule="exact"/>
        <w:rPr>
          <w:sz w:val="20"/>
          <w:szCs w:val="20"/>
          <w:color w:val="auto"/>
        </w:rPr>
      </w:pPr>
    </w:p>
    <w:tbl>
      <w:tblPr>
        <w:tblLayout w:type="fixed"/>
        <w:tblInd w:w="130" w:type="dxa"/>
        <w:tblCellMar>
          <w:top w:w="0" w:type="dxa"/>
          <w:left w:w="0" w:type="dxa"/>
          <w:bottom w:w="0" w:type="dxa"/>
          <w:right w:w="0" w:type="dxa"/>
        </w:tblCellMar>
      </w:tblPr>
      <w:tr>
        <w:trPr>
          <w:trHeight w:val="220"/>
        </w:trPr>
        <w:tc>
          <w:tcPr>
            <w:tcW w:w="1000" w:type="dxa"/>
            <w:vAlign w:val="bottom"/>
            <w:tcBorders>
              <w:top w:val="single" w:sz="8" w:color="auto"/>
              <w:left w:val="single" w:sz="8" w:color="auto"/>
              <w:right w:val="single" w:sz="8" w:color="auto"/>
            </w:tcBorders>
          </w:tcPr>
          <w:p>
            <w:pPr>
              <w:spacing w:after="0"/>
              <w:rPr>
                <w:sz w:val="19"/>
                <w:szCs w:val="19"/>
                <w:color w:val="auto"/>
              </w:rPr>
            </w:pPr>
          </w:p>
        </w:tc>
        <w:tc>
          <w:tcPr>
            <w:tcW w:w="2760" w:type="dxa"/>
            <w:vAlign w:val="bottom"/>
            <w:tcBorders>
              <w:top w:val="single" w:sz="8" w:color="auto"/>
              <w:right w:val="single" w:sz="8" w:color="auto"/>
            </w:tcBorders>
          </w:tcPr>
          <w:p>
            <w:pPr>
              <w:spacing w:after="0"/>
              <w:rPr>
                <w:sz w:val="19"/>
                <w:szCs w:val="19"/>
                <w:color w:val="auto"/>
              </w:rPr>
            </w:pPr>
          </w:p>
        </w:tc>
        <w:tc>
          <w:tcPr>
            <w:tcW w:w="10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 Calculation</w:t>
            </w:r>
          </w:p>
        </w:tc>
        <w:tc>
          <w:tcPr>
            <w:tcW w:w="132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Amount</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Proposed Maximum</w:t>
            </w: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1000" w:type="dxa"/>
            <w:vAlign w:val="bottom"/>
            <w:tcBorders>
              <w:top w:val="single" w:sz="8" w:color="auto"/>
              <w:right w:val="single" w:sz="8" w:color="auto"/>
            </w:tcBorders>
          </w:tcPr>
          <w:p>
            <w:pPr>
              <w:spacing w:after="0"/>
              <w:rPr>
                <w:sz w:val="19"/>
                <w:szCs w:val="19"/>
                <w:color w:val="auto"/>
              </w:rPr>
            </w:pPr>
          </w:p>
        </w:tc>
        <w:tc>
          <w:tcPr>
            <w:tcW w:w="15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4"/>
        </w:trPr>
        <w:tc>
          <w:tcPr>
            <w:tcW w:w="10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Security Type</w:t>
            </w:r>
          </w:p>
        </w:tc>
        <w:tc>
          <w:tcPr>
            <w:tcW w:w="2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 Class Title</w:t>
            </w:r>
          </w:p>
        </w:tc>
        <w:tc>
          <w:tcPr>
            <w:tcW w:w="102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Registered(1)</w:t>
            </w:r>
          </w:p>
        </w:tc>
        <w:tc>
          <w:tcPr>
            <w:tcW w:w="132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Offering Price Per</w:t>
            </w:r>
          </w:p>
        </w:tc>
        <w:tc>
          <w:tcPr>
            <w:tcW w:w="98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Aggregate</w:t>
            </w:r>
          </w:p>
        </w:tc>
        <w:tc>
          <w:tcPr>
            <w:tcW w:w="100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Fee Rate</w:t>
            </w:r>
          </w:p>
        </w:tc>
        <w:tc>
          <w:tcPr>
            <w:tcW w:w="15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000" w:type="dxa"/>
            <w:vAlign w:val="bottom"/>
            <w:tcBorders>
              <w:left w:val="single" w:sz="8" w:color="auto"/>
              <w:right w:val="single" w:sz="8" w:color="auto"/>
            </w:tcBorders>
            <w:vMerge w:val="continue"/>
          </w:tcPr>
          <w:p>
            <w:pPr>
              <w:spacing w:after="0"/>
              <w:rPr>
                <w:sz w:val="16"/>
                <w:szCs w:val="16"/>
                <w:color w:val="auto"/>
              </w:rPr>
            </w:pPr>
          </w:p>
        </w:tc>
        <w:tc>
          <w:tcPr>
            <w:tcW w:w="276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Rule</w:t>
            </w:r>
          </w:p>
        </w:tc>
        <w:tc>
          <w:tcPr>
            <w:tcW w:w="13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Unit(2)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w:t>
            </w:r>
          </w:p>
        </w:tc>
        <w:tc>
          <w:tcPr>
            <w:tcW w:w="1000" w:type="dxa"/>
            <w:vAlign w:val="bottom"/>
            <w:tcBorders>
              <w:right w:val="single" w:sz="8" w:color="auto"/>
            </w:tcBorders>
            <w:vMerge w:val="continue"/>
          </w:tcPr>
          <w:p>
            <w:pPr>
              <w:spacing w:after="0"/>
              <w:rPr>
                <w:sz w:val="16"/>
                <w:szCs w:val="16"/>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Registration Fee</w:t>
            </w:r>
          </w:p>
        </w:tc>
        <w:tc>
          <w:tcPr>
            <w:tcW w:w="0" w:type="dxa"/>
            <w:vAlign w:val="bottom"/>
          </w:tcPr>
          <w:p>
            <w:pPr>
              <w:spacing w:after="0"/>
              <w:rPr>
                <w:sz w:val="1"/>
                <w:szCs w:val="1"/>
                <w:color w:val="auto"/>
              </w:rPr>
            </w:pPr>
          </w:p>
        </w:tc>
      </w:tr>
      <w:tr>
        <w:trPr>
          <w:trHeight w:val="78"/>
        </w:trPr>
        <w:tc>
          <w:tcPr>
            <w:tcW w:w="1000" w:type="dxa"/>
            <w:vAlign w:val="bottom"/>
            <w:tcBorders>
              <w:left w:val="single" w:sz="8" w:color="auto"/>
              <w:bottom w:val="single" w:sz="8" w:color="auto"/>
              <w:right w:val="single" w:sz="8" w:color="auto"/>
            </w:tcBorders>
          </w:tcPr>
          <w:p>
            <w:pPr>
              <w:spacing w:after="0"/>
              <w:rPr>
                <w:sz w:val="6"/>
                <w:szCs w:val="6"/>
                <w:color w:val="auto"/>
              </w:rPr>
            </w:pPr>
          </w:p>
        </w:tc>
        <w:tc>
          <w:tcPr>
            <w:tcW w:w="276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100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Equity</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Other(2)</w:t>
            </w:r>
          </w:p>
        </w:tc>
        <w:tc>
          <w:tcPr>
            <w:tcW w:w="132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3,700,000</w:t>
            </w:r>
          </w:p>
        </w:tc>
        <w:tc>
          <w:tcPr>
            <w:tcW w:w="1320" w:type="dxa"/>
            <w:vAlign w:val="bottom"/>
            <w:tcBorders>
              <w:right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$2.58</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$9,546,000.00</w:t>
            </w:r>
          </w:p>
        </w:tc>
        <w:tc>
          <w:tcPr>
            <w:tcW w:w="10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.0000927</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$884.91</w:t>
            </w:r>
          </w:p>
        </w:tc>
        <w:tc>
          <w:tcPr>
            <w:tcW w:w="0" w:type="dxa"/>
            <w:vAlign w:val="bottom"/>
          </w:tcPr>
          <w:p>
            <w:pPr>
              <w:spacing w:after="0"/>
              <w:rPr>
                <w:sz w:val="1"/>
                <w:szCs w:val="1"/>
                <w:color w:val="auto"/>
              </w:rPr>
            </w:pPr>
          </w:p>
        </w:tc>
      </w:tr>
      <w:tr>
        <w:trPr>
          <w:trHeight w:val="77"/>
        </w:trPr>
        <w:tc>
          <w:tcPr>
            <w:tcW w:w="1000" w:type="dxa"/>
            <w:vAlign w:val="bottom"/>
            <w:tcBorders>
              <w:left w:val="single" w:sz="8" w:color="auto"/>
              <w:bottom w:val="single" w:sz="8" w:color="auto"/>
              <w:right w:val="single" w:sz="8" w:color="auto"/>
            </w:tcBorders>
          </w:tcPr>
          <w:p>
            <w:pPr>
              <w:spacing w:after="0"/>
              <w:rPr>
                <w:sz w:val="6"/>
                <w:szCs w:val="6"/>
                <w:color w:val="auto"/>
              </w:rPr>
            </w:pPr>
          </w:p>
        </w:tc>
        <w:tc>
          <w:tcPr>
            <w:tcW w:w="276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1000" w:type="dxa"/>
            <w:vAlign w:val="bottom"/>
            <w:tcBorders>
              <w:left w:val="single" w:sz="8" w:color="auto"/>
            </w:tcBorders>
          </w:tcPr>
          <w:p>
            <w:pPr>
              <w:spacing w:after="0"/>
              <w:rPr>
                <w:sz w:val="23"/>
                <w:szCs w:val="23"/>
                <w:color w:val="auto"/>
              </w:rPr>
            </w:pPr>
          </w:p>
        </w:tc>
        <w:tc>
          <w:tcPr>
            <w:tcW w:w="2760" w:type="dxa"/>
            <w:vAlign w:val="bottom"/>
          </w:tcPr>
          <w:p>
            <w:pPr>
              <w:jc w:val="center"/>
              <w:ind w:left="1248"/>
              <w:spacing w:after="0"/>
              <w:rPr>
                <w:sz w:val="20"/>
                <w:szCs w:val="20"/>
                <w:color w:val="auto"/>
              </w:rPr>
            </w:pPr>
            <w:r>
              <w:rPr>
                <w:rFonts w:ascii="Times New Roman" w:cs="Times New Roman" w:eastAsia="Times New Roman" w:hAnsi="Times New Roman"/>
                <w:sz w:val="14"/>
                <w:szCs w:val="14"/>
                <w:color w:val="auto"/>
              </w:rPr>
              <w:t>Total Offering Amounts</w:t>
            </w:r>
          </w:p>
        </w:tc>
        <w:tc>
          <w:tcPr>
            <w:tcW w:w="10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$9,546,000.00</w:t>
            </w:r>
          </w:p>
        </w:tc>
        <w:tc>
          <w:tcPr>
            <w:tcW w:w="1000" w:type="dxa"/>
            <w:vAlign w:val="bottom"/>
            <w:tcBorders>
              <w:right w:val="single" w:sz="8" w:color="auto"/>
            </w:tcBorders>
          </w:tcPr>
          <w:p>
            <w:pPr>
              <w:spacing w:after="0"/>
              <w:rPr>
                <w:sz w:val="23"/>
                <w:szCs w:val="23"/>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$884.91</w:t>
            </w:r>
          </w:p>
        </w:tc>
        <w:tc>
          <w:tcPr>
            <w:tcW w:w="0" w:type="dxa"/>
            <w:vAlign w:val="bottom"/>
          </w:tcPr>
          <w:p>
            <w:pPr>
              <w:spacing w:after="0"/>
              <w:rPr>
                <w:sz w:val="1"/>
                <w:szCs w:val="1"/>
                <w:color w:val="auto"/>
              </w:rPr>
            </w:pPr>
          </w:p>
        </w:tc>
      </w:tr>
      <w:tr>
        <w:trPr>
          <w:trHeight w:val="104"/>
        </w:trPr>
        <w:tc>
          <w:tcPr>
            <w:tcW w:w="1000" w:type="dxa"/>
            <w:vAlign w:val="bottom"/>
            <w:tcBorders>
              <w:left w:val="single" w:sz="8" w:color="auto"/>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1000" w:type="dxa"/>
            <w:vAlign w:val="bottom"/>
            <w:tcBorders>
              <w:left w:val="single" w:sz="8" w:color="auto"/>
            </w:tcBorders>
          </w:tcPr>
          <w:p>
            <w:pPr>
              <w:spacing w:after="0"/>
              <w:rPr>
                <w:sz w:val="23"/>
                <w:szCs w:val="23"/>
                <w:color w:val="auto"/>
              </w:rPr>
            </w:pPr>
          </w:p>
        </w:tc>
        <w:tc>
          <w:tcPr>
            <w:tcW w:w="2760" w:type="dxa"/>
            <w:vAlign w:val="bottom"/>
          </w:tcPr>
          <w:p>
            <w:pPr>
              <w:jc w:val="center"/>
              <w:ind w:left="1248"/>
              <w:spacing w:after="0"/>
              <w:rPr>
                <w:sz w:val="20"/>
                <w:szCs w:val="20"/>
                <w:color w:val="auto"/>
              </w:rPr>
            </w:pPr>
            <w:r>
              <w:rPr>
                <w:rFonts w:ascii="Times New Roman" w:cs="Times New Roman" w:eastAsia="Times New Roman" w:hAnsi="Times New Roman"/>
                <w:sz w:val="14"/>
                <w:szCs w:val="14"/>
                <w:color w:val="auto"/>
              </w:rPr>
              <w:t>Total Fee Offsets</w:t>
            </w:r>
          </w:p>
        </w:tc>
        <w:tc>
          <w:tcPr>
            <w:tcW w:w="10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04"/>
        </w:trPr>
        <w:tc>
          <w:tcPr>
            <w:tcW w:w="1000" w:type="dxa"/>
            <w:vAlign w:val="bottom"/>
            <w:tcBorders>
              <w:left w:val="single" w:sz="8" w:color="auto"/>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1000" w:type="dxa"/>
            <w:vAlign w:val="bottom"/>
            <w:tcBorders>
              <w:left w:val="single" w:sz="8" w:color="auto"/>
            </w:tcBorders>
          </w:tcPr>
          <w:p>
            <w:pPr>
              <w:spacing w:after="0"/>
              <w:rPr>
                <w:sz w:val="23"/>
                <w:szCs w:val="23"/>
                <w:color w:val="auto"/>
              </w:rPr>
            </w:pPr>
          </w:p>
        </w:tc>
        <w:tc>
          <w:tcPr>
            <w:tcW w:w="2760" w:type="dxa"/>
            <w:vAlign w:val="bottom"/>
          </w:tcPr>
          <w:p>
            <w:pPr>
              <w:jc w:val="center"/>
              <w:ind w:left="1248"/>
              <w:spacing w:after="0"/>
              <w:rPr>
                <w:sz w:val="20"/>
                <w:szCs w:val="20"/>
                <w:color w:val="auto"/>
              </w:rPr>
            </w:pPr>
            <w:r>
              <w:rPr>
                <w:rFonts w:ascii="Times New Roman" w:cs="Times New Roman" w:eastAsia="Times New Roman" w:hAnsi="Times New Roman"/>
                <w:sz w:val="14"/>
                <w:szCs w:val="14"/>
                <w:color w:val="auto"/>
              </w:rPr>
              <w:t>Net Fee Due</w:t>
            </w:r>
          </w:p>
        </w:tc>
        <w:tc>
          <w:tcPr>
            <w:tcW w:w="10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$884.91</w:t>
            </w:r>
          </w:p>
        </w:tc>
        <w:tc>
          <w:tcPr>
            <w:tcW w:w="0" w:type="dxa"/>
            <w:vAlign w:val="bottom"/>
          </w:tcPr>
          <w:p>
            <w:pPr>
              <w:spacing w:after="0"/>
              <w:rPr>
                <w:sz w:val="1"/>
                <w:szCs w:val="1"/>
                <w:color w:val="auto"/>
              </w:rPr>
            </w:pPr>
          </w:p>
        </w:tc>
      </w:tr>
      <w:tr>
        <w:trPr>
          <w:trHeight w:val="104"/>
        </w:trPr>
        <w:tc>
          <w:tcPr>
            <w:tcW w:w="1000" w:type="dxa"/>
            <w:vAlign w:val="bottom"/>
            <w:tcBorders>
              <w:left w:val="single" w:sz="8" w:color="auto"/>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340" w:right="220" w:hanging="334"/>
        <w:spacing w:after="0" w:line="231"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 under the Securities Act of 1933, as amended (the “Securities Act”), this Registration Statement shall also cover any additional shares of common stock, $0.01 par value (the “Common Stock”) of NN, Inc. (the “Registrant”), which become issuable under the NN, Inc. 2022 Omnibus Incentive Plan (the “2022 Plan”) by reason of any stock dividend, stock split, recapitalization or any other similar transaction effected without receipt of consideration which results in an increase in the number of the Registrant’s outstanding shares of Common Stock.</w:t>
      </w:r>
    </w:p>
    <w:p>
      <w:pPr>
        <w:spacing w:after="0" w:line="41" w:lineRule="exact"/>
        <w:rPr>
          <w:rFonts w:ascii="Times New Roman" w:cs="Times New Roman" w:eastAsia="Times New Roman" w:hAnsi="Times New Roman"/>
          <w:sz w:val="14"/>
          <w:szCs w:val="14"/>
          <w:color w:val="auto"/>
        </w:rPr>
      </w:pPr>
    </w:p>
    <w:p>
      <w:pPr>
        <w:ind w:left="340" w:right="40" w:hanging="334"/>
        <w:spacing w:after="0" w:line="180" w:lineRule="auto"/>
        <w:tabs>
          <w:tab w:leader="none" w:pos="34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Estimated solely for the purpose of calculating the registration fee pursuant to Rules 457(c) and 457(h) under the Securities Act, based on the average of the high and low sales prices of the Common Stock as reported on The Nasdaq Global Select Market on June 24, 2022, which was $2.58 per share.</w:t>
      </w:r>
    </w:p>
    <w:sectPr>
      <w:pgSz w:w="11900" w:h="16838" w:orient="portrait"/>
      <w:cols w:equalWidth="0" w:num="1">
        <w:col w:w="11220"/>
      </w:cols>
      <w:pgMar w:left="34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lvl w:ilvl="1">
      <w:lvlJc w:val="left"/>
      <w:lvlText w:val="(%2)"/>
      <w:numFmt w:val="lowerRoman"/>
      <w:start w:val="1"/>
    </w:lvl>
  </w:abstractNum>
  <w:abstractNum w:abstractNumId="2">
    <w:nsid w:val="238E1F29"/>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3">
    <w:nsid w:val="46E87CCD"/>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23"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jpeg"/><Relationship Id="rId11" Type="http://schemas.openxmlformats.org/officeDocument/2006/relationships/hyperlink" Target="http://www.sec.gov/ix?doc=/Archives/edgar/data/918541/000091854122000039/nnbr-20211231.htm" TargetMode="External"/><Relationship Id="rId12" Type="http://schemas.openxmlformats.org/officeDocument/2006/relationships/hyperlink" Target="http://www.sec.gov/ix?doc=/Archives/edgar/data/918541/000091854122000079/nnbr-20220331.htm" TargetMode="External"/><Relationship Id="rId13" Type="http://schemas.openxmlformats.org/officeDocument/2006/relationships/hyperlink" Target="http://www.sec.gov/ix?doc=/Archives/edgar/data/918541/000091854122000030/nnbr-20220303.htm" TargetMode="External"/><Relationship Id="rId14" Type="http://schemas.openxmlformats.org/officeDocument/2006/relationships/hyperlink" Target="http://www.sec.gov/ix?doc=/Archives/edgar/data/918541/000091854122000094/nnbr-20220525.htm" TargetMode="External"/><Relationship Id="rId15" Type="http://schemas.openxmlformats.org/officeDocument/2006/relationships/hyperlink" Target="http://www.sec.gov/Archives/edgar/data/918541/000092290702000376/form8a12ga_111402.htm" TargetMode="External"/><Relationship Id="rId16" Type="http://schemas.openxmlformats.org/officeDocument/2006/relationships/hyperlink" Target="http://www.sec.gov/Archives/edgar/data/918541/000095016802001631/dex31.txt" TargetMode="External"/><Relationship Id="rId17" Type="http://schemas.openxmlformats.org/officeDocument/2006/relationships/hyperlink" Target="https://www.sec.gov/Archives/edgar/data/918541/000119312519151712/d750456dex31.htm" TargetMode="External"/><Relationship Id="rId18" Type="http://schemas.openxmlformats.org/officeDocument/2006/relationships/hyperlink" Target="https://www.sec.gov/Archives/edgar/data/918541/000119312519151712/d750456dex32.htm" TargetMode="External"/><Relationship Id="rId19" Type="http://schemas.openxmlformats.org/officeDocument/2006/relationships/hyperlink" Target="http://www.sec.gov/Archives/edgar/data/918541/000119312515383841/d73953dex31.htm" TargetMode="External"/><Relationship Id="rId20" Type="http://schemas.openxmlformats.org/officeDocument/2006/relationships/hyperlink" Target="https://www.sec.gov/Archives/edgar/data/918541/000119312519151712/d750456dex33.htm" TargetMode="External"/><Relationship Id="rId21" Type="http://schemas.openxmlformats.org/officeDocument/2006/relationships/hyperlink" Target="http://www.sec.gov/Archives/edgar/data/918541/000095016802001631/dex41.txt" TargetMode="External"/><Relationship Id="rId22" Type="http://schemas.openxmlformats.org/officeDocument/2006/relationships/hyperlink" Target="https://www.sec.gov/Archives/edgar/data/0000918541/000091854122000072/proxystatement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2022-06-29T15:31:26Z</dcterms:created>
  <dcterms:modified xsi:type="dcterms:W3CDTF">2022-06-29T15:31:26Z</dcterms:modified>
</cp:coreProperties>
</file>