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Corre Partners Management,</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6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26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04/18/2022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77"/>
            <w:col w:w="5943"/>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637"/>
        <w:spacing w:after="0" w:line="275" w:lineRule="auto"/>
        <w:rPr>
          <w:sz w:val="20"/>
          <w:szCs w:val="20"/>
          <w:color w:val="auto"/>
        </w:rPr>
      </w:pPr>
      <w:r>
        <w:rPr>
          <w:rFonts w:ascii="Times New Roman" w:cs="Times New Roman" w:eastAsia="Times New Roman" w:hAnsi="Times New Roman"/>
          <w:sz w:val="20"/>
          <w:szCs w:val="20"/>
          <w:color w:val="0000FF"/>
        </w:rPr>
        <w:t>12 EAST 49TH STREET 40TH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9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40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71"/>
              <w:spacing w:after="0"/>
              <w:rPr>
                <w:sz w:val="20"/>
                <w:szCs w:val="20"/>
                <w:color w:val="auto"/>
              </w:rPr>
            </w:pPr>
            <w:r>
              <w:rPr>
                <w:rFonts w:ascii="Times New Roman" w:cs="Times New Roman" w:eastAsia="Times New Roman" w:hAnsi="Times New Roman"/>
                <w:sz w:val="20"/>
                <w:szCs w:val="20"/>
                <w:color w:val="0000FF"/>
              </w:rPr>
              <w:t>620,735</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0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391"/>
              <w:spacing w:after="0"/>
              <w:rPr>
                <w:sz w:val="20"/>
                <w:szCs w:val="20"/>
                <w:color w:val="auto"/>
              </w:rPr>
            </w:pPr>
            <w:r>
              <w:rPr>
                <w:rFonts w:ascii="Times New Roman" w:cs="Times New Roman" w:eastAsia="Times New Roman" w:hAnsi="Times New Roman"/>
                <w:sz w:val="20"/>
                <w:szCs w:val="20"/>
                <w:color w:val="0000FF"/>
              </w:rPr>
              <w:t>3,768,330</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74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Common Stock Purchase Warrant</w:t>
            </w:r>
          </w:p>
        </w:tc>
        <w:tc>
          <w:tcPr>
            <w:tcW w:w="12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5"/>
                <w:szCs w:val="15"/>
                <w:color w:val="0000FF"/>
              </w:rPr>
              <w:t>12/11/2019</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Common Stock, par</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195,000</w:t>
            </w:r>
          </w:p>
        </w:tc>
        <w:tc>
          <w:tcPr>
            <w:tcW w:w="80" w:type="dxa"/>
            <w:vAlign w:val="bottom"/>
          </w:tcPr>
          <w:p>
            <w:pPr>
              <w:spacing w:after="0"/>
              <w:rPr>
                <w:sz w:val="24"/>
                <w:szCs w:val="24"/>
                <w:color w:val="auto"/>
              </w:rPr>
            </w:pP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12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gridSpan w:val="4"/>
            <w:vMerge w:val="continue"/>
          </w:tcPr>
          <w:p>
            <w:pPr>
              <w:spacing w:after="0"/>
              <w:rPr>
                <w:sz w:val="22"/>
                <w:szCs w:val="22"/>
                <w:color w:val="auto"/>
              </w:rPr>
            </w:pPr>
          </w:p>
        </w:tc>
        <w:tc>
          <w:tcPr>
            <w:tcW w:w="1240" w:type="dxa"/>
            <w:vAlign w:val="bottom"/>
            <w:gridSpan w:val="4"/>
            <w:vMerge w:val="continue"/>
          </w:tcPr>
          <w:p>
            <w:pPr>
              <w:spacing w:after="0"/>
              <w:rPr>
                <w:sz w:val="22"/>
                <w:szCs w:val="22"/>
                <w:color w:val="auto"/>
              </w:rPr>
            </w:pPr>
          </w:p>
        </w:tc>
        <w:tc>
          <w:tcPr>
            <w:tcW w:w="880" w:type="dxa"/>
            <w:vAlign w:val="bottom"/>
            <w:gridSpan w:val="3"/>
            <w:vMerge w:val="continue"/>
          </w:tcPr>
          <w:p>
            <w:pPr>
              <w:spacing w:after="0"/>
              <w:rPr>
                <w:sz w:val="22"/>
                <w:szCs w:val="22"/>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value $0.01 per share</w:t>
            </w:r>
          </w:p>
        </w:tc>
        <w:tc>
          <w:tcPr>
            <w:tcW w:w="7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Common Stock Purchase Warrant</w:t>
            </w:r>
          </w:p>
        </w:tc>
        <w:tc>
          <w:tcPr>
            <w:tcW w:w="12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5"/>
                <w:szCs w:val="15"/>
                <w:color w:val="0000FF"/>
              </w:rPr>
              <w:t>12/11/2019</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12/11/2026</w:t>
            </w:r>
          </w:p>
        </w:tc>
        <w:tc>
          <w:tcPr>
            <w:tcW w:w="1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Common Stock, par</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720,000</w:t>
            </w:r>
          </w:p>
        </w:tc>
        <w:tc>
          <w:tcPr>
            <w:tcW w:w="80" w:type="dxa"/>
            <w:vAlign w:val="bottom"/>
          </w:tcPr>
          <w:p>
            <w:pPr>
              <w:spacing w:after="0"/>
              <w:rPr>
                <w:sz w:val="24"/>
                <w:szCs w:val="24"/>
                <w:color w:val="auto"/>
              </w:rPr>
            </w:pP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12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gridSpan w:val="4"/>
            <w:vMerge w:val="continue"/>
          </w:tcPr>
          <w:p>
            <w:pPr>
              <w:spacing w:after="0"/>
              <w:rPr>
                <w:sz w:val="22"/>
                <w:szCs w:val="22"/>
                <w:color w:val="auto"/>
              </w:rPr>
            </w:pPr>
          </w:p>
        </w:tc>
        <w:tc>
          <w:tcPr>
            <w:tcW w:w="1240" w:type="dxa"/>
            <w:vAlign w:val="bottom"/>
            <w:gridSpan w:val="4"/>
            <w:vMerge w:val="continue"/>
          </w:tcPr>
          <w:p>
            <w:pPr>
              <w:spacing w:after="0"/>
              <w:rPr>
                <w:sz w:val="22"/>
                <w:szCs w:val="22"/>
                <w:color w:val="auto"/>
              </w:rPr>
            </w:pPr>
          </w:p>
        </w:tc>
        <w:tc>
          <w:tcPr>
            <w:tcW w:w="880" w:type="dxa"/>
            <w:vAlign w:val="bottom"/>
            <w:gridSpan w:val="3"/>
            <w:vMerge w:val="continue"/>
          </w:tcPr>
          <w:p>
            <w:pPr>
              <w:spacing w:after="0"/>
              <w:rPr>
                <w:sz w:val="22"/>
                <w:szCs w:val="22"/>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value $0.01 per share</w:t>
            </w:r>
          </w:p>
        </w:tc>
        <w:tc>
          <w:tcPr>
            <w:tcW w:w="7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gridSpan w:val="3"/>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0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Corre Partners Management, LLC</w:t>
              </w:r>
            </w:hyperlink>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8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2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12 EAST 49TH STREET 40TH FLOOR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w w:val="99"/>
              </w:rPr>
              <w:t>10017</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gridSpan w:val="2"/>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2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80" w:type="dxa"/>
            <w:vAlign w:val="bottom"/>
            <w:gridSpan w:val="6"/>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Corre Partners Advisors LLC</w:t>
              </w:r>
            </w:hyperlink>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2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color w:val="0000FF"/>
        </w:rPr>
        <w:t>12 EAST 49TH STREET 40TH FLOOR</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7"/>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Barrett John Frederick</w:t>
              </w:r>
            </w:hyperlink>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12 EAST 49TH STREET 40TH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Soderlund Eric Hjalmar</w:t>
              </w:r>
            </w:hyperlink>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12 EAST 49TH STREET 40TH FLOOR</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-4346575</wp:posOffset>
            </wp:positionV>
            <wp:extent cx="2798445" cy="443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2798445" cy="443420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40" w:firstLine="5"/>
        <w:spacing w:after="0" w:line="237"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are directly owned by Corre Horizon Fund, LP (the "Partnership"). The reported securities may be deemed beneficially owned by Corre Partners Management, LLC ("Corre"), the investment manager of the Partnership, Corre Partners Advisors, LLC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33" w:lineRule="exact"/>
        <w:rPr>
          <w:rFonts w:ascii="Times New Roman" w:cs="Times New Roman" w:eastAsia="Times New Roman" w:hAnsi="Times New Roman"/>
          <w:sz w:val="15"/>
          <w:szCs w:val="15"/>
          <w:color w:val="008000"/>
        </w:rPr>
      </w:pPr>
    </w:p>
    <w:p>
      <w:pPr>
        <w:ind w:left="20" w:right="20" w:firstLine="5"/>
        <w:spacing w:after="0" w:line="237"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are directly owned by Corre Opportunities Qualified Master Fund, LP (the "Qualified Master Fund"). The reported securities may be deemed beneficially owned by Corre, the investment manager of the Qualified Master Fund,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840"/>
          </w:cols>
          <w:pgMar w:left="500" w:top="125" w:right="559" w:bottom="1440" w:gutter="0" w:footer="0" w:header="0"/>
        </w:sectPr>
      </w:pP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Corre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7188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882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14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06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97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Corre Partners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280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211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31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620" w:space="120"/>
            <w:col w:w="2100"/>
          </w:cols>
          <w:pgMar w:left="500" w:top="125" w:right="559" w:bottom="1440" w:gutter="0" w:footer="0" w:header="0"/>
          <w:type w:val="continuous"/>
        </w:sectPr>
      </w:pPr>
    </w:p>
    <w:tbl>
      <w:tblPr>
        <w:tblLayout w:type="fixed"/>
        <w:tblInd w:w="656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Barrett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04/21/2022</w:t>
            </w:r>
          </w:p>
        </w:tc>
      </w:tr>
      <w:tr>
        <w:trPr>
          <w:trHeight w:val="20"/>
        </w:trPr>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Eric Soderlund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04/21/2022</w:t>
            </w:r>
          </w:p>
        </w:tc>
      </w:tr>
      <w:tr>
        <w:trPr>
          <w:trHeight w:val="20"/>
        </w:trPr>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0" Type="http://schemas.openxmlformats.org/officeDocument/2006/relationships/hyperlink" Target="http://www.sec.gov/cgi-bin/browse-edgar?action=getcompany&amp;CIK=0001537323" TargetMode="External"/><Relationship Id="rId11" Type="http://schemas.openxmlformats.org/officeDocument/2006/relationships/hyperlink" Target="http://www.sec.gov/cgi-bin/browse-edgar?action=getcompany&amp;CIK=0000918541" TargetMode="External"/><Relationship Id="rId12" Type="http://schemas.openxmlformats.org/officeDocument/2006/relationships/hyperlink" Target="http://www.sec.gov/cgi-bin/browse-edgar?action=getcompany&amp;CIK=0001884680" TargetMode="External"/><Relationship Id="rId13" Type="http://schemas.openxmlformats.org/officeDocument/2006/relationships/hyperlink" Target="http://www.sec.gov/cgi-bin/browse-edgar?action=getcompany&amp;CIK=0001858308" TargetMode="External"/><Relationship Id="rId14"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2022-04-21T18:13:53Z</dcterms:created>
  <dcterms:modified xsi:type="dcterms:W3CDTF">2022-04-21T18:13:53Z</dcterms:modified>
</cp:coreProperties>
</file>