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09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09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MORRIS G RONALD</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WATERS EDGE DR.</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BUILDING C, SUITE 12</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9" w:hanging="369"/>
        <w:spacing w:after="0"/>
        <w:tabs>
          <w:tab w:leader="none" w:pos="369"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02/21/2014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6" w:lineRule="exact"/>
        <w:rPr>
          <w:sz w:val="24"/>
          <w:szCs w:val="24"/>
          <w:color w:val="auto"/>
        </w:rPr>
      </w:pPr>
    </w:p>
    <w:p>
      <w:pPr>
        <w:sectPr>
          <w:pgSz w:w="11900" w:h="16838" w:orient="portrait"/>
          <w:cols w:equalWidth="0" w:num="3">
            <w:col w:w="3351" w:space="720"/>
            <w:col w:w="3263"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20" w:type="dxa"/>
            <w:vAlign w:val="bottom"/>
            <w:gridSpan w:val="7"/>
          </w:tcPr>
          <w:p>
            <w:pPr>
              <w:jc w:val="center"/>
              <w:ind w:right="3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TN</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37604</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4"/>
                <w:szCs w:val="14"/>
                <w:color w:val="0000FF"/>
              </w:rPr>
              <w:t>CITY</w:t>
            </w:r>
          </w:p>
        </w:tc>
        <w:tc>
          <w:tcPr>
            <w:tcW w:w="6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gridSpan w:val="2"/>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20" w:type="dxa"/>
            <w:vAlign w:val="bottom"/>
            <w:gridSpan w:val="3"/>
          </w:tcPr>
          <w:p>
            <w:pPr>
              <w:ind w:left="860"/>
              <w:spacing w:after="0"/>
              <w:rPr>
                <w:sz w:val="20"/>
                <w:szCs w:val="20"/>
                <w:color w:val="auto"/>
              </w:rPr>
            </w:pPr>
            <w:r>
              <w:rPr>
                <w:rFonts w:ascii="Arial" w:cs="Arial" w:eastAsia="Arial" w:hAnsi="Arial"/>
                <w:sz w:val="17"/>
                <w:szCs w:val="17"/>
                <w:color w:val="0000FF"/>
              </w:rPr>
              <w:t>02/21/2014</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40" w:type="dxa"/>
            <w:vAlign w:val="bottom"/>
          </w:tcPr>
          <w:p>
            <w:pPr>
              <w:ind w:left="220"/>
              <w:spacing w:after="0"/>
              <w:rPr>
                <w:sz w:val="20"/>
                <w:szCs w:val="20"/>
                <w:color w:val="auto"/>
              </w:rPr>
            </w:pPr>
            <w:r>
              <w:rPr>
                <w:rFonts w:ascii="Arial" w:cs="Arial" w:eastAsia="Arial" w:hAnsi="Arial"/>
                <w:sz w:val="17"/>
                <w:szCs w:val="17"/>
                <w:color w:val="0000FF"/>
                <w:w w:val="96"/>
              </w:rPr>
              <w:t>10,000</w:t>
            </w:r>
          </w:p>
        </w:tc>
        <w:tc>
          <w:tcPr>
            <w:tcW w:w="680" w:type="dxa"/>
            <w:vAlign w:val="bottom"/>
          </w:tcPr>
          <w:p>
            <w:pPr>
              <w:jc w:val="right"/>
              <w:ind w:right="155"/>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12.62</w:t>
            </w:r>
          </w:p>
        </w:tc>
        <w:tc>
          <w:tcPr>
            <w:tcW w:w="120" w:type="dxa"/>
            <w:vAlign w:val="bottom"/>
          </w:tcPr>
          <w:p>
            <w:pPr>
              <w:spacing w:after="0"/>
              <w:rPr>
                <w:sz w:val="23"/>
                <w:szCs w:val="23"/>
                <w:color w:val="auto"/>
              </w:rPr>
            </w:pPr>
          </w:p>
        </w:tc>
        <w:tc>
          <w:tcPr>
            <w:tcW w:w="1220" w:type="dxa"/>
            <w:vAlign w:val="bottom"/>
            <w:gridSpan w:val="2"/>
          </w:tcPr>
          <w:p>
            <w:pPr>
              <w:ind w:left="340"/>
              <w:spacing w:after="0"/>
              <w:rPr>
                <w:sz w:val="20"/>
                <w:szCs w:val="20"/>
                <w:color w:val="auto"/>
              </w:rPr>
            </w:pPr>
            <w:r>
              <w:rPr>
                <w:rFonts w:ascii="Arial" w:cs="Arial" w:eastAsia="Arial" w:hAnsi="Arial"/>
                <w:sz w:val="17"/>
                <w:szCs w:val="17"/>
                <w:color w:val="0000FF"/>
              </w:rPr>
              <w:t>66,600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02/21/2014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6"/>
              </w:rPr>
              <w:t>10,000</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18.95</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56,600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02/21/2014</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10,000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tcPr>
          <w:p>
            <w:pPr>
              <w:ind w:left="40"/>
              <w:spacing w:after="0"/>
              <w:rPr>
                <w:sz w:val="20"/>
                <w:szCs w:val="20"/>
                <w:color w:val="auto"/>
              </w:rPr>
            </w:pPr>
            <w:r>
              <w:rPr>
                <w:rFonts w:ascii="Arial" w:cs="Arial" w:eastAsia="Arial" w:hAnsi="Arial"/>
                <w:sz w:val="13"/>
                <w:szCs w:val="13"/>
                <w:color w:val="0000FF"/>
              </w:rPr>
              <w:t>03/01/2014</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75"/>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54"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$18.82 to $19.10, inclusive. The reporting person undertakes to provide to NN, Inc., any security holder of NN, Inc., or the staff of the Securities and Exchange Commission, upon request, full information regarding the number of shares sold at each separate price within the ranges set forth in this footnote.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became exercisable in three annual installments beginning on March 1, 2005, which was the first anniversary of the date on which the option was granted.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Wiliam C. Kelly, Jr., by</w:t>
            </w:r>
          </w:p>
        </w:tc>
        <w:tc>
          <w:tcPr>
            <w:tcW w:w="4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02/24/2014</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2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2019-12-17T05:47:31Z</dcterms:created>
  <dcterms:modified xsi:type="dcterms:W3CDTF">2019-12-17T05:47:31Z</dcterms:modified>
</cp:coreProperties>
</file>