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963"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Corre Partners Management,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 EAST 49TH STREET 40TH FLOOR</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03/31/2023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963" w:orient="portrait"/>
          <w:cols w:equalWidth="0" w:num="3">
            <w:col w:w="3191" w:space="720"/>
            <w:col w:w="3104"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963"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03/31/2023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61,837</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1.0205</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4,644,143</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gridSpan w:val="3"/>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04/03/2023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277,568</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1.0327</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4,921,711</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gridSpan w:val="3"/>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04/04/2023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150,996</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1.0367</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5,072,707</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gridSpan w:val="3"/>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905,735</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2720" w:type="dxa"/>
            <w:vAlign w:val="bottom"/>
            <w:tcBorders>
              <w:bottom w:val="single" w:sz="8" w:color="2C2C2C"/>
            </w:tcBorders>
            <w:gridSpan w:val="6"/>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9"/>
          </w:tcPr>
          <w:p>
            <w:pPr>
              <w:jc w:val="center"/>
              <w:ind w:left="26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gridSpan w:val="13"/>
          </w:tcPr>
          <w:p>
            <w:pPr>
              <w:jc w:val="center"/>
              <w:ind w:lef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Corre Partners Management,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Corre Partners Advisors LLC</w:t>
              </w:r>
            </w:hyperlink>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sz w:val="1"/>
          <w:szCs w:val="1"/>
          <w:color w:val="auto"/>
        </w:rPr>
        <w:drawing>
          <wp:inline distT="0" distB="0" distL="0" distR="0">
            <wp:extent cx="33655" cy="1822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3655" cy="18224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Corre Opportunities Qualified Master Fund,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-152400</wp:posOffset>
            </wp:positionV>
            <wp:extent cx="2809240" cy="5073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5073015"/>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Barrett John Frederick</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CORRE PARTNERS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12 EAST 49TH STREET, 40TH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Soderlund Eric Hjalmar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CORRE PARTNERS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12 EAST 49TH STREET 40TH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60" w:firstLine="7"/>
        <w:spacing w:after="0" w:line="253"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$1.01 to $1.05.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20" w:right="120" w:firstLine="7"/>
        <w:spacing w:after="0" w:line="244"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Corre Opportunities Qualified Master Fund, LP (the "Qualified Master Fund"). The reported securities may be deemed beneficially owned by Corre Partners Management, LLC ("Corre"), the investment manager of the Qualified Master Fund, Corre Partners Advisors, LLC ("Corre GP"), the general partner of the Qualified Master Fund,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pacing w:after="0" w:line="26" w:lineRule="exact"/>
        <w:rPr>
          <w:rFonts w:ascii="Times New Roman" w:cs="Times New Roman" w:eastAsia="Times New Roman" w:hAnsi="Times New Roman"/>
          <w:sz w:val="13"/>
          <w:szCs w:val="13"/>
          <w:color w:val="008000"/>
        </w:rPr>
      </w:pPr>
    </w:p>
    <w:p>
      <w:pPr>
        <w:jc w:val="both"/>
        <w:ind w:left="20" w:right="60" w:firstLine="7"/>
        <w:spacing w:after="0" w:line="253"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$1.01 to $1.05.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$1.025 to $1.05.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20" w:right="400" w:firstLine="7"/>
        <w:spacing w:after="0" w:line="247"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Corre Horizon Fund, LP (the "Partnership"). The reported securities may be deemed beneficially owned by Corre, the investment manager of the Partnership, Corre GP, the general partner of the Partnership,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ectPr>
          <w:pgSz w:w="11900" w:h="16838" w:orient="portrait"/>
          <w:cols w:equalWidth="0" w:num="1">
            <w:col w:w="10900"/>
          </w:cols>
          <w:pgMar w:left="480" w:top="139" w:right="519" w:bottom="819"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Corre Partners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674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2674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LLC, /s/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84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0845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Corre Partners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Eric Soderlund,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54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Corre Opportunities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58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Master Fund, LP, By: Corre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23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Advisors,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71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Soderlund,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31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John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6718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67183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943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943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8700" w:space="60"/>
            <w:col w:w="2140"/>
          </w:cols>
          <w:pgMar w:left="480" w:top="139" w:right="519" w:bottom="819"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39" w:right="519" w:bottom="8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12" Type="http://schemas.openxmlformats.org/officeDocument/2006/relationships/hyperlink" Target="http://www.sec.gov/cgi-bin/browse-edgar?action=getcompany&amp;CIK=0001537323" TargetMode="External"/><Relationship Id="rId13" Type="http://schemas.openxmlformats.org/officeDocument/2006/relationships/hyperlink" Target="http://www.sec.gov/cgi-bin/browse-edgar?action=getcompany&amp;CIK=0000918541" TargetMode="External"/><Relationship Id="rId14" Type="http://schemas.openxmlformats.org/officeDocument/2006/relationships/hyperlink" Target="http://www.sec.gov/cgi-bin/browse-edgar?action=getcompany&amp;CIK=0001884680" TargetMode="External"/><Relationship Id="rId17" Type="http://schemas.openxmlformats.org/officeDocument/2006/relationships/hyperlink" Target="http://www.sec.gov/cgi-bin/browse-edgar?action=getcompany&amp;CIK=0001601971" TargetMode="External"/><Relationship Id="rId19" Type="http://schemas.openxmlformats.org/officeDocument/2006/relationships/hyperlink" Target="http://www.sec.gov/cgi-bin/browse-edgar?action=getcompany&amp;CIK=0001858308" TargetMode="External"/><Relationship Id="rId20" Type="http://schemas.openxmlformats.org/officeDocument/2006/relationships/hyperlink" Target="http://www.sec.gov/cgi-bin/browse-edgar?action=getcompany&amp;CIK=00018855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2023-04-04T19:13:15Z</dcterms:created>
  <dcterms:modified xsi:type="dcterms:W3CDTF">2023-04-04T19:13:15Z</dcterms:modified>
</cp:coreProperties>
</file>