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Date of Report (Date of earliest event reported): August 18, 2017 (August 15,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444500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296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8660" w:space="720"/>
            <w:col w:w="1980"/>
          </w:cols>
          <w:pgMar w:left="240" w:top="368" w:right="29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10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60"/>
          </w:cols>
          <w:pgMar w:left="240" w:top="368" w:right="299" w:bottom="1440" w:gutter="0" w:footer="0" w:header="0"/>
          <w:type w:val="continuous"/>
        </w:sectPr>
      </w:pP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15, 2017,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certain Company subsidiaries named therein, and SunTrust Bank, Regions Bank, JPMorgan Chase Bank, N.A., HomeTrust Bank and Key Bank National Association, collectively, the Revolving Credit Lenders, and SunTrust Bank, as the Administrative Agent, entered into that certain Amendment No. 2 to the Amended and Restated Credit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which amended the definition of Consolidated Net Leverage Ratio.</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included as Exhibit 10.1 hereto and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tcPr>
          <w:p>
            <w:pPr>
              <w:spacing w:after="0"/>
              <w:rPr>
                <w:sz w:val="14"/>
                <w:szCs w:val="14"/>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gridSpan w:val="3"/>
          </w:tcPr>
          <w:p>
            <w:pPr>
              <w:ind w:left="780"/>
              <w:spacing w:after="0"/>
              <w:rPr>
                <w:sz w:val="20"/>
                <w:szCs w:val="20"/>
                <w:color w:val="auto"/>
              </w:rPr>
            </w:pPr>
            <w:r>
              <w:rPr>
                <w:rFonts w:ascii="Arial" w:cs="Arial" w:eastAsia="Arial" w:hAnsi="Arial"/>
                <w:sz w:val="18"/>
                <w:szCs w:val="18"/>
                <w:color w:val="auto"/>
                <w:w w:val="90"/>
              </w:rPr>
              <w:t>Amendment No. 2 to Amended and Restated Credit Agreement, dated as of August 15, 2017, by and among NN, Inc., certain NN, Inc.</w:t>
            </w:r>
          </w:p>
        </w:tc>
      </w:tr>
      <w:tr>
        <w:trPr>
          <w:trHeight w:val="216"/>
        </w:trPr>
        <w:tc>
          <w:tcPr>
            <w:tcW w:w="720" w:type="dxa"/>
            <w:vAlign w:val="bottom"/>
          </w:tcPr>
          <w:p>
            <w:pPr>
              <w:spacing w:after="0"/>
              <w:rPr>
                <w:sz w:val="18"/>
                <w:szCs w:val="18"/>
                <w:color w:val="auto"/>
              </w:rPr>
            </w:pPr>
          </w:p>
        </w:tc>
        <w:tc>
          <w:tcPr>
            <w:tcW w:w="10520" w:type="dxa"/>
            <w:vAlign w:val="bottom"/>
            <w:gridSpan w:val="3"/>
          </w:tcPr>
          <w:p>
            <w:pPr>
              <w:ind w:left="780"/>
              <w:spacing w:after="0"/>
              <w:rPr>
                <w:sz w:val="20"/>
                <w:szCs w:val="20"/>
                <w:color w:val="auto"/>
              </w:rPr>
            </w:pPr>
            <w:r>
              <w:rPr>
                <w:rFonts w:ascii="Arial" w:cs="Arial" w:eastAsia="Arial" w:hAnsi="Arial"/>
                <w:sz w:val="18"/>
                <w:szCs w:val="18"/>
                <w:color w:val="auto"/>
                <w:w w:val="90"/>
              </w:rPr>
              <w:t>subsidiaries named therein, and SunTrust Bank, Regions Bank, JPMorgan Chase Bank, N.A., HomeTrust Bank and Key Bank National</w:t>
            </w:r>
          </w:p>
        </w:tc>
      </w:tr>
      <w:tr>
        <w:trPr>
          <w:trHeight w:val="230"/>
        </w:trPr>
        <w:tc>
          <w:tcPr>
            <w:tcW w:w="720" w:type="dxa"/>
            <w:vAlign w:val="bottom"/>
          </w:tcPr>
          <w:p>
            <w:pPr>
              <w:spacing w:after="0"/>
              <w:rPr>
                <w:sz w:val="20"/>
                <w:szCs w:val="20"/>
                <w:color w:val="auto"/>
              </w:rPr>
            </w:pPr>
          </w:p>
        </w:tc>
        <w:tc>
          <w:tcPr>
            <w:tcW w:w="10520" w:type="dxa"/>
            <w:vAlign w:val="bottom"/>
            <w:gridSpan w:val="3"/>
          </w:tcPr>
          <w:p>
            <w:pPr>
              <w:ind w:left="780"/>
              <w:spacing w:after="0"/>
              <w:rPr>
                <w:sz w:val="20"/>
                <w:szCs w:val="20"/>
                <w:color w:val="auto"/>
              </w:rPr>
            </w:pPr>
            <w:r>
              <w:rPr>
                <w:rFonts w:ascii="Arial" w:cs="Arial" w:eastAsia="Arial" w:hAnsi="Arial"/>
                <w:sz w:val="18"/>
                <w:szCs w:val="18"/>
                <w:color w:val="auto"/>
              </w:rPr>
              <w:t>Association, collectively, the Revolving Credit Lenders, and SunTrust Bank, as the Administrative Agent.</w:t>
            </w:r>
          </w:p>
        </w:tc>
      </w:tr>
      <w:tr>
        <w:trPr>
          <w:trHeight w:val="365"/>
        </w:trPr>
        <w:tc>
          <w:tcPr>
            <w:tcW w:w="720" w:type="dxa"/>
            <w:vAlign w:val="bottom"/>
          </w:tcPr>
          <w:p>
            <w:pPr>
              <w:spacing w:after="0"/>
              <w:rPr>
                <w:sz w:val="24"/>
                <w:szCs w:val="24"/>
                <w:color w:val="auto"/>
              </w:rPr>
            </w:pPr>
          </w:p>
        </w:tc>
        <w:tc>
          <w:tcPr>
            <w:tcW w:w="53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18, 2017</w:t>
      </w:r>
      <w:r>
        <w:rPr>
          <w:sz w:val="20"/>
          <w:szCs w:val="20"/>
          <w:color w:val="auto"/>
        </w:rPr>
        <w:tab/>
      </w:r>
      <w:r>
        <w:rPr>
          <w:rFonts w:ascii="Arial" w:cs="Arial" w:eastAsia="Arial" w:hAnsi="Arial"/>
          <w:sz w:val="17"/>
          <w:szCs w:val="17"/>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740"/>
          </w:cols>
          <w:pgMar w:left="240" w:top="27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52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tcPr>
          <w:p>
            <w:pPr>
              <w:spacing w:after="0"/>
              <w:rPr>
                <w:sz w:val="24"/>
                <w:szCs w:val="24"/>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gridSpan w:val="3"/>
          </w:tcPr>
          <w:p>
            <w:pPr>
              <w:ind w:left="780"/>
              <w:spacing w:after="0"/>
              <w:rPr>
                <w:sz w:val="20"/>
                <w:szCs w:val="20"/>
                <w:color w:val="auto"/>
              </w:rPr>
            </w:pPr>
            <w:r>
              <w:rPr>
                <w:rFonts w:ascii="Arial" w:cs="Arial" w:eastAsia="Arial" w:hAnsi="Arial"/>
                <w:sz w:val="18"/>
                <w:szCs w:val="18"/>
                <w:color w:val="auto"/>
                <w:w w:val="90"/>
              </w:rPr>
              <w:t>Amendment No. 2 to Amended and Restated Credit Agreement, dated as of August 15, 2017, by and among NN, Inc., certain NN, Inc.</w:t>
            </w:r>
          </w:p>
        </w:tc>
      </w:tr>
      <w:tr>
        <w:trPr>
          <w:trHeight w:val="216"/>
        </w:trPr>
        <w:tc>
          <w:tcPr>
            <w:tcW w:w="720" w:type="dxa"/>
            <w:vAlign w:val="bottom"/>
          </w:tcPr>
          <w:p>
            <w:pPr>
              <w:spacing w:after="0"/>
              <w:rPr>
                <w:sz w:val="18"/>
                <w:szCs w:val="18"/>
                <w:color w:val="auto"/>
              </w:rPr>
            </w:pPr>
          </w:p>
        </w:tc>
        <w:tc>
          <w:tcPr>
            <w:tcW w:w="10520" w:type="dxa"/>
            <w:vAlign w:val="bottom"/>
            <w:gridSpan w:val="3"/>
          </w:tcPr>
          <w:p>
            <w:pPr>
              <w:ind w:left="780"/>
              <w:spacing w:after="0"/>
              <w:rPr>
                <w:sz w:val="20"/>
                <w:szCs w:val="20"/>
                <w:color w:val="auto"/>
              </w:rPr>
            </w:pPr>
            <w:r>
              <w:rPr>
                <w:rFonts w:ascii="Arial" w:cs="Arial" w:eastAsia="Arial" w:hAnsi="Arial"/>
                <w:sz w:val="18"/>
                <w:szCs w:val="18"/>
                <w:color w:val="auto"/>
                <w:w w:val="90"/>
              </w:rPr>
              <w:t>subsidiaries named therein, and SunTrust Bank, Regions Bank, JPMorgan Chase Bank, N.A., HomeTrust Bank and Key Bank National</w:t>
            </w:r>
          </w:p>
        </w:tc>
      </w:tr>
      <w:tr>
        <w:trPr>
          <w:trHeight w:val="230"/>
        </w:trPr>
        <w:tc>
          <w:tcPr>
            <w:tcW w:w="720" w:type="dxa"/>
            <w:vAlign w:val="bottom"/>
          </w:tcPr>
          <w:p>
            <w:pPr>
              <w:spacing w:after="0"/>
              <w:rPr>
                <w:sz w:val="20"/>
                <w:szCs w:val="20"/>
                <w:color w:val="auto"/>
              </w:rPr>
            </w:pPr>
          </w:p>
        </w:tc>
        <w:tc>
          <w:tcPr>
            <w:tcW w:w="10520" w:type="dxa"/>
            <w:vAlign w:val="bottom"/>
            <w:gridSpan w:val="3"/>
          </w:tcPr>
          <w:p>
            <w:pPr>
              <w:ind w:left="780"/>
              <w:spacing w:after="0"/>
              <w:rPr>
                <w:sz w:val="20"/>
                <w:szCs w:val="20"/>
                <w:color w:val="auto"/>
              </w:rPr>
            </w:pPr>
            <w:r>
              <w:rPr>
                <w:rFonts w:ascii="Arial" w:cs="Arial" w:eastAsia="Arial" w:hAnsi="Arial"/>
                <w:sz w:val="18"/>
                <w:szCs w:val="18"/>
                <w:color w:val="auto"/>
              </w:rPr>
              <w:t>Association, collectively, the Revolving Credit Lenders, and SunTrust Bank, as the Administrative Agent.</w:t>
            </w:r>
          </w:p>
        </w:tc>
      </w:tr>
    </w:tbl>
    <w:p>
      <w:pPr>
        <w:ind w:left="780"/>
        <w:spacing w:after="0"/>
        <w:rPr>
          <w:sz w:val="20"/>
          <w:szCs w:val="20"/>
          <w:color w:val="auto"/>
        </w:rPr>
        <w:sectPr>
          <w:pgSz w:w="11900" w:h="16838" w:orient="portrait"/>
          <w:cols w:equalWidth="0" w:num="1">
            <w:col w:w="11240"/>
          </w:cols>
          <w:pgMar w:left="2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2 TO AMENDED AND RESTATED CREDIT AGREEMENT</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This AMENDMENT NO. 2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August 15, 2017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Revolving Credit Lenders party hereto, and SunTrust Bank,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WHEREAS, the Borrower, the Administrative Agent and the Lenders from time to time party thereto are parties to the Amended and Restated Credit Agreement, dated as of September 30, 2016 (as amended to date, and as the same may from time to time be further amended, restated or otherwise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which amended and restated the Credit Agreement, dated as of October 19, 2015, as amended;</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Borrower, certain of the Revolving Credit Lenders and the Administrative Agent desire to amend the Credit Agreement to modify certain provisions thereof pursuant to the terms of the Credit Agreement;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Sections 7.14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of the Credit Agreement, the consent of the Required Revolving Lenders is required for the effectiveness of certain of the amendments to the Credit Agreement set forth herein, and each of the Revolving Credit Lenders whose consent is required has agreed to the foregoing as evidenced by its signature to this Amendment.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premises and mutual covenants herein and for other valuable consideration, the Borrower,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Lenders party hereto agree as follows:</w:t>
      </w:r>
    </w:p>
    <w:p>
      <w:pPr>
        <w:spacing w:after="0" w:line="10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left="460" w:right="80" w:firstLine="443"/>
        <w:spacing w:after="0" w:line="277" w:lineRule="auto"/>
        <w:tabs>
          <w:tab w:leader="none" w:pos="111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“Applicable Rate” is hereby amended by replacing each “&gt;” where it appears in the table set forth therein with respect to the Applicable Rate for the Revolving Credit Facility with “³”.</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following definition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restated in its entirety as follows:</w:t>
      </w:r>
    </w:p>
    <w:p>
      <w:pPr>
        <w:spacing w:after="0" w:line="117" w:lineRule="exact"/>
        <w:rPr>
          <w:sz w:val="20"/>
          <w:szCs w:val="20"/>
          <w:color w:val="auto"/>
        </w:rPr>
      </w:pPr>
    </w:p>
    <w:p>
      <w:pPr>
        <w:ind w:left="920"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Leverage Ratio</w:t>
      </w:r>
      <w:r>
        <w:rPr>
          <w:rFonts w:ascii="Arial" w:cs="Arial" w:eastAsia="Arial" w:hAnsi="Arial"/>
          <w:sz w:val="16"/>
          <w:szCs w:val="16"/>
          <w:color w:val="auto"/>
        </w:rPr>
        <w:t>” means, as of any date, determined on a consolidated basis, the ratio of (a) Consolidated Funded Indebtedness (as of such date) minus the aggregate amount equal to the lesser of (x) (1) 100% of the Unrestricted Cash and Cash Equivalents (as of such date) of the Borrower and its Domestic Subsidiaries plus (2) 50% of the Unrestricted Cash and Cash Equivalents (as of such date) of the Foreign Subsidiaries of the Borrower organized under the laws of a jurisdiction located in Europe, as of such date, and (y) the Cap Amount to</w:t>
      </w:r>
    </w:p>
    <w:p>
      <w:pPr>
        <w:spacing w:after="0" w:line="2" w:lineRule="exact"/>
        <w:rPr>
          <w:sz w:val="20"/>
          <w:szCs w:val="20"/>
          <w:color w:val="auto"/>
        </w:rPr>
      </w:pPr>
    </w:p>
    <w:p>
      <w:pPr>
        <w:ind w:left="920" w:right="120" w:firstLine="1"/>
        <w:spacing w:after="0" w:line="271" w:lineRule="auto"/>
        <w:tabs>
          <w:tab w:leader="none" w:pos="117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 For the purposes of this definition, the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means the greater of (A) $40,000,000 and (B) the amount (not to exceed $150,000,000) of Unrestricted Cash and Cash Equivalents standing to the credit of Deposit Account Control Agreements (as of such date).”</w:t>
      </w:r>
    </w:p>
    <w:p>
      <w:pPr>
        <w:spacing w:after="0" w:line="17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 This Amendment shall become effective on the first Business Day on which the following conditions are satisfied or waived (the “</w:t>
      </w:r>
      <w:r>
        <w:rPr>
          <w:rFonts w:ascii="Arial" w:cs="Arial" w:eastAsia="Arial" w:hAnsi="Arial"/>
          <w:sz w:val="17"/>
          <w:szCs w:val="17"/>
          <w:u w:val="single" w:color="auto"/>
          <w:color w:val="auto"/>
        </w:rPr>
        <w:t>Second Amendment Effective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definition of “Applicable Rate”, as amended herein pursuant to Section 2(i), shall become immediately effective upon the execution of this Amendment by the Borrower and the Administrative Agent:</w:t>
      </w:r>
    </w:p>
    <w:p>
      <w:pPr>
        <w:spacing w:after="0" w:line="57" w:lineRule="exact"/>
        <w:rPr>
          <w:sz w:val="20"/>
          <w:szCs w:val="20"/>
          <w:color w:val="auto"/>
        </w:rPr>
      </w:pPr>
    </w:p>
    <w:p>
      <w:pPr>
        <w:ind w:left="460" w:right="60" w:firstLine="443"/>
        <w:spacing w:after="0" w:line="291" w:lineRule="auto"/>
        <w:tabs>
          <w:tab w:leader="none" w:pos="1113"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counterparts of this Amendment that, when taken together, bear the signatures of Revolving Credit Lenders constituting the Required Revolving Lenders as well as signatures of (A) the Administrative Agent, (B) the Borrower and</w:t>
      </w:r>
    </w:p>
    <w:p>
      <w:pPr>
        <w:ind w:left="740" w:hanging="27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Guarantors;</w:t>
      </w:r>
    </w:p>
    <w:p>
      <w:pPr>
        <w:sectPr>
          <w:pgSz w:w="11900" w:h="16838" w:orient="portrait"/>
          <w:cols w:equalWidth="0" w:num="1">
            <w:col w:w="11420"/>
          </w:cols>
          <w:pgMar w:left="240" w:top="121" w:right="239" w:bottom="1440" w:gutter="0" w:footer="0" w:header="0"/>
        </w:sectPr>
      </w:pPr>
    </w:p>
    <w:bookmarkStart w:id="5" w:name="page6"/>
    <w:bookmarkEnd w:id="5"/>
    <w:p>
      <w:pPr>
        <w:ind w:left="460" w:right="160" w:firstLine="443"/>
        <w:spacing w:after="0" w:line="277" w:lineRule="auto"/>
        <w:tabs>
          <w:tab w:leader="none" w:pos="1163"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shall have paid the fees, charges and disbursements of counsel to the Administrative Agent, to the extent invoiced at least one Business Day prior to the Second Amendment Effective Date; and</w:t>
      </w:r>
    </w:p>
    <w:p>
      <w:pPr>
        <w:spacing w:after="0" w:line="62" w:lineRule="exact"/>
        <w:rPr>
          <w:rFonts w:ascii="Arial" w:cs="Arial" w:eastAsia="Arial" w:hAnsi="Arial"/>
          <w:sz w:val="18"/>
          <w:szCs w:val="18"/>
          <w:color w:val="auto"/>
        </w:rPr>
      </w:pPr>
    </w:p>
    <w:p>
      <w:pPr>
        <w:ind w:left="460" w:firstLine="443"/>
        <w:spacing w:after="0" w:line="271" w:lineRule="auto"/>
        <w:tabs>
          <w:tab w:leader="none" w:pos="1213"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from the Borrower, dated as of the Second Amendment Effective Date, certifying that (A) both before and immediately after giving effect to this Amendment, there shall exist no Default or Event of Default and (B) the representations and warranties of the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or any other Loan Document, or which are contained in any document furnished at any time under or in connection herewith or therewith, are true and correct in all material respects (or, with respect to representations and warranties modified by a materiality or Material Adverse Effect standard, in all respects) on and as of the Second Amendment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w:t>
      </w:r>
    </w:p>
    <w:p>
      <w:pPr>
        <w:spacing w:after="0" w:line="17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Acknowledgments and Affirmations of the Loan Parties</w:t>
      </w:r>
      <w:r>
        <w:rPr>
          <w:rFonts w:ascii="Arial" w:cs="Arial" w:eastAsia="Arial" w:hAnsi="Arial"/>
          <w:sz w:val="16"/>
          <w:szCs w:val="16"/>
          <w:color w:val="auto"/>
        </w:rPr>
        <w:t>.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w:t>
      </w:r>
    </w:p>
    <w:p>
      <w:pPr>
        <w:ind w:right="20" w:firstLine="8"/>
        <w:spacing w:after="0" w:line="253"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its guarantee of the Obligations under the Guaranty and (iii) its grant of Liens on the Collateral to secure the Obligations pursuant to the Security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and after the effectiveness of this Amendment, each reference in the Guaranty and in each of the other Loan Documents to “the Credit Agreement”, “thereunder”, “thereof” or words of like import shall mean and be a reference to the Credit Agreement, as amended hereby. Without limiting the generality of the foregoing, the Security Documents to which such Loan Party is a party and all of the Collateral described therein do, and shall continue to, secure payment and performance of all of the Obligations.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Guarantor, by signing below, hereby represents and warrants to the Administrative Agent and the Lenders that:</w:t>
      </w:r>
    </w:p>
    <w:p>
      <w:pPr>
        <w:spacing w:after="0" w:line="62" w:lineRule="exact"/>
        <w:rPr>
          <w:sz w:val="20"/>
          <w:szCs w:val="20"/>
          <w:color w:val="auto"/>
        </w:rPr>
      </w:pPr>
    </w:p>
    <w:p>
      <w:pPr>
        <w:ind w:left="1120" w:hanging="21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ind w:left="460" w:right="120" w:firstLine="443"/>
        <w:spacing w:after="0" w:line="293" w:lineRule="auto"/>
        <w:tabs>
          <w:tab w:leader="none" w:pos="1213"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of the Credit Agreement) upon any assets or property of any Loan Party under the provisions of, (a) such Loan Party’s Organization Documents, (b) 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56" w:lineRule="exact"/>
        <w:rPr>
          <w:rFonts w:ascii="Arial" w:cs="Arial" w:eastAsia="Arial" w:hAnsi="Arial"/>
          <w:sz w:val="16"/>
          <w:szCs w:val="16"/>
          <w:color w:val="auto"/>
        </w:rPr>
      </w:pPr>
    </w:p>
    <w:p>
      <w:pPr>
        <w:ind w:left="460" w:right="280" w:firstLine="443"/>
        <w:spacing w:after="0" w:line="277" w:lineRule="auto"/>
        <w:tabs>
          <w:tab w:leader="none" w:pos="1203"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w:t>
      </w:r>
    </w:p>
    <w:p>
      <w:pPr>
        <w:spacing w:after="0" w:line="62" w:lineRule="exact"/>
        <w:rPr>
          <w:rFonts w:ascii="Arial" w:cs="Arial" w:eastAsia="Arial" w:hAnsi="Arial"/>
          <w:sz w:val="18"/>
          <w:szCs w:val="18"/>
          <w:color w:val="auto"/>
        </w:rPr>
      </w:pPr>
    </w:p>
    <w:p>
      <w:pPr>
        <w:ind w:left="460" w:right="340" w:firstLine="443"/>
        <w:spacing w:after="0" w:line="264"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73" w:lineRule="exact"/>
        <w:rPr>
          <w:rFonts w:ascii="Arial" w:cs="Arial" w:eastAsia="Arial" w:hAnsi="Arial"/>
          <w:sz w:val="18"/>
          <w:szCs w:val="18"/>
          <w:color w:val="auto"/>
        </w:rPr>
      </w:pPr>
    </w:p>
    <w:p>
      <w:pPr>
        <w:jc w:val="both"/>
        <w:ind w:left="460" w:right="320" w:firstLine="443"/>
        <w:spacing w:after="0" w:line="264" w:lineRule="auto"/>
        <w:tabs>
          <w:tab w:leader="none" w:pos="1203"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consent, approval or authorization of, or filing, registration, or qualification with, any Governmental Authority or any other Person is required to be obtained or completed by any Loan party in connection with the execution, delivery or performance of this Amendment, that has not already been obtained or completed; and</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 w:name="page7"/>
    <w:bookmarkEnd w:id="6"/>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Guarantor Acknowledgment</w:t>
      </w:r>
      <w:r>
        <w:rPr>
          <w:rFonts w:ascii="Arial" w:cs="Arial" w:eastAsia="Arial" w:hAnsi="Arial"/>
          <w:sz w:val="18"/>
          <w:szCs w:val="18"/>
          <w:color w:val="auto"/>
        </w:rPr>
        <w:t>. Each Guarantor, by signing this Amendment:</w:t>
      </w:r>
    </w:p>
    <w:p>
      <w:pPr>
        <w:spacing w:after="0" w:line="117" w:lineRule="exact"/>
        <w:rPr>
          <w:sz w:val="20"/>
          <w:szCs w:val="20"/>
          <w:color w:val="auto"/>
        </w:rPr>
      </w:pPr>
    </w:p>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163" w:val="left"/>
        </w:tabs>
        <w:numPr>
          <w:ilvl w:val="0"/>
          <w:numId w:val="9"/>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3" w:lineRule="exact"/>
        <w:rPr>
          <w:rFonts w:ascii="Arial" w:cs="Arial" w:eastAsia="Arial" w:hAnsi="Arial"/>
          <w:sz w:val="18"/>
          <w:szCs w:val="18"/>
          <w:color w:val="auto"/>
        </w:rPr>
      </w:pPr>
    </w:p>
    <w:p>
      <w:pPr>
        <w:ind w:left="460" w:right="40" w:firstLine="443"/>
        <w:spacing w:after="0" w:line="312" w:lineRule="auto"/>
        <w:tabs>
          <w:tab w:leader="none" w:pos="121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38" w:lineRule="exact"/>
        <w:rPr>
          <w:rFonts w:ascii="Arial" w:cs="Arial" w:eastAsia="Arial" w:hAnsi="Arial"/>
          <w:sz w:val="16"/>
          <w:szCs w:val="16"/>
          <w:color w:val="auto"/>
        </w:rPr>
      </w:pPr>
    </w:p>
    <w:p>
      <w:pPr>
        <w:ind w:left="460" w:right="180" w:firstLine="443"/>
        <w:spacing w:after="0" w:line="279" w:lineRule="auto"/>
        <w:tabs>
          <w:tab w:leader="none" w:pos="1203" w:val="left"/>
        </w:tabs>
        <w:numPr>
          <w:ilvl w:val="0"/>
          <w:numId w:val="9"/>
        </w:numPr>
        <w:rPr>
          <w:rFonts w:ascii="Arial" w:cs="Arial" w:eastAsia="Arial" w:hAnsi="Arial"/>
          <w:sz w:val="17"/>
          <w:szCs w:val="17"/>
          <w:color w:val="auto"/>
        </w:rPr>
      </w:pPr>
      <w:r>
        <w:rPr>
          <w:rFonts w:ascii="Arial" w:cs="Arial" w:eastAsia="Arial" w:hAnsi="Arial"/>
          <w:sz w:val="17"/>
          <w:szCs w:val="17"/>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6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Waiver</w:t>
      </w:r>
      <w:r>
        <w:rPr>
          <w:rFonts w:ascii="Arial" w:cs="Arial" w:eastAsia="Arial" w:hAnsi="Arial"/>
          <w:sz w:val="16"/>
          <w:szCs w:val="16"/>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39"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73" w:lineRule="exact"/>
        <w:rPr>
          <w:sz w:val="20"/>
          <w:szCs w:val="20"/>
          <w:color w:val="auto"/>
        </w:rPr>
      </w:pPr>
    </w:p>
    <w:p>
      <w:pPr>
        <w:ind w:right="540" w:firstLine="456"/>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OTHER LOAN DOCUMENTS AND ANY CLAIMS, CONTROVERSY, DISPUTE OR CAUSE OF ACTION (WHETHER IN CONTRACT OR TORT OR OTHERWISE) BASED UPON, ARISING OUT OF OR RELATING TO THIS AMENDMENT OR ANY OTHER LOAN DOCUMENT (EXCEPT, AS TO ANY OTHER LOAN DOCUMENT, AS EXPRESSLY SET FORTH THEREIN) AND THE TRANSACTIONS CONTEMPLATED HEREBY AND THEREBY SHALL BE GOVERNED BY, AND CONSTRUED IN ACCORDANCE WITH, THE LAW OF THE STATE OF NEW YORK.</w:t>
      </w:r>
    </w:p>
    <w:p>
      <w:pPr>
        <w:spacing w:after="0" w:line="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EACH PARTY HERETO HEREBY IRREVOCABLY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 INDIRECTLY ARISING OUT OF OR RELATING TO THIS AMENDMENT OR ANY OTHER LOAN DOCUMENT OR THE TRANSACTIONS CONTEMPLATED HEREBY OR THEREBY (WHETHER BASED ON CONTRACT, TORT OR ANY OTHER THEORY).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Title:  Vice President, Strategy</w:t>
      </w:r>
    </w:p>
    <w:p>
      <w:pPr>
        <w:spacing w:after="0" w:line="224" w:lineRule="exact"/>
        <w:rPr>
          <w:sz w:val="20"/>
          <w:szCs w:val="20"/>
          <w:color w:val="auto"/>
        </w:rPr>
      </w:pPr>
    </w:p>
    <w:p>
      <w:pPr>
        <w:jc w:val="center"/>
        <w:ind w:right="-7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i w:val="1"/>
          <w:iCs w:val="1"/>
          <w:color w:val="auto"/>
        </w:rPr>
        <w:t>Amendment No. 2 to Amended and Restated Credit Agreement</w:t>
      </w:r>
    </w:p>
    <w:p>
      <w:pPr>
        <w:sectPr>
          <w:pgSz w:w="11900" w:h="16838" w:orient="portrait"/>
          <w:cols w:equalWidth="0" w:num="1">
            <w:col w:w="9759"/>
          </w:cols>
          <w:pgMar w:left="700" w:top="274" w:right="1440" w:bottom="1440" w:gutter="0" w:footer="0" w:header="0"/>
        </w:sectPr>
      </w:pPr>
    </w:p>
    <w:bookmarkStart w:id="8" w:name="page9"/>
    <w:bookmarkEnd w:id="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Guarantors:</w:t>
      </w:r>
    </w:p>
    <w:p>
      <w:pPr>
        <w:spacing w:after="0" w:line="1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 CORPORATION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AUTOCAM-PAX,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INDUSTRIAL MOLDING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WHIRLAWAY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PNC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USA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ACQUISITION COMPANY, INC.</w:t>
      </w:r>
    </w:p>
    <w:p>
      <w:pPr>
        <w:spacing w:after="0" w:line="9" w:lineRule="exact"/>
        <w:rPr>
          <w:sz w:val="20"/>
          <w:szCs w:val="20"/>
          <w:color w:val="auto"/>
        </w:rPr>
      </w:pPr>
    </w:p>
    <w:p>
      <w:pPr>
        <w:ind w:left="5660" w:right="980" w:hanging="5"/>
        <w:spacing w:after="0" w:line="281" w:lineRule="auto"/>
        <w:tabs>
          <w:tab w:leader="none" w:pos="59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PRECISION PLASTICS, INC. CAPROCK MANUFACTURING, INC. CAPROCK ENCLOSURES, LLC PRECISION ENGINEERED PRODUCTS</w:t>
      </w:r>
    </w:p>
    <w:p>
      <w:pPr>
        <w:spacing w:after="0" w:line="2" w:lineRule="exact"/>
        <w:rPr>
          <w:rFonts w:ascii="Arial" w:cs="Arial" w:eastAsia="Arial" w:hAnsi="Arial"/>
          <w:sz w:val="16"/>
          <w:szCs w:val="16"/>
          <w:color w:val="auto"/>
        </w:rPr>
      </w:pPr>
    </w:p>
    <w:p>
      <w:pPr>
        <w:ind w:left="5840"/>
        <w:spacing w:after="0"/>
        <w:rPr>
          <w:rFonts w:ascii="Arial" w:cs="Arial" w:eastAsia="Arial" w:hAnsi="Arial"/>
          <w:sz w:val="16"/>
          <w:szCs w:val="16"/>
          <w:color w:val="auto"/>
        </w:rPr>
      </w:pPr>
      <w:r>
        <w:rPr>
          <w:rFonts w:ascii="Arial" w:cs="Arial" w:eastAsia="Arial" w:hAnsi="Arial"/>
          <w:sz w:val="18"/>
          <w:szCs w:val="18"/>
          <w:color w:val="auto"/>
        </w:rPr>
        <w:t>HOLDINGS, INC.</w:t>
      </w:r>
    </w:p>
    <w:p>
      <w:pPr>
        <w:spacing w:after="0" w:line="9" w:lineRule="exact"/>
        <w:rPr>
          <w:rFonts w:ascii="Arial" w:cs="Arial" w:eastAsia="Arial" w:hAnsi="Arial"/>
          <w:sz w:val="16"/>
          <w:szCs w:val="16"/>
          <w:color w:val="auto"/>
        </w:rPr>
      </w:pPr>
    </w:p>
    <w:p>
      <w:pPr>
        <w:ind w:left="5660" w:right="540"/>
        <w:spacing w:after="0" w:line="265" w:lineRule="auto"/>
        <w:rPr>
          <w:rFonts w:ascii="Arial" w:cs="Arial" w:eastAsia="Arial" w:hAnsi="Arial"/>
          <w:sz w:val="16"/>
          <w:szCs w:val="16"/>
          <w:color w:val="auto"/>
        </w:rPr>
      </w:pPr>
      <w:r>
        <w:rPr>
          <w:rFonts w:ascii="Arial" w:cs="Arial" w:eastAsia="Arial" w:hAnsi="Arial"/>
          <w:sz w:val="17"/>
          <w:szCs w:val="17"/>
          <w:color w:val="auto"/>
        </w:rPr>
        <w:t>PRECISION ENGINEERED PRODUCTS LLC BRAININ-ADVANCE INDUSTRIES LLC WAUCONDA TOOL &amp; ENGINEERING LLC LACEY MANUFACTURING COMPANY, LLC GENERAL METAL FINISHING LLC POLYMETALLURGICAL LLC</w:t>
      </w:r>
    </w:p>
    <w:p>
      <w:pPr>
        <w:spacing w:after="0" w:line="1"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MATRlX I LLC</w:t>
      </w:r>
    </w:p>
    <w:p>
      <w:pPr>
        <w:spacing w:after="0" w:line="9" w:lineRule="exact"/>
        <w:rPr>
          <w:rFonts w:ascii="Arial" w:cs="Arial" w:eastAsia="Arial" w:hAnsi="Arial"/>
          <w:sz w:val="16"/>
          <w:szCs w:val="16"/>
          <w:color w:val="auto"/>
        </w:rPr>
      </w:pPr>
    </w:p>
    <w:p>
      <w:pPr>
        <w:ind w:left="5840" w:right="440" w:hanging="180"/>
        <w:spacing w:after="0" w:line="250" w:lineRule="auto"/>
        <w:rPr>
          <w:rFonts w:ascii="Arial" w:cs="Arial" w:eastAsia="Arial" w:hAnsi="Arial"/>
          <w:sz w:val="16"/>
          <w:szCs w:val="16"/>
          <w:color w:val="auto"/>
        </w:rPr>
      </w:pPr>
      <w:r>
        <w:rPr>
          <w:rFonts w:ascii="Arial" w:cs="Arial" w:eastAsia="Arial" w:hAnsi="Arial"/>
          <w:sz w:val="18"/>
          <w:szCs w:val="18"/>
          <w:color w:val="auto"/>
        </w:rPr>
        <w:t>BOSTON ENDO-SURGICAL TECHNOLOGIES LLC</w:t>
      </w:r>
    </w:p>
    <w:p>
      <w:pPr>
        <w:ind w:left="5660" w:right="700"/>
        <w:spacing w:after="0" w:line="250" w:lineRule="auto"/>
        <w:rPr>
          <w:rFonts w:ascii="Arial" w:cs="Arial" w:eastAsia="Arial" w:hAnsi="Arial"/>
          <w:sz w:val="16"/>
          <w:szCs w:val="16"/>
          <w:color w:val="auto"/>
        </w:rPr>
      </w:pPr>
      <w:r>
        <w:rPr>
          <w:rFonts w:ascii="Arial" w:cs="Arial" w:eastAsia="Arial" w:hAnsi="Arial"/>
          <w:sz w:val="18"/>
          <w:szCs w:val="18"/>
          <w:color w:val="auto"/>
        </w:rPr>
        <w:t>CONNECTICUT PLASTICS. LLC ADVANCED PRECISION PRODUCTS, INC. HOWESTEMCO, LLC</w:t>
      </w:r>
    </w:p>
    <w:p>
      <w:pPr>
        <w:spacing w:after="0" w:line="1"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PREMCO, INC.</w:t>
      </w:r>
    </w:p>
    <w:p>
      <w:pPr>
        <w:spacing w:after="0" w:line="9" w:lineRule="exact"/>
        <w:rPr>
          <w:rFonts w:ascii="Arial" w:cs="Arial" w:eastAsia="Arial" w:hAnsi="Arial"/>
          <w:sz w:val="16"/>
          <w:szCs w:val="16"/>
          <w:color w:val="auto"/>
        </w:rPr>
      </w:pPr>
    </w:p>
    <w:p>
      <w:pPr>
        <w:ind w:left="5660" w:right="1840"/>
        <w:spacing w:after="0" w:line="281" w:lineRule="auto"/>
        <w:rPr>
          <w:rFonts w:ascii="Arial" w:cs="Arial" w:eastAsia="Arial" w:hAnsi="Arial"/>
          <w:sz w:val="16"/>
          <w:szCs w:val="16"/>
          <w:color w:val="auto"/>
        </w:rPr>
      </w:pPr>
      <w:r>
        <w:rPr>
          <w:rFonts w:ascii="Arial" w:cs="Arial" w:eastAsia="Arial" w:hAnsi="Arial"/>
          <w:sz w:val="16"/>
          <w:szCs w:val="16"/>
          <w:color w:val="auto"/>
        </w:rPr>
        <w:t>PROFILES INCORPORATED HOLMED, LLC</w:t>
      </w:r>
    </w:p>
    <w:p>
      <w:pPr>
        <w:spacing w:after="0" w:line="1"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TRIGON INTERNATIONAL LLC</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 and Treasurer</w:t>
      </w:r>
    </w:p>
    <w:p>
      <w:pPr>
        <w:spacing w:after="0" w:line="224" w:lineRule="exact"/>
        <w:rPr>
          <w:sz w:val="20"/>
          <w:szCs w:val="20"/>
          <w:color w:val="auto"/>
        </w:rPr>
      </w:pPr>
    </w:p>
    <w:p>
      <w:pPr>
        <w:jc w:val="center"/>
        <w:ind w:right="70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5"/>
          <w:szCs w:val="15"/>
          <w:i w:val="1"/>
          <w:iCs w:val="1"/>
          <w:color w:val="auto"/>
        </w:rPr>
        <w:t>Amendment No. 2 to Amended and Restated Credit Agreement</w:t>
      </w:r>
    </w:p>
    <w:p>
      <w:pPr>
        <w:sectPr>
          <w:pgSz w:w="11900" w:h="16838" w:orient="portrait"/>
          <w:cols w:equalWidth="0" w:num="1">
            <w:col w:w="9740"/>
          </w:cols>
          <w:pgMar w:left="1440" w:top="274" w:right="719" w:bottom="1440" w:gutter="0" w:footer="0" w:header="0"/>
        </w:sectPr>
      </w:pPr>
    </w:p>
    <w:bookmarkStart w:id="9" w:name="page10"/>
    <w:bookmarkEnd w:id="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Arial" w:cs="Arial" w:eastAsia="Arial" w:hAnsi="Arial"/>
          <w:sz w:val="18"/>
          <w:szCs w:val="18"/>
          <w:color w:val="auto"/>
        </w:rPr>
        <w:t>, as Administrative Agent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Anika Kirs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SUNTRUST BANK</w:t>
      </w:r>
      <w:r>
        <w:rPr>
          <w:rFonts w:ascii="Arial" w:cs="Arial" w:eastAsia="Arial" w:hAnsi="Arial"/>
          <w:sz w:val="16"/>
          <w:szCs w:val="16"/>
          <w:color w:val="auto"/>
        </w:rPr>
        <w:t>, as a Revolving Credit Lender</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Anika Kirs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24" w:lineRule="exact"/>
        <w:rPr>
          <w:sz w:val="20"/>
          <w:szCs w:val="20"/>
          <w:color w:val="auto"/>
        </w:rPr>
      </w:pPr>
    </w:p>
    <w:p>
      <w:pPr>
        <w:jc w:val="center"/>
        <w:ind w:right="3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5"/>
          <w:szCs w:val="15"/>
          <w:i w:val="1"/>
          <w:iCs w:val="1"/>
          <w:color w:val="auto"/>
        </w:rPr>
        <w:t>Amendment No. 2 to Amended and Restated Credit Agreement</w:t>
      </w:r>
    </w:p>
    <w:p>
      <w:pPr>
        <w:sectPr>
          <w:pgSz w:w="11900" w:h="16838" w:orient="portrait"/>
          <w:cols w:equalWidth="0" w:num="1">
            <w:col w:w="9380"/>
          </w:cols>
          <w:pgMar w:left="1440" w:top="270" w:right="1079" w:bottom="1440" w:gutter="0" w:footer="0" w:header="0"/>
        </w:sectPr>
      </w:pPr>
    </w:p>
    <w:bookmarkStart w:id="10" w:name="page11"/>
    <w:bookmarkEnd w:id="10"/>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9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Revolving Credit Lender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Marc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Marc Sanchez</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2 to Amended and Restated Credit Agreement</w:t>
      </w:r>
    </w:p>
    <w:p>
      <w:pPr>
        <w:sectPr>
          <w:pgSz w:w="11900" w:h="16838" w:orient="portrait"/>
          <w:cols w:equalWidth="0" w:num="1">
            <w:col w:w="9700"/>
          </w:cols>
          <w:pgMar w:left="1440" w:top="274" w:right="759" w:bottom="1440" w:gutter="0" w:footer="0" w:header="0"/>
        </w:sectPr>
      </w:pPr>
    </w:p>
    <w:bookmarkStart w:id="11" w:name="page12"/>
    <w:bookmarkEnd w:id="1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99"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JPMORGAN CHASE BANK, N.A.</w:t>
      </w:r>
      <w:r>
        <w:rPr>
          <w:rFonts w:ascii="Arial" w:cs="Arial" w:eastAsia="Arial" w:hAnsi="Arial"/>
          <w:sz w:val="17"/>
          <w:szCs w:val="17"/>
          <w:color w:val="auto"/>
        </w:rPr>
        <w:t>, as a Revolving Credit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A. 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A. Horst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5"/>
          <w:szCs w:val="15"/>
          <w:i w:val="1"/>
          <w:iCs w:val="1"/>
          <w:color w:val="auto"/>
        </w:rPr>
        <w:t>Amendment No. 2 to Amended and Restated Credit Agreement</w:t>
      </w:r>
    </w:p>
    <w:p>
      <w:pPr>
        <w:sectPr>
          <w:pgSz w:w="11900" w:h="16838" w:orient="portrait"/>
          <w:cols w:equalWidth="0" w:num="1">
            <w:col w:w="10020"/>
          </w:cols>
          <w:pgMar w:left="1440" w:top="274" w:right="439" w:bottom="1440" w:gutter="0" w:footer="0" w:header="0"/>
        </w:sectPr>
      </w:pPr>
    </w:p>
    <w:bookmarkStart w:id="12" w:name="page13"/>
    <w:bookmarkEnd w:id="12"/>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99"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HOMETRUST BANK</w:t>
      </w:r>
      <w:r>
        <w:rPr>
          <w:rFonts w:ascii="Arial" w:cs="Arial" w:eastAsia="Arial" w:hAnsi="Arial"/>
          <w:sz w:val="17"/>
          <w:szCs w:val="17"/>
          <w:color w:val="auto"/>
        </w:rPr>
        <w:t>, as a Revolving Credit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Marc Sanchez</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2 to Amended and Restated Credit Agreement</w:t>
      </w:r>
    </w:p>
    <w:p>
      <w:pPr>
        <w:sectPr>
          <w:pgSz w:w="11900" w:h="16838" w:orient="portrait"/>
          <w:cols w:equalWidth="0" w:num="1">
            <w:col w:w="9700"/>
          </w:cols>
          <w:pgMar w:left="1440" w:top="274" w:right="759" w:bottom="1440" w:gutter="0" w:footer="0" w:header="0"/>
        </w:sectPr>
      </w:pPr>
    </w:p>
    <w:bookmarkStart w:id="13" w:name="page14"/>
    <w:bookmarkEnd w:id="1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99"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KEYBANK NATIONAL ASSOCIATION</w:t>
      </w:r>
      <w:r>
        <w:rPr>
          <w:rFonts w:ascii="Arial" w:cs="Arial" w:eastAsia="Arial" w:hAnsi="Arial"/>
          <w:sz w:val="17"/>
          <w:szCs w:val="17"/>
          <w:color w:val="auto"/>
        </w:rPr>
        <w:t>, as a Revolving</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Credit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Ari Deutchman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5"/>
          <w:szCs w:val="15"/>
          <w:i w:val="1"/>
          <w:iCs w:val="1"/>
          <w:color w:val="auto"/>
        </w:rPr>
        <w:t>Amendment No. 2 to Amended and Restated Credit Agreement</w:t>
      </w:r>
    </w:p>
    <w:sectPr>
      <w:pgSz w:w="11900" w:h="16838" w:orient="portrait"/>
      <w:cols w:equalWidth="0" w:num="1">
        <w:col w:w="10020"/>
      </w:cols>
      <w:pgMar w:left="1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upperLetter"/>
      <w:start w:val="1"/>
    </w:lvl>
    <w:lvl w:ilvl="1">
      <w:lvlJc w:val="left"/>
      <w:lvlText w:val="(%2)"/>
      <w:numFmt w:val="lowerRoman"/>
      <w:start w:val="1"/>
    </w:lvl>
  </w:abstractNum>
  <w:abstractNum w:abstractNumId="4">
    <w:nsid w:val="79E2A9E3"/>
    <w:multiLevelType w:val="hybridMultilevel"/>
    <w:lvl w:ilvl="0">
      <w:lvlJc w:val="left"/>
      <w:lvlText w:val="(%1)"/>
      <w:numFmt w:val="upperLetter"/>
      <w:start w:val="3"/>
    </w:lvl>
    <w:lvl w:ilvl="1">
      <w:lvlJc w:val="left"/>
      <w:lvlText w:val="%2"/>
      <w:numFmt w:val="lowerRoman"/>
      <w:start w:val="1"/>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2019-12-05T23:05:32Z</dcterms:created>
  <dcterms:modified xsi:type="dcterms:W3CDTF">2019-12-05T23:05:32Z</dcterms:modified>
</cp:coreProperties>
</file>