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5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18" w:right="1440" w:bottom="19" w:gutter="0" w:footer="0" w:header="0"/>
        </w:sectPr>
      </w:pPr>
    </w:p>
    <w:p>
      <w:pPr>
        <w:spacing w:after="0" w:line="372" w:lineRule="exact"/>
        <w:rPr>
          <w:sz w:val="24"/>
          <w:szCs w:val="24"/>
          <w:color w:val="auto"/>
        </w:rPr>
      </w:pPr>
    </w:p>
    <w:p>
      <w:pPr>
        <w:spacing w:after="0" w:line="347"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September 11, 2001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sectPr>
          <w:pgSz w:w="11900" w:h="16838" w:orient="portrait"/>
          <w:cols w:equalWidth="0" w:num="2">
            <w:col w:w="4020" w:space="200"/>
            <w:col w:w="5999"/>
          </w:cols>
          <w:pgMar w:left="240" w:top="218" w:right="1440" w:bottom="19" w:gutter="0" w:footer="0" w:header="0"/>
          <w:type w:val="continuous"/>
        </w:sect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372" w:lineRule="exact"/>
        <w:rPr>
          <w:sz w:val="24"/>
          <w:szCs w:val="24"/>
          <w:color w:val="auto"/>
        </w:rPr>
      </w:pPr>
    </w:p>
    <w:tbl>
      <w:tblPr>
        <w:tblLayout w:type="fixed"/>
        <w:tblInd w:w="1380" w:type="dxa"/>
        <w:tblCellMar>
          <w:top w:w="0" w:type="dxa"/>
          <w:left w:w="0" w:type="dxa"/>
          <w:bottom w:w="0" w:type="dxa"/>
          <w:right w:w="0" w:type="dxa"/>
        </w:tblCellMar>
      </w:tblPr>
      <w:tr>
        <w:trPr>
          <w:trHeight w:val="23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ind w:left="3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372"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2" w:lineRule="exact"/>
        <w:rPr>
          <w:sz w:val="24"/>
          <w:szCs w:val="24"/>
          <w:color w:val="auto"/>
        </w:rPr>
      </w:pPr>
    </w:p>
    <w:p>
      <w:pPr>
        <w:ind w:left="7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18" w:right="1440" w:bottom="1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347"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p>
      <w:pPr>
        <w:sectPr>
          <w:pgSz w:w="11900" w:h="16838" w:orient="portrait"/>
          <w:cols w:equalWidth="0" w:num="2">
            <w:col w:w="4220" w:space="420"/>
            <w:col w:w="5579"/>
          </w:cols>
          <w:pgMar w:left="240" w:top="218" w:right="1440" w:bottom="19" w:gutter="0" w:footer="0" w:header="0"/>
          <w:type w:val="continuous"/>
        </w:sect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37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jc w:val="both"/>
        <w:ind w:right="1999" w:firstLine="632"/>
        <w:spacing w:after="0" w:line="274" w:lineRule="auto"/>
        <w:rPr>
          <w:sz w:val="20"/>
          <w:szCs w:val="20"/>
          <w:color w:val="auto"/>
        </w:rPr>
      </w:pPr>
      <w:r>
        <w:rPr>
          <w:rFonts w:ascii="Courier New" w:cs="Courier New" w:eastAsia="Courier New" w:hAnsi="Courier New"/>
          <w:sz w:val="18"/>
          <w:szCs w:val="18"/>
          <w:color w:val="auto"/>
        </w:rPr>
        <w:t>On September 11, 2001 the Company issued a press release announcing its decision to close its plant located in Walterboro, South Carolina. A copy of the press release is attached as Exhibit 99.1 hereto and incorporated herein by reference.</w:t>
      </w:r>
    </w:p>
    <w:p>
      <w:pPr>
        <w:spacing w:after="0" w:line="8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sz w:val="24"/>
          <w:szCs w:val="24"/>
          <w:color w:val="auto"/>
        </w:rPr>
      </w:pPr>
    </w:p>
    <w:p>
      <w:pPr>
        <w:ind w:left="1280" w:right="2839" w:hanging="631"/>
        <w:spacing w:after="0" w:line="347" w:lineRule="auto"/>
        <w:tabs>
          <w:tab w:leader="none" w:pos="1260" w:val="left"/>
        </w:tabs>
        <w:rPr>
          <w:sz w:val="20"/>
          <w:szCs w:val="20"/>
          <w:color w:val="auto"/>
        </w:rPr>
      </w:pPr>
      <w:r>
        <w:rPr>
          <w:rFonts w:ascii="Courier New" w:cs="Courier New" w:eastAsia="Courier New" w:hAnsi="Courier New"/>
          <w:sz w:val="18"/>
          <w:szCs w:val="18"/>
          <w:color w:val="auto"/>
        </w:rPr>
        <w:t>99.1</w:t>
        <w:tab/>
        <w:t>Press release regarding the Walterboro plant closing dated September 11,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4" w:lineRule="exact"/>
        <w:rPr>
          <w:sz w:val="24"/>
          <w:szCs w:val="24"/>
          <w:color w:val="auto"/>
        </w:rPr>
      </w:pPr>
    </w:p>
    <w:p>
      <w:pPr>
        <w:ind w:right="2199" w:firstLine="632"/>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4"/>
          <w:szCs w:val="24"/>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11, 2001</w:t>
      </w:r>
    </w:p>
    <w:p>
      <w:pPr>
        <w:spacing w:after="0" w:line="31"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218" w:right="1440" w:bottom="19" w:gutter="0" w:footer="0" w:header="0"/>
          <w:type w:val="continuous"/>
        </w:sectPr>
      </w:pPr>
    </w:p>
    <w:bookmarkStart w:id="1" w:name="page2"/>
    <w:bookmarkEnd w:id="1"/>
    <w:p>
      <w:pPr>
        <w:ind w:left="3240"/>
        <w:spacing w:after="0"/>
        <w:rPr>
          <w:sz w:val="20"/>
          <w:szCs w:val="20"/>
          <w:color w:val="auto"/>
        </w:rPr>
      </w:pPr>
      <w:r>
        <w:rPr>
          <w:rFonts w:ascii="Courier New" w:cs="Courier New" w:eastAsia="Courier New" w:hAnsi="Courier New"/>
          <w:sz w:val="18"/>
          <w:szCs w:val="18"/>
          <w:color w:val="auto"/>
        </w:rPr>
        <w:t>By: /s/ William C. Kelly, Jr.</w:t>
      </w:r>
    </w:p>
    <w:p>
      <w:pPr>
        <w:spacing w:after="0" w:line="3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William C. Kelly, Jr.,</w:t>
      </w:r>
    </w:p>
    <w:p>
      <w:pPr>
        <w:ind w:left="3540"/>
        <w:spacing w:after="0"/>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9019"/>
          </w:cols>
          <w:pgMar w:left="14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BULLETIN</w:t>
      </w:r>
    </w:p>
    <w:tbl>
      <w:tblPr>
        <w:tblLayout w:type="fixed"/>
        <w:tblInd w:w="1700" w:type="dxa"/>
        <w:tblCellMar>
          <w:top w:w="0" w:type="dxa"/>
          <w:left w:w="0" w:type="dxa"/>
          <w:bottom w:w="0" w:type="dxa"/>
          <w:right w:w="0" w:type="dxa"/>
        </w:tblCellMar>
      </w:tblPr>
      <w:tr>
        <w:trPr>
          <w:trHeight w:val="201"/>
        </w:trPr>
        <w:tc>
          <w:tcPr>
            <w:tcW w:w="3460" w:type="dxa"/>
            <w:vAlign w:val="bottom"/>
          </w:tcPr>
          <w:p>
            <w:pPr>
              <w:ind w:left="3040"/>
              <w:spacing w:after="0" w:line="201" w:lineRule="exact"/>
              <w:rPr>
                <w:sz w:val="20"/>
                <w:szCs w:val="20"/>
                <w:color w:val="auto"/>
              </w:rPr>
            </w:pPr>
            <w:r>
              <w:rPr>
                <w:rFonts w:ascii="Courier New" w:cs="Courier New" w:eastAsia="Courier New" w:hAnsi="Courier New"/>
                <w:sz w:val="18"/>
                <w:szCs w:val="18"/>
                <w:color w:val="auto"/>
              </w:rPr>
              <w:t>RE:</w:t>
            </w:r>
          </w:p>
        </w:tc>
        <w:tc>
          <w:tcPr>
            <w:tcW w:w="2540" w:type="dxa"/>
            <w:vAlign w:val="bottom"/>
            <w:gridSpan w:val="2"/>
          </w:tcPr>
          <w:p>
            <w:pPr>
              <w:ind w:left="120"/>
              <w:spacing w:after="0" w:line="201" w:lineRule="exact"/>
              <w:rPr>
                <w:sz w:val="20"/>
                <w:szCs w:val="20"/>
                <w:color w:val="auto"/>
              </w:rPr>
            </w:pPr>
            <w:r>
              <w:rPr>
                <w:rFonts w:ascii="Courier New" w:cs="Courier New" w:eastAsia="Courier New" w:hAnsi="Courier New"/>
                <w:sz w:val="18"/>
                <w:szCs w:val="18"/>
                <w:color w:val="auto"/>
              </w:rPr>
              <w:t>NN, Inc.</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2000 Waters Edge Drive</w:t>
            </w:r>
          </w:p>
        </w:tc>
        <w:tc>
          <w:tcPr>
            <w:tcW w:w="0" w:type="dxa"/>
            <w:vAlign w:val="bottom"/>
          </w:tcPr>
          <w:p>
            <w:pPr>
              <w:spacing w:after="0"/>
              <w:rPr>
                <w:sz w:val="1"/>
                <w:szCs w:val="1"/>
                <w:color w:val="auto"/>
              </w:rPr>
            </w:pPr>
          </w:p>
        </w:tc>
      </w:tr>
      <w:tr>
        <w:trPr>
          <w:trHeight w:val="203"/>
        </w:trPr>
        <w:tc>
          <w:tcPr>
            <w:tcW w:w="3460" w:type="dxa"/>
            <w:vAlign w:val="bottom"/>
            <w:vMerge w:val="restart"/>
          </w:tcPr>
          <w:p>
            <w:pPr>
              <w:spacing w:after="0"/>
              <w:rPr>
                <w:sz w:val="20"/>
                <w:szCs w:val="20"/>
                <w:color w:val="auto"/>
              </w:rPr>
            </w:pPr>
            <w:r>
              <w:rPr>
                <w:rFonts w:ascii="Courier New" w:cs="Courier New" w:eastAsia="Courier New" w:hAnsi="Courier New"/>
                <w:sz w:val="18"/>
                <w:szCs w:val="18"/>
                <w:color w:val="auto"/>
              </w:rPr>
              <w:t>FROM:</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Johnson</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City, TN  37604</w:t>
            </w:r>
          </w:p>
        </w:tc>
        <w:tc>
          <w:tcPr>
            <w:tcW w:w="0" w:type="dxa"/>
            <w:vAlign w:val="bottom"/>
          </w:tcPr>
          <w:p>
            <w:pPr>
              <w:spacing w:after="0"/>
              <w:rPr>
                <w:sz w:val="1"/>
                <w:szCs w:val="1"/>
                <w:color w:val="auto"/>
              </w:rPr>
            </w:pPr>
          </w:p>
        </w:tc>
      </w:tr>
      <w:tr>
        <w:trPr>
          <w:trHeight w:val="296"/>
        </w:trPr>
        <w:tc>
          <w:tcPr>
            <w:tcW w:w="3460" w:type="dxa"/>
            <w:vAlign w:val="bottom"/>
            <w:vMerge w:val="continue"/>
          </w:tcPr>
          <w:p>
            <w:pPr>
              <w:spacing w:after="0"/>
              <w:rPr>
                <w:sz w:val="24"/>
                <w:szCs w:val="2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Nasdaq:</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NNBR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14376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FURTHER INFORMATION: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40" w:type="dxa"/>
            <w:vAlign w:val="bottom"/>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b w:val="1"/>
                <w:bCs w:val="1"/>
                <w:color w:val="auto"/>
                <w:w w:val="97"/>
              </w:rPr>
              <w:t>AT THE FINANCIAL RELATIONS BOARD/</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 ---------------</w:t>
            </w: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b w:val="1"/>
                <w:bCs w:val="1"/>
                <w:color w:val="auto"/>
                <w:w w:val="99"/>
              </w:rPr>
              <w:t>BSMG Worldwide:</w:t>
            </w:r>
          </w:p>
        </w:tc>
        <w:tc>
          <w:tcPr>
            <w:tcW w:w="1620" w:type="dxa"/>
            <w:vAlign w:val="bottom"/>
          </w:tcPr>
          <w:p>
            <w:pPr>
              <w:spacing w:after="0"/>
              <w:rPr>
                <w:sz w:val="17"/>
                <w:szCs w:val="17"/>
                <w:color w:val="auto"/>
              </w:rPr>
            </w:pPr>
          </w:p>
        </w:tc>
      </w:tr>
      <w:tr>
        <w:trPr>
          <w:trHeight w:val="338"/>
        </w:trPr>
        <w:tc>
          <w:tcPr>
            <w:tcW w:w="454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8"/>
                <w:szCs w:val="18"/>
                <w:b w:val="1"/>
                <w:bCs w:val="1"/>
                <w:color w:val="auto"/>
              </w:rPr>
              <w:t>---------------</w:t>
            </w:r>
          </w:p>
        </w:tc>
        <w:tc>
          <w:tcPr>
            <w:tcW w:w="1620" w:type="dxa"/>
            <w:vAlign w:val="bottom"/>
          </w:tcPr>
          <w:p>
            <w:pPr>
              <w:spacing w:after="0"/>
              <w:rPr>
                <w:sz w:val="24"/>
                <w:szCs w:val="24"/>
                <w:color w:val="auto"/>
              </w:rPr>
            </w:pPr>
          </w:p>
        </w:tc>
      </w:tr>
      <w:tr>
        <w:trPr>
          <w:trHeight w:val="294"/>
        </w:trPr>
        <w:tc>
          <w:tcPr>
            <w:tcW w:w="454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Kerry Thalheim</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(General info)</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(Analyst)</w:t>
            </w:r>
          </w:p>
        </w:tc>
      </w:tr>
      <w:tr>
        <w:trPr>
          <w:trHeight w:val="296"/>
        </w:trPr>
        <w:tc>
          <w:tcPr>
            <w:tcW w:w="4540" w:type="dxa"/>
            <w:vAlign w:val="bottom"/>
          </w:tcPr>
          <w:p>
            <w:pPr>
              <w:spacing w:after="0"/>
              <w:rPr>
                <w:sz w:val="20"/>
                <w:szCs w:val="20"/>
                <w:color w:val="auto"/>
              </w:rPr>
            </w:pPr>
            <w:r>
              <w:rPr>
                <w:rFonts w:ascii="Courier New" w:cs="Courier New" w:eastAsia="Courier New" w:hAnsi="Courier New"/>
                <w:sz w:val="18"/>
                <w:szCs w:val="18"/>
                <w:color w:val="auto"/>
              </w:rPr>
              <w:t>(423) 743-9151</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212-445-8437</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212-445-8458</w:t>
            </w:r>
          </w:p>
        </w:tc>
      </w:tr>
    </w:tbl>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11, 2001</w:t>
      </w:r>
    </w:p>
    <w:p>
      <w:pPr>
        <w:spacing w:after="0" w:line="13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b w:val="1"/>
          <w:bCs w:val="1"/>
          <w:color w:val="auto"/>
        </w:rPr>
        <w:t>NN, INC. REDISTRIBUTES MANUFACTURING CAPACITY</w:t>
      </w:r>
    </w:p>
    <w:p>
      <w:pPr>
        <w:spacing w:after="0" w:line="6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b w:val="1"/>
          <w:bCs w:val="1"/>
          <w:color w:val="auto"/>
        </w:rPr>
        <w:t>Closing Walterboro, South Carolina Facility</w:t>
      </w:r>
    </w:p>
    <w:p>
      <w:pPr>
        <w:spacing w:after="0" w:line="169"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Johnson City, Tennessee - September 11, 2001 - NN, Inc. (NASDAQ: NNBR) today announced it will close its Walterboro, South Carolina facility effective December 2001. The precision ball production of the Walterboro facility will be fully absorbed by the Company’s remaining U.S. Ball &amp; Roller manufacturing facilities located in Erwin and Mountain City, Tennessee.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Roderick R. Baty, Chairman and Chief Executive Officer, stated, “The</w:t>
      </w:r>
    </w:p>
    <w:p>
      <w:pPr>
        <w:spacing w:after="0" w:line="3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closing of our Walterboro, South Carolina plant is a difficult but necessary decision. In order to better serve our worldwide customers, we have worked diligently over the past two years redistributing our global manufacturing base beyond North America. The Euroball joint venture concluded in August 2000 was a part of these ongoing efforts to locate our facilities in closer proximity to our customers’ operations. This necessitated a corresponding reduction of our capacity in North America. We believe NN’s manufacturing facilities are</w:t>
      </w:r>
    </w:p>
    <w:p>
      <w:pPr>
        <w:spacing w:after="0" w:line="1" w:lineRule="exact"/>
        <w:rPr>
          <w:sz w:val="20"/>
          <w:szCs w:val="20"/>
          <w:color w:val="auto"/>
        </w:rPr>
      </w:pPr>
    </w:p>
    <w:p>
      <w:pPr>
        <w:ind w:right="1879"/>
        <w:spacing w:after="0" w:line="309" w:lineRule="auto"/>
        <w:rPr>
          <w:sz w:val="20"/>
          <w:szCs w:val="20"/>
          <w:color w:val="auto"/>
        </w:rPr>
      </w:pPr>
      <w:r>
        <w:rPr>
          <w:rFonts w:ascii="Courier New" w:cs="Courier New" w:eastAsia="Courier New" w:hAnsi="Courier New"/>
          <w:sz w:val="18"/>
          <w:szCs w:val="18"/>
          <w:color w:val="auto"/>
        </w:rPr>
        <w:t>now more appropriately balanced to competitively serve our customers on both an international and domestic basis.</w:t>
      </w:r>
    </w:p>
    <w:p>
      <w:pPr>
        <w:spacing w:after="0" w:line="5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“We expect the Walterboro facility to continue operating at its present production schedule through November 2, 2001. At that time, there will be a phase out of production to be concluded by the end of the year. Unfortunately, the closing impacts 85 full time employees who are of paramount concern to us. It is our intention to provide an employee assistance program to each employee which includes severance pay, benefit continuation and outplacement services.”</w:t>
      </w:r>
    </w:p>
    <w:p>
      <w:pPr>
        <w:spacing w:after="0" w:line="98"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report after tax charges of approximately $1.0 million, or $0.06 per</w:t>
      </w:r>
    </w:p>
    <w:p>
      <w:pPr>
        <w:spacing w:after="0" w:line="30" w:lineRule="exact"/>
        <w:rPr>
          <w:rFonts w:ascii="Courier New" w:cs="Courier New" w:eastAsia="Courier New" w:hAnsi="Courier New"/>
          <w:sz w:val="18"/>
          <w:szCs w:val="18"/>
          <w:color w:val="auto"/>
        </w:rPr>
      </w:pPr>
    </w:p>
    <w:p>
      <w:pPr>
        <w:ind w:right="18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in the second half of 2001 to cover the costs associated with severance, equipment, and plant rearrangement costs. Annual cost savings beginning in January 2002 of approximately $1.5 million, after tax, or $0.10 per share are expected.</w:t>
      </w:r>
    </w:p>
    <w:p>
      <w:pPr>
        <w:spacing w:after="0" w:line="90"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NN, Inc. is an independent manufacturer and supplier of high quality, precision bearing components to both domestic and international anti-friction bearing manufacturers and had sales of $132 million in 2000.</w:t>
      </w:r>
    </w:p>
    <w:p>
      <w:pPr>
        <w:spacing w:after="0" w:line="66"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2000.</w:t>
      </w:r>
    </w:p>
    <w:p>
      <w:pPr>
        <w:sectPr>
          <w:pgSz w:w="11900" w:h="16838" w:orient="portrait"/>
          <w:cols w:equalWidth="0" w:num="1">
            <w:col w:w="10219"/>
          </w:cols>
          <w:pgMar w:left="240" w:top="110" w:right="1440" w:bottom="0" w:gutter="0" w:footer="0" w:header="0"/>
        </w:sectPr>
      </w:pPr>
    </w:p>
    <w:bookmarkStart w:id="3" w:name="page4"/>
    <w:bookmarkEnd w:id="3"/>
    <w:p>
      <w:pPr>
        <w:ind w:left="270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2019-12-14T03:17:40Z</dcterms:created>
  <dcterms:modified xsi:type="dcterms:W3CDTF">2019-12-14T03:17:40Z</dcterms:modified>
</cp:coreProperties>
</file>