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WERNER MICHAEL 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WATERS EDGE DR.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11/18/2013</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BUILDING C, SUITE 12</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8"/>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gridSpan w:val="2"/>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jc w:val="center"/>
              <w:ind w:right="4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11/18/2013</w:t>
            </w: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10,000</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17.72</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4"/>
              <w:spacing w:after="0"/>
              <w:rPr>
                <w:sz w:val="20"/>
                <w:szCs w:val="20"/>
                <w:color w:val="auto"/>
              </w:rPr>
            </w:pPr>
            <w:r>
              <w:rPr>
                <w:rFonts w:ascii="Arial" w:cs="Arial" w:eastAsia="Arial" w:hAnsi="Arial"/>
                <w:sz w:val="18"/>
                <w:szCs w:val="18"/>
                <w:color w:val="0000FF"/>
                <w:w w:val="83"/>
              </w:rPr>
              <w:t>20,533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CommonStock</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8"/>
                <w:szCs w:val="18"/>
                <w:color w:val="0000FF"/>
                <w:w w:val="93"/>
              </w:rPr>
              <w:t>5,287</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140" w:type="dxa"/>
            <w:vAlign w:val="bottom"/>
            <w:tcBorders>
              <w:bottom w:val="single" w:sz="8" w:color="2C2C2C"/>
            </w:tcBorders>
            <w:gridSpan w:val="9"/>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jc w:val="center"/>
              <w:ind w:right="4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$17.62 to $17.79, inclusive. The reporting person undertakes to provide to NN, Inc., any secuity holder of NN, Inc., or the staff of the Securities and Exchange Commission, upon request, full information regarding the number of shares sold at each separate price within the foregoing range.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11/20/2013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2019-12-17T06:13:17Z</dcterms:created>
  <dcterms:modified xsi:type="dcterms:W3CDTF">2019-12-17T06:13:17Z</dcterms:modified>
</cp:coreProperties>
</file>