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Date of Report (Date of earliest event reported): March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412750</wp:posOffset>
            </wp:positionV>
            <wp:extent cx="582295" cy="582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2295" cy="5822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NN,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1120" w:type="dxa"/>
        <w:tblCellMar>
          <w:top w:w="0" w:type="dxa"/>
          <w:left w:w="0" w:type="dxa"/>
          <w:bottom w:w="0" w:type="dxa"/>
          <w:right w:w="0" w:type="dxa"/>
        </w:tblCellMar>
      </w:tblPr>
      <w:tr>
        <w:trPr>
          <w:trHeight w:val="205"/>
        </w:trPr>
        <w:tc>
          <w:tcPr>
            <w:tcW w:w="4100" w:type="dxa"/>
            <w:vAlign w:val="bottom"/>
          </w:tcPr>
          <w:p>
            <w:pPr>
              <w:jc w:val="center"/>
              <w:ind w:right="2363"/>
              <w:spacing w:after="0"/>
              <w:rPr>
                <w:sz w:val="20"/>
                <w:szCs w:val="20"/>
                <w:color w:val="auto"/>
              </w:rPr>
            </w:pPr>
            <w:r>
              <w:rPr>
                <w:rFonts w:ascii="Arial" w:cs="Arial" w:eastAsia="Arial" w:hAnsi="Arial"/>
                <w:sz w:val="17"/>
                <w:szCs w:val="17"/>
                <w:b w:val="1"/>
                <w:bCs w:val="1"/>
                <w:color w:val="auto"/>
                <w:w w:val="93"/>
              </w:rPr>
              <w:t>Delaware</w:t>
            </w:r>
          </w:p>
        </w:tc>
        <w:tc>
          <w:tcPr>
            <w:tcW w:w="2420" w:type="dxa"/>
            <w:vAlign w:val="bottom"/>
          </w:tcPr>
          <w:p>
            <w:pPr>
              <w:jc w:val="center"/>
              <w:ind w:right="1124"/>
              <w:spacing w:after="0"/>
              <w:rPr>
                <w:sz w:val="20"/>
                <w:szCs w:val="20"/>
                <w:color w:val="auto"/>
              </w:rPr>
            </w:pPr>
            <w:r>
              <w:rPr>
                <w:rFonts w:ascii="Arial" w:cs="Arial" w:eastAsia="Arial" w:hAnsi="Arial"/>
                <w:sz w:val="17"/>
                <w:szCs w:val="17"/>
                <w:b w:val="1"/>
                <w:bCs w:val="1"/>
                <w:color w:val="auto"/>
                <w:w w:val="92"/>
              </w:rPr>
              <w:t>0-23486</w:t>
            </w:r>
          </w:p>
        </w:tc>
        <w:tc>
          <w:tcPr>
            <w:tcW w:w="2500" w:type="dxa"/>
            <w:vAlign w:val="bottom"/>
          </w:tcPr>
          <w:p>
            <w:pPr>
              <w:jc w:val="right"/>
              <w:ind w:right="43"/>
              <w:spacing w:after="0"/>
              <w:rPr>
                <w:sz w:val="20"/>
                <w:szCs w:val="20"/>
                <w:color w:val="auto"/>
              </w:rPr>
            </w:pPr>
            <w:r>
              <w:rPr>
                <w:rFonts w:ascii="Arial" w:cs="Arial" w:eastAsia="Arial" w:hAnsi="Arial"/>
                <w:sz w:val="17"/>
                <w:szCs w:val="17"/>
                <w:b w:val="1"/>
                <w:bCs w:val="1"/>
                <w:color w:val="auto"/>
              </w:rPr>
              <w:t>62-1096725</w:t>
            </w:r>
          </w:p>
        </w:tc>
      </w:tr>
      <w:tr>
        <w:trPr>
          <w:trHeight w:val="144"/>
        </w:trPr>
        <w:tc>
          <w:tcPr>
            <w:tcW w:w="4100" w:type="dxa"/>
            <w:vAlign w:val="bottom"/>
          </w:tcPr>
          <w:p>
            <w:pPr>
              <w:jc w:val="center"/>
              <w:ind w:right="2363"/>
              <w:spacing w:after="0" w:line="144" w:lineRule="exact"/>
              <w:rPr>
                <w:sz w:val="20"/>
                <w:szCs w:val="20"/>
                <w:color w:val="auto"/>
              </w:rPr>
            </w:pPr>
            <w:r>
              <w:rPr>
                <w:rFonts w:ascii="Arial" w:cs="Arial" w:eastAsia="Arial" w:hAnsi="Arial"/>
                <w:sz w:val="14"/>
                <w:szCs w:val="14"/>
                <w:b w:val="1"/>
                <w:bCs w:val="1"/>
                <w:color w:val="auto"/>
                <w:w w:val="91"/>
              </w:rPr>
              <w:t>(State or Other Jurisdiction</w:t>
            </w:r>
          </w:p>
        </w:tc>
        <w:tc>
          <w:tcPr>
            <w:tcW w:w="2420" w:type="dxa"/>
            <w:vAlign w:val="bottom"/>
          </w:tcPr>
          <w:p>
            <w:pPr>
              <w:jc w:val="center"/>
              <w:ind w:right="1104"/>
              <w:spacing w:after="0" w:line="144" w:lineRule="exact"/>
              <w:rPr>
                <w:sz w:val="20"/>
                <w:szCs w:val="20"/>
                <w:color w:val="auto"/>
              </w:rPr>
            </w:pPr>
            <w:r>
              <w:rPr>
                <w:rFonts w:ascii="Arial" w:cs="Arial" w:eastAsia="Arial" w:hAnsi="Arial"/>
                <w:sz w:val="14"/>
                <w:szCs w:val="14"/>
                <w:b w:val="1"/>
                <w:bCs w:val="1"/>
                <w:color w:val="auto"/>
                <w:w w:val="90"/>
              </w:rPr>
              <w:t>(Commission</w:t>
            </w:r>
          </w:p>
        </w:tc>
        <w:tc>
          <w:tcPr>
            <w:tcW w:w="2500" w:type="dxa"/>
            <w:vAlign w:val="bottom"/>
          </w:tcPr>
          <w:p>
            <w:pPr>
              <w:jc w:val="center"/>
              <w:ind w:left="1343"/>
              <w:spacing w:after="0" w:line="144" w:lineRule="exact"/>
              <w:rPr>
                <w:sz w:val="20"/>
                <w:szCs w:val="20"/>
                <w:color w:val="auto"/>
              </w:rPr>
            </w:pPr>
            <w:r>
              <w:rPr>
                <w:rFonts w:ascii="Arial" w:cs="Arial" w:eastAsia="Arial" w:hAnsi="Arial"/>
                <w:sz w:val="14"/>
                <w:szCs w:val="14"/>
                <w:b w:val="1"/>
                <w:bCs w:val="1"/>
                <w:color w:val="auto"/>
                <w:w w:val="93"/>
              </w:rPr>
              <w:t>(I.R.S. Employer</w:t>
            </w:r>
          </w:p>
        </w:tc>
      </w:tr>
      <w:tr>
        <w:trPr>
          <w:trHeight w:val="182"/>
        </w:trPr>
        <w:tc>
          <w:tcPr>
            <w:tcW w:w="4100" w:type="dxa"/>
            <w:vAlign w:val="bottom"/>
          </w:tcPr>
          <w:p>
            <w:pPr>
              <w:jc w:val="center"/>
              <w:ind w:right="2383"/>
              <w:spacing w:after="0"/>
              <w:rPr>
                <w:sz w:val="20"/>
                <w:szCs w:val="20"/>
                <w:color w:val="auto"/>
              </w:rPr>
            </w:pPr>
            <w:r>
              <w:rPr>
                <w:rFonts w:ascii="Arial" w:cs="Arial" w:eastAsia="Arial" w:hAnsi="Arial"/>
                <w:sz w:val="14"/>
                <w:szCs w:val="14"/>
                <w:b w:val="1"/>
                <w:bCs w:val="1"/>
                <w:color w:val="auto"/>
                <w:w w:val="92"/>
              </w:rPr>
              <w:t>of Incorporation)</w:t>
            </w:r>
          </w:p>
        </w:tc>
        <w:tc>
          <w:tcPr>
            <w:tcW w:w="2420" w:type="dxa"/>
            <w:vAlign w:val="bottom"/>
          </w:tcPr>
          <w:p>
            <w:pPr>
              <w:jc w:val="center"/>
              <w:ind w:right="1104"/>
              <w:spacing w:after="0"/>
              <w:rPr>
                <w:sz w:val="20"/>
                <w:szCs w:val="20"/>
                <w:color w:val="auto"/>
              </w:rPr>
            </w:pPr>
            <w:r>
              <w:rPr>
                <w:rFonts w:ascii="Arial" w:cs="Arial" w:eastAsia="Arial" w:hAnsi="Arial"/>
                <w:sz w:val="14"/>
                <w:szCs w:val="14"/>
                <w:b w:val="1"/>
                <w:bCs w:val="1"/>
                <w:color w:val="auto"/>
                <w:w w:val="93"/>
              </w:rPr>
              <w:t>File Number)</w:t>
            </w: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1"/>
              </w:rPr>
              <w:t>Identification No.)</w:t>
            </w:r>
          </w:p>
        </w:tc>
      </w:tr>
      <w:tr>
        <w:trPr>
          <w:trHeight w:val="394"/>
        </w:trPr>
        <w:tc>
          <w:tcPr>
            <w:tcW w:w="6520" w:type="dxa"/>
            <w:vAlign w:val="bottom"/>
            <w:gridSpan w:val="2"/>
          </w:tcPr>
          <w:p>
            <w:pPr>
              <w:jc w:val="center"/>
              <w:ind w:right="1004"/>
              <w:spacing w:after="0"/>
              <w:rPr>
                <w:sz w:val="20"/>
                <w:szCs w:val="20"/>
                <w:color w:val="auto"/>
              </w:rPr>
            </w:pPr>
            <w:r>
              <w:rPr>
                <w:rFonts w:ascii="Arial" w:cs="Arial" w:eastAsia="Arial" w:hAnsi="Arial"/>
                <w:sz w:val="17"/>
                <w:szCs w:val="17"/>
                <w:b w:val="1"/>
                <w:bCs w:val="1"/>
                <w:color w:val="auto"/>
                <w:w w:val="91"/>
              </w:rPr>
              <w:t>207 Mockingbird Lane, Johnson City, Tennessee</w:t>
            </w:r>
          </w:p>
        </w:tc>
        <w:tc>
          <w:tcPr>
            <w:tcW w:w="2500" w:type="dxa"/>
            <w:vAlign w:val="bottom"/>
          </w:tcPr>
          <w:p>
            <w:pPr>
              <w:jc w:val="right"/>
              <w:ind w:right="243"/>
              <w:spacing w:after="0"/>
              <w:rPr>
                <w:sz w:val="20"/>
                <w:szCs w:val="20"/>
                <w:color w:val="auto"/>
              </w:rPr>
            </w:pPr>
            <w:r>
              <w:rPr>
                <w:rFonts w:ascii="Arial" w:cs="Arial" w:eastAsia="Arial" w:hAnsi="Arial"/>
                <w:sz w:val="17"/>
                <w:szCs w:val="17"/>
                <w:b w:val="1"/>
                <w:bCs w:val="1"/>
                <w:color w:val="auto"/>
              </w:rPr>
              <w:t>37604</w:t>
            </w:r>
          </w:p>
        </w:tc>
      </w:tr>
      <w:tr>
        <w:trPr>
          <w:trHeight w:val="182"/>
        </w:trPr>
        <w:tc>
          <w:tcPr>
            <w:tcW w:w="4100" w:type="dxa"/>
            <w:vAlign w:val="bottom"/>
          </w:tcPr>
          <w:p>
            <w:pPr>
              <w:jc w:val="center"/>
              <w:ind w:left="1243"/>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420" w:type="dxa"/>
            <w:vAlign w:val="bottom"/>
          </w:tcPr>
          <w:p>
            <w:pPr>
              <w:spacing w:after="0"/>
              <w:rPr>
                <w:sz w:val="15"/>
                <w:szCs w:val="15"/>
                <w:color w:val="auto"/>
              </w:rPr>
            </w:pP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2"/>
              </w:rPr>
              <w:t>(Zip Code)</w:t>
            </w:r>
          </w:p>
        </w:tc>
      </w:tr>
    </w:tbl>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(423) 743-9151</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219710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25"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Attached as Exhibit 99.1 to this Current Report on Form 8-K is a PowerPoint presentation, which provides an update to investors. The attached presentation updates NN, Inc.’s previously provided investor presentation.</w:t>
      </w:r>
    </w:p>
    <w:p>
      <w:pPr>
        <w:spacing w:after="0" w:line="158" w:lineRule="exact"/>
        <w:rPr>
          <w:sz w:val="20"/>
          <w:szCs w:val="20"/>
          <w:color w:val="auto"/>
        </w:rPr>
      </w:pPr>
    </w:p>
    <w:p>
      <w:pPr>
        <w:ind w:right="80" w:firstLine="457"/>
        <w:spacing w:after="0" w:line="297" w:lineRule="auto"/>
        <w:rPr>
          <w:sz w:val="20"/>
          <w:szCs w:val="20"/>
          <w:color w:val="auto"/>
        </w:rPr>
      </w:pPr>
      <w:r>
        <w:rPr>
          <w:rFonts w:ascii="Arial" w:cs="Arial" w:eastAsia="Arial" w:hAnsi="Arial"/>
          <w:sz w:val="16"/>
          <w:szCs w:val="16"/>
          <w:color w:val="auto"/>
        </w:rPr>
        <w:t>The information presented in Item 7.01 to this Current Report on Form 8-K is being furnished in accordance with Rule 101(e)(1) under Regulation FD and shall not be deemed to be “filed” for purposes of Section 18 of the Securities Exchange Act of 1934, as amended, and will not be incorporated by reference into any registration statement filed under the Securities Act of 1933, as amended, unless specifically identified therein as being incorporated by reference.</w:t>
      </w:r>
    </w:p>
    <w:p>
      <w:pPr>
        <w:spacing w:after="0" w:line="29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Investor Presentation of NN, Inc., dated March 17, 2015.</w:t>
      </w:r>
    </w:p>
    <w:p>
      <w:pPr>
        <w:sectPr>
          <w:pgSz w:w="11900" w:h="16838" w:orient="portrait"/>
          <w:cols w:equalWidth="0" w:num="1">
            <w:col w:w="11360"/>
          </w:cols>
          <w:pgMar w:left="240" w:top="265"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March 18, 2015</w:t>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NN, INC.</w:t>
      </w:r>
    </w:p>
    <w:p>
      <w:pPr>
        <w:spacing w:after="0" w:line="230"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C. Kelly, Jr.</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William C. Kelly, Jr.</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Vice President and Chief Administrative Officer</w:t>
            </w:r>
          </w:p>
        </w:tc>
      </w:tr>
    </w:tbl>
    <w:p>
      <w:pPr>
        <w:sectPr>
          <w:pgSz w:w="11900" w:h="16838" w:orient="portrait"/>
          <w:cols w:equalWidth="0" w:num="1">
            <w:col w:w="11420"/>
          </w:cols>
          <w:pgMar w:left="240" w:top="265"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INDEX</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Investor Presentation of NN, Inc., dated March 17, 2015.</w:t>
      </w:r>
    </w:p>
    <w:p>
      <w:pPr>
        <w:sectPr>
          <w:pgSz w:w="11900" w:h="16838" w:orient="portrait"/>
          <w:cols w:equalWidth="0" w:num="1">
            <w:col w:w="10219"/>
          </w:cols>
          <w:pgMar w:left="240" w:top="2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312025" cy="4132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025" cy="413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FFFFFF"/>
        </w:rPr>
        <w:t>Investor Presentation</w:t>
      </w:r>
    </w:p>
    <w:p>
      <w:pPr>
        <w:spacing w:after="0"/>
        <w:rPr>
          <w:sz w:val="20"/>
          <w:szCs w:val="20"/>
          <w:color w:val="auto"/>
        </w:rPr>
      </w:pPr>
      <w:r>
        <w:rPr>
          <w:rFonts w:ascii="Arial" w:cs="Arial" w:eastAsia="Arial" w:hAnsi="Arial"/>
          <w:sz w:val="13"/>
          <w:szCs w:val="13"/>
          <w:color w:val="FFFFFF"/>
        </w:rPr>
        <w:t>March 17, 2015</w:t>
      </w:r>
    </w:p>
    <w:p>
      <w:pPr>
        <w:sectPr>
          <w:pgSz w:w="11900" w:h="16838" w:orient="portrait"/>
          <w:cols w:equalWidth="0" w:num="1">
            <w:col w:w="11520"/>
          </w:cols>
          <w:pgMar w:left="240" w:top="127" w:right="1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ind w:left="440"/>
              <w:spacing w:after="0"/>
              <w:rPr>
                <w:sz w:val="20"/>
                <w:szCs w:val="20"/>
                <w:color w:val="auto"/>
              </w:rPr>
            </w:pPr>
            <w:r>
              <w:rPr>
                <w:rFonts w:ascii="Arial" w:cs="Arial" w:eastAsia="Arial" w:hAnsi="Arial"/>
                <w:sz w:val="13"/>
                <w:szCs w:val="13"/>
                <w:color w:val="FFFFFF"/>
              </w:rPr>
              <w:t>-Looking</w:t>
            </w:r>
          </w:p>
        </w:tc>
        <w:tc>
          <w:tcPr>
            <w:tcW w:w="3620" w:type="dxa"/>
            <w:vAlign w:val="bottom"/>
          </w:tcPr>
          <w:p>
            <w:pPr>
              <w:ind w:left="100"/>
              <w:spacing w:after="0"/>
              <w:rPr>
                <w:sz w:val="20"/>
                <w:szCs w:val="20"/>
                <w:color w:val="auto"/>
              </w:rPr>
            </w:pPr>
            <w:r>
              <w:rPr>
                <w:rFonts w:ascii="Arial" w:cs="Arial" w:eastAsia="Arial" w:hAnsi="Arial"/>
                <w:sz w:val="13"/>
                <w:szCs w:val="13"/>
                <w:color w:val="FFFFFF"/>
              </w:rPr>
              <w:t>&amp; Disclaimer</w:t>
            </w:r>
          </w:p>
        </w:tc>
        <w:tc>
          <w:tcPr>
            <w:tcW w:w="6180" w:type="dxa"/>
            <w:vAlign w:val="bottom"/>
            <w:vMerge w:val="restart"/>
          </w:tcPr>
          <w:p>
            <w:pPr>
              <w:jc w:val="right"/>
              <w:spacing w:after="0"/>
              <w:rPr>
                <w:sz w:val="20"/>
                <w:szCs w:val="20"/>
                <w:color w:val="auto"/>
              </w:rPr>
            </w:pPr>
            <w:r>
              <w:rPr>
                <w:rFonts w:ascii="Arial" w:cs="Arial" w:eastAsia="Arial" w:hAnsi="Arial"/>
                <w:sz w:val="13"/>
                <w:szCs w:val="13"/>
                <w:color w:val="FFFFFF"/>
              </w:rPr>
              <w:t>the matters described herein contain forward-looking statements that are made pursuant to the safe harbor</w:t>
            </w:r>
          </w:p>
        </w:tc>
        <w:tc>
          <w:tcPr>
            <w:tcW w:w="0" w:type="dxa"/>
            <w:vAlign w:val="bottom"/>
          </w:tcPr>
          <w:p>
            <w:pPr>
              <w:spacing w:after="0"/>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Forward Looking Statement: With the exception of the historical information contained in this</w:t>
            </w:r>
          </w:p>
        </w:tc>
        <w:tc>
          <w:tcPr>
            <w:tcW w:w="6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provisions of the Private Se urities Litigation Reform Act of 1995. Forward-looking statementspresentation,involvenumber of risks and uncertainties that may cause actual results to be materially different from such forward-</w:t>
            </w: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looking statements. Such factors include, among others, general economic conditions and economic conditio s in the industrial sector, competitive influences, risks that current customers will commence or increase</w:t>
            </w:r>
          </w:p>
        </w:tc>
        <w:tc>
          <w:tcPr>
            <w:tcW w:w="0" w:type="dxa"/>
            <w:vAlign w:val="bottom"/>
          </w:tcPr>
          <w:p>
            <w:pPr>
              <w:spacing w:after="0" w:line="20" w:lineRule="exact"/>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captive production, risks of capacity und rutilization, quality issues, availability of raw</w:t>
            </w:r>
          </w:p>
        </w:tc>
        <w:tc>
          <w:tcPr>
            <w:tcW w:w="6180" w:type="dxa"/>
            <w:vAlign w:val="bottom"/>
          </w:tcPr>
          <w:p>
            <w:pPr>
              <w:jc w:val="right"/>
              <w:ind w:right="544"/>
              <w:spacing w:after="0" w:line="40" w:lineRule="exact"/>
              <w:rPr>
                <w:sz w:val="20"/>
                <w:szCs w:val="20"/>
                <w:color w:val="auto"/>
              </w:rPr>
            </w:pPr>
            <w:r>
              <w:rPr>
                <w:rFonts w:ascii="Arial" w:cs="Arial" w:eastAsia="Arial" w:hAnsi="Arial"/>
                <w:sz w:val="4"/>
                <w:szCs w:val="4"/>
                <w:color w:val="FFFFFF"/>
              </w:rPr>
              <w:t>currency and other risks associated with international trade, the Company’s dependence on certain major</w:t>
            </w:r>
          </w:p>
        </w:tc>
        <w:tc>
          <w:tcPr>
            <w:tcW w:w="0" w:type="dxa"/>
            <w:vAlign w:val="bottom"/>
          </w:tcPr>
          <w:p>
            <w:pPr>
              <w:spacing w:after="0" w:line="20" w:lineRule="exact"/>
              <w:rPr>
                <w:sz w:val="1"/>
                <w:szCs w:val="1"/>
                <w:color w:val="auto"/>
              </w:rPr>
            </w:pPr>
          </w:p>
        </w:tc>
      </w:tr>
      <w:tr>
        <w:trPr>
          <w:trHeight w:val="39"/>
        </w:trPr>
        <w:tc>
          <w:tcPr>
            <w:tcW w:w="1420" w:type="dxa"/>
            <w:vAlign w:val="bottom"/>
          </w:tcPr>
          <w:p>
            <w:pPr>
              <w:spacing w:after="0" w:line="40" w:lineRule="exact"/>
              <w:rPr>
                <w:sz w:val="20"/>
                <w:szCs w:val="20"/>
                <w:color w:val="auto"/>
              </w:rPr>
            </w:pPr>
            <w:r>
              <w:rPr>
                <w:rFonts w:ascii="Arial" w:cs="Arial" w:eastAsia="Arial" w:hAnsi="Arial"/>
                <w:sz w:val="4"/>
                <w:szCs w:val="4"/>
                <w:color w:val="FFFFFF"/>
              </w:rPr>
              <w:t>and other risk factors and</w:t>
            </w:r>
          </w:p>
        </w:tc>
        <w:tc>
          <w:tcPr>
            <w:tcW w:w="980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utionary statements listed from time to time in the Company’materials,periodic reports filed with the Securities and Exchange Commission, including, but not limited to, the Company’customers,Annual</w:t>
            </w:r>
          </w:p>
        </w:tc>
        <w:tc>
          <w:tcPr>
            <w:tcW w:w="0" w:type="dxa"/>
            <w:vAlign w:val="bottom"/>
          </w:tcPr>
          <w:p>
            <w:pPr>
              <w:spacing w:after="0" w:line="20" w:lineRule="exact"/>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Arial" w:cs="Arial" w:eastAsia="Arial" w:hAnsi="Arial"/>
                <w:sz w:val="4"/>
                <w:szCs w:val="4"/>
                <w:color w:val="FFFFFF"/>
              </w:rPr>
              <w:t>Report on 10-K for the fiscal year ended December 31, 2013.</w:t>
            </w:r>
          </w:p>
        </w:tc>
        <w:tc>
          <w:tcPr>
            <w:tcW w:w="6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Arial" w:cs="Arial" w:eastAsia="Arial" w:hAnsi="Arial"/>
                <w:sz w:val="4"/>
                <w:szCs w:val="4"/>
                <w:color w:val="FFFFFF"/>
              </w:rPr>
              <w:t>Disclaimer: NN disclaims any obligation to update any such factors or to publicly announce the result of any revisions to any of the forward-looking statements included herein or therein to reflect future events or</w:t>
            </w:r>
          </w:p>
        </w:tc>
        <w:tc>
          <w:tcPr>
            <w:tcW w:w="0" w:type="dxa"/>
            <w:vAlign w:val="bottom"/>
          </w:tcPr>
          <w:p>
            <w:pPr>
              <w:spacing w:after="0" w:line="20" w:lineRule="exact"/>
              <w:rPr>
                <w:sz w:val="1"/>
                <w:szCs w:val="1"/>
                <w:color w:val="auto"/>
              </w:rPr>
            </w:pPr>
          </w:p>
        </w:tc>
      </w:tr>
      <w:tr>
        <w:trPr>
          <w:trHeight w:val="39"/>
        </w:trPr>
        <w:tc>
          <w:tcPr>
            <w:tcW w:w="1420" w:type="dxa"/>
            <w:vAlign w:val="bottom"/>
          </w:tcPr>
          <w:p>
            <w:pPr>
              <w:spacing w:after="0" w:line="40" w:lineRule="exact"/>
              <w:rPr>
                <w:sz w:val="20"/>
                <w:szCs w:val="20"/>
                <w:color w:val="auto"/>
              </w:rPr>
            </w:pPr>
            <w:r>
              <w:rPr>
                <w:rFonts w:ascii="Arial" w:cs="Arial" w:eastAsia="Arial" w:hAnsi="Arial"/>
                <w:sz w:val="4"/>
                <w:szCs w:val="4"/>
                <w:color w:val="FFFFFF"/>
              </w:rPr>
              <w:t>developments.</w:t>
            </w:r>
          </w:p>
        </w:tc>
        <w:tc>
          <w:tcPr>
            <w:tcW w:w="3620" w:type="dxa"/>
            <w:vAlign w:val="bottom"/>
          </w:tcPr>
          <w:p>
            <w:pPr>
              <w:spacing w:after="0"/>
              <w:rPr>
                <w:sz w:val="3"/>
                <w:szCs w:val="3"/>
                <w:color w:val="auto"/>
              </w:rPr>
            </w:pPr>
          </w:p>
        </w:tc>
        <w:tc>
          <w:tcPr>
            <w:tcW w:w="6180" w:type="dxa"/>
            <w:vAlign w:val="bottom"/>
            <w:vMerge w:val="restart"/>
          </w:tcPr>
          <w:p>
            <w:pPr>
              <w:jc w:val="right"/>
              <w:ind w:right="44"/>
              <w:spacing w:after="0" w:line="38" w:lineRule="exact"/>
              <w:rPr>
                <w:sz w:val="20"/>
                <w:szCs w:val="20"/>
                <w:color w:val="auto"/>
              </w:rPr>
            </w:pPr>
            <w:r>
              <w:rPr>
                <w:rFonts w:ascii="Arial" w:cs="Arial" w:eastAsia="Arial" w:hAnsi="Arial"/>
                <w:sz w:val="4"/>
                <w:szCs w:val="4"/>
                <w:color w:val="FFFFFF"/>
              </w:rPr>
              <w:t>of those measures to the most directly comparable GAAP equivalent is provided in the fourth quarter and full year</w:t>
            </w:r>
          </w:p>
        </w:tc>
        <w:tc>
          <w:tcPr>
            <w:tcW w:w="0" w:type="dxa"/>
            <w:vAlign w:val="bottom"/>
          </w:tcPr>
          <w:p>
            <w:pPr>
              <w:spacing w:after="0" w:line="20" w:lineRule="exact"/>
              <w:rPr>
                <w:sz w:val="1"/>
                <w:szCs w:val="1"/>
                <w:color w:val="auto"/>
              </w:rPr>
            </w:pPr>
          </w:p>
        </w:tc>
      </w:tr>
      <w:tr>
        <w:trPr>
          <w:trHeight w:val="0"/>
        </w:trPr>
        <w:tc>
          <w:tcPr>
            <w:tcW w:w="5040" w:type="dxa"/>
            <w:vAlign w:val="bottom"/>
            <w:gridSpan w:val="2"/>
          </w:tcPr>
          <w:p>
            <w:pPr>
              <w:spacing w:after="0" w:line="78" w:lineRule="exact"/>
              <w:rPr>
                <w:sz w:val="20"/>
                <w:szCs w:val="20"/>
                <w:color w:val="auto"/>
              </w:rPr>
            </w:pPr>
            <w:r>
              <w:rPr>
                <w:rFonts w:ascii="Arial" w:cs="Arial" w:eastAsia="Arial" w:hAnsi="Arial"/>
                <w:sz w:val="8"/>
                <w:szCs w:val="8"/>
                <w:color w:val="FFFFFF"/>
              </w:rPr>
              <w:t>This presentation includes certain non-GAAP measures as defined by SEC rules. A</w:t>
            </w:r>
          </w:p>
        </w:tc>
        <w:tc>
          <w:tcPr>
            <w:tcW w:w="6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13"/>
          <w:szCs w:val="13"/>
          <w:color w:val="FFFFFF"/>
        </w:rPr>
        <w:t>2014 press release dated March 10, 2014 on the investor relations section of our websitereconciliationwww.nninc.com.</w:t>
      </w:r>
    </w:p>
    <w:p>
      <w:pPr>
        <w:sectPr>
          <w:pgSz w:w="11900" w:h="16838" w:orient="portrait"/>
          <w:cols w:equalWidth="0" w:num="1">
            <w:col w:w="11220"/>
          </w:cols>
          <w:pgMar w:left="240" w:top="1440" w:right="4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FFFFFF"/>
        </w:rPr>
        <w:t>Building a Diversified Industrial</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gridSpan w:val="2"/>
          </w:tcPr>
          <w:p>
            <w:pPr>
              <w:spacing w:after="0"/>
              <w:rPr>
                <w:sz w:val="20"/>
                <w:szCs w:val="20"/>
                <w:color w:val="auto"/>
              </w:rPr>
            </w:pPr>
            <w:r>
              <w:rPr>
                <w:rFonts w:ascii="Arial" w:cs="Arial" w:eastAsia="Arial" w:hAnsi="Arial"/>
                <w:sz w:val="13"/>
                <w:szCs w:val="13"/>
                <w:color w:val="FFFFFF"/>
              </w:rPr>
              <w:t>Building a Diversified</w:t>
            </w:r>
          </w:p>
        </w:tc>
        <w:tc>
          <w:tcPr>
            <w:tcW w:w="0" w:type="dxa"/>
            <w:vAlign w:val="bottom"/>
          </w:tcPr>
          <w:p>
            <w:pPr>
              <w:spacing w:after="0"/>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Focu ed on a high BuildingIndustrialbalanced</w:t>
            </w:r>
          </w:p>
        </w:tc>
        <w:tc>
          <w:tcPr>
            <w:tcW w:w="0" w:type="dxa"/>
            <w:vAlign w:val="bottom"/>
          </w:tcPr>
          <w:p>
            <w:pPr>
              <w:spacing w:after="0" w:line="20" w:lineRule="exact"/>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precision portfolio and Gr business that earns</w:t>
            </w:r>
          </w:p>
        </w:tc>
        <w:tc>
          <w:tcPr>
            <w:tcW w:w="0" w:type="dxa"/>
            <w:vAlign w:val="bottom"/>
          </w:tcPr>
          <w:p>
            <w:pPr>
              <w:spacing w:after="0" w:line="20" w:lineRule="exact"/>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outgrowing end ma k oughout the cycle</w:t>
            </w:r>
          </w:p>
        </w:tc>
        <w:tc>
          <w:tcPr>
            <w:tcW w:w="0" w:type="dxa"/>
            <w:vAlign w:val="bottom"/>
          </w:tcPr>
          <w:p>
            <w:pPr>
              <w:spacing w:after="0" w:line="20" w:lineRule="exact"/>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Outgrowing End Str Solid</w:t>
            </w:r>
          </w:p>
        </w:tc>
        <w:tc>
          <w:tcPr>
            <w:tcW w:w="0" w:type="dxa"/>
            <w:vAlign w:val="bottom"/>
          </w:tcPr>
          <w:p>
            <w:pPr>
              <w:spacing w:after="0" w:line="20" w:lineRule="exact"/>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Markets Strategy</w:t>
            </w:r>
          </w:p>
        </w:tc>
        <w:tc>
          <w:tcPr>
            <w:tcW w:w="0" w:type="dxa"/>
            <w:vAlign w:val="bottom"/>
          </w:tcPr>
          <w:p>
            <w:pPr>
              <w:spacing w:after="0" w:line="20" w:lineRule="exact"/>
              <w:rPr>
                <w:sz w:val="1"/>
                <w:szCs w:val="1"/>
                <w:color w:val="auto"/>
              </w:rPr>
            </w:pPr>
          </w:p>
        </w:tc>
      </w:tr>
      <w:tr>
        <w:trPr>
          <w:trHeight w:val="39"/>
        </w:trPr>
        <w:tc>
          <w:tcPr>
            <w:tcW w:w="680" w:type="dxa"/>
            <w:vAlign w:val="bottom"/>
          </w:tcPr>
          <w:p>
            <w:pPr>
              <w:spacing w:after="0" w:line="40" w:lineRule="exact"/>
              <w:rPr>
                <w:sz w:val="20"/>
                <w:szCs w:val="20"/>
                <w:color w:val="auto"/>
              </w:rPr>
            </w:pPr>
            <w:r>
              <w:rPr>
                <w:rFonts w:ascii="Arial" w:cs="Arial" w:eastAsia="Arial" w:hAnsi="Arial"/>
                <w:sz w:val="4"/>
                <w:szCs w:val="4"/>
                <w:color w:val="FFFFFF"/>
              </w:rPr>
              <w:t>Outgrowing</w:t>
            </w:r>
          </w:p>
        </w:tc>
        <w:tc>
          <w:tcPr>
            <w:tcW w:w="1700" w:type="dxa"/>
            <w:vAlign w:val="bottom"/>
            <w:vMerge w:val="restart"/>
          </w:tcPr>
          <w:p>
            <w:pPr>
              <w:ind w:left="140"/>
              <w:spacing w:after="0" w:line="118" w:lineRule="exact"/>
              <w:rPr>
                <w:sz w:val="20"/>
                <w:szCs w:val="20"/>
                <w:color w:val="auto"/>
              </w:rPr>
            </w:pPr>
            <w:r>
              <w:rPr>
                <w:rFonts w:ascii="Arial" w:cs="Arial" w:eastAsia="Arial" w:hAnsi="Arial"/>
                <w:sz w:val="13"/>
                <w:szCs w:val="13"/>
                <w:color w:val="FFFFFF"/>
              </w:rPr>
              <w:t>Flawless</w:t>
            </w:r>
          </w:p>
        </w:tc>
        <w:tc>
          <w:tcPr>
            <w:tcW w:w="0" w:type="dxa"/>
            <w:vAlign w:val="bottom"/>
          </w:tcPr>
          <w:p>
            <w:pPr>
              <w:spacing w:after="0" w:line="20" w:lineRule="exact"/>
              <w:rPr>
                <w:sz w:val="1"/>
                <w:szCs w:val="1"/>
                <w:color w:val="auto"/>
              </w:rPr>
            </w:pPr>
          </w:p>
        </w:tc>
      </w:tr>
      <w:tr>
        <w:trPr>
          <w:trHeight w:val="79"/>
        </w:trPr>
        <w:tc>
          <w:tcPr>
            <w:tcW w:w="680" w:type="dxa"/>
            <w:vAlign w:val="bottom"/>
          </w:tcPr>
          <w:p>
            <w:pPr>
              <w:spacing w:after="0" w:line="79" w:lineRule="exact"/>
              <w:rPr>
                <w:sz w:val="20"/>
                <w:szCs w:val="20"/>
                <w:color w:val="auto"/>
              </w:rPr>
            </w:pPr>
            <w:r>
              <w:rPr>
                <w:rFonts w:ascii="Arial" w:cs="Arial" w:eastAsia="Arial" w:hAnsi="Arial"/>
                <w:sz w:val="9"/>
                <w:szCs w:val="9"/>
                <w:color w:val="FFFFFF"/>
              </w:rPr>
              <w:t>ets</w:t>
            </w: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380" w:type="dxa"/>
            <w:vAlign w:val="bottom"/>
            <w:gridSpan w:val="2"/>
          </w:tcPr>
          <w:p>
            <w:pPr>
              <w:spacing w:after="0" w:line="40" w:lineRule="exact"/>
              <w:rPr>
                <w:sz w:val="20"/>
                <w:szCs w:val="20"/>
                <w:color w:val="auto"/>
              </w:rPr>
            </w:pPr>
            <w:r>
              <w:rPr>
                <w:rFonts w:ascii="Arial" w:cs="Arial" w:eastAsia="Arial" w:hAnsi="Arial"/>
                <w:sz w:val="4"/>
                <w:szCs w:val="4"/>
                <w:color w:val="FFFFFF"/>
              </w:rPr>
              <w:t>ansformationalTechnology ExecutionT</w:t>
            </w:r>
          </w:p>
        </w:tc>
        <w:tc>
          <w:tcPr>
            <w:tcW w:w="0" w:type="dxa"/>
            <w:vAlign w:val="bottom"/>
          </w:tcPr>
          <w:p>
            <w:pPr>
              <w:spacing w:after="0" w:line="20" w:lineRule="exact"/>
              <w:rPr>
                <w:sz w:val="1"/>
                <w:szCs w:val="1"/>
                <w:color w:val="auto"/>
              </w:rPr>
            </w:pPr>
          </w:p>
        </w:tc>
      </w:tr>
      <w:tr>
        <w:trPr>
          <w:trHeight w:val="39"/>
        </w:trPr>
        <w:tc>
          <w:tcPr>
            <w:tcW w:w="680" w:type="dxa"/>
            <w:vAlign w:val="bottom"/>
          </w:tcPr>
          <w:p>
            <w:pPr>
              <w:spacing w:after="0" w:line="40" w:lineRule="exact"/>
              <w:rPr>
                <w:sz w:val="20"/>
                <w:szCs w:val="20"/>
                <w:color w:val="auto"/>
              </w:rPr>
            </w:pPr>
            <w:r>
              <w:rPr>
                <w:rFonts w:ascii="Arial" w:cs="Arial" w:eastAsia="Arial" w:hAnsi="Arial"/>
                <w:sz w:val="4"/>
                <w:szCs w:val="4"/>
                <w:color w:val="FFFFFF"/>
              </w:rPr>
              <w:t>Investing in</w:t>
            </w: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380" w:type="dxa"/>
            <w:vAlign w:val="bottom"/>
            <w:gridSpan w:val="2"/>
          </w:tcPr>
          <w:p>
            <w:pPr>
              <w:ind w:left="40"/>
              <w:spacing w:after="0" w:line="40" w:lineRule="exact"/>
              <w:rPr>
                <w:sz w:val="20"/>
                <w:szCs w:val="20"/>
                <w:color w:val="auto"/>
              </w:rPr>
            </w:pPr>
            <w:r>
              <w:rPr>
                <w:rFonts w:ascii="Arial" w:cs="Arial" w:eastAsia="Arial" w:hAnsi="Arial"/>
                <w:sz w:val="4"/>
                <w:szCs w:val="4"/>
                <w:color w:val="FFFFFF"/>
              </w:rPr>
              <w:t>ransformational</w:t>
            </w:r>
          </w:p>
        </w:tc>
        <w:tc>
          <w:tcPr>
            <w:tcW w:w="0" w:type="dxa"/>
            <w:vAlign w:val="bottom"/>
          </w:tcPr>
          <w:p>
            <w:pPr>
              <w:spacing w:after="0" w:line="20" w:lineRule="exact"/>
              <w:rPr>
                <w:sz w:val="1"/>
                <w:szCs w:val="1"/>
                <w:color w:val="auto"/>
              </w:rPr>
            </w:pPr>
          </w:p>
        </w:tc>
      </w:tr>
      <w:tr>
        <w:trPr>
          <w:trHeight w:val="39"/>
        </w:trPr>
        <w:tc>
          <w:tcPr>
            <w:tcW w:w="680" w:type="dxa"/>
            <w:vAlign w:val="bottom"/>
          </w:tcPr>
          <w:p>
            <w:pPr>
              <w:spacing w:after="0" w:line="40" w:lineRule="exact"/>
              <w:rPr>
                <w:sz w:val="20"/>
                <w:szCs w:val="20"/>
                <w:color w:val="auto"/>
              </w:rPr>
            </w:pPr>
            <w:r>
              <w:rPr>
                <w:rFonts w:ascii="Arial" w:cs="Arial" w:eastAsia="Arial" w:hAnsi="Arial"/>
                <w:sz w:val="4"/>
                <w:szCs w:val="4"/>
                <w:color w:val="FFFFFF"/>
              </w:rPr>
              <w:t>technology</w:t>
            </w:r>
          </w:p>
        </w:tc>
        <w:tc>
          <w:tcPr>
            <w:tcW w:w="1700" w:type="dxa"/>
            <w:vAlign w:val="bottom"/>
            <w:vMerge w:val="restart"/>
          </w:tcPr>
          <w:p>
            <w:pPr>
              <w:ind w:left="60"/>
              <w:spacing w:after="0" w:line="38" w:lineRule="exact"/>
              <w:rPr>
                <w:sz w:val="20"/>
                <w:szCs w:val="20"/>
                <w:color w:val="auto"/>
              </w:rPr>
            </w:pPr>
            <w:r>
              <w:rPr>
                <w:rFonts w:ascii="Arial" w:cs="Arial" w:eastAsia="Arial" w:hAnsi="Arial"/>
                <w:sz w:val="4"/>
                <w:szCs w:val="4"/>
                <w:color w:val="FFFFFF"/>
              </w:rPr>
              <w:t>fully</w:t>
            </w:r>
          </w:p>
        </w:tc>
        <w:tc>
          <w:tcPr>
            <w:tcW w:w="0" w:type="dxa"/>
            <w:vAlign w:val="bottom"/>
          </w:tcPr>
          <w:p>
            <w:pPr>
              <w:spacing w:after="0" w:line="20" w:lineRule="exact"/>
              <w:rPr>
                <w:sz w:val="1"/>
                <w:szCs w:val="1"/>
                <w:color w:val="auto"/>
              </w:rPr>
            </w:pPr>
          </w:p>
        </w:tc>
      </w:tr>
      <w:tr>
        <w:trPr>
          <w:trHeight w:val="0"/>
        </w:trPr>
        <w:tc>
          <w:tcPr>
            <w:tcW w:w="680" w:type="dxa"/>
            <w:vAlign w:val="bottom"/>
          </w:tcPr>
          <w:p>
            <w:pPr>
              <w:spacing w:after="0" w:line="78" w:lineRule="exact"/>
              <w:rPr>
                <w:sz w:val="20"/>
                <w:szCs w:val="20"/>
                <w:color w:val="auto"/>
              </w:rPr>
            </w:pPr>
            <w:r>
              <w:rPr>
                <w:rFonts w:ascii="Arial" w:cs="Arial" w:eastAsia="Arial" w:hAnsi="Arial"/>
                <w:sz w:val="8"/>
                <w:szCs w:val="8"/>
                <w:color w:val="FFFFFF"/>
              </w:rPr>
              <w:t>Developing</w:t>
            </w:r>
          </w:p>
        </w:tc>
        <w:tc>
          <w:tcPr>
            <w:tcW w:w="1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auto"/>
        <w:rPr>
          <w:sz w:val="20"/>
          <w:szCs w:val="20"/>
          <w:color w:val="auto"/>
        </w:rPr>
      </w:pPr>
      <w:r>
        <w:rPr>
          <w:rFonts w:ascii="Arial" w:cs="Arial" w:eastAsia="Arial" w:hAnsi="Arial"/>
          <w:sz w:val="9"/>
          <w:szCs w:val="9"/>
          <w:color w:val="FFFFFF"/>
        </w:rPr>
        <w:t>egratedsystem thatoperatingsupports all</w:t>
      </w:r>
    </w:p>
    <w:p>
      <w:pPr>
        <w:spacing w:after="0"/>
        <w:rPr>
          <w:sz w:val="20"/>
          <w:szCs w:val="20"/>
          <w:color w:val="auto"/>
        </w:rPr>
      </w:pPr>
      <w:r>
        <w:rPr>
          <w:rFonts w:ascii="Arial" w:cs="Arial" w:eastAsia="Arial" w:hAnsi="Arial"/>
          <w:sz w:val="13"/>
          <w:szCs w:val="13"/>
          <w:color w:val="FFFFFF"/>
        </w:rPr>
        <w:t>[GraphicofourbusinessesAppears Here]</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FFFFFF"/>
        </w:rPr>
        <w:t xml:space="preserve">Building </w:t>
      </w:r>
      <w:r>
        <w:rPr>
          <w:rFonts w:ascii="Arial" w:cs="Arial" w:eastAsia="Arial" w:hAnsi="Arial"/>
          <w:sz w:val="26"/>
          <w:szCs w:val="26"/>
          <w:color w:val="FFFFFF"/>
          <w:vertAlign w:val="superscript"/>
        </w:rPr>
        <w:t>made</w:t>
      </w:r>
      <w:r>
        <w:rPr>
          <w:rFonts w:ascii="Arial" w:cs="Arial" w:eastAsia="Arial" w:hAnsi="Arial"/>
          <w:sz w:val="13"/>
          <w:szCs w:val="13"/>
          <w:color w:val="FFFFFF"/>
        </w:rPr>
        <w:t>Diversified Industrial</w:t>
      </w:r>
    </w:p>
    <w:p>
      <w:pPr>
        <w:spacing w:after="0" w:line="182" w:lineRule="auto"/>
        <w:rPr>
          <w:sz w:val="20"/>
          <w:szCs w:val="20"/>
          <w:color w:val="auto"/>
        </w:rPr>
      </w:pPr>
      <w:r>
        <w:rPr>
          <w:rFonts w:ascii="Arial" w:cs="Arial" w:eastAsia="Arial" w:hAnsi="Arial"/>
          <w:sz w:val="9"/>
          <w:szCs w:val="9"/>
          <w:color w:val="FFFFFF"/>
        </w:rPr>
        <w:t>RankWehaveamong comparablesignificantS/Midprogress-CapagainstDIs other DIs…</w:t>
      </w:r>
    </w:p>
    <w:p>
      <w:pPr>
        <w:spacing w:after="0" w:line="205" w:lineRule="auto"/>
        <w:rPr>
          <w:sz w:val="20"/>
          <w:szCs w:val="20"/>
          <w:color w:val="auto"/>
        </w:rPr>
      </w:pPr>
      <w:r>
        <w:rPr>
          <w:rFonts w:ascii="Arial" w:cs="Arial" w:eastAsia="Arial" w:hAnsi="Arial"/>
          <w:sz w:val="4"/>
          <w:szCs w:val="4"/>
          <w:color w:val="FFFFFF"/>
        </w:rPr>
        <w:t>Metric Ä Rank</w:t>
      </w:r>
    </w:p>
    <w:p>
      <w:pPr>
        <w:spacing w:after="0" w:line="182" w:lineRule="auto"/>
        <w:rPr>
          <w:sz w:val="20"/>
          <w:szCs w:val="20"/>
          <w:color w:val="auto"/>
        </w:rPr>
      </w:pPr>
      <w:r>
        <w:rPr>
          <w:rFonts w:ascii="Arial" w:cs="Arial" w:eastAsia="Arial" w:hAnsi="Arial"/>
          <w:sz w:val="9"/>
          <w:szCs w:val="9"/>
          <w:color w:val="FFFFFF"/>
        </w:rPr>
        <w:t>Sales2012—13Growth2013—1481+7</w:t>
      </w:r>
    </w:p>
    <w:p>
      <w:pPr>
        <w:spacing w:after="0" w:line="205" w:lineRule="auto"/>
        <w:rPr>
          <w:sz w:val="20"/>
          <w:szCs w:val="20"/>
          <w:color w:val="auto"/>
        </w:rPr>
      </w:pPr>
      <w:r>
        <w:rPr>
          <w:rFonts w:ascii="Arial" w:cs="Arial" w:eastAsia="Arial" w:hAnsi="Arial"/>
          <w:sz w:val="4"/>
          <w:szCs w:val="4"/>
          <w:color w:val="FFFFFF"/>
        </w:rPr>
        <w:t>8Adjusted5+3 Operating</w:t>
      </w:r>
    </w:p>
    <w:p>
      <w:pPr>
        <w:spacing w:after="0" w:line="205" w:lineRule="auto"/>
        <w:rPr>
          <w:sz w:val="20"/>
          <w:szCs w:val="20"/>
          <w:color w:val="auto"/>
        </w:rPr>
      </w:pPr>
      <w:r>
        <w:rPr>
          <w:rFonts w:ascii="Arial" w:cs="Arial" w:eastAsia="Arial" w:hAnsi="Arial"/>
          <w:sz w:val="4"/>
          <w:szCs w:val="4"/>
          <w:color w:val="FFFFFF"/>
        </w:rPr>
        <w:t>Margin</w:t>
      </w:r>
    </w:p>
    <w:p>
      <w:pPr>
        <w:spacing w:after="0" w:line="182" w:lineRule="auto"/>
        <w:rPr>
          <w:sz w:val="20"/>
          <w:szCs w:val="20"/>
          <w:color w:val="auto"/>
        </w:rPr>
      </w:pPr>
      <w:r>
        <w:rPr>
          <w:rFonts w:ascii="Arial" w:cs="Arial" w:eastAsia="Arial" w:hAnsi="Arial"/>
          <w:sz w:val="9"/>
          <w:szCs w:val="9"/>
          <w:color w:val="FFFFFF"/>
        </w:rPr>
        <w:t>Return on Equity 8 5 +3</w:t>
      </w:r>
    </w:p>
    <w:p>
      <w:pPr>
        <w:spacing w:after="0" w:line="206" w:lineRule="auto"/>
        <w:rPr>
          <w:sz w:val="20"/>
          <w:szCs w:val="20"/>
          <w:color w:val="auto"/>
        </w:rPr>
      </w:pPr>
      <w:r>
        <w:rPr>
          <w:rFonts w:ascii="Arial" w:cs="Arial" w:eastAsia="Arial" w:hAnsi="Arial"/>
          <w:sz w:val="4"/>
          <w:szCs w:val="4"/>
          <w:color w:val="FFFFFF"/>
        </w:rPr>
        <w:t>P/ETotalRatioReturn5610-1 1 +9</w:t>
      </w:r>
    </w:p>
    <w:p>
      <w:pPr>
        <w:spacing w:after="0" w:line="205" w:lineRule="auto"/>
        <w:rPr>
          <w:sz w:val="20"/>
          <w:szCs w:val="20"/>
          <w:color w:val="auto"/>
        </w:rPr>
      </w:pPr>
      <w:r>
        <w:rPr>
          <w:rFonts w:ascii="Arial" w:cs="Arial" w:eastAsia="Arial" w:hAnsi="Arial"/>
          <w:sz w:val="4"/>
          <w:szCs w:val="4"/>
          <w:color w:val="FFFFFF"/>
        </w:rPr>
        <w:t>…but we remain undervalued to our peers</w:t>
      </w:r>
    </w:p>
    <w:p>
      <w:pPr>
        <w:spacing w:after="0"/>
        <w:rPr>
          <w:sz w:val="20"/>
          <w:szCs w:val="20"/>
          <w:color w:val="auto"/>
        </w:rPr>
      </w:pPr>
      <w:r>
        <w:rPr>
          <w:rFonts w:ascii="Arial" w:cs="Arial" w:eastAsia="Arial" w:hAnsi="Arial"/>
          <w:sz w:val="11"/>
          <w:szCs w:val="11"/>
          <w:color w:val="FFFFFF"/>
        </w:rPr>
        <w:t>Compared to 9 S/Mid Cap companies outlined on page 10 5 Analysis was done on year over year, TTM, and 2 year TTM period or using 2014 estimates Source: Bloomberg Analytics</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FFFFFF"/>
        </w:rPr>
        <w:t>Building</w:t>
      </w:r>
      <w:r>
        <w:rPr>
          <w:rFonts w:ascii="Arial" w:cs="Arial" w:eastAsia="Arial" w:hAnsi="Arial"/>
          <w:sz w:val="26"/>
          <w:szCs w:val="26"/>
          <w:color w:val="FFFFFF"/>
          <w:vertAlign w:val="superscript"/>
        </w:rPr>
        <w:t>6</w:t>
      </w:r>
      <w:r>
        <w:rPr>
          <w:rFonts w:ascii="Arial" w:cs="Arial" w:eastAsia="Arial" w:hAnsi="Arial"/>
          <w:sz w:val="13"/>
          <w:szCs w:val="13"/>
          <w:color w:val="FFFFFF"/>
        </w:rPr>
        <w:t xml:space="preserve"> a Diversified Industrial</w:t>
      </w:r>
    </w:p>
    <w:p>
      <w:pPr>
        <w:ind w:left="80"/>
        <w:spacing w:after="0" w:line="182" w:lineRule="auto"/>
        <w:rPr>
          <w:sz w:val="20"/>
          <w:szCs w:val="20"/>
          <w:color w:val="auto"/>
        </w:rPr>
      </w:pPr>
      <w:r>
        <w:rPr>
          <w:rFonts w:ascii="Arial" w:cs="Arial" w:eastAsia="Arial" w:hAnsi="Arial"/>
          <w:sz w:val="9"/>
          <w:szCs w:val="9"/>
          <w:color w:val="FFFFFF"/>
        </w:rPr>
        <w:t>4year into the Strategic Period</w:t>
      </w:r>
    </w:p>
    <w:p>
      <w:pPr>
        <w:spacing w:after="0" w:line="189" w:lineRule="auto"/>
        <w:rPr>
          <w:sz w:val="20"/>
          <w:szCs w:val="20"/>
          <w:color w:val="auto"/>
        </w:rPr>
      </w:pPr>
      <w:r>
        <w:rPr>
          <w:rFonts w:ascii="Arial" w:cs="Arial" w:eastAsia="Arial" w:hAnsi="Arial"/>
          <w:sz w:val="13"/>
          <w:szCs w:val="13"/>
          <w:color w:val="FFFFFF"/>
        </w:rPr>
        <w:t>102</w:t>
      </w:r>
    </w:p>
    <w:p>
      <w:pPr>
        <w:spacing w:after="0" w:line="206" w:lineRule="auto"/>
        <w:rPr>
          <w:sz w:val="20"/>
          <w:szCs w:val="20"/>
          <w:color w:val="auto"/>
        </w:rPr>
      </w:pPr>
      <w:r>
        <w:rPr>
          <w:rFonts w:ascii="Arial" w:cs="Arial" w:eastAsia="Arial" w:hAnsi="Arial"/>
          <w:sz w:val="4"/>
          <w:szCs w:val="4"/>
          <w:color w:val="FFFFFF"/>
        </w:rPr>
        <w:t>EV/EBITDA 8</w:t>
      </w:r>
    </w:p>
    <w:p>
      <w:pPr>
        <w:spacing w:after="0" w:line="182" w:lineRule="auto"/>
        <w:rPr>
          <w:sz w:val="20"/>
          <w:szCs w:val="20"/>
          <w:color w:val="auto"/>
        </w:rPr>
      </w:pPr>
      <w:r>
        <w:rPr>
          <w:rFonts w:ascii="Arial" w:cs="Arial" w:eastAsia="Arial" w:hAnsi="Arial"/>
          <w:sz w:val="9"/>
          <w:szCs w:val="9"/>
          <w:color w:val="FFFFFF"/>
        </w:rPr>
        <w:t>46</w:t>
      </w:r>
    </w:p>
    <w:p>
      <w:pPr>
        <w:spacing w:after="0" w:line="182" w:lineRule="auto"/>
        <w:rPr>
          <w:sz w:val="20"/>
          <w:szCs w:val="20"/>
          <w:color w:val="auto"/>
        </w:rPr>
      </w:pPr>
      <w:r>
        <w:rPr>
          <w:rFonts w:ascii="Arial" w:cs="Arial" w:eastAsia="Arial" w:hAnsi="Arial"/>
          <w:sz w:val="9"/>
          <w:szCs w:val="9"/>
          <w:color w:val="FFFFFF"/>
        </w:rPr>
        <w:t>02</w:t>
      </w:r>
    </w:p>
    <w:p>
      <w:pPr>
        <w:spacing w:after="0" w:line="182" w:lineRule="auto"/>
        <w:rPr>
          <w:sz w:val="20"/>
          <w:szCs w:val="20"/>
          <w:color w:val="auto"/>
        </w:rPr>
      </w:pPr>
      <w:r>
        <w:rPr>
          <w:rFonts w:ascii="Arial" w:cs="Arial" w:eastAsia="Arial" w:hAnsi="Arial"/>
          <w:sz w:val="7"/>
          <w:szCs w:val="7"/>
          <w:color w:val="FFFFFF"/>
        </w:rPr>
        <w:t>NNS/MidActuantCapDIsAltraPremiereAmetek</w:t>
      </w:r>
      <w:r>
        <w:rPr>
          <w:rFonts w:ascii="Arial" w:cs="Arial" w:eastAsia="Arial" w:hAnsi="Arial"/>
          <w:sz w:val="9"/>
          <w:szCs w:val="9"/>
          <w:color w:val="FFFFFF"/>
          <w:vertAlign w:val="superscript"/>
        </w:rPr>
        <w:t>Park</w:t>
      </w:r>
      <w:r>
        <w:rPr>
          <w:rFonts w:ascii="Arial" w:cs="Arial" w:eastAsia="Arial" w:hAnsi="Arial"/>
          <w:sz w:val="7"/>
          <w:szCs w:val="7"/>
          <w:color w:val="FFFFFF"/>
        </w:rPr>
        <w:t>DIsCircor</w:t>
      </w:r>
    </w:p>
    <w:p>
      <w:pPr>
        <w:spacing w:after="0" w:line="206" w:lineRule="auto"/>
        <w:rPr>
          <w:sz w:val="20"/>
          <w:szCs w:val="20"/>
          <w:color w:val="auto"/>
        </w:rPr>
      </w:pPr>
      <w:r>
        <w:rPr>
          <w:rFonts w:ascii="Arial" w:cs="Arial" w:eastAsia="Arial" w:hAnsi="Arial"/>
          <w:sz w:val="4"/>
          <w:szCs w:val="4"/>
          <w:color w:val="FFFFFF"/>
        </w:rPr>
        <w:t>EatonColfaxITWCraneHoneywellKaman DanaherOhio Worthington</w:t>
      </w:r>
    </w:p>
    <w:p>
      <w:pPr>
        <w:spacing w:after="0"/>
        <w:rPr>
          <w:sz w:val="20"/>
          <w:szCs w:val="20"/>
          <w:color w:val="auto"/>
        </w:rPr>
      </w:pPr>
      <w:r>
        <w:rPr>
          <w:rFonts w:ascii="Arial" w:cs="Arial" w:eastAsia="Arial" w:hAnsi="Arial"/>
          <w:sz w:val="13"/>
          <w:szCs w:val="13"/>
          <w:color w:val="FFFFFF"/>
        </w:rPr>
        <w:t>6</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7079" w:firstLine="5"/>
        <w:spacing w:after="0"/>
        <w:tabs>
          <w:tab w:leader="none" w:pos="222" w:val="left"/>
        </w:tabs>
        <w:numPr>
          <w:ilvl w:val="0"/>
          <w:numId w:val="2"/>
        </w:numPr>
        <w:rPr>
          <w:rFonts w:ascii="Arial" w:cs="Arial" w:eastAsia="Arial" w:hAnsi="Arial"/>
          <w:sz w:val="7"/>
          <w:szCs w:val="7"/>
          <w:color w:val="FFFFFF"/>
        </w:rPr>
      </w:pPr>
      <w:r>
        <w:rPr>
          <w:rFonts w:ascii="Arial" w:cs="Arial" w:eastAsia="Arial" w:hAnsi="Arial"/>
          <w:sz w:val="7"/>
          <w:szCs w:val="7"/>
          <w:color w:val="FFFFFF"/>
        </w:rPr>
        <w:t>multiple based on midpoint of 2015 EBITDA Guidance Source: Bloomberg Analytics</w:t>
      </w:r>
    </w:p>
    <w:p>
      <w:pPr>
        <w:spacing w:after="0" w:line="8" w:lineRule="exact"/>
        <w:rPr>
          <w:rFonts w:ascii="Arial" w:cs="Arial" w:eastAsia="Arial" w:hAnsi="Arial"/>
          <w:sz w:val="7"/>
          <w:szCs w:val="7"/>
          <w:color w:val="FFFFFF"/>
        </w:rPr>
      </w:pPr>
    </w:p>
    <w:p>
      <w:pPr>
        <w:ind w:right="9159"/>
        <w:spacing w:after="0"/>
        <w:rPr>
          <w:rFonts w:ascii="Arial" w:cs="Arial" w:eastAsia="Arial" w:hAnsi="Arial"/>
          <w:sz w:val="7"/>
          <w:szCs w:val="7"/>
          <w:color w:val="FFFFFF"/>
        </w:rPr>
      </w:pPr>
      <w:r>
        <w:rPr>
          <w:rFonts w:ascii="Arial" w:cs="Arial" w:eastAsia="Arial" w:hAnsi="Arial"/>
          <w:sz w:val="11"/>
          <w:szCs w:val="11"/>
          <w:color w:val="FFFFFF"/>
        </w:rPr>
        <w:t>Company Overview 7</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February:</w:t>
      </w:r>
      <w:r>
        <w:rPr>
          <w:rFonts w:ascii="Arial" w:cs="Arial" w:eastAsia="Arial" w:hAnsi="Arial"/>
          <w:sz w:val="13"/>
          <w:szCs w:val="13"/>
          <w:color w:val="FFFFFF"/>
        </w:rPr>
        <w:t>2014at Glance</w:t>
      </w:r>
    </w:p>
    <w:p>
      <w:pPr>
        <w:spacing w:after="0" w:line="187" w:lineRule="auto"/>
        <w:rPr>
          <w:sz w:val="20"/>
          <w:szCs w:val="20"/>
          <w:color w:val="auto"/>
        </w:rPr>
      </w:pPr>
      <w:r>
        <w:rPr>
          <w:rFonts w:ascii="Arial" w:cs="Arial" w:eastAsia="Arial" w:hAnsi="Arial"/>
          <w:sz w:val="7"/>
          <w:szCs w:val="7"/>
          <w:color w:val="FFFFFF"/>
        </w:rPr>
        <w:t>IL and Juarez,AcquiredMexicoV-S Industries, a high precision manufacturer with locations in Wheeling,</w:t>
      </w:r>
    </w:p>
    <w:p>
      <w:pPr>
        <w:spacing w:after="0" w:line="205" w:lineRule="auto"/>
        <w:rPr>
          <w:sz w:val="20"/>
          <w:szCs w:val="20"/>
          <w:color w:val="auto"/>
        </w:rPr>
      </w:pPr>
      <w:r>
        <w:rPr>
          <w:rFonts w:ascii="Arial" w:cs="Arial" w:eastAsia="Arial" w:hAnsi="Arial"/>
          <w:sz w:val="4"/>
          <w:szCs w:val="4"/>
          <w:color w:val="FFFFFF"/>
          <w:vertAlign w:val="superscript"/>
        </w:rPr>
        <w:t>July:</w:t>
      </w:r>
    </w:p>
    <w:p>
      <w:pPr>
        <w:ind w:left="120"/>
        <w:spacing w:after="0" w:line="205" w:lineRule="auto"/>
        <w:rPr>
          <w:sz w:val="20"/>
          <w:szCs w:val="20"/>
          <w:color w:val="auto"/>
        </w:rPr>
      </w:pPr>
      <w:r>
        <w:rPr>
          <w:rFonts w:ascii="Arial" w:cs="Arial" w:eastAsia="Arial" w:hAnsi="Arial"/>
          <w:sz w:val="2"/>
          <w:szCs w:val="2"/>
          <w:color w:val="FFFFFF"/>
        </w:rPr>
        <w:t>ne: AcquiredAcquired thetaperedassetsrollerof</w:t>
      </w:r>
      <w:r>
        <w:rPr>
          <w:rFonts w:ascii="Arial" w:cs="Arial" w:eastAsia="Arial" w:hAnsi="Arial"/>
          <w:sz w:val="4"/>
          <w:szCs w:val="4"/>
          <w:color w:val="FFFFFF"/>
          <w:vertAlign w:val="subscript"/>
        </w:rPr>
        <w:t>Chelsea</w:t>
      </w:r>
      <w:r>
        <w:rPr>
          <w:rFonts w:ascii="Arial" w:cs="Arial" w:eastAsia="Arial" w:hAnsi="Arial"/>
          <w:sz w:val="2"/>
          <w:szCs w:val="2"/>
          <w:color w:val="FFFFFF"/>
        </w:rPr>
        <w:t>manufacturerGrindingRFK,Company,</w:t>
      </w:r>
      <w:r>
        <w:rPr>
          <w:rFonts w:ascii="Arial" w:cs="Arial" w:eastAsia="Arial" w:hAnsi="Arial"/>
          <w:sz w:val="4"/>
          <w:szCs w:val="4"/>
          <w:color w:val="FFFFFF"/>
          <w:vertAlign w:val="subscript"/>
        </w:rPr>
        <w:t>manufacturer</w:t>
      </w:r>
      <w:r>
        <w:rPr>
          <w:rFonts w:ascii="Arial" w:cs="Arial" w:eastAsia="Arial" w:hAnsi="Arial"/>
          <w:sz w:val="2"/>
          <w:szCs w:val="2"/>
          <w:color w:val="FFFFFF"/>
        </w:rPr>
        <w:t>locatedincylindricalBosnia&amp; rollerHerzegovinamanufacturer</w:t>
      </w:r>
    </w:p>
    <w:p>
      <w:pPr>
        <w:spacing w:after="0" w:line="182" w:lineRule="auto"/>
        <w:tabs>
          <w:tab w:leader="none" w:pos="1780" w:val="left"/>
          <w:tab w:leader="none" w:pos="3280" w:val="left"/>
        </w:tabs>
        <w:rPr>
          <w:sz w:val="20"/>
          <w:szCs w:val="20"/>
          <w:color w:val="auto"/>
        </w:rPr>
      </w:pPr>
      <w:r>
        <w:rPr>
          <w:rFonts w:ascii="Arial" w:cs="Arial" w:eastAsia="Arial" w:hAnsi="Arial"/>
          <w:sz w:val="9"/>
          <w:szCs w:val="9"/>
          <w:color w:val="FFFFFF"/>
        </w:rPr>
        <w:t>September: Acquired Autocam,</w:t>
      </w:r>
      <w:r>
        <w:rPr>
          <w:sz w:val="20"/>
          <w:szCs w:val="20"/>
          <w:color w:val="auto"/>
        </w:rPr>
        <w:tab/>
      </w:r>
      <w:r>
        <w:rPr>
          <w:rFonts w:ascii="Arial" w:cs="Arial" w:eastAsia="Arial" w:hAnsi="Arial"/>
          <w:sz w:val="9"/>
          <w:szCs w:val="9"/>
          <w:color w:val="FFFFFF"/>
        </w:rPr>
        <w:t>high precision</w:t>
      </w:r>
      <w:r>
        <w:rPr>
          <w:sz w:val="20"/>
          <w:szCs w:val="20"/>
          <w:color w:val="auto"/>
        </w:rPr>
        <w:tab/>
      </w:r>
      <w:r>
        <w:rPr>
          <w:rFonts w:ascii="Arial" w:cs="Arial" w:eastAsia="Arial" w:hAnsi="Arial"/>
          <w:sz w:val="7"/>
          <w:szCs w:val="7"/>
          <w:color w:val="FFFFFF"/>
        </w:rPr>
        <w:t>with locations</w:t>
      </w:r>
      <w:r>
        <w:rPr>
          <w:rFonts w:ascii="Arial" w:cs="Arial" w:eastAsia="Arial" w:hAnsi="Arial"/>
          <w:sz w:val="9"/>
          <w:szCs w:val="9"/>
          <w:color w:val="FFFFFF"/>
          <w:vertAlign w:val="subscript"/>
        </w:rPr>
        <w:t>expansion</w:t>
      </w:r>
      <w:r>
        <w:rPr>
          <w:rFonts w:ascii="Arial" w:cs="Arial" w:eastAsia="Arial" w:hAnsi="Arial"/>
          <w:sz w:val="7"/>
          <w:szCs w:val="7"/>
          <w:color w:val="FFFFFF"/>
        </w:rPr>
        <w:t xml:space="preserve"> 4 continents</w:t>
      </w:r>
    </w:p>
    <w:p>
      <w:pPr>
        <w:spacing w:after="0" w:line="205" w:lineRule="auto"/>
        <w:rPr>
          <w:sz w:val="20"/>
          <w:szCs w:val="20"/>
          <w:color w:val="auto"/>
        </w:rPr>
      </w:pPr>
      <w:r>
        <w:rPr>
          <w:rFonts w:ascii="Arial" w:cs="Arial" w:eastAsia="Arial" w:hAnsi="Arial"/>
          <w:sz w:val="4"/>
          <w:szCs w:val="4"/>
          <w:color w:val="FFFFFF"/>
        </w:rPr>
        <w:t>We2014:areAchievedaheadof strategicschedule goalontheof Strategic3%organicPlanand 5% adjacent market</w:t>
      </w:r>
    </w:p>
    <w:p>
      <w:pPr>
        <w:spacing w:after="0"/>
        <w:rPr>
          <w:sz w:val="20"/>
          <w:szCs w:val="20"/>
          <w:color w:val="auto"/>
        </w:rPr>
      </w:pPr>
      <w:r>
        <w:rPr>
          <w:rFonts w:ascii="Arial" w:cs="Arial" w:eastAsia="Arial" w:hAnsi="Arial"/>
          <w:sz w:val="13"/>
          <w:szCs w:val="13"/>
          <w:color w:val="FFFFFF"/>
        </w:rPr>
        <w:t>8</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FFFFFF"/>
        </w:rPr>
        <w:t>Today</w:t>
      </w:r>
    </w:p>
    <w:p>
      <w:pPr>
        <w:spacing w:after="0" w:line="204" w:lineRule="auto"/>
        <w:rPr>
          <w:sz w:val="20"/>
          <w:szCs w:val="20"/>
          <w:color w:val="auto"/>
        </w:rPr>
      </w:pPr>
      <w:r>
        <w:rPr>
          <w:rFonts w:ascii="Arial" w:cs="Arial" w:eastAsia="Arial" w:hAnsi="Arial"/>
          <w:sz w:val="4"/>
          <w:szCs w:val="4"/>
          <w:color w:val="FFFFFF"/>
        </w:rPr>
        <w:t>Global2015forecastedreach,localrevenuedepthof $690M—$710M</w:t>
      </w:r>
    </w:p>
    <w:p>
      <w:pPr>
        <w:spacing w:after="0" w:line="205" w:lineRule="auto"/>
        <w:rPr>
          <w:sz w:val="20"/>
          <w:szCs w:val="20"/>
          <w:color w:val="auto"/>
        </w:rPr>
      </w:pPr>
      <w:r>
        <w:rPr>
          <w:rFonts w:ascii="Arial" w:cs="Arial" w:eastAsia="Arial" w:hAnsi="Arial"/>
          <w:sz w:val="2"/>
          <w:szCs w:val="2"/>
          <w:color w:val="FFFFFF"/>
        </w:rPr>
        <w:t>Top</w:t>
      </w:r>
      <w:r>
        <w:rPr>
          <w:rFonts w:ascii="Arial" w:cs="Arial" w:eastAsia="Arial" w:hAnsi="Arial"/>
          <w:sz w:val="4"/>
          <w:szCs w:val="4"/>
          <w:color w:val="FFFFFF"/>
          <w:vertAlign w:val="subscript"/>
        </w:rPr>
        <w:t>manufacturing</w:t>
      </w:r>
      <w:r>
        <w:rPr>
          <w:rFonts w:ascii="Arial" w:cs="Arial" w:eastAsia="Arial" w:hAnsi="Arial"/>
          <w:sz w:val="2"/>
          <w:szCs w:val="2"/>
          <w:color w:val="FFFFFF"/>
        </w:rPr>
        <w:t>3globally both bearing components, and precision metal components</w:t>
      </w:r>
    </w:p>
    <w:p>
      <w:pPr>
        <w:spacing w:after="0" w:line="205" w:lineRule="auto"/>
        <w:tabs>
          <w:tab w:leader="none" w:pos="940" w:val="left"/>
        </w:tabs>
        <w:rPr>
          <w:sz w:val="20"/>
          <w:szCs w:val="20"/>
          <w:color w:val="auto"/>
        </w:rPr>
      </w:pPr>
      <w:r>
        <w:rPr>
          <w:rFonts w:ascii="Arial" w:cs="Arial" w:eastAsia="Arial" w:hAnsi="Arial"/>
          <w:sz w:val="4"/>
          <w:szCs w:val="4"/>
          <w:color w:val="FFFFFF"/>
        </w:rPr>
        <w:t>25</w:t>
      </w:r>
      <w:r>
        <w:rPr>
          <w:sz w:val="20"/>
          <w:szCs w:val="20"/>
          <w:color w:val="auto"/>
        </w:rPr>
        <w:tab/>
      </w:r>
      <w:r>
        <w:rPr>
          <w:rFonts w:ascii="Arial" w:cs="Arial" w:eastAsia="Arial" w:hAnsi="Arial"/>
          <w:sz w:val="4"/>
          <w:szCs w:val="4"/>
          <w:color w:val="FFFFFF"/>
        </w:rPr>
        <w:t>facilities with operations in 10 countries</w:t>
      </w:r>
    </w:p>
    <w:p>
      <w:pPr>
        <w:spacing w:after="0" w:line="205" w:lineRule="auto"/>
        <w:rPr>
          <w:sz w:val="20"/>
          <w:szCs w:val="20"/>
          <w:color w:val="auto"/>
        </w:rPr>
      </w:pPr>
      <w:r>
        <w:rPr>
          <w:rFonts w:ascii="Arial" w:cs="Arial" w:eastAsia="Arial" w:hAnsi="Arial"/>
          <w:sz w:val="4"/>
          <w:szCs w:val="4"/>
          <w:color w:val="FFFFFF"/>
        </w:rPr>
        <w:t>4,200 employees</w:t>
      </w:r>
    </w:p>
    <w:p>
      <w:pPr>
        <w:spacing w:after="0" w:line="182" w:lineRule="auto"/>
        <w:rPr>
          <w:sz w:val="20"/>
          <w:szCs w:val="20"/>
          <w:color w:val="auto"/>
        </w:rPr>
      </w:pPr>
      <w:r>
        <w:rPr>
          <w:rFonts w:ascii="Arial" w:cs="Arial" w:eastAsia="Arial" w:hAnsi="Arial"/>
          <w:sz w:val="9"/>
          <w:szCs w:val="9"/>
          <w:color w:val="FFFFFF"/>
        </w:rPr>
        <w:t>Three R&amp;D Centers around the globe</w:t>
      </w:r>
    </w:p>
    <w:p>
      <w:pPr>
        <w:spacing w:after="0" w:line="206" w:lineRule="auto"/>
        <w:rPr>
          <w:sz w:val="20"/>
          <w:szCs w:val="20"/>
          <w:color w:val="auto"/>
        </w:rPr>
      </w:pPr>
      <w:r>
        <w:rPr>
          <w:rFonts w:ascii="Arial" w:cs="Arial" w:eastAsia="Arial" w:hAnsi="Arial"/>
          <w:sz w:val="4"/>
          <w:szCs w:val="4"/>
          <w:color w:val="FFFFFF"/>
        </w:rPr>
        <w:t>[GraphicSupplyingAppearstodiversifiedHere] end markets in over 30 countries</w:t>
      </w:r>
    </w:p>
    <w:p>
      <w:pPr>
        <w:spacing w:after="0" w:line="205" w:lineRule="auto"/>
        <w:rPr>
          <w:sz w:val="20"/>
          <w:szCs w:val="20"/>
          <w:color w:val="auto"/>
        </w:rPr>
      </w:pPr>
      <w:r>
        <w:rPr>
          <w:rFonts w:ascii="Arial" w:cs="Arial" w:eastAsia="Arial" w:hAnsi="Arial"/>
          <w:sz w:val="4"/>
          <w:szCs w:val="4"/>
          <w:color w:val="FFFFFF"/>
        </w:rPr>
        <w:t>1980 1999 2000 2001 2003 2005 2006 2014…</w:t>
      </w:r>
    </w:p>
    <w:p>
      <w:pPr>
        <w:spacing w:after="0" w:line="182" w:lineRule="auto"/>
        <w:rPr>
          <w:sz w:val="20"/>
          <w:szCs w:val="20"/>
          <w:color w:val="auto"/>
        </w:rPr>
      </w:pPr>
      <w:r>
        <w:rPr>
          <w:rFonts w:ascii="Arial" w:cs="Arial" w:eastAsia="Arial" w:hAnsi="Arial"/>
          <w:sz w:val="9"/>
          <w:szCs w:val="9"/>
          <w:color w:val="FFFFFF"/>
        </w:rPr>
        <w:t>NN founded SNR Ball Whirlaway V-S RFK Chelsea</w:t>
      </w:r>
    </w:p>
    <w:p>
      <w:pPr>
        <w:spacing w:after="0" w:line="182" w:lineRule="auto"/>
        <w:rPr>
          <w:sz w:val="20"/>
          <w:szCs w:val="20"/>
          <w:color w:val="auto"/>
        </w:rPr>
      </w:pPr>
      <w:r>
        <w:rPr>
          <w:rFonts w:ascii="Arial" w:cs="Arial" w:eastAsia="Arial" w:hAnsi="Arial"/>
          <w:sz w:val="9"/>
          <w:szCs w:val="9"/>
          <w:color w:val="FFFFFF"/>
          <w:vertAlign w:val="superscript"/>
        </w:rPr>
        <w:t>CGC</w:t>
      </w:r>
      <w:r>
        <w:rPr>
          <w:rFonts w:ascii="Arial" w:cs="Arial" w:eastAsia="Arial" w:hAnsi="Arial"/>
          <w:sz w:val="7"/>
          <w:szCs w:val="7"/>
          <w:color w:val="FFFFFF"/>
        </w:rPr>
        <w:t>inorporationErwin,TNCompanyAssetsCorporation Industries Grinding Autocam</w:t>
      </w:r>
    </w:p>
    <w:p>
      <w:pPr>
        <w:spacing w:after="0"/>
        <w:rPr>
          <w:sz w:val="20"/>
          <w:szCs w:val="20"/>
          <w:color w:val="auto"/>
        </w:rPr>
      </w:pPr>
      <w:r>
        <w:rPr>
          <w:rFonts w:ascii="Arial" w:cs="Arial" w:eastAsia="Arial" w:hAnsi="Arial"/>
          <w:sz w:val="13"/>
          <w:szCs w:val="13"/>
          <w:color w:val="FFFFFF"/>
        </w:rPr>
        <w:t>9</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20" w:type="dxa"/>
            <w:vAlign w:val="bottom"/>
          </w:tcPr>
          <w:p>
            <w:pPr>
              <w:ind w:left="80"/>
              <w:spacing w:after="0"/>
              <w:rPr>
                <w:sz w:val="20"/>
                <w:szCs w:val="20"/>
                <w:color w:val="auto"/>
              </w:rPr>
            </w:pPr>
            <w:r>
              <w:rPr>
                <w:rFonts w:ascii="Arial" w:cs="Arial" w:eastAsia="Arial" w:hAnsi="Arial"/>
                <w:sz w:val="13"/>
                <w:szCs w:val="13"/>
                <w:color w:val="FFFFFF"/>
              </w:rPr>
              <w:t>oundation for Growth</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FFFFFF"/>
                <w:w w:val="85"/>
              </w:rPr>
              <w:t>since 2012</w:t>
            </w:r>
          </w:p>
        </w:tc>
        <w:tc>
          <w:tcPr>
            <w:tcW w:w="0" w:type="dxa"/>
            <w:vAlign w:val="bottom"/>
          </w:tcPr>
          <w:p>
            <w:pPr>
              <w:spacing w:after="0"/>
              <w:rPr>
                <w:sz w:val="1"/>
                <w:szCs w:val="1"/>
                <w:color w:val="auto"/>
              </w:rPr>
            </w:pPr>
          </w:p>
        </w:tc>
      </w:tr>
      <w:tr>
        <w:trPr>
          <w:trHeight w:val="0"/>
        </w:trPr>
        <w:tc>
          <w:tcPr>
            <w:tcW w:w="1420" w:type="dxa"/>
            <w:vAlign w:val="bottom"/>
          </w:tcPr>
          <w:p>
            <w:pPr>
              <w:spacing w:after="0" w:line="78" w:lineRule="exact"/>
              <w:rPr>
                <w:sz w:val="20"/>
                <w:szCs w:val="20"/>
                <w:color w:val="auto"/>
              </w:rPr>
            </w:pPr>
            <w:r>
              <w:rPr>
                <w:rFonts w:ascii="Arial" w:cs="Arial" w:eastAsia="Arial" w:hAnsi="Arial"/>
                <w:sz w:val="8"/>
                <w:szCs w:val="8"/>
                <w:color w:val="FFFFFF"/>
              </w:rPr>
              <w:t>Five new Board</w:t>
            </w: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auto"/>
        <w:rPr>
          <w:sz w:val="20"/>
          <w:szCs w:val="20"/>
          <w:color w:val="auto"/>
        </w:rPr>
      </w:pPr>
      <w:r>
        <w:rPr>
          <w:rFonts w:ascii="Arial" w:cs="Arial" w:eastAsia="Arial" w:hAnsi="Arial"/>
          <w:sz w:val="1"/>
          <w:szCs w:val="1"/>
          <w:color w:val="FFFFFF"/>
        </w:rPr>
        <w:t xml:space="preserve">N </w:t>
      </w:r>
      <w:r>
        <w:rPr>
          <w:rFonts w:ascii="Arial" w:cs="Arial" w:eastAsia="Arial" w:hAnsi="Arial"/>
          <w:sz w:val="1"/>
          <w:szCs w:val="1"/>
          <w:color w:val="FFFFFF"/>
          <w:vertAlign w:val="superscript"/>
        </w:rPr>
        <w:t>veloped</w:t>
      </w:r>
      <w:r>
        <w:rPr>
          <w:rFonts w:ascii="Arial" w:cs="Arial" w:eastAsia="Arial" w:hAnsi="Arial"/>
          <w:sz w:val="1"/>
          <w:szCs w:val="1"/>
          <w:color w:val="FFFFFF"/>
        </w:rPr>
        <w:t>wPresident &amp;appointmentsCEO2013, key management retained</w:t>
      </w:r>
    </w:p>
    <w:p>
      <w:pPr>
        <w:spacing w:after="0" w:line="205" w:lineRule="auto"/>
        <w:rPr>
          <w:sz w:val="20"/>
          <w:szCs w:val="20"/>
          <w:color w:val="auto"/>
        </w:rPr>
      </w:pPr>
      <w:r>
        <w:rPr>
          <w:rFonts w:ascii="Arial" w:cs="Arial" w:eastAsia="Arial" w:hAnsi="Arial"/>
          <w:sz w:val="4"/>
          <w:szCs w:val="4"/>
          <w:color w:val="FFFFFF"/>
          <w:vertAlign w:val="superscript"/>
        </w:rPr>
        <w:t>Design</w:t>
      </w:r>
    </w:p>
    <w:p>
      <w:pPr>
        <w:ind w:left="400"/>
        <w:spacing w:after="0" w:line="205" w:lineRule="auto"/>
        <w:rPr>
          <w:sz w:val="20"/>
          <w:szCs w:val="20"/>
          <w:color w:val="auto"/>
        </w:rPr>
      </w:pPr>
      <w:r>
        <w:rPr>
          <w:rFonts w:ascii="Arial" w:cs="Arial" w:eastAsia="Arial" w:hAnsi="Arial"/>
          <w:sz w:val="4"/>
          <w:szCs w:val="4"/>
          <w:color w:val="FFFFFF"/>
        </w:rPr>
        <w:t>of theTreasury,NNOperatingFP&amp;A, SystemSupply Chain, Shared Services and IT group infrastructure</w:t>
      </w:r>
    </w:p>
    <w:p>
      <w:pPr>
        <w:spacing w:after="0" w:line="182" w:lineRule="auto"/>
        <w:rPr>
          <w:sz w:val="20"/>
          <w:szCs w:val="20"/>
          <w:color w:val="auto"/>
        </w:rPr>
      </w:pPr>
      <w:r>
        <w:rPr>
          <w:rFonts w:ascii="Arial" w:cs="Arial" w:eastAsia="Arial" w:hAnsi="Arial"/>
          <w:sz w:val="9"/>
          <w:szCs w:val="9"/>
          <w:color w:val="FFFFFF"/>
        </w:rPr>
        <w:t>Enhanced management bandwidth with acquisitions</w:t>
      </w:r>
    </w:p>
    <w:p>
      <w:pPr>
        <w:spacing w:after="0"/>
        <w:rPr>
          <w:sz w:val="20"/>
          <w:szCs w:val="20"/>
          <w:color w:val="auto"/>
        </w:rPr>
      </w:pPr>
      <w:r>
        <w:rPr>
          <w:rFonts w:ascii="Arial" w:cs="Arial" w:eastAsia="Arial" w:hAnsi="Arial"/>
          <w:sz w:val="11"/>
          <w:szCs w:val="11"/>
          <w:color w:val="FFFFFF"/>
        </w:rPr>
        <w:t>10The fundaments of our plan have not changed. We will continue to deliver on our commitments.</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FFFFFF"/>
        </w:rPr>
        <w:t>EndCompany Overview</w:t>
      </w:r>
    </w:p>
    <w:p>
      <w:pPr>
        <w:spacing w:after="0" w:line="204" w:lineRule="auto"/>
        <w:rPr>
          <w:sz w:val="20"/>
          <w:szCs w:val="20"/>
          <w:color w:val="auto"/>
        </w:rPr>
      </w:pPr>
      <w:r>
        <w:rPr>
          <w:rFonts w:ascii="Arial" w:cs="Arial" w:eastAsia="Arial" w:hAnsi="Arial"/>
          <w:sz w:val="4"/>
          <w:szCs w:val="4"/>
          <w:color w:val="FFFFFF"/>
          <w:vertAlign w:val="subscript"/>
        </w:rPr>
        <w:t>Plastic</w:t>
      </w:r>
      <w:r>
        <w:rPr>
          <w:rFonts w:ascii="Arial" w:cs="Arial" w:eastAsia="Arial" w:hAnsi="Arial"/>
          <w:sz w:val="2"/>
          <w:szCs w:val="2"/>
          <w:color w:val="FFFFFF"/>
        </w:rPr>
        <w:t>roduct&amp;MixRubberGeography Markets</w:t>
      </w:r>
    </w:p>
    <w:p>
      <w:pPr>
        <w:spacing w:after="0" w:line="205" w:lineRule="auto"/>
        <w:rPr>
          <w:sz w:val="20"/>
          <w:szCs w:val="20"/>
          <w:color w:val="auto"/>
        </w:rPr>
      </w:pPr>
      <w:r>
        <w:rPr>
          <w:rFonts w:ascii="Arial" w:cs="Arial" w:eastAsia="Arial" w:hAnsi="Arial"/>
          <w:sz w:val="4"/>
          <w:szCs w:val="4"/>
          <w:color w:val="FFFFFF"/>
        </w:rPr>
        <w:t>Asia General/Plastics</w:t>
      </w:r>
    </w:p>
    <w:p>
      <w:pPr>
        <w:spacing w:after="0" w:line="205" w:lineRule="auto"/>
        <w:rPr>
          <w:sz w:val="20"/>
          <w:szCs w:val="20"/>
          <w:color w:val="auto"/>
        </w:rPr>
      </w:pPr>
      <w:r>
        <w:rPr>
          <w:rFonts w:ascii="Arial" w:cs="Arial" w:eastAsia="Arial" w:hAnsi="Arial"/>
          <w:sz w:val="4"/>
          <w:szCs w:val="4"/>
          <w:color w:val="FFFFFF"/>
        </w:rPr>
        <w:t>Components Commercial</w:t>
      </w:r>
    </w:p>
    <w:p>
      <w:pPr>
        <w:spacing w:after="0" w:line="205" w:lineRule="auto"/>
        <w:rPr>
          <w:sz w:val="20"/>
          <w:szCs w:val="20"/>
          <w:color w:val="auto"/>
        </w:rPr>
      </w:pPr>
      <w:r>
        <w:rPr>
          <w:rFonts w:ascii="Arial" w:cs="Arial" w:eastAsia="Arial" w:hAnsi="Arial"/>
          <w:sz w:val="4"/>
          <w:szCs w:val="4"/>
          <w:color w:val="FFFFFF"/>
        </w:rPr>
        <w:t>South Transportation</w:t>
      </w:r>
    </w:p>
    <w:p>
      <w:pPr>
        <w:spacing w:after="0" w:line="182" w:lineRule="auto"/>
        <w:rPr>
          <w:sz w:val="20"/>
          <w:szCs w:val="20"/>
          <w:color w:val="auto"/>
        </w:rPr>
      </w:pPr>
      <w:r>
        <w:rPr>
          <w:rFonts w:ascii="Arial" w:cs="Arial" w:eastAsia="Arial" w:hAnsi="Arial"/>
          <w:sz w:val="7"/>
          <w:szCs w:val="7"/>
          <w:color w:val="FFFFFF"/>
        </w:rPr>
        <w:t>6%</w:t>
      </w:r>
      <w:r>
        <w:rPr>
          <w:rFonts w:ascii="Arial" w:cs="Arial" w:eastAsia="Arial" w:hAnsi="Arial"/>
          <w:sz w:val="9"/>
          <w:szCs w:val="9"/>
          <w:color w:val="FFFFFF"/>
          <w:vertAlign w:val="superscript"/>
        </w:rPr>
        <w:t>8%</w:t>
      </w:r>
      <w:r>
        <w:rPr>
          <w:rFonts w:ascii="Arial" w:cs="Arial" w:eastAsia="Arial" w:hAnsi="Arial"/>
          <w:sz w:val="7"/>
          <w:szCs w:val="7"/>
          <w:color w:val="FFFFFF"/>
        </w:rPr>
        <w:t xml:space="preserve"> America 7% 5%</w:t>
      </w:r>
    </w:p>
    <w:p>
      <w:pPr>
        <w:spacing w:after="0" w:line="206" w:lineRule="auto"/>
        <w:rPr>
          <w:sz w:val="20"/>
          <w:szCs w:val="20"/>
          <w:color w:val="auto"/>
        </w:rPr>
      </w:pPr>
      <w:r>
        <w:rPr>
          <w:rFonts w:ascii="Arial" w:cs="Arial" w:eastAsia="Arial" w:hAnsi="Arial"/>
          <w:sz w:val="4"/>
          <w:szCs w:val="4"/>
          <w:color w:val="FFFFFF"/>
        </w:rPr>
        <w:t>11%</w:t>
      </w:r>
    </w:p>
    <w:p>
      <w:pPr>
        <w:spacing w:after="0" w:line="205" w:lineRule="auto"/>
        <w:rPr>
          <w:sz w:val="20"/>
          <w:szCs w:val="20"/>
          <w:color w:val="auto"/>
        </w:rPr>
      </w:pPr>
      <w:r>
        <w:rPr>
          <w:rFonts w:ascii="Arial" w:cs="Arial" w:eastAsia="Arial" w:hAnsi="Arial"/>
          <w:sz w:val="4"/>
          <w:szCs w:val="4"/>
          <w:color w:val="FFFFFF"/>
        </w:rPr>
        <w:t>7%</w:t>
      </w:r>
    </w:p>
    <w:p>
      <w:pPr>
        <w:spacing w:after="0" w:line="182" w:lineRule="auto"/>
        <w:rPr>
          <w:sz w:val="20"/>
          <w:szCs w:val="20"/>
          <w:color w:val="auto"/>
        </w:rPr>
      </w:pPr>
      <w:r>
        <w:rPr>
          <w:rFonts w:ascii="Arial" w:cs="Arial" w:eastAsia="Arial" w:hAnsi="Arial"/>
          <w:sz w:val="9"/>
          <w:szCs w:val="9"/>
          <w:color w:val="FFFFFF"/>
        </w:rPr>
        <w:t>Industrial/ 17%</w:t>
      </w:r>
    </w:p>
    <w:p>
      <w:pPr>
        <w:spacing w:after="0" w:line="205" w:lineRule="auto"/>
        <w:rPr>
          <w:sz w:val="20"/>
          <w:szCs w:val="20"/>
          <w:color w:val="auto"/>
        </w:rPr>
      </w:pPr>
      <w:r>
        <w:rPr>
          <w:rFonts w:ascii="Arial" w:cs="Arial" w:eastAsia="Arial" w:hAnsi="Arial"/>
          <w:sz w:val="4"/>
          <w:szCs w:val="4"/>
          <w:color w:val="FFFFFF"/>
        </w:rPr>
        <w:t>/MedicalAerospace</w:t>
      </w:r>
    </w:p>
    <w:p>
      <w:pPr>
        <w:spacing w:after="0" w:line="189" w:lineRule="auto"/>
        <w:rPr>
          <w:sz w:val="20"/>
          <w:szCs w:val="20"/>
          <w:color w:val="auto"/>
        </w:rPr>
      </w:pPr>
      <w:r>
        <w:rPr>
          <w:rFonts w:ascii="Arial" w:cs="Arial" w:eastAsia="Arial" w:hAnsi="Arial"/>
          <w:sz w:val="13"/>
          <w:szCs w:val="13"/>
          <w:color w:val="FFFFFF"/>
        </w:rPr>
        <w:t>43%Metal51%Europe32%North50% 70%</w:t>
      </w:r>
    </w:p>
    <w:p>
      <w:pPr>
        <w:spacing w:after="0" w:line="206" w:lineRule="auto"/>
        <w:rPr>
          <w:sz w:val="20"/>
          <w:szCs w:val="20"/>
          <w:color w:val="auto"/>
        </w:rPr>
      </w:pPr>
      <w:r>
        <w:rPr>
          <w:rFonts w:ascii="Arial" w:cs="Arial" w:eastAsia="Arial" w:hAnsi="Arial"/>
          <w:sz w:val="4"/>
          <w:szCs w:val="4"/>
          <w:color w:val="FFFFFF"/>
          <w:vertAlign w:val="subscript"/>
        </w:rPr>
        <w:t>Components</w:t>
      </w:r>
      <w:r>
        <w:rPr>
          <w:rFonts w:ascii="Arial" w:cs="Arial" w:eastAsia="Arial" w:hAnsi="Arial"/>
          <w:sz w:val="2"/>
          <w:szCs w:val="2"/>
          <w:color w:val="FFFFFF"/>
        </w:rPr>
        <w:t>BearingAutocamPrecisionAmericaLight Auto</w:t>
      </w:r>
    </w:p>
    <w:p>
      <w:pPr>
        <w:ind w:left="700"/>
        <w:spacing w:after="0" w:line="182" w:lineRule="auto"/>
        <w:rPr>
          <w:sz w:val="20"/>
          <w:szCs w:val="20"/>
          <w:color w:val="auto"/>
        </w:rPr>
      </w:pPr>
      <w:r>
        <w:rPr>
          <w:rFonts w:ascii="Arial" w:cs="Arial" w:eastAsia="Arial" w:hAnsi="Arial"/>
          <w:sz w:val="9"/>
          <w:szCs w:val="9"/>
          <w:color w:val="FFFFFF"/>
        </w:rPr>
        <w:t>32%</w:t>
      </w:r>
    </w:p>
    <w:p>
      <w:pPr>
        <w:spacing w:after="0"/>
        <w:rPr>
          <w:sz w:val="20"/>
          <w:szCs w:val="20"/>
          <w:color w:val="auto"/>
        </w:rPr>
      </w:pPr>
      <w:r>
        <w:rPr>
          <w:rFonts w:ascii="Arial" w:cs="Arial" w:eastAsia="Arial" w:hAnsi="Arial"/>
          <w:sz w:val="11"/>
          <w:szCs w:val="11"/>
          <w:color w:val="FFFFFF"/>
        </w:rPr>
        <w:t>11Enhanced end market focus and an improved balance among our geographic and product mix</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0"/>
          <w:szCs w:val="10"/>
          <w:color w:val="FFFFFF"/>
        </w:rPr>
        <w:t>12Customer Profile</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FFFFFF"/>
        </w:rPr>
        <w:t>Value Proposition</w:t>
      </w:r>
    </w:p>
    <w:p>
      <w:pPr>
        <w:spacing w:after="0" w:line="204" w:lineRule="auto"/>
        <w:rPr>
          <w:sz w:val="20"/>
          <w:szCs w:val="20"/>
          <w:color w:val="auto"/>
        </w:rPr>
      </w:pPr>
      <w:r>
        <w:rPr>
          <w:rFonts w:ascii="Arial" w:cs="Arial" w:eastAsia="Arial" w:hAnsi="Arial"/>
          <w:sz w:val="4"/>
          <w:szCs w:val="4"/>
          <w:color w:val="FFFFFF"/>
        </w:rPr>
        <w:t>TotalAbilityproducttomanufacturelifecycle precision products with ultra tight tolerances in high volume</w:t>
      </w:r>
    </w:p>
    <w:p>
      <w:pPr>
        <w:spacing w:after="0" w:line="182" w:lineRule="auto"/>
        <w:rPr>
          <w:sz w:val="20"/>
          <w:szCs w:val="20"/>
          <w:color w:val="auto"/>
        </w:rPr>
      </w:pPr>
      <w:r>
        <w:rPr>
          <w:rFonts w:ascii="Arial" w:cs="Arial" w:eastAsia="Arial" w:hAnsi="Arial"/>
          <w:sz w:val="9"/>
          <w:szCs w:val="9"/>
          <w:color w:val="FFFFFF"/>
        </w:rPr>
        <w:t>Established global footprint</w:t>
      </w:r>
    </w:p>
    <w:p>
      <w:pPr>
        <w:spacing w:after="0" w:line="206" w:lineRule="auto"/>
        <w:rPr>
          <w:sz w:val="20"/>
          <w:szCs w:val="20"/>
          <w:color w:val="auto"/>
        </w:rPr>
      </w:pPr>
      <w:r>
        <w:rPr>
          <w:rFonts w:ascii="Arial" w:cs="Arial" w:eastAsia="Arial" w:hAnsi="Arial"/>
          <w:sz w:val="4"/>
          <w:szCs w:val="4"/>
          <w:color w:val="FFFFFF"/>
        </w:rPr>
        <w:t>SignificantHighlyspecializedproprietaryskillknowledgeandengineeringandtradeinbearingsecrets components and precision machining</w:t>
      </w:r>
    </w:p>
    <w:p>
      <w:pPr>
        <w:spacing w:after="0"/>
        <w:rPr>
          <w:sz w:val="20"/>
          <w:szCs w:val="20"/>
          <w:color w:val="auto"/>
        </w:rPr>
      </w:pPr>
      <w:r>
        <w:rPr>
          <w:rFonts w:ascii="Arial" w:cs="Arial" w:eastAsia="Arial" w:hAnsi="Arial"/>
          <w:sz w:val="13"/>
          <w:szCs w:val="13"/>
          <w:color w:val="FFFFFF"/>
        </w:rPr>
        <w:t>Leading manufacturer of high precision components 13</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6"/>
          <w:szCs w:val="26"/>
          <w:color w:val="FFFFFF"/>
          <w:vertAlign w:val="superscript"/>
        </w:rPr>
        <w:t>High</w:t>
      </w:r>
      <w:r>
        <w:rPr>
          <w:rFonts w:ascii="Arial" w:cs="Arial" w:eastAsia="Arial" w:hAnsi="Arial"/>
          <w:sz w:val="13"/>
          <w:szCs w:val="13"/>
          <w:color w:val="FFFFFF"/>
        </w:rPr>
        <w:t>Dfferentiation</w:t>
      </w:r>
    </w:p>
    <w:p>
      <w:pPr>
        <w:spacing w:after="0" w:line="204" w:lineRule="auto"/>
        <w:rPr>
          <w:sz w:val="20"/>
          <w:szCs w:val="20"/>
          <w:color w:val="auto"/>
        </w:rPr>
      </w:pPr>
      <w:r>
        <w:rPr>
          <w:rFonts w:ascii="Arial" w:cs="Arial" w:eastAsia="Arial" w:hAnsi="Arial"/>
          <w:sz w:val="4"/>
          <w:szCs w:val="4"/>
          <w:color w:val="FFFFFF"/>
        </w:rPr>
        <w:t>Operatingprecisiontolerancesmanufacturingof&lt;1micron</w:t>
      </w:r>
    </w:p>
    <w:p>
      <w:pPr>
        <w:ind w:right="4479"/>
        <w:spacing w:after="0" w:line="204" w:lineRule="auto"/>
        <w:rPr>
          <w:sz w:val="20"/>
          <w:szCs w:val="20"/>
          <w:color w:val="auto"/>
        </w:rPr>
      </w:pPr>
      <w:r>
        <w:rPr>
          <w:rFonts w:ascii="Arial" w:cs="Arial" w:eastAsia="Arial" w:hAnsi="Arial"/>
          <w:sz w:val="8"/>
          <w:szCs w:val="8"/>
          <w:color w:val="FFFFFF"/>
        </w:rPr>
        <w:t>Specialty machine building and in-house tooling leading to significant competitive advantages – trade secrets Application specific customer design</w:t>
      </w:r>
    </w:p>
    <w:p>
      <w:pPr>
        <w:spacing w:after="0" w:line="183" w:lineRule="auto"/>
        <w:rPr>
          <w:sz w:val="20"/>
          <w:szCs w:val="20"/>
          <w:color w:val="auto"/>
        </w:rPr>
      </w:pPr>
      <w:r>
        <w:rPr>
          <w:rFonts w:ascii="Arial" w:cs="Arial" w:eastAsia="Arial" w:hAnsi="Arial"/>
          <w:sz w:val="9"/>
          <w:szCs w:val="9"/>
          <w:color w:val="FFFFFF"/>
        </w:rPr>
        <w:t>Repeatable high volume global manufacturing in millions of parts per day</w:t>
      </w:r>
    </w:p>
    <w:p>
      <w:pPr>
        <w:spacing w:after="0"/>
        <w:rPr>
          <w:sz w:val="20"/>
          <w:szCs w:val="20"/>
          <w:color w:val="auto"/>
        </w:rPr>
      </w:pPr>
      <w:r>
        <w:rPr>
          <w:rFonts w:ascii="Arial" w:cs="Arial" w:eastAsia="Arial" w:hAnsi="Arial"/>
          <w:sz w:val="13"/>
          <w:szCs w:val="13"/>
          <w:color w:val="FFFFFF"/>
        </w:rPr>
        <w:t>14Zero defect process design, extendable to additional industry platforms</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Global Footprint</w:t>
      </w:r>
    </w:p>
    <w:p>
      <w:pPr>
        <w:spacing w:after="0" w:line="204" w:lineRule="auto"/>
        <w:rPr>
          <w:sz w:val="20"/>
          <w:szCs w:val="20"/>
          <w:color w:val="auto"/>
        </w:rPr>
      </w:pPr>
      <w:r>
        <w:rPr>
          <w:rFonts w:ascii="Arial" w:cs="Arial" w:eastAsia="Arial" w:hAnsi="Arial"/>
          <w:sz w:val="4"/>
          <w:szCs w:val="4"/>
          <w:color w:val="FFFFFF"/>
        </w:rPr>
        <w:t>Metal Bearing Components</w:t>
      </w:r>
    </w:p>
    <w:p>
      <w:pPr>
        <w:spacing w:after="0" w:line="205" w:lineRule="auto"/>
        <w:rPr>
          <w:sz w:val="20"/>
          <w:szCs w:val="20"/>
          <w:color w:val="auto"/>
        </w:rPr>
      </w:pPr>
      <w:r>
        <w:rPr>
          <w:rFonts w:ascii="Arial" w:cs="Arial" w:eastAsia="Arial" w:hAnsi="Arial"/>
          <w:sz w:val="4"/>
          <w:szCs w:val="4"/>
          <w:color w:val="FFFFFF"/>
        </w:rPr>
        <w:t>Autocam Precision Components</w:t>
      </w:r>
    </w:p>
    <w:p>
      <w:pPr>
        <w:spacing w:after="0" w:line="205" w:lineRule="auto"/>
        <w:rPr>
          <w:sz w:val="20"/>
          <w:szCs w:val="20"/>
          <w:color w:val="auto"/>
        </w:rPr>
      </w:pPr>
      <w:r>
        <w:rPr>
          <w:rFonts w:ascii="Arial" w:cs="Arial" w:eastAsia="Arial" w:hAnsi="Arial"/>
          <w:sz w:val="4"/>
          <w:szCs w:val="4"/>
          <w:color w:val="FFFFFF"/>
        </w:rPr>
        <w:t>Plastic &amp; Rubber Components</w:t>
      </w:r>
    </w:p>
    <w:p>
      <w:pPr>
        <w:spacing w:after="0" w:line="205" w:lineRule="auto"/>
        <w:rPr>
          <w:sz w:val="20"/>
          <w:szCs w:val="20"/>
          <w:color w:val="auto"/>
        </w:rPr>
      </w:pPr>
      <w:r>
        <w:rPr>
          <w:rFonts w:ascii="Arial" w:cs="Arial" w:eastAsia="Arial" w:hAnsi="Arial"/>
          <w:sz w:val="4"/>
          <w:szCs w:val="4"/>
          <w:color w:val="FFFFFF"/>
        </w:rPr>
        <w:t>Corporate Headquarters</w:t>
      </w:r>
    </w:p>
    <w:p>
      <w:pPr>
        <w:spacing w:after="0" w:line="192" w:lineRule="auto"/>
        <w:rPr>
          <w:sz w:val="20"/>
          <w:szCs w:val="20"/>
          <w:color w:val="auto"/>
        </w:rPr>
      </w:pPr>
      <w:r>
        <w:rPr>
          <w:rFonts w:ascii="Arial" w:cs="Arial" w:eastAsia="Arial" w:hAnsi="Arial"/>
          <w:sz w:val="21"/>
          <w:szCs w:val="21"/>
          <w:color w:val="FFFFFF"/>
          <w:vertAlign w:val="subscript"/>
        </w:rPr>
        <w:t>15</w:t>
      </w:r>
      <w:r>
        <w:rPr>
          <w:rFonts w:ascii="Arial" w:cs="Arial" w:eastAsia="Arial" w:hAnsi="Arial"/>
          <w:sz w:val="11"/>
          <w:szCs w:val="11"/>
          <w:color w:val="FFFFFF"/>
        </w:rPr>
        <w:t>25 high precision manufacturing facilities on 4 continents</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FFFFFF"/>
        </w:rPr>
        <w:t>Moving Forward 16</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3"/>
          </w:tcPr>
          <w:p>
            <w:pPr>
              <w:spacing w:after="0"/>
              <w:rPr>
                <w:sz w:val="20"/>
                <w:szCs w:val="20"/>
                <w:color w:val="auto"/>
              </w:rPr>
            </w:pPr>
            <w:r>
              <w:rPr>
                <w:rFonts w:ascii="Arial" w:cs="Arial" w:eastAsia="Arial" w:hAnsi="Arial"/>
                <w:sz w:val="13"/>
                <w:szCs w:val="13"/>
                <w:color w:val="FFFFFF"/>
              </w:rPr>
              <w:t>Road to $1 Billion</w:t>
            </w:r>
          </w:p>
        </w:tc>
        <w:tc>
          <w:tcPr>
            <w:tcW w:w="0" w:type="dxa"/>
            <w:vAlign w:val="bottom"/>
          </w:tcPr>
          <w:p>
            <w:pPr>
              <w:spacing w:after="0"/>
              <w:rPr>
                <w:sz w:val="1"/>
                <w:szCs w:val="1"/>
                <w:color w:val="auto"/>
              </w:rPr>
            </w:pPr>
          </w:p>
        </w:tc>
      </w:tr>
      <w:tr>
        <w:trPr>
          <w:trHeight w:val="39"/>
        </w:trPr>
        <w:tc>
          <w:tcPr>
            <w:tcW w:w="1300" w:type="dxa"/>
            <w:vAlign w:val="bottom"/>
            <w:gridSpan w:val="3"/>
          </w:tcPr>
          <w:p>
            <w:pPr>
              <w:ind w:left="100"/>
              <w:spacing w:after="0" w:line="40" w:lineRule="exact"/>
              <w:rPr>
                <w:sz w:val="20"/>
                <w:szCs w:val="20"/>
                <w:color w:val="auto"/>
              </w:rPr>
            </w:pPr>
            <w:r>
              <w:rPr>
                <w:rFonts w:ascii="Arial" w:cs="Arial" w:eastAsia="Arial" w:hAnsi="Arial"/>
                <w:sz w:val="4"/>
                <w:szCs w:val="4"/>
                <w:color w:val="FFFFFF"/>
              </w:rPr>
              <w:t>Millions</w:t>
            </w:r>
          </w:p>
        </w:tc>
        <w:tc>
          <w:tcPr>
            <w:tcW w:w="0" w:type="dxa"/>
            <w:vAlign w:val="bottom"/>
          </w:tcPr>
          <w:p>
            <w:pPr>
              <w:spacing w:after="0" w:line="20" w:lineRule="exact"/>
              <w:rPr>
                <w:sz w:val="1"/>
                <w:szCs w:val="1"/>
                <w:color w:val="auto"/>
              </w:rPr>
            </w:pPr>
          </w:p>
        </w:tc>
      </w:tr>
      <w:tr>
        <w:trPr>
          <w:trHeight w:val="39"/>
        </w:trPr>
        <w:tc>
          <w:tcPr>
            <w:tcW w:w="1300" w:type="dxa"/>
            <w:vAlign w:val="bottom"/>
            <w:gridSpan w:val="3"/>
          </w:tcPr>
          <w:p>
            <w:pPr>
              <w:ind w:left="80"/>
              <w:spacing w:after="0" w:line="40" w:lineRule="exact"/>
              <w:rPr>
                <w:sz w:val="20"/>
                <w:szCs w:val="20"/>
                <w:color w:val="auto"/>
              </w:rPr>
            </w:pPr>
            <w:r>
              <w:rPr>
                <w:rFonts w:ascii="Arial" w:cs="Arial" w:eastAsia="Arial" w:hAnsi="Arial"/>
                <w:sz w:val="4"/>
                <w:szCs w:val="4"/>
                <w:color w:val="FFFFFF"/>
              </w:rPr>
              <w:t>1,000 $1,000 $1,000</w:t>
            </w:r>
          </w:p>
        </w:tc>
        <w:tc>
          <w:tcPr>
            <w:tcW w:w="0" w:type="dxa"/>
            <w:vAlign w:val="bottom"/>
          </w:tcPr>
          <w:p>
            <w:pPr>
              <w:spacing w:after="0" w:line="20" w:lineRule="exact"/>
              <w:rPr>
                <w:sz w:val="1"/>
                <w:szCs w:val="1"/>
                <w:color w:val="auto"/>
              </w:rPr>
            </w:pPr>
          </w:p>
        </w:tc>
      </w:tr>
      <w:tr>
        <w:trPr>
          <w:trHeight w:val="39"/>
        </w:trPr>
        <w:tc>
          <w:tcPr>
            <w:tcW w:w="140" w:type="dxa"/>
            <w:vAlign w:val="bottom"/>
            <w:vMerge w:val="restart"/>
          </w:tcPr>
          <w:p>
            <w:pPr>
              <w:ind w:left="80"/>
              <w:spacing w:after="0" w:line="79" w:lineRule="exact"/>
              <w:rPr>
                <w:sz w:val="20"/>
                <w:szCs w:val="20"/>
                <w:color w:val="auto"/>
              </w:rPr>
            </w:pPr>
            <w:r>
              <w:rPr>
                <w:rFonts w:ascii="Arial" w:cs="Arial" w:eastAsia="Arial" w:hAnsi="Arial"/>
                <w:sz w:val="9"/>
                <w:szCs w:val="9"/>
                <w:color w:val="FFFFFF"/>
                <w:w w:val="78"/>
              </w:rPr>
              <w:t>9</w:t>
            </w:r>
          </w:p>
        </w:tc>
        <w:tc>
          <w:tcPr>
            <w:tcW w:w="140" w:type="dxa"/>
            <w:vAlign w:val="bottom"/>
          </w:tcPr>
          <w:p>
            <w:pPr>
              <w:jc w:val="right"/>
              <w:spacing w:after="0" w:line="40" w:lineRule="exact"/>
              <w:rPr>
                <w:sz w:val="20"/>
                <w:szCs w:val="20"/>
                <w:color w:val="auto"/>
              </w:rPr>
            </w:pPr>
            <w:r>
              <w:rPr>
                <w:rFonts w:ascii="Arial" w:cs="Arial" w:eastAsia="Arial" w:hAnsi="Arial"/>
                <w:sz w:val="4"/>
                <w:szCs w:val="4"/>
                <w:color w:val="FFFFFF"/>
              </w:rPr>
              <w:t>26</w:t>
            </w:r>
          </w:p>
        </w:tc>
        <w:tc>
          <w:tcPr>
            <w:tcW w:w="1020" w:type="dxa"/>
            <w:vAlign w:val="bottom"/>
          </w:tcPr>
          <w:p>
            <w:pPr>
              <w:ind w:left="20"/>
              <w:spacing w:after="0" w:line="40" w:lineRule="exact"/>
              <w:rPr>
                <w:sz w:val="20"/>
                <w:szCs w:val="20"/>
                <w:color w:val="auto"/>
              </w:rPr>
            </w:pPr>
            <w:r>
              <w:rPr>
                <w:rFonts w:ascii="Arial" w:cs="Arial" w:eastAsia="Arial" w:hAnsi="Arial"/>
                <w:sz w:val="4"/>
                <w:szCs w:val="4"/>
                <w:color w:val="FFFFFF"/>
              </w:rPr>
              <w:t>2014 Full Year Pro</w:t>
            </w:r>
          </w:p>
        </w:tc>
        <w:tc>
          <w:tcPr>
            <w:tcW w:w="0" w:type="dxa"/>
            <w:vAlign w:val="bottom"/>
          </w:tcPr>
          <w:p>
            <w:pPr>
              <w:spacing w:after="0" w:line="20" w:lineRule="exact"/>
              <w:rPr>
                <w:sz w:val="1"/>
                <w:szCs w:val="1"/>
                <w:color w:val="auto"/>
              </w:rPr>
            </w:pPr>
          </w:p>
        </w:tc>
      </w:tr>
      <w:tr>
        <w:trPr>
          <w:trHeight w:val="39"/>
        </w:trPr>
        <w:tc>
          <w:tcPr>
            <w:tcW w:w="1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ind w:left="20"/>
              <w:spacing w:after="0" w:line="40" w:lineRule="exact"/>
              <w:rPr>
                <w:sz w:val="20"/>
                <w:szCs w:val="20"/>
                <w:color w:val="auto"/>
              </w:rPr>
            </w:pPr>
            <w:r>
              <w:rPr>
                <w:rFonts w:ascii="Arial" w:cs="Arial" w:eastAsia="Arial" w:hAnsi="Arial"/>
                <w:sz w:val="4"/>
                <w:szCs w:val="4"/>
                <w:color w:val="FFFFFF"/>
              </w:rPr>
              <w:t>Forma Revenue</w:t>
            </w: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800</w:t>
            </w: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$772</w:t>
            </w: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300" w:type="dxa"/>
            <w:vAlign w:val="bottom"/>
            <w:gridSpan w:val="3"/>
          </w:tcPr>
          <w:p>
            <w:pPr>
              <w:spacing w:after="0" w:line="40" w:lineRule="exact"/>
              <w:rPr>
                <w:sz w:val="20"/>
                <w:szCs w:val="20"/>
                <w:color w:val="auto"/>
              </w:rPr>
            </w:pPr>
            <w:r>
              <w:rPr>
                <w:rFonts w:ascii="Arial" w:cs="Arial" w:eastAsia="Arial" w:hAnsi="Arial"/>
                <w:sz w:val="4"/>
                <w:szCs w:val="4"/>
                <w:color w:val="FFFFFF"/>
              </w:rPr>
              <w:t>Organic Growth</w:t>
            </w:r>
          </w:p>
        </w:tc>
        <w:tc>
          <w:tcPr>
            <w:tcW w:w="0" w:type="dxa"/>
            <w:vAlign w:val="bottom"/>
          </w:tcPr>
          <w:p>
            <w:pPr>
              <w:spacing w:after="0" w:line="20" w:lineRule="exact"/>
              <w:rPr>
                <w:sz w:val="1"/>
                <w:szCs w:val="1"/>
                <w:color w:val="auto"/>
              </w:rPr>
            </w:pPr>
          </w:p>
        </w:tc>
      </w:tr>
      <w:tr>
        <w:trPr>
          <w:trHeight w:val="39"/>
        </w:trPr>
        <w:tc>
          <w:tcPr>
            <w:tcW w:w="140" w:type="dxa"/>
            <w:vAlign w:val="bottom"/>
          </w:tcPr>
          <w:p>
            <w:pPr>
              <w:ind w:left="80"/>
              <w:spacing w:after="0" w:line="40" w:lineRule="exact"/>
              <w:rPr>
                <w:sz w:val="20"/>
                <w:szCs w:val="20"/>
                <w:color w:val="auto"/>
              </w:rPr>
            </w:pPr>
            <w:r>
              <w:rPr>
                <w:rFonts w:ascii="Arial" w:cs="Arial" w:eastAsia="Arial" w:hAnsi="Arial"/>
                <w:sz w:val="4"/>
                <w:szCs w:val="4"/>
                <w:color w:val="FFFFFF"/>
              </w:rPr>
              <w:t>7</w:t>
            </w:r>
          </w:p>
        </w:tc>
        <w:tc>
          <w:tcPr>
            <w:tcW w:w="140" w:type="dxa"/>
            <w:vAlign w:val="bottom"/>
          </w:tcPr>
          <w:p>
            <w:pPr>
              <w:spacing w:after="0"/>
              <w:rPr>
                <w:sz w:val="3"/>
                <w:szCs w:val="3"/>
                <w:color w:val="auto"/>
              </w:rPr>
            </w:pPr>
          </w:p>
        </w:tc>
        <w:tc>
          <w:tcPr>
            <w:tcW w:w="1020" w:type="dxa"/>
            <w:vAlign w:val="bottom"/>
          </w:tcPr>
          <w:p>
            <w:pPr>
              <w:ind w:left="20"/>
              <w:spacing w:after="0" w:line="40" w:lineRule="exact"/>
              <w:rPr>
                <w:sz w:val="20"/>
                <w:szCs w:val="20"/>
                <w:color w:val="auto"/>
              </w:rPr>
            </w:pPr>
            <w:r>
              <w:rPr>
                <w:rFonts w:ascii="Arial" w:cs="Arial" w:eastAsia="Arial" w:hAnsi="Arial"/>
                <w:sz w:val="4"/>
                <w:szCs w:val="4"/>
                <w:color w:val="FFFFFF"/>
              </w:rPr>
              <w:t>$680 3% per Year</w:t>
            </w: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$600</w:t>
            </w: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300" w:type="dxa"/>
            <w:vAlign w:val="bottom"/>
            <w:gridSpan w:val="3"/>
          </w:tcPr>
          <w:p>
            <w:pPr>
              <w:spacing w:after="0" w:line="40" w:lineRule="exact"/>
              <w:rPr>
                <w:sz w:val="20"/>
                <w:szCs w:val="20"/>
                <w:color w:val="auto"/>
              </w:rPr>
            </w:pPr>
            <w:r>
              <w:rPr>
                <w:rFonts w:ascii="Arial" w:cs="Arial" w:eastAsia="Arial" w:hAnsi="Arial"/>
                <w:sz w:val="4"/>
                <w:szCs w:val="4"/>
                <w:color w:val="FFFFFF"/>
              </w:rPr>
              <w:t>Adjacent Markets</w:t>
            </w:r>
          </w:p>
        </w:tc>
        <w:tc>
          <w:tcPr>
            <w:tcW w:w="0" w:type="dxa"/>
            <w:vAlign w:val="bottom"/>
          </w:tcPr>
          <w:p>
            <w:pPr>
              <w:spacing w:after="0" w:line="20" w:lineRule="exact"/>
              <w:rPr>
                <w:sz w:val="1"/>
                <w:szCs w:val="1"/>
                <w:color w:val="auto"/>
              </w:rPr>
            </w:pPr>
          </w:p>
        </w:tc>
      </w:tr>
      <w:tr>
        <w:trPr>
          <w:trHeight w:val="39"/>
        </w:trPr>
        <w:tc>
          <w:tcPr>
            <w:tcW w:w="140" w:type="dxa"/>
            <w:vAlign w:val="bottom"/>
          </w:tcPr>
          <w:p>
            <w:pPr>
              <w:ind w:left="80"/>
              <w:spacing w:after="0" w:line="40" w:lineRule="exact"/>
              <w:rPr>
                <w:sz w:val="20"/>
                <w:szCs w:val="20"/>
                <w:color w:val="auto"/>
              </w:rPr>
            </w:pPr>
            <w:r>
              <w:rPr>
                <w:rFonts w:ascii="Arial" w:cs="Arial" w:eastAsia="Arial" w:hAnsi="Arial"/>
                <w:sz w:val="4"/>
                <w:szCs w:val="4"/>
                <w:color w:val="FFFFFF"/>
              </w:rPr>
              <w:t>5</w:t>
            </w:r>
          </w:p>
        </w:tc>
        <w:tc>
          <w:tcPr>
            <w:tcW w:w="140" w:type="dxa"/>
            <w:vAlign w:val="bottom"/>
          </w:tcPr>
          <w:p>
            <w:pPr>
              <w:spacing w:after="0"/>
              <w:rPr>
                <w:sz w:val="3"/>
                <w:szCs w:val="3"/>
                <w:color w:val="auto"/>
              </w:rPr>
            </w:pPr>
          </w:p>
        </w:tc>
        <w:tc>
          <w:tcPr>
            <w:tcW w:w="1020" w:type="dxa"/>
            <w:vAlign w:val="bottom"/>
          </w:tcPr>
          <w:p>
            <w:pPr>
              <w:ind w:left="20"/>
              <w:spacing w:after="0" w:line="40" w:lineRule="exact"/>
              <w:rPr>
                <w:sz w:val="20"/>
                <w:szCs w:val="20"/>
                <w:color w:val="auto"/>
              </w:rPr>
            </w:pPr>
            <w:r>
              <w:rPr>
                <w:rFonts w:ascii="Arial" w:cs="Arial" w:eastAsia="Arial" w:hAnsi="Arial"/>
                <w:sz w:val="4"/>
                <w:szCs w:val="4"/>
                <w:color w:val="FFFFFF"/>
              </w:rPr>
              <w:t>5% per Year</w:t>
            </w: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400</w:t>
            </w: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$373</w:t>
            </w: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300" w:type="dxa"/>
            <w:vAlign w:val="bottom"/>
            <w:gridSpan w:val="3"/>
          </w:tcPr>
          <w:p>
            <w:pPr>
              <w:spacing w:after="0" w:line="40" w:lineRule="exact"/>
              <w:rPr>
                <w:sz w:val="20"/>
                <w:szCs w:val="20"/>
                <w:color w:val="auto"/>
              </w:rPr>
            </w:pPr>
            <w:r>
              <w:rPr>
                <w:rFonts w:ascii="Arial" w:cs="Arial" w:eastAsia="Arial" w:hAnsi="Arial"/>
                <w:sz w:val="4"/>
                <w:szCs w:val="4"/>
                <w:color w:val="FFFFFF"/>
              </w:rPr>
              <w:t>Acquisitions</w:t>
            </w:r>
          </w:p>
        </w:tc>
        <w:tc>
          <w:tcPr>
            <w:tcW w:w="0" w:type="dxa"/>
            <w:vAlign w:val="bottom"/>
          </w:tcPr>
          <w:p>
            <w:pPr>
              <w:spacing w:after="0" w:line="20" w:lineRule="exact"/>
              <w:rPr>
                <w:sz w:val="1"/>
                <w:szCs w:val="1"/>
                <w:color w:val="auto"/>
              </w:rPr>
            </w:pPr>
          </w:p>
        </w:tc>
      </w:tr>
      <w:tr>
        <w:trPr>
          <w:trHeight w:val="39"/>
        </w:trPr>
        <w:tc>
          <w:tcPr>
            <w:tcW w:w="140" w:type="dxa"/>
            <w:vAlign w:val="bottom"/>
          </w:tcPr>
          <w:p>
            <w:pPr>
              <w:ind w:left="80"/>
              <w:spacing w:after="0" w:line="40" w:lineRule="exact"/>
              <w:rPr>
                <w:sz w:val="20"/>
                <w:szCs w:val="20"/>
                <w:color w:val="auto"/>
              </w:rPr>
            </w:pPr>
            <w:r>
              <w:rPr>
                <w:rFonts w:ascii="Arial" w:cs="Arial" w:eastAsia="Arial" w:hAnsi="Arial"/>
                <w:sz w:val="4"/>
                <w:szCs w:val="4"/>
                <w:color w:val="FFFFFF"/>
              </w:rPr>
              <w:t>3</w:t>
            </w:r>
          </w:p>
        </w:tc>
        <w:tc>
          <w:tcPr>
            <w:tcW w:w="140" w:type="dxa"/>
            <w:vAlign w:val="bottom"/>
          </w:tcPr>
          <w:p>
            <w:pPr>
              <w:spacing w:after="0"/>
              <w:rPr>
                <w:sz w:val="3"/>
                <w:szCs w:val="3"/>
                <w:color w:val="auto"/>
              </w:rPr>
            </w:pPr>
          </w:p>
        </w:tc>
        <w:tc>
          <w:tcPr>
            <w:tcW w:w="1020" w:type="dxa"/>
            <w:vAlign w:val="bottom"/>
            <w:vMerge w:val="restart"/>
          </w:tcPr>
          <w:p>
            <w:pPr>
              <w:ind w:left="20"/>
              <w:spacing w:after="0" w:line="41" w:lineRule="exact"/>
              <w:rPr>
                <w:sz w:val="20"/>
                <w:szCs w:val="20"/>
                <w:color w:val="auto"/>
              </w:rPr>
            </w:pPr>
            <w:r>
              <w:rPr>
                <w:rFonts w:ascii="Arial" w:cs="Arial" w:eastAsia="Arial" w:hAnsi="Arial"/>
                <w:sz w:val="4"/>
                <w:szCs w:val="4"/>
                <w:color w:val="FFFFFF"/>
              </w:rPr>
              <w:t>2013 Base 2018</w:t>
            </w:r>
          </w:p>
        </w:tc>
        <w:tc>
          <w:tcPr>
            <w:tcW w:w="0" w:type="dxa"/>
            <w:vAlign w:val="bottom"/>
          </w:tcPr>
          <w:p>
            <w:pPr>
              <w:spacing w:after="0" w:line="20" w:lineRule="exact"/>
              <w:rPr>
                <w:sz w:val="1"/>
                <w:szCs w:val="1"/>
                <w:color w:val="auto"/>
              </w:rPr>
            </w:pPr>
          </w:p>
        </w:tc>
      </w:tr>
      <w:tr>
        <w:trPr>
          <w:trHeight w:val="1"/>
        </w:trPr>
        <w:tc>
          <w:tcPr>
            <w:tcW w:w="280" w:type="dxa"/>
            <w:vAlign w:val="bottom"/>
            <w:gridSpan w:val="2"/>
          </w:tcPr>
          <w:p>
            <w:pPr>
              <w:jc w:val="right"/>
              <w:spacing w:after="0" w:line="2" w:lineRule="exact"/>
              <w:rPr>
                <w:sz w:val="20"/>
                <w:szCs w:val="20"/>
                <w:color w:val="auto"/>
              </w:rPr>
            </w:pPr>
            <w:r>
              <w:rPr>
                <w:rFonts w:ascii="Arial" w:cs="Arial" w:eastAsia="Arial" w:hAnsi="Arial"/>
                <w:sz w:val="1"/>
                <w:szCs w:val="1"/>
                <w:color w:val="FFFFFF"/>
              </w:rPr>
              <w:t>$200</w:t>
            </w: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auto"/>
        <w:rPr>
          <w:sz w:val="20"/>
          <w:szCs w:val="20"/>
          <w:color w:val="auto"/>
        </w:rPr>
      </w:pPr>
      <w:r>
        <w:rPr>
          <w:rFonts w:ascii="Arial" w:cs="Arial" w:eastAsia="Arial" w:hAnsi="Arial"/>
          <w:sz w:val="4"/>
          <w:szCs w:val="4"/>
          <w:color w:val="FFFFFF"/>
        </w:rPr>
        <w:t>FocusOutpaceandtheInvestmentMarketwith Expanded</w:t>
      </w:r>
    </w:p>
    <w:p>
      <w:pPr>
        <w:spacing w:after="0" w:line="205" w:lineRule="auto"/>
        <w:rPr>
          <w:sz w:val="20"/>
          <w:szCs w:val="20"/>
          <w:color w:val="auto"/>
        </w:rPr>
      </w:pPr>
      <w:r>
        <w:rPr>
          <w:rFonts w:ascii="Arial" w:cs="Arial" w:eastAsia="Arial" w:hAnsi="Arial"/>
          <w:sz w:val="4"/>
          <w:szCs w:val="4"/>
          <w:color w:val="FFFFFF"/>
        </w:rPr>
        <w:t>$1+ billion in revenue</w:t>
      </w:r>
    </w:p>
    <w:p>
      <w:pPr>
        <w:spacing w:after="0" w:line="182"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75</w:t>
      </w:r>
      <w:r>
        <w:rPr>
          <w:rFonts w:ascii="Arial" w:cs="Arial" w:eastAsia="Arial" w:hAnsi="Arial"/>
          <w:sz w:val="9"/>
          <w:szCs w:val="9"/>
          <w:color w:val="FFFFFF"/>
          <w:vertAlign w:val="superscript"/>
        </w:rPr>
        <w:t>245</w:t>
      </w:r>
      <w:r>
        <w:rPr>
          <w:rFonts w:ascii="Arial" w:cs="Arial" w:eastAsia="Arial" w:hAnsi="Arial"/>
          <w:sz w:val="7"/>
          <w:szCs w:val="7"/>
          <w:color w:val="FFFFFF"/>
        </w:rPr>
        <w:t>million planned acquisitions</w:t>
      </w:r>
    </w:p>
    <w:p>
      <w:pPr>
        <w:spacing w:after="0" w:line="182" w:lineRule="auto"/>
        <w:rPr>
          <w:sz w:val="20"/>
          <w:szCs w:val="20"/>
          <w:color w:val="auto"/>
        </w:rPr>
      </w:pPr>
      <w:r>
        <w:rPr>
          <w:rFonts w:ascii="Arial" w:cs="Arial" w:eastAsia="Arial" w:hAnsi="Arial"/>
          <w:sz w:val="9"/>
          <w:szCs w:val="9"/>
          <w:color w:val="FFFFFF"/>
        </w:rPr>
        <w:t>EnhancedmillionR&amp;Dfromand organicmarket presenceandadjacent market growth based</w:t>
      </w:r>
    </w:p>
    <w:p>
      <w:pPr>
        <w:spacing w:after="0"/>
        <w:rPr>
          <w:sz w:val="20"/>
          <w:szCs w:val="20"/>
          <w:color w:val="auto"/>
        </w:rPr>
      </w:pPr>
      <w:r>
        <w:rPr>
          <w:rFonts w:ascii="Arial" w:cs="Arial" w:eastAsia="Arial" w:hAnsi="Arial"/>
          <w:sz w:val="11"/>
          <w:szCs w:val="11"/>
          <w:color w:val="FFFFFF"/>
        </w:rPr>
        <w:t>17NN will be growing revenue 270% and EPS 400% over the Strategic Plan years</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FFFFFF"/>
        </w:rPr>
        <w:t>Expanding Operating Margins</w:t>
      </w:r>
    </w:p>
    <w:p>
      <w:pPr>
        <w:ind w:left="80"/>
        <w:spacing w:after="0" w:line="204" w:lineRule="auto"/>
        <w:rPr>
          <w:sz w:val="20"/>
          <w:szCs w:val="20"/>
          <w:color w:val="auto"/>
        </w:rPr>
      </w:pPr>
      <w:r>
        <w:rPr>
          <w:rFonts w:ascii="Arial" w:cs="Arial" w:eastAsia="Arial" w:hAnsi="Arial"/>
          <w:sz w:val="4"/>
          <w:szCs w:val="4"/>
          <w:color w:val="FFFFFF"/>
          <w:vertAlign w:val="superscript"/>
        </w:rPr>
        <w:t>8  7%</w:t>
      </w:r>
    </w:p>
    <w:p>
      <w:pPr>
        <w:ind w:left="80"/>
        <w:spacing w:after="0" w:line="182" w:lineRule="auto"/>
        <w:rPr>
          <w:sz w:val="20"/>
          <w:szCs w:val="20"/>
          <w:color w:val="auto"/>
        </w:rPr>
      </w:pPr>
      <w:r>
        <w:rPr>
          <w:rFonts w:ascii="Arial" w:cs="Arial" w:eastAsia="Arial" w:hAnsi="Arial"/>
          <w:sz w:val="9"/>
          <w:szCs w:val="9"/>
          <w:color w:val="FFFFFF"/>
          <w:vertAlign w:val="subscript"/>
        </w:rPr>
        <w:t>3%</w:t>
      </w:r>
      <w:r>
        <w:rPr>
          <w:rFonts w:ascii="Arial" w:cs="Arial" w:eastAsia="Arial" w:hAnsi="Arial"/>
          <w:sz w:val="7"/>
          <w:szCs w:val="7"/>
          <w:color w:val="FFFFFF"/>
        </w:rPr>
        <w:t>6414%6% 14%</w:t>
      </w:r>
    </w:p>
    <w:p>
      <w:pPr>
        <w:spacing w:after="0" w:line="182" w:lineRule="auto"/>
        <w:rPr>
          <w:sz w:val="20"/>
          <w:szCs w:val="20"/>
          <w:color w:val="auto"/>
        </w:rPr>
      </w:pPr>
      <w:r>
        <w:rPr>
          <w:rFonts w:ascii="Arial" w:cs="Arial" w:eastAsia="Arial" w:hAnsi="Arial"/>
          <w:sz w:val="7"/>
          <w:szCs w:val="7"/>
          <w:color w:val="FFFFFF"/>
        </w:rPr>
        <w:t>102 10%</w:t>
      </w:r>
      <w:r>
        <w:rPr>
          <w:rFonts w:ascii="Arial" w:cs="Arial" w:eastAsia="Arial" w:hAnsi="Arial"/>
          <w:sz w:val="9"/>
          <w:szCs w:val="9"/>
          <w:color w:val="FFFFFF"/>
          <w:vertAlign w:val="superscript"/>
        </w:rPr>
        <w:t>2%</w:t>
      </w:r>
      <w:r>
        <w:rPr>
          <w:rFonts w:ascii="Arial" w:cs="Arial" w:eastAsia="Arial" w:hAnsi="Arial"/>
          <w:sz w:val="7"/>
          <w:szCs w:val="7"/>
          <w:color w:val="FFFFFF"/>
        </w:rPr>
        <w:t xml:space="preserve"> 10%</w:t>
      </w:r>
      <w:r>
        <w:rPr>
          <w:rFonts w:ascii="Arial" w:cs="Arial" w:eastAsia="Arial" w:hAnsi="Arial"/>
          <w:sz w:val="9"/>
          <w:szCs w:val="9"/>
          <w:color w:val="FFFFFF"/>
          <w:vertAlign w:val="superscript"/>
        </w:rPr>
        <w:t>2%</w:t>
      </w:r>
    </w:p>
    <w:p>
      <w:pPr>
        <w:spacing w:after="0" w:line="183" w:lineRule="auto"/>
        <w:rPr>
          <w:sz w:val="20"/>
          <w:szCs w:val="20"/>
          <w:color w:val="auto"/>
        </w:rPr>
      </w:pPr>
      <w:r>
        <w:rPr>
          <w:rFonts w:ascii="Arial" w:cs="Arial" w:eastAsia="Arial" w:hAnsi="Arial"/>
          <w:sz w:val="9"/>
          <w:szCs w:val="9"/>
          <w:color w:val="FFFFFF"/>
        </w:rPr>
        <w:t>8 8%</w:t>
      </w:r>
    </w:p>
    <w:p>
      <w:pPr>
        <w:spacing w:after="0" w:line="205" w:lineRule="auto"/>
        <w:rPr>
          <w:sz w:val="20"/>
          <w:szCs w:val="20"/>
          <w:color w:val="auto"/>
        </w:rPr>
      </w:pPr>
      <w:r>
        <w:rPr>
          <w:rFonts w:ascii="Arial" w:cs="Arial" w:eastAsia="Arial" w:hAnsi="Arial"/>
          <w:sz w:val="4"/>
          <w:szCs w:val="4"/>
          <w:color w:val="FFFFFF"/>
        </w:rPr>
        <w:t>46</w:t>
      </w:r>
    </w:p>
    <w:p>
      <w:pPr>
        <w:spacing w:after="0" w:line="205" w:lineRule="auto"/>
        <w:rPr>
          <w:sz w:val="20"/>
          <w:szCs w:val="20"/>
          <w:color w:val="auto"/>
        </w:rPr>
      </w:pPr>
      <w:r>
        <w:rPr>
          <w:rFonts w:ascii="Arial" w:cs="Arial" w:eastAsia="Arial" w:hAnsi="Arial"/>
          <w:sz w:val="4"/>
          <w:szCs w:val="4"/>
          <w:color w:val="FFFFFF"/>
        </w:rPr>
        <w:t>3% 3%</w:t>
      </w:r>
    </w:p>
    <w:p>
      <w:pPr>
        <w:spacing w:after="0" w:line="205" w:lineRule="auto"/>
        <w:rPr>
          <w:sz w:val="20"/>
          <w:szCs w:val="20"/>
          <w:color w:val="auto"/>
        </w:rPr>
      </w:pPr>
      <w:r>
        <w:rPr>
          <w:rFonts w:ascii="Arial" w:cs="Arial" w:eastAsia="Arial" w:hAnsi="Arial"/>
          <w:sz w:val="4"/>
          <w:szCs w:val="4"/>
          <w:color w:val="FFFFFF"/>
        </w:rPr>
        <w:t>2</w:t>
      </w:r>
    </w:p>
    <w:p>
      <w:pPr>
        <w:spacing w:after="0" w:line="205" w:lineRule="auto"/>
        <w:rPr>
          <w:sz w:val="20"/>
          <w:szCs w:val="20"/>
          <w:color w:val="auto"/>
        </w:rPr>
      </w:pPr>
      <w:r>
        <w:rPr>
          <w:rFonts w:ascii="Arial" w:cs="Arial" w:eastAsia="Arial" w:hAnsi="Arial"/>
          <w:sz w:val="4"/>
          <w:szCs w:val="4"/>
          <w:color w:val="FFFFFF"/>
        </w:rPr>
        <w:t>0</w:t>
      </w:r>
    </w:p>
    <w:p>
      <w:pPr>
        <w:spacing w:after="0" w:line="182" w:lineRule="auto"/>
        <w:rPr>
          <w:sz w:val="20"/>
          <w:szCs w:val="20"/>
          <w:color w:val="auto"/>
        </w:rPr>
      </w:pPr>
      <w:r>
        <w:rPr>
          <w:rFonts w:ascii="Arial" w:cs="Arial" w:eastAsia="Arial" w:hAnsi="Arial"/>
          <w:sz w:val="9"/>
          <w:szCs w:val="9"/>
          <w:color w:val="FFFFFF"/>
        </w:rPr>
        <w:t>APC MBC PRC</w:t>
      </w:r>
    </w:p>
    <w:p>
      <w:pPr>
        <w:spacing w:after="0" w:line="205" w:lineRule="auto"/>
        <w:rPr>
          <w:sz w:val="20"/>
          <w:szCs w:val="20"/>
          <w:color w:val="auto"/>
        </w:rPr>
      </w:pPr>
      <w:r>
        <w:rPr>
          <w:rFonts w:ascii="Arial" w:cs="Arial" w:eastAsia="Arial" w:hAnsi="Arial"/>
          <w:sz w:val="4"/>
          <w:szCs w:val="4"/>
          <w:color w:val="FFFFFF"/>
        </w:rPr>
        <w:t>182014 Adj. Operating Margin 2015 Forecasted Adj. Operating Margin 2018 Strategic Plan</w:t>
      </w:r>
    </w:p>
    <w:p>
      <w:pPr>
        <w:spacing w:after="0"/>
        <w:rPr>
          <w:sz w:val="20"/>
          <w:szCs w:val="20"/>
          <w:color w:val="auto"/>
        </w:rPr>
      </w:pPr>
      <w:r>
        <w:rPr>
          <w:rFonts w:ascii="Arial" w:cs="Arial" w:eastAsia="Arial" w:hAnsi="Arial"/>
          <w:sz w:val="13"/>
          <w:szCs w:val="13"/>
          <w:color w:val="FFFFFF"/>
        </w:rPr>
        <w:t>All percentages rounded to the nearest whole number</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FFFFFF"/>
        </w:rPr>
        <w:t>2014Today2018&amp;Future Vision – End Markets</w:t>
      </w:r>
    </w:p>
    <w:p>
      <w:pPr>
        <w:spacing w:after="0" w:line="204" w:lineRule="auto"/>
        <w:rPr>
          <w:sz w:val="20"/>
          <w:szCs w:val="20"/>
          <w:color w:val="auto"/>
        </w:rPr>
      </w:pPr>
      <w:r>
        <w:rPr>
          <w:rFonts w:ascii="Arial" w:cs="Arial" w:eastAsia="Arial" w:hAnsi="Arial"/>
          <w:sz w:val="4"/>
          <w:szCs w:val="4"/>
          <w:color w:val="FFFFFF"/>
        </w:rPr>
        <w:t>Revenue = $680M* Revenue = $1B</w:t>
      </w:r>
    </w:p>
    <w:p>
      <w:pPr>
        <w:spacing w:after="0" w:line="182" w:lineRule="auto"/>
        <w:rPr>
          <w:sz w:val="20"/>
          <w:szCs w:val="20"/>
          <w:color w:val="auto"/>
        </w:rPr>
      </w:pPr>
      <w:r>
        <w:rPr>
          <w:rFonts w:ascii="Arial" w:cs="Arial" w:eastAsia="Arial" w:hAnsi="Arial"/>
          <w:sz w:val="9"/>
          <w:szCs w:val="9"/>
          <w:color w:val="FFFFFF"/>
        </w:rPr>
        <w:t>Light Auto – CAFE Related</w:t>
      </w:r>
    </w:p>
    <w:p>
      <w:pPr>
        <w:spacing w:after="0" w:line="206" w:lineRule="auto"/>
        <w:rPr>
          <w:sz w:val="20"/>
          <w:szCs w:val="20"/>
          <w:color w:val="auto"/>
        </w:rPr>
      </w:pPr>
      <w:r>
        <w:rPr>
          <w:rFonts w:ascii="Arial" w:cs="Arial" w:eastAsia="Arial" w:hAnsi="Arial"/>
          <w:sz w:val="4"/>
          <w:szCs w:val="4"/>
          <w:color w:val="FFFFFF"/>
        </w:rPr>
        <w:t>Technologies 5% 0% 0%</w:t>
      </w:r>
    </w:p>
    <w:p>
      <w:pPr>
        <w:spacing w:after="0" w:line="189" w:lineRule="auto"/>
        <w:rPr>
          <w:sz w:val="20"/>
          <w:szCs w:val="20"/>
          <w:color w:val="auto"/>
        </w:rPr>
      </w:pPr>
      <w:r>
        <w:rPr>
          <w:rFonts w:ascii="Arial" w:cs="Arial" w:eastAsia="Arial" w:hAnsi="Arial"/>
          <w:sz w:val="13"/>
          <w:szCs w:val="13"/>
          <w:color w:val="FFFFFF"/>
        </w:rPr>
        <w:t>8%Industrial/Aerospace/Medical10%</w:t>
      </w:r>
    </w:p>
    <w:p>
      <w:pPr>
        <w:spacing w:after="0" w:line="182" w:lineRule="auto"/>
        <w:rPr>
          <w:sz w:val="20"/>
          <w:szCs w:val="20"/>
          <w:color w:val="auto"/>
        </w:rPr>
      </w:pPr>
      <w:r>
        <w:rPr>
          <w:rFonts w:ascii="Arial" w:cs="Arial" w:eastAsia="Arial" w:hAnsi="Arial"/>
          <w:sz w:val="9"/>
          <w:szCs w:val="9"/>
          <w:color w:val="FFFFFF"/>
        </w:rPr>
        <w:t>17%8%</w:t>
      </w:r>
    </w:p>
    <w:p>
      <w:pPr>
        <w:spacing w:after="0" w:line="182" w:lineRule="auto"/>
        <w:rPr>
          <w:sz w:val="20"/>
          <w:szCs w:val="20"/>
          <w:color w:val="auto"/>
        </w:rPr>
      </w:pPr>
      <w:r>
        <w:rPr>
          <w:rFonts w:ascii="Arial" w:cs="Arial" w:eastAsia="Arial" w:hAnsi="Arial"/>
          <w:sz w:val="7"/>
          <w:szCs w:val="7"/>
          <w:color w:val="FFFFFF"/>
        </w:rPr>
        <w:t>General/PlasticsCommercialTransportation</w:t>
      </w:r>
      <w:r>
        <w:rPr>
          <w:rFonts w:ascii="Arial" w:cs="Arial" w:eastAsia="Arial" w:hAnsi="Arial"/>
          <w:sz w:val="9"/>
          <w:szCs w:val="9"/>
          <w:color w:val="FFFFFF"/>
          <w:vertAlign w:val="superscript"/>
        </w:rPr>
        <w:t>32%</w:t>
      </w:r>
      <w:r>
        <w:rPr>
          <w:rFonts w:ascii="Arial" w:cs="Arial" w:eastAsia="Arial" w:hAnsi="Arial"/>
          <w:sz w:val="7"/>
          <w:szCs w:val="7"/>
          <w:color w:val="FFFFFF"/>
        </w:rPr>
        <w:t xml:space="preserve"> 70% 50%</w:t>
      </w:r>
    </w:p>
    <w:p>
      <w:pPr>
        <w:spacing w:after="0"/>
        <w:rPr>
          <w:sz w:val="20"/>
          <w:szCs w:val="20"/>
          <w:color w:val="auto"/>
        </w:rPr>
      </w:pPr>
      <w:r>
        <w:rPr>
          <w:rFonts w:ascii="Arial" w:cs="Arial" w:eastAsia="Arial" w:hAnsi="Arial"/>
          <w:sz w:val="7"/>
          <w:szCs w:val="7"/>
          <w:color w:val="FFFFFF"/>
        </w:rPr>
        <w:t>*ProformaBuilding balancedfullyear consolidatedbusinessthat revenueearnsthroughout the cycle 19</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FFFFFF"/>
        </w:rPr>
        <w:t>2014Today2018&amp;Future Vision – Segment Mix</w:t>
      </w:r>
    </w:p>
    <w:p>
      <w:pPr>
        <w:spacing w:after="0" w:line="182" w:lineRule="auto"/>
        <w:rPr>
          <w:sz w:val="20"/>
          <w:szCs w:val="20"/>
          <w:color w:val="auto"/>
        </w:rPr>
      </w:pPr>
      <w:r>
        <w:rPr>
          <w:rFonts w:ascii="Arial" w:cs="Arial" w:eastAsia="Arial" w:hAnsi="Arial"/>
          <w:sz w:val="9"/>
          <w:szCs w:val="9"/>
          <w:color w:val="FFFFFF"/>
        </w:rPr>
        <w:t>Revenue = $680M* Revenue = $1B</w:t>
      </w:r>
    </w:p>
    <w:p>
      <w:pPr>
        <w:spacing w:after="0" w:line="182" w:lineRule="auto"/>
        <w:rPr>
          <w:sz w:val="20"/>
          <w:szCs w:val="20"/>
          <w:color w:val="auto"/>
        </w:rPr>
      </w:pPr>
      <w:r>
        <w:rPr>
          <w:rFonts w:ascii="Arial" w:cs="Arial" w:eastAsia="Arial" w:hAnsi="Arial"/>
          <w:sz w:val="9"/>
          <w:szCs w:val="9"/>
          <w:color w:val="FFFFFF"/>
        </w:rPr>
        <w:t>43%51</w:t>
      </w:r>
    </w:p>
    <w:p>
      <w:pPr>
        <w:spacing w:after="0" w:line="205" w:lineRule="auto"/>
        <w:rPr>
          <w:sz w:val="20"/>
          <w:szCs w:val="20"/>
          <w:color w:val="auto"/>
        </w:rPr>
      </w:pPr>
      <w:r>
        <w:rPr>
          <w:rFonts w:ascii="Arial" w:cs="Arial" w:eastAsia="Arial" w:hAnsi="Arial"/>
          <w:sz w:val="4"/>
          <w:szCs w:val="4"/>
          <w:color w:val="FFFFFF"/>
        </w:rPr>
        <w:t>51% 43% 52% 39%</w:t>
      </w:r>
    </w:p>
    <w:p>
      <w:pPr>
        <w:spacing w:after="0" w:line="205" w:lineRule="auto"/>
        <w:rPr>
          <w:sz w:val="20"/>
          <w:szCs w:val="20"/>
          <w:color w:val="auto"/>
        </w:rPr>
      </w:pPr>
      <w:r>
        <w:rPr>
          <w:rFonts w:ascii="Arial" w:cs="Arial" w:eastAsia="Arial" w:hAnsi="Arial"/>
          <w:sz w:val="4"/>
          <w:szCs w:val="4"/>
          <w:color w:val="FFFFFF"/>
        </w:rPr>
        <w:t>43</w:t>
      </w:r>
    </w:p>
    <w:p>
      <w:pPr>
        <w:spacing w:after="0" w:line="189" w:lineRule="auto"/>
        <w:rPr>
          <w:sz w:val="20"/>
          <w:szCs w:val="20"/>
          <w:color w:val="auto"/>
        </w:rPr>
      </w:pPr>
      <w:r>
        <w:rPr>
          <w:rFonts w:ascii="Arial" w:cs="Arial" w:eastAsia="Arial" w:hAnsi="Arial"/>
          <w:sz w:val="13"/>
          <w:szCs w:val="13"/>
          <w:color w:val="FFFFFF"/>
          <w:vertAlign w:val="subscript"/>
        </w:rPr>
        <w:t>6%</w:t>
      </w:r>
      <w:r>
        <w:rPr>
          <w:rFonts w:ascii="Arial" w:cs="Arial" w:eastAsia="Arial" w:hAnsi="Arial"/>
          <w:sz w:val="8"/>
          <w:szCs w:val="8"/>
          <w:color w:val="FFFFFF"/>
        </w:rPr>
        <w:t xml:space="preserve"> 9%</w:t>
      </w:r>
    </w:p>
    <w:p>
      <w:pPr>
        <w:spacing w:after="0" w:line="206" w:lineRule="auto"/>
        <w:rPr>
          <w:sz w:val="20"/>
          <w:szCs w:val="20"/>
          <w:color w:val="auto"/>
        </w:rPr>
      </w:pPr>
      <w:r>
        <w:rPr>
          <w:rFonts w:ascii="Arial" w:cs="Arial" w:eastAsia="Arial" w:hAnsi="Arial"/>
          <w:sz w:val="4"/>
          <w:szCs w:val="4"/>
          <w:color w:val="FFFFFF"/>
        </w:rPr>
        <w:t>31 43% 51 50</w:t>
      </w:r>
    </w:p>
    <w:p>
      <w:pPr>
        <w:spacing w:after="0" w:line="205" w:lineRule="auto"/>
        <w:rPr>
          <w:sz w:val="20"/>
          <w:szCs w:val="20"/>
          <w:color w:val="auto"/>
        </w:rPr>
      </w:pPr>
      <w:r>
        <w:rPr>
          <w:rFonts w:ascii="Arial" w:cs="Arial" w:eastAsia="Arial" w:hAnsi="Arial"/>
          <w:sz w:val="4"/>
          <w:szCs w:val="4"/>
          <w:color w:val="FFFFFF"/>
        </w:rPr>
        <w:t>%%%</w:t>
      </w:r>
    </w:p>
    <w:p>
      <w:pPr>
        <w:spacing w:after="0" w:line="205" w:lineRule="auto"/>
        <w:rPr>
          <w:sz w:val="20"/>
          <w:szCs w:val="20"/>
          <w:color w:val="auto"/>
        </w:rPr>
      </w:pPr>
      <w:r>
        <w:rPr>
          <w:rFonts w:ascii="Arial" w:cs="Arial" w:eastAsia="Arial" w:hAnsi="Arial"/>
          <w:sz w:val="4"/>
          <w:szCs w:val="4"/>
          <w:color w:val="FFFFFF"/>
        </w:rPr>
        <w:t>Autocam Precision60Components Plastic &amp; Rubber Components Metal Bearing Components</w:t>
      </w:r>
    </w:p>
    <w:p>
      <w:pPr>
        <w:spacing w:after="0" w:line="205" w:lineRule="auto"/>
        <w:rPr>
          <w:sz w:val="20"/>
          <w:szCs w:val="20"/>
          <w:color w:val="auto"/>
        </w:rPr>
      </w:pPr>
      <w:r>
        <w:rPr>
          <w:rFonts w:ascii="Arial" w:cs="Arial" w:eastAsia="Arial" w:hAnsi="Arial"/>
          <w:sz w:val="4"/>
          <w:szCs w:val="4"/>
          <w:color w:val="FFFFFF"/>
        </w:rPr>
        <w:t>%</w:t>
      </w:r>
    </w:p>
    <w:p>
      <w:pPr>
        <w:spacing w:after="0" w:line="205" w:lineRule="auto"/>
        <w:rPr>
          <w:sz w:val="20"/>
          <w:szCs w:val="20"/>
          <w:color w:val="auto"/>
        </w:rPr>
      </w:pPr>
      <w:r>
        <w:rPr>
          <w:rFonts w:ascii="Arial" w:cs="Arial" w:eastAsia="Arial" w:hAnsi="Arial"/>
          <w:sz w:val="4"/>
          <w:szCs w:val="4"/>
          <w:color w:val="FFFFFF"/>
        </w:rPr>
        <w:t>25</w:t>
      </w:r>
    </w:p>
    <w:p>
      <w:pPr>
        <w:spacing w:after="0" w:line="182" w:lineRule="auto"/>
        <w:rPr>
          <w:sz w:val="20"/>
          <w:szCs w:val="20"/>
          <w:color w:val="auto"/>
        </w:rPr>
      </w:pPr>
      <w:r>
        <w:rPr>
          <w:rFonts w:ascii="Arial" w:cs="Arial" w:eastAsia="Arial" w:hAnsi="Arial"/>
          <w:sz w:val="9"/>
          <w:szCs w:val="9"/>
          <w:color w:val="FFFFFF"/>
        </w:rPr>
        <w:t>%</w:t>
      </w:r>
    </w:p>
    <w:p>
      <w:pPr>
        <w:spacing w:after="0" w:line="205" w:lineRule="auto"/>
        <w:rPr>
          <w:sz w:val="20"/>
          <w:szCs w:val="20"/>
          <w:color w:val="auto"/>
        </w:rPr>
      </w:pPr>
      <w:r>
        <w:rPr>
          <w:rFonts w:ascii="Arial" w:cs="Arial" w:eastAsia="Arial" w:hAnsi="Arial"/>
          <w:sz w:val="4"/>
          <w:szCs w:val="4"/>
          <w:color w:val="FFFFFF"/>
        </w:rPr>
        <w:t>20Segment mix continues to improve as our revenues continue to grow</w:t>
      </w:r>
    </w:p>
    <w:p>
      <w:pPr>
        <w:spacing w:after="0"/>
        <w:rPr>
          <w:sz w:val="20"/>
          <w:szCs w:val="20"/>
          <w:color w:val="auto"/>
        </w:rPr>
      </w:pPr>
      <w:r>
        <w:rPr>
          <w:rFonts w:ascii="Arial" w:cs="Arial" w:eastAsia="Arial" w:hAnsi="Arial"/>
          <w:sz w:val="13"/>
          <w:szCs w:val="13"/>
          <w:color w:val="FFFFFF"/>
        </w:rPr>
        <w:t>*Proforma full year consolidated revenue</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9"/>
          <w:szCs w:val="9"/>
          <w:color w:val="FFFFFF"/>
        </w:rPr>
        <w:t>31.Strategic9%18.2%Building Blocks 2018</w:t>
      </w:r>
    </w:p>
    <w:p>
      <w:pPr>
        <w:spacing w:after="0" w:line="182" w:lineRule="auto"/>
        <w:rPr>
          <w:sz w:val="20"/>
          <w:szCs w:val="20"/>
          <w:color w:val="auto"/>
        </w:rPr>
      </w:pPr>
      <w:r>
        <w:rPr>
          <w:rFonts w:ascii="Arial" w:cs="Arial" w:eastAsia="Arial" w:hAnsi="Arial"/>
          <w:sz w:val="7"/>
          <w:szCs w:val="7"/>
          <w:color w:val="FFFFFF"/>
        </w:rPr>
        <w:t>37EPS</w:t>
      </w:r>
      <w:r>
        <w:rPr>
          <w:rFonts w:ascii="Arial" w:cs="Arial" w:eastAsia="Arial" w:hAnsi="Arial"/>
          <w:sz w:val="9"/>
          <w:szCs w:val="9"/>
          <w:color w:val="FFFFFF"/>
          <w:vertAlign w:val="subscript"/>
        </w:rPr>
        <w:t>.8%</w:t>
      </w:r>
      <w:r>
        <w:rPr>
          <w:rFonts w:ascii="Arial" w:cs="Arial" w:eastAsia="Arial" w:hAnsi="Arial"/>
          <w:sz w:val="7"/>
          <w:szCs w:val="7"/>
          <w:color w:val="FFFFFF"/>
        </w:rPr>
        <w:t>5%CAGR25.8%ROIC</w:t>
      </w:r>
    </w:p>
    <w:p>
      <w:pPr>
        <w:spacing w:after="0" w:line="234" w:lineRule="auto"/>
        <w:rPr>
          <w:sz w:val="20"/>
          <w:szCs w:val="20"/>
          <w:color w:val="auto"/>
        </w:rPr>
      </w:pPr>
      <w:r>
        <w:rPr>
          <w:rFonts w:ascii="Arial" w:cs="Arial" w:eastAsia="Arial" w:hAnsi="Arial"/>
          <w:sz w:val="7"/>
          <w:szCs w:val="7"/>
          <w:color w:val="FFFFFF"/>
        </w:rPr>
        <w:t>Sales21 CAGROperatingIncomeManufacturingMargin</w:t>
      </w:r>
    </w:p>
    <w:p>
      <w:pPr>
        <w:spacing w:after="0"/>
        <w:rPr>
          <w:sz w:val="20"/>
          <w:szCs w:val="20"/>
          <w:color w:val="auto"/>
        </w:rPr>
      </w:pPr>
      <w:r>
        <w:rPr>
          <w:rFonts w:ascii="Arial" w:cs="Arial" w:eastAsia="Arial" w:hAnsi="Arial"/>
          <w:sz w:val="13"/>
          <w:szCs w:val="13"/>
          <w:color w:val="FFFFFF"/>
        </w:rPr>
        <w:t>21CAGR</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gridSpan w:val="2"/>
          </w:tcPr>
          <w:p>
            <w:pPr>
              <w:spacing w:after="0"/>
              <w:rPr>
                <w:sz w:val="20"/>
                <w:szCs w:val="20"/>
                <w:color w:val="auto"/>
              </w:rPr>
            </w:pPr>
            <w:r>
              <w:rPr>
                <w:rFonts w:ascii="Arial" w:cs="Arial" w:eastAsia="Arial" w:hAnsi="Arial"/>
                <w:sz w:val="13"/>
                <w:szCs w:val="13"/>
                <w:color w:val="FFFFFF"/>
              </w:rPr>
              <w:t>Financial</w:t>
            </w:r>
          </w:p>
        </w:tc>
        <w:tc>
          <w:tcPr>
            <w:tcW w:w="5400" w:type="dxa"/>
            <w:vAlign w:val="bottom"/>
          </w:tcPr>
          <w:p>
            <w:pPr>
              <w:ind w:left="60"/>
              <w:spacing w:after="0"/>
              <w:rPr>
                <w:sz w:val="20"/>
                <w:szCs w:val="20"/>
                <w:color w:val="auto"/>
              </w:rPr>
            </w:pPr>
            <w:r>
              <w:rPr>
                <w:rFonts w:ascii="Arial" w:cs="Arial" w:eastAsia="Arial" w:hAnsi="Arial"/>
                <w:sz w:val="13"/>
                <w:szCs w:val="13"/>
                <w:color w:val="FFFFFF"/>
              </w:rPr>
              <w:t>/ Policy</w:t>
            </w:r>
          </w:p>
        </w:tc>
      </w:tr>
      <w:tr>
        <w:trPr>
          <w:trHeight w:val="39"/>
        </w:trPr>
        <w:tc>
          <w:tcPr>
            <w:tcW w:w="6340" w:type="dxa"/>
            <w:vAlign w:val="bottom"/>
            <w:gridSpan w:val="3"/>
          </w:tcPr>
          <w:p>
            <w:pPr>
              <w:spacing w:after="0" w:line="40" w:lineRule="exact"/>
              <w:rPr>
                <w:sz w:val="20"/>
                <w:szCs w:val="20"/>
                <w:color w:val="auto"/>
              </w:rPr>
            </w:pPr>
            <w:r>
              <w:rPr>
                <w:rFonts w:ascii="Arial" w:cs="Arial" w:eastAsia="Arial" w:hAnsi="Arial"/>
                <w:sz w:val="4"/>
                <w:szCs w:val="4"/>
                <w:color w:val="FFFFFF"/>
              </w:rPr>
              <w:t>Build uponStrategystrong, global operating platform while maintaining financial strength and flexibility</w:t>
            </w:r>
          </w:p>
        </w:tc>
      </w:tr>
      <w:tr>
        <w:trPr>
          <w:trHeight w:val="39"/>
        </w:trPr>
        <w:tc>
          <w:tcPr>
            <w:tcW w:w="940" w:type="dxa"/>
            <w:vAlign w:val="bottom"/>
            <w:gridSpan w:val="2"/>
          </w:tcPr>
          <w:p>
            <w:pPr>
              <w:spacing w:after="0" w:line="40" w:lineRule="exact"/>
              <w:rPr>
                <w:sz w:val="20"/>
                <w:szCs w:val="20"/>
                <w:color w:val="auto"/>
              </w:rPr>
            </w:pPr>
            <w:r>
              <w:rPr>
                <w:rFonts w:ascii="Arial" w:cs="Arial" w:eastAsia="Arial" w:hAnsi="Arial"/>
                <w:sz w:val="4"/>
                <w:szCs w:val="4"/>
                <w:color w:val="FFFFFF"/>
              </w:rPr>
              <w:t>Financial policy:</w:t>
            </w:r>
          </w:p>
        </w:tc>
        <w:tc>
          <w:tcPr>
            <w:tcW w:w="5400" w:type="dxa"/>
            <w:vAlign w:val="bottom"/>
          </w:tcPr>
          <w:p>
            <w:pPr>
              <w:spacing w:after="0"/>
              <w:rPr>
                <w:sz w:val="3"/>
                <w:szCs w:val="3"/>
                <w:color w:val="auto"/>
              </w:rPr>
            </w:pPr>
          </w:p>
        </w:tc>
      </w:tr>
      <w:tr>
        <w:trPr>
          <w:trHeight w:val="39"/>
        </w:trPr>
        <w:tc>
          <w:tcPr>
            <w:tcW w:w="6340" w:type="dxa"/>
            <w:vAlign w:val="bottom"/>
            <w:gridSpan w:val="3"/>
          </w:tcPr>
          <w:p>
            <w:pPr>
              <w:spacing w:after="0" w:line="40" w:lineRule="exact"/>
              <w:rPr>
                <w:sz w:val="20"/>
                <w:szCs w:val="20"/>
                <w:color w:val="auto"/>
              </w:rPr>
            </w:pPr>
            <w:r>
              <w:rPr>
                <w:rFonts w:ascii="Arial" w:cs="Arial" w:eastAsia="Arial" w:hAnsi="Arial"/>
                <w:sz w:val="4"/>
                <w:szCs w:val="4"/>
                <w:color w:val="FFFFFF"/>
              </w:rPr>
              <w:t>Maintain healthy leverage over business cycles and strategic growth period: Debt to EBITDA 2.0x – 3.0x, &lt; 4.0x at peak</w:t>
            </w:r>
          </w:p>
        </w:tc>
      </w:tr>
      <w:tr>
        <w:trPr>
          <w:trHeight w:val="39"/>
        </w:trPr>
        <w:tc>
          <w:tcPr>
            <w:tcW w:w="6340" w:type="dxa"/>
            <w:vAlign w:val="bottom"/>
            <w:gridSpan w:val="3"/>
          </w:tcPr>
          <w:p>
            <w:pPr>
              <w:spacing w:after="0" w:line="40" w:lineRule="exact"/>
              <w:rPr>
                <w:sz w:val="20"/>
                <w:szCs w:val="20"/>
                <w:color w:val="auto"/>
              </w:rPr>
            </w:pPr>
            <w:r>
              <w:rPr>
                <w:rFonts w:ascii="Arial" w:cs="Arial" w:eastAsia="Arial" w:hAnsi="Arial"/>
                <w:sz w:val="4"/>
                <w:szCs w:val="4"/>
                <w:color w:val="FFFFFF"/>
              </w:rPr>
              <w:t>Cash flow priorities:</w:t>
            </w: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6200" w:type="dxa"/>
            <w:vAlign w:val="bottom"/>
            <w:gridSpan w:val="2"/>
          </w:tcPr>
          <w:p>
            <w:pPr>
              <w:spacing w:after="0" w:line="40" w:lineRule="exact"/>
              <w:rPr>
                <w:sz w:val="20"/>
                <w:szCs w:val="20"/>
                <w:color w:val="auto"/>
              </w:rPr>
            </w:pPr>
            <w:r>
              <w:rPr>
                <w:rFonts w:ascii="Arial" w:cs="Arial" w:eastAsia="Arial" w:hAnsi="Arial"/>
                <w:sz w:val="4"/>
                <w:szCs w:val="4"/>
                <w:color w:val="FFFFFF"/>
              </w:rPr>
              <w:t>Debt repayment to achieve target leverage</w:t>
            </w: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6200" w:type="dxa"/>
            <w:vAlign w:val="bottom"/>
            <w:gridSpan w:val="2"/>
          </w:tcPr>
          <w:p>
            <w:pPr>
              <w:spacing w:after="0" w:line="40" w:lineRule="exact"/>
              <w:rPr>
                <w:sz w:val="20"/>
                <w:szCs w:val="20"/>
                <w:color w:val="auto"/>
              </w:rPr>
            </w:pPr>
            <w:r>
              <w:rPr>
                <w:rFonts w:ascii="Arial" w:cs="Arial" w:eastAsia="Arial" w:hAnsi="Arial"/>
                <w:sz w:val="4"/>
                <w:szCs w:val="4"/>
                <w:color w:val="FFFFFF"/>
              </w:rPr>
              <w:t>Capex to achieve operational excellence and growth</w:t>
            </w: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3)</w:t>
            </w:r>
          </w:p>
        </w:tc>
        <w:tc>
          <w:tcPr>
            <w:tcW w:w="6200" w:type="dxa"/>
            <w:vAlign w:val="bottom"/>
            <w:gridSpan w:val="2"/>
          </w:tcPr>
          <w:p>
            <w:pPr>
              <w:ind w:left="120"/>
              <w:spacing w:after="0" w:line="40" w:lineRule="exact"/>
              <w:rPr>
                <w:sz w:val="20"/>
                <w:szCs w:val="20"/>
                <w:color w:val="auto"/>
              </w:rPr>
            </w:pPr>
            <w:r>
              <w:rPr>
                <w:rFonts w:ascii="Arial" w:cs="Arial" w:eastAsia="Arial" w:hAnsi="Arial"/>
                <w:sz w:val="4"/>
                <w:szCs w:val="4"/>
                <w:color w:val="FFFFFF"/>
              </w:rPr>
              <w:t>able common dividends to shareholders (&lt; 20% free cash flow)</w:t>
            </w:r>
          </w:p>
        </w:tc>
      </w:tr>
      <w:tr>
        <w:trPr>
          <w:trHeight w:val="0"/>
        </w:trPr>
        <w:tc>
          <w:tcPr>
            <w:tcW w:w="140" w:type="dxa"/>
            <w:vAlign w:val="bottom"/>
          </w:tcPr>
          <w:p>
            <w:pPr>
              <w:spacing w:after="0" w:line="38" w:lineRule="exact"/>
              <w:rPr>
                <w:sz w:val="20"/>
                <w:szCs w:val="20"/>
                <w:color w:val="auto"/>
              </w:rPr>
            </w:pPr>
            <w:r>
              <w:rPr>
                <w:rFonts w:ascii="Arial" w:cs="Arial" w:eastAsia="Arial" w:hAnsi="Arial"/>
                <w:sz w:val="4"/>
                <w:szCs w:val="4"/>
                <w:color w:val="FFFFFF"/>
              </w:rPr>
              <w:t>4)</w:t>
            </w:r>
          </w:p>
        </w:tc>
        <w:tc>
          <w:tcPr>
            <w:tcW w:w="6200" w:type="dxa"/>
            <w:vAlign w:val="bottom"/>
            <w:gridSpan w:val="2"/>
          </w:tcPr>
          <w:p>
            <w:pPr>
              <w:spacing w:after="0" w:line="38" w:lineRule="exact"/>
              <w:rPr>
                <w:sz w:val="20"/>
                <w:szCs w:val="20"/>
                <w:color w:val="auto"/>
              </w:rPr>
            </w:pPr>
            <w:r>
              <w:rPr>
                <w:rFonts w:ascii="Arial" w:cs="Arial" w:eastAsia="Arial" w:hAnsi="Arial"/>
                <w:sz w:val="4"/>
                <w:szCs w:val="4"/>
                <w:color w:val="FFFFFF"/>
              </w:rPr>
              <w:t>Strategic acquisitions financed by debt and equity issuance to maintain leverage target</w:t>
            </w:r>
          </w:p>
        </w:tc>
      </w:tr>
    </w:tbl>
    <w:p>
      <w:pPr>
        <w:spacing w:after="0" w:line="211" w:lineRule="auto"/>
        <w:rPr>
          <w:sz w:val="20"/>
          <w:szCs w:val="20"/>
          <w:color w:val="auto"/>
        </w:rPr>
      </w:pPr>
      <w:r>
        <w:rPr>
          <w:rFonts w:ascii="Arial" w:cs="Arial" w:eastAsia="Arial" w:hAnsi="Arial"/>
          <w:sz w:val="4"/>
          <w:szCs w:val="4"/>
          <w:color w:val="FFFFFF"/>
        </w:rPr>
        <w:t>Generate above-market-average revenue growth and capture market share in key areas of new technology over Strategic Plan period</w:t>
      </w:r>
    </w:p>
    <w:p>
      <w:pPr>
        <w:ind w:left="40"/>
        <w:spacing w:after="0" w:line="205" w:lineRule="auto"/>
        <w:rPr>
          <w:sz w:val="20"/>
          <w:szCs w:val="20"/>
          <w:color w:val="auto"/>
        </w:rPr>
      </w:pPr>
      <w:r>
        <w:rPr>
          <w:rFonts w:ascii="Arial" w:cs="Arial" w:eastAsia="Arial" w:hAnsi="Arial"/>
          <w:sz w:val="4"/>
          <w:szCs w:val="4"/>
          <w:color w:val="FFFFFF"/>
        </w:rPr>
        <w:t>mprove market mix by decreasing auto exposure from 70% to 50%</w:t>
      </w:r>
    </w:p>
    <w:p>
      <w:pPr>
        <w:spacing w:after="0" w:line="182" w:lineRule="auto"/>
        <w:rPr>
          <w:sz w:val="20"/>
          <w:szCs w:val="20"/>
          <w:color w:val="auto"/>
        </w:rPr>
      </w:pPr>
      <w:r>
        <w:rPr>
          <w:rFonts w:ascii="Arial" w:cs="Arial" w:eastAsia="Arial" w:hAnsi="Arial"/>
          <w:sz w:val="9"/>
          <w:szCs w:val="9"/>
          <w:color w:val="FFFFFF"/>
        </w:rPr>
        <w:t>ExpandIncreasesegmentindustrialgross/aerospace/medicalandoperatingmarginsofferings(optimizeinexistingmix,productoperationallines improvement, cost reductions)</w:t>
      </w:r>
    </w:p>
    <w:p>
      <w:pPr>
        <w:ind w:right="3719"/>
        <w:spacing w:after="0" w:line="184" w:lineRule="auto"/>
        <w:rPr>
          <w:sz w:val="20"/>
          <w:szCs w:val="20"/>
          <w:color w:val="auto"/>
        </w:rPr>
      </w:pPr>
      <w:r>
        <w:rPr>
          <w:rFonts w:ascii="Arial" w:cs="Arial" w:eastAsia="Arial" w:hAnsi="Arial"/>
          <w:sz w:val="11"/>
          <w:szCs w:val="11"/>
          <w:color w:val="FFFFFF"/>
        </w:rPr>
        <w:t>Continue to pursueinvestinselectiveR&amp;D strategic acquisitions to diversify end markets and expand global reach, within leverage targets 22</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0"/>
          <w:szCs w:val="10"/>
          <w:color w:val="FFFFFF"/>
        </w:rPr>
        <w:t>23Precision components group</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FFFFFF"/>
        </w:rPr>
        <w:t>Macro Trend: CAFE Standards</w:t>
      </w:r>
    </w:p>
    <w:p>
      <w:pPr>
        <w:spacing w:after="0" w:line="204" w:lineRule="auto"/>
        <w:rPr>
          <w:sz w:val="20"/>
          <w:szCs w:val="20"/>
          <w:color w:val="auto"/>
        </w:rPr>
      </w:pPr>
      <w:r>
        <w:rPr>
          <w:rFonts w:ascii="Arial" w:cs="Arial" w:eastAsia="Arial" w:hAnsi="Arial"/>
          <w:sz w:val="4"/>
          <w:szCs w:val="4"/>
          <w:color w:val="FFFFFF"/>
        </w:rPr>
        <w:t>77Global Fuel Efficiency Standards</w:t>
      </w:r>
    </w:p>
    <w:p>
      <w:pPr>
        <w:spacing w:after="0" w:line="182" w:lineRule="auto"/>
        <w:rPr>
          <w:sz w:val="20"/>
          <w:szCs w:val="20"/>
          <w:color w:val="auto"/>
        </w:rPr>
      </w:pPr>
      <w:r>
        <w:rPr>
          <w:rFonts w:ascii="Arial" w:cs="Arial" w:eastAsia="Arial" w:hAnsi="Arial"/>
          <w:sz w:val="7"/>
          <w:szCs w:val="7"/>
          <w:color w:val="FFFFFF"/>
        </w:rPr>
        <w:t>50</w:t>
      </w:r>
      <w:r>
        <w:rPr>
          <w:rFonts w:ascii="Arial" w:cs="Arial" w:eastAsia="Arial" w:hAnsi="Arial"/>
          <w:sz w:val="9"/>
          <w:szCs w:val="9"/>
          <w:color w:val="FFFFFF"/>
          <w:vertAlign w:val="superscript"/>
        </w:rPr>
        <w:t>6</w:t>
      </w:r>
      <w:r>
        <w:rPr>
          <w:rFonts w:ascii="Arial" w:cs="Arial" w:eastAsia="Arial" w:hAnsi="Arial"/>
          <w:sz w:val="7"/>
          <w:szCs w:val="7"/>
          <w:color w:val="FFFFFF"/>
        </w:rPr>
        <w:t xml:space="preserve"> mpg</w:t>
      </w:r>
    </w:p>
    <w:p>
      <w:pPr>
        <w:spacing w:after="0" w:line="206" w:lineRule="auto"/>
        <w:rPr>
          <w:sz w:val="20"/>
          <w:szCs w:val="20"/>
          <w:color w:val="auto"/>
        </w:rPr>
      </w:pPr>
      <w:r>
        <w:rPr>
          <w:rFonts w:ascii="Arial" w:cs="Arial" w:eastAsia="Arial" w:hAnsi="Arial"/>
          <w:sz w:val="4"/>
          <w:szCs w:val="4"/>
          <w:color w:val="FFFFFF"/>
        </w:rPr>
        <w:t>U.S. fuel efficiency requirements increase from 35 MPG in 2014 to 56 MPG in 2025 ? 60% higher</w:t>
      </w:r>
    </w:p>
    <w:p>
      <w:pPr>
        <w:spacing w:after="0" w:line="182" w:lineRule="auto"/>
        <w:rPr>
          <w:sz w:val="20"/>
          <w:szCs w:val="20"/>
          <w:color w:val="auto"/>
        </w:rPr>
      </w:pPr>
      <w:r>
        <w:rPr>
          <w:rFonts w:ascii="Arial" w:cs="Arial" w:eastAsia="Arial" w:hAnsi="Arial"/>
          <w:sz w:val="7"/>
          <w:szCs w:val="7"/>
          <w:color w:val="FFFFFF"/>
        </w:rPr>
        <w:t>The EU’</w:t>
      </w:r>
      <w:r>
        <w:rPr>
          <w:rFonts w:ascii="Arial" w:cs="Arial" w:eastAsia="Arial" w:hAnsi="Arial"/>
          <w:sz w:val="9"/>
          <w:szCs w:val="9"/>
          <w:color w:val="FFFFFF"/>
          <w:vertAlign w:val="subscript"/>
        </w:rPr>
        <w:t>increasing</w:t>
      </w:r>
      <w:r>
        <w:rPr>
          <w:rFonts w:ascii="Arial" w:cs="Arial" w:eastAsia="Arial" w:hAnsi="Arial"/>
          <w:sz w:val="7"/>
          <w:szCs w:val="7"/>
          <w:color w:val="FFFFFF"/>
        </w:rPr>
        <w:t>2020requirement of 77 MPG is ~40% higher than the U.S. same-year requirement China and Japan will both require fuel efficiency to reach 50 MPG or above by 2020</w:t>
      </w:r>
    </w:p>
    <w:p>
      <w:pPr>
        <w:spacing w:after="0" w:line="205" w:lineRule="auto"/>
        <w:rPr>
          <w:sz w:val="20"/>
          <w:szCs w:val="20"/>
          <w:color w:val="auto"/>
        </w:rPr>
      </w:pPr>
      <w:r>
        <w:rPr>
          <w:rFonts w:ascii="Arial" w:cs="Arial" w:eastAsia="Arial" w:hAnsi="Arial"/>
          <w:sz w:val="4"/>
          <w:szCs w:val="4"/>
          <w:color w:val="FFFFFF"/>
        </w:rPr>
        <w:t>TechnologyRapidly IncreasestandardsinFuel are driving OEMs to accelerate new technology development</w:t>
      </w:r>
    </w:p>
    <w:p>
      <w:pPr>
        <w:spacing w:after="0" w:line="205" w:lineRule="auto"/>
        <w:rPr>
          <w:sz w:val="20"/>
          <w:szCs w:val="20"/>
          <w:color w:val="auto"/>
        </w:rPr>
      </w:pPr>
      <w:r>
        <w:rPr>
          <w:rFonts w:ascii="Arial" w:cs="Arial" w:eastAsia="Arial" w:hAnsi="Arial"/>
          <w:sz w:val="4"/>
          <w:szCs w:val="4"/>
          <w:color w:val="FFFFFF"/>
        </w:rPr>
        <w:t>Efficiency</w:t>
      </w:r>
    </w:p>
    <w:p>
      <w:pPr>
        <w:spacing w:after="0" w:line="189" w:lineRule="auto"/>
        <w:rPr>
          <w:sz w:val="20"/>
          <w:szCs w:val="20"/>
          <w:color w:val="auto"/>
        </w:rPr>
      </w:pPr>
      <w:r>
        <w:rPr>
          <w:rFonts w:ascii="Arial" w:cs="Arial" w:eastAsia="Arial" w:hAnsi="Arial"/>
          <w:sz w:val="13"/>
          <w:szCs w:val="13"/>
          <w:color w:val="FFFFFF"/>
        </w:rPr>
        <w:t>DirectMulti-SpeedfuelInjectionTransmissions/High Pressure(6-9gears)Diesel5-10%15-30%</w:t>
      </w:r>
    </w:p>
    <w:p>
      <w:pPr>
        <w:spacing w:after="0" w:line="182" w:lineRule="auto"/>
        <w:rPr>
          <w:sz w:val="20"/>
          <w:szCs w:val="20"/>
          <w:color w:val="auto"/>
        </w:rPr>
      </w:pPr>
      <w:r>
        <w:rPr>
          <w:rFonts w:ascii="Arial" w:cs="Arial" w:eastAsia="Arial" w:hAnsi="Arial"/>
          <w:sz w:val="9"/>
          <w:szCs w:val="9"/>
          <w:color w:val="FFFFFF"/>
        </w:rPr>
        <w:t>ElectricVariable PowerValve TimingSteering/ 1Variablempg Cam Timing 4-6%</w:t>
      </w:r>
    </w:p>
    <w:p>
      <w:pPr>
        <w:spacing w:after="0"/>
        <w:rPr>
          <w:sz w:val="20"/>
          <w:szCs w:val="20"/>
          <w:color w:val="auto"/>
        </w:rPr>
      </w:pPr>
      <w:r>
        <w:rPr>
          <w:rFonts w:ascii="Arial" w:cs="Arial" w:eastAsia="Arial" w:hAnsi="Arial"/>
          <w:sz w:val="13"/>
          <w:szCs w:val="13"/>
          <w:color w:val="FFFFFF"/>
        </w:rPr>
        <w:t>24Source: ICCT</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Target Segments: Fuel Saving Technologies</w:t>
      </w:r>
    </w:p>
    <w:p>
      <w:pPr>
        <w:spacing w:after="0" w:line="182" w:lineRule="auto"/>
        <w:rPr>
          <w:sz w:val="20"/>
          <w:szCs w:val="20"/>
          <w:color w:val="auto"/>
        </w:rPr>
      </w:pPr>
      <w:r>
        <w:rPr>
          <w:rFonts w:ascii="Arial" w:cs="Arial" w:eastAsia="Arial" w:hAnsi="Arial"/>
          <w:sz w:val="9"/>
          <w:szCs w:val="9"/>
          <w:color w:val="FFFFFF"/>
        </w:rPr>
        <w:t>GDI HP Diesel VCT/VVT Multi-Speed Trans EPS</w:t>
      </w:r>
    </w:p>
    <w:p>
      <w:pPr>
        <w:spacing w:after="0" w:line="205" w:lineRule="auto"/>
        <w:rPr>
          <w:sz w:val="20"/>
          <w:szCs w:val="20"/>
          <w:color w:val="auto"/>
        </w:rPr>
      </w:pPr>
      <w:r>
        <w:rPr>
          <w:rFonts w:ascii="Arial" w:cs="Arial" w:eastAsia="Arial" w:hAnsi="Arial"/>
          <w:sz w:val="8"/>
          <w:szCs w:val="8"/>
          <w:color w:val="FFFFFF"/>
        </w:rPr>
        <w:t>CPVMPG ImpactIncrease+ +$5415—20%(1)+$89(1)(1)+ 20—30%+$10(2) +(1)$20+4—6%(3)+$4(2)(4)+ 5—10% (3) + 3—5% (4)</w:t>
      </w:r>
    </w:p>
    <w:p>
      <w:pPr>
        <w:spacing w:after="0" w:line="182" w:lineRule="auto"/>
        <w:rPr>
          <w:sz w:val="20"/>
          <w:szCs w:val="20"/>
          <w:color w:val="auto"/>
        </w:rPr>
      </w:pPr>
      <w:r>
        <w:rPr>
          <w:rFonts w:ascii="Arial" w:cs="Arial" w:eastAsia="Arial" w:hAnsi="Arial"/>
          <w:sz w:val="7"/>
          <w:szCs w:val="7"/>
          <w:color w:val="FFFFFF"/>
        </w:rPr>
        <w:t xml:space="preserve">GlobalMarket </w:t>
      </w:r>
      <w:r>
        <w:rPr>
          <w:rFonts w:ascii="Arial" w:cs="Arial" w:eastAsia="Arial" w:hAnsi="Arial"/>
          <w:sz w:val="9"/>
          <w:szCs w:val="9"/>
          <w:color w:val="FFFFFF"/>
          <w:vertAlign w:val="subscript"/>
        </w:rPr>
        <w:t>Adoption(5)(6)</w:t>
      </w:r>
      <w:r>
        <w:rPr>
          <w:rFonts w:ascii="Arial" w:cs="Arial" w:eastAsia="Arial" w:hAnsi="Arial"/>
          <w:sz w:val="7"/>
          <w:szCs w:val="7"/>
          <w:color w:val="FFFFFF"/>
        </w:rPr>
        <w:t>Grwth&gt;17% CAGR &gt; 10% CAGR &gt; 10% CAGR &gt; 15% CAGR &gt; 10% CAGR</w:t>
      </w:r>
    </w:p>
    <w:p>
      <w:pPr>
        <w:spacing w:after="0" w:line="182" w:lineRule="auto"/>
        <w:rPr>
          <w:sz w:val="20"/>
          <w:szCs w:val="20"/>
          <w:color w:val="auto"/>
        </w:rPr>
      </w:pPr>
      <w:r>
        <w:rPr>
          <w:rFonts w:ascii="Arial" w:cs="Arial" w:eastAsia="Arial" w:hAnsi="Arial"/>
          <w:sz w:val="7"/>
          <w:szCs w:val="7"/>
          <w:color w:val="FFFFFF"/>
        </w:rPr>
        <w:t xml:space="preserve">Rate27% </w:t>
      </w:r>
      <w:r>
        <w:rPr>
          <w:rFonts w:ascii="Arial" w:cs="Arial" w:eastAsia="Arial" w:hAnsi="Arial"/>
          <w:sz w:val="9"/>
          <w:szCs w:val="9"/>
          <w:color w:val="FFFFFF"/>
          <w:vertAlign w:val="subscript"/>
        </w:rPr>
        <w:t>2014/2018</w:t>
      </w:r>
      <w:r>
        <w:rPr>
          <w:rFonts w:ascii="Arial" w:cs="Arial" w:eastAsia="Arial" w:hAnsi="Arial"/>
          <w:sz w:val="7"/>
          <w:szCs w:val="7"/>
          <w:color w:val="FFFFFF"/>
        </w:rPr>
        <w:t>46%20% / 30% 72% / 95% 30% / 45% 50% / 75%</w:t>
      </w:r>
    </w:p>
    <w:p>
      <w:pPr>
        <w:spacing w:after="0" w:line="182" w:lineRule="auto"/>
        <w:rPr>
          <w:sz w:val="20"/>
          <w:szCs w:val="20"/>
          <w:color w:val="auto"/>
        </w:rPr>
      </w:pPr>
      <w:r>
        <w:rPr>
          <w:rFonts w:ascii="Arial" w:cs="Arial" w:eastAsia="Arial" w:hAnsi="Arial"/>
          <w:sz w:val="9"/>
          <w:szCs w:val="9"/>
          <w:color w:val="FFFFFF"/>
        </w:rPr>
        <w:t>MarketsKeyRegions</w:t>
      </w:r>
    </w:p>
    <w:p>
      <w:pPr>
        <w:spacing w:after="0" w:line="183" w:lineRule="auto"/>
        <w:rPr>
          <w:sz w:val="20"/>
          <w:szCs w:val="20"/>
          <w:color w:val="auto"/>
        </w:rPr>
      </w:pPr>
      <w:r>
        <w:rPr>
          <w:rFonts w:ascii="Arial" w:cs="Arial" w:eastAsia="Arial" w:hAnsi="Arial"/>
          <w:sz w:val="7"/>
          <w:szCs w:val="7"/>
          <w:color w:val="FFFFFF"/>
        </w:rPr>
        <w:t>•</w:t>
      </w:r>
      <w:r>
        <w:rPr>
          <w:rFonts w:ascii="Arial" w:cs="Arial" w:eastAsia="Arial" w:hAnsi="Arial"/>
          <w:sz w:val="9"/>
          <w:szCs w:val="9"/>
          <w:color w:val="FFFFFF"/>
          <w:vertAlign w:val="subscript"/>
        </w:rPr>
        <w:t>Conversion/implementation</w:t>
      </w:r>
      <w:r>
        <w:rPr>
          <w:rFonts w:ascii="Arial" w:cs="Arial" w:eastAsia="Arial" w:hAnsi="Arial"/>
          <w:sz w:val="7"/>
          <w:szCs w:val="7"/>
          <w:color w:val="FFFFFF"/>
        </w:rPr>
        <w:t>Technologiesneededa globalrateswillscaleoutpacetomeetmarketfueleconomygrowth regulations</w:t>
      </w:r>
    </w:p>
    <w:p>
      <w:pPr>
        <w:spacing w:after="0"/>
        <w:rPr>
          <w:sz w:val="20"/>
          <w:szCs w:val="20"/>
          <w:color w:val="auto"/>
        </w:rPr>
      </w:pPr>
      <w:r>
        <w:rPr>
          <w:rFonts w:ascii="Arial" w:cs="Arial" w:eastAsia="Arial" w:hAnsi="Arial"/>
          <w:sz w:val="13"/>
          <w:szCs w:val="13"/>
          <w:color w:val="FFFFFF"/>
        </w:rPr>
        <w:t>25All of these technologies require numerous high precision metal components</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Target Segments: Fuel Saving Technologies</w:t>
      </w:r>
    </w:p>
    <w:p>
      <w:pPr>
        <w:spacing w:after="0" w:line="204" w:lineRule="auto"/>
        <w:rPr>
          <w:sz w:val="20"/>
          <w:szCs w:val="20"/>
          <w:color w:val="auto"/>
        </w:rPr>
      </w:pPr>
      <w:r>
        <w:rPr>
          <w:rFonts w:ascii="Arial" w:cs="Arial" w:eastAsia="Arial" w:hAnsi="Arial"/>
          <w:sz w:val="4"/>
          <w:szCs w:val="4"/>
          <w:color w:val="FFFFFF"/>
        </w:rPr>
        <w:t>MPFI V6 GDI V6</w:t>
      </w:r>
    </w:p>
    <w:p>
      <w:pPr>
        <w:spacing w:after="0" w:line="182" w:lineRule="auto"/>
        <w:rPr>
          <w:sz w:val="20"/>
          <w:szCs w:val="20"/>
          <w:color w:val="auto"/>
        </w:rPr>
      </w:pPr>
      <w:r>
        <w:rPr>
          <w:rFonts w:ascii="Arial" w:cs="Arial" w:eastAsia="Arial" w:hAnsi="Arial"/>
          <w:sz w:val="9"/>
          <w:szCs w:val="9"/>
          <w:color w:val="FFFFFF"/>
        </w:rPr>
        <w:t>GDI Fuel System</w:t>
      </w:r>
    </w:p>
    <w:p>
      <w:pPr>
        <w:spacing w:after="0" w:line="182" w:lineRule="auto"/>
        <w:rPr>
          <w:sz w:val="20"/>
          <w:szCs w:val="20"/>
          <w:color w:val="auto"/>
        </w:rPr>
      </w:pPr>
      <w:r>
        <w:rPr>
          <w:rFonts w:ascii="Arial" w:cs="Arial" w:eastAsia="Arial" w:hAnsi="Arial"/>
          <w:sz w:val="9"/>
          <w:szCs w:val="9"/>
          <w:color w:val="FFFFFF"/>
        </w:rPr>
        <w:t>Precision6injectorsTurned•6InjectorsPartcontent: Precision Turned Part content:</w:t>
      </w:r>
    </w:p>
    <w:p>
      <w:pPr>
        <w:spacing w:after="0" w:line="206" w:lineRule="auto"/>
        <w:rPr>
          <w:sz w:val="20"/>
          <w:szCs w:val="20"/>
          <w:color w:val="auto"/>
        </w:rPr>
      </w:pPr>
      <w:r>
        <w:rPr>
          <w:rFonts w:ascii="Arial" w:cs="Arial" w:eastAsia="Arial" w:hAnsi="Arial"/>
          <w:sz w:val="2"/>
          <w:szCs w:val="2"/>
          <w:color w:val="FFFFFF"/>
        </w:rPr>
        <w:t>• 2</w:t>
      </w:r>
      <w:r>
        <w:rPr>
          <w:rFonts w:ascii="Arial" w:cs="Arial" w:eastAsia="Arial" w:hAnsi="Arial"/>
          <w:sz w:val="4"/>
          <w:szCs w:val="4"/>
          <w:color w:val="FFFFFF"/>
          <w:vertAlign w:val="superscript"/>
        </w:rPr>
        <w:t>1</w:t>
      </w:r>
      <w:r>
        <w:rPr>
          <w:rFonts w:ascii="Arial" w:cs="Arial" w:eastAsia="Arial" w:hAnsi="Arial"/>
          <w:sz w:val="2"/>
          <w:szCs w:val="2"/>
          <w:color w:val="FFFFFF"/>
        </w:rPr>
        <w:t xml:space="preserve"> High pressure fittings</w:t>
      </w:r>
      <w:r>
        <w:rPr>
          <w:rFonts w:ascii="Arial" w:cs="Arial" w:eastAsia="Arial" w:hAnsi="Arial"/>
          <w:sz w:val="4"/>
          <w:szCs w:val="4"/>
          <w:color w:val="FFFFFF"/>
          <w:vertAlign w:val="superscript"/>
        </w:rPr>
        <w:t>uelpump</w:t>
      </w:r>
    </w:p>
    <w:p>
      <w:pPr>
        <w:spacing w:after="0" w:line="205" w:lineRule="auto"/>
        <w:rPr>
          <w:sz w:val="20"/>
          <w:szCs w:val="20"/>
          <w:color w:val="auto"/>
        </w:rPr>
      </w:pPr>
      <w:r>
        <w:rPr>
          <w:rFonts w:ascii="Arial" w:cs="Arial" w:eastAsia="Arial" w:hAnsi="Arial"/>
          <w:sz w:val="4"/>
          <w:szCs w:val="4"/>
          <w:color w:val="FFFFFF"/>
        </w:rPr>
        <w:t>$6.00 per vehicle $60 per vehicle</w:t>
      </w:r>
    </w:p>
    <w:p>
      <w:pPr>
        <w:spacing w:after="0" w:line="182"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 xml:space="preserve"> Technology requires more precision, tighter tolerances</w:t>
      </w:r>
    </w:p>
    <w:p>
      <w:pPr>
        <w:spacing w:after="0"/>
        <w:rPr>
          <w:sz w:val="20"/>
          <w:szCs w:val="20"/>
          <w:color w:val="auto"/>
        </w:rPr>
      </w:pPr>
      <w:r>
        <w:rPr>
          <w:rFonts w:ascii="Arial" w:cs="Arial" w:eastAsia="Arial" w:hAnsi="Arial"/>
          <w:sz w:val="12"/>
          <w:szCs w:val="12"/>
          <w:color w:val="FFFFFF"/>
        </w:rPr>
        <w:t>26GDI will have a VERY long life: 10-15+ years (MPFI lived for 30+ years)</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9"/>
          <w:szCs w:val="9"/>
          <w:color w:val="FFFFFF"/>
        </w:rPr>
        <w:t>ProductExpansionSegments,Segments:MarketsGeneral&amp; CustomersIndustrial, Aerospace</w:t>
      </w:r>
    </w:p>
    <w:p>
      <w:pPr>
        <w:spacing w:after="0" w:line="182" w:lineRule="auto"/>
        <w:rPr>
          <w:sz w:val="20"/>
          <w:szCs w:val="20"/>
          <w:color w:val="auto"/>
        </w:rPr>
      </w:pPr>
      <w:r>
        <w:rPr>
          <w:rFonts w:ascii="Arial" w:cs="Arial" w:eastAsia="Arial" w:hAnsi="Arial"/>
          <w:sz w:val="9"/>
          <w:szCs w:val="9"/>
          <w:color w:val="FFFFFF"/>
        </w:rPr>
        <w:t>AddressableConsumerTools HVAC Rec/ATV Industrial Motors Aerospace Fluid Power</w:t>
      </w:r>
    </w:p>
    <w:p>
      <w:pPr>
        <w:spacing w:after="0" w:line="205" w:lineRule="auto"/>
        <w:rPr>
          <w:sz w:val="20"/>
          <w:szCs w:val="20"/>
          <w:color w:val="auto"/>
        </w:rPr>
      </w:pPr>
      <w:r>
        <w:rPr>
          <w:rFonts w:ascii="Arial" w:cs="Arial" w:eastAsia="Arial" w:hAnsi="Arial"/>
          <w:sz w:val="4"/>
          <w:szCs w:val="4"/>
          <w:color w:val="FFFFFF"/>
          <w:vertAlign w:val="subscript"/>
        </w:rPr>
        <w:t>Market</w:t>
      </w:r>
      <w:r>
        <w:rPr>
          <w:rFonts w:ascii="Arial" w:cs="Arial" w:eastAsia="Arial" w:hAnsi="Arial"/>
          <w:sz w:val="2"/>
          <w:szCs w:val="2"/>
          <w:color w:val="FFFFFF"/>
        </w:rPr>
        <w:t>$2billion(2014)$3billion $200 million $3 billion $10+ billion $5+ billion</w:t>
      </w:r>
    </w:p>
    <w:p>
      <w:pPr>
        <w:ind w:left="420"/>
        <w:spacing w:after="0" w:line="205" w:lineRule="auto"/>
        <w:rPr>
          <w:sz w:val="20"/>
          <w:szCs w:val="20"/>
          <w:color w:val="auto"/>
        </w:rPr>
      </w:pPr>
      <w:r>
        <w:rPr>
          <w:rFonts w:ascii="Arial" w:cs="Arial" w:eastAsia="Arial" w:hAnsi="Arial"/>
          <w:sz w:val="4"/>
          <w:szCs w:val="4"/>
          <w:color w:val="FFFFFF"/>
        </w:rPr>
        <w:t>Growth</w:t>
      </w:r>
    </w:p>
    <w:p>
      <w:pPr>
        <w:spacing w:after="0" w:line="182" w:lineRule="auto"/>
        <w:rPr>
          <w:sz w:val="20"/>
          <w:szCs w:val="20"/>
          <w:color w:val="auto"/>
        </w:rPr>
      </w:pPr>
      <w:r>
        <w:rPr>
          <w:rFonts w:ascii="Arial" w:cs="Arial" w:eastAsia="Arial" w:hAnsi="Arial"/>
          <w:sz w:val="9"/>
          <w:szCs w:val="9"/>
          <w:color w:val="FFFFFF"/>
        </w:rPr>
        <w:t>Technologies Longer battery life, EPS (Steering) Higher pressure, greater</w:t>
      </w:r>
    </w:p>
    <w:p>
      <w:pPr>
        <w:spacing w:after="0" w:line="205" w:lineRule="auto"/>
        <w:rPr>
          <w:sz w:val="20"/>
          <w:szCs w:val="20"/>
          <w:color w:val="auto"/>
        </w:rPr>
      </w:pPr>
      <w:r>
        <w:rPr>
          <w:rFonts w:ascii="Arial" w:cs="Arial" w:eastAsia="Arial" w:hAnsi="Arial"/>
          <w:sz w:val="8"/>
          <w:szCs w:val="8"/>
          <w:color w:val="FFFFFF"/>
        </w:rPr>
        <w:t>DrivingCompressorGrowthmodulationLighter weightHighefficiencyABScontrolmotors Weight reduction</w:t>
      </w:r>
    </w:p>
    <w:p>
      <w:pPr>
        <w:spacing w:after="0"/>
        <w:rPr>
          <w:sz w:val="20"/>
          <w:szCs w:val="20"/>
          <w:color w:val="auto"/>
        </w:rPr>
      </w:pPr>
      <w:r>
        <w:rPr>
          <w:rFonts w:ascii="Arial" w:cs="Arial" w:eastAsia="Arial" w:hAnsi="Arial"/>
          <w:sz w:val="13"/>
          <w:szCs w:val="13"/>
          <w:color w:val="FFFFFF"/>
        </w:rPr>
        <w:t>27Customers</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0"/>
          <w:szCs w:val="10"/>
          <w:color w:val="FFFFFF"/>
        </w:rPr>
        <w:t>28Bearing Components group</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Macro Trends</w:t>
      </w:r>
    </w:p>
    <w:p>
      <w:pPr>
        <w:spacing w:after="0" w:line="182" w:lineRule="auto"/>
        <w:rPr>
          <w:sz w:val="20"/>
          <w:szCs w:val="20"/>
          <w:color w:val="auto"/>
        </w:rPr>
      </w:pPr>
      <w:r>
        <w:rPr>
          <w:rFonts w:ascii="Arial" w:cs="Arial" w:eastAsia="Arial" w:hAnsi="Arial"/>
          <w:sz w:val="9"/>
          <w:szCs w:val="9"/>
          <w:color w:val="FFFFFF"/>
        </w:rPr>
        <w:t>Outsourcings of key components is increasing</w:t>
      </w:r>
    </w:p>
    <w:p>
      <w:pPr>
        <w:spacing w:after="0" w:line="234" w:lineRule="auto"/>
        <w:rPr>
          <w:sz w:val="20"/>
          <w:szCs w:val="20"/>
          <w:color w:val="auto"/>
        </w:rPr>
      </w:pPr>
      <w:r>
        <w:rPr>
          <w:rFonts w:ascii="Arial" w:cs="Arial" w:eastAsia="Arial" w:hAnsi="Arial"/>
          <w:sz w:val="7"/>
          <w:szCs w:val="7"/>
          <w:color w:val="FFFFFF"/>
        </w:rPr>
        <w:t>SupplyTier1andchainTierlocalization2supplierscontinuesareconcentratingtogainmomentumonpurchasing with fewer, larger suppliers</w:t>
      </w:r>
    </w:p>
    <w:p>
      <w:pPr>
        <w:spacing w:after="0"/>
        <w:rPr>
          <w:sz w:val="20"/>
          <w:szCs w:val="20"/>
          <w:color w:val="auto"/>
        </w:rPr>
      </w:pPr>
      <w:r>
        <w:rPr>
          <w:rFonts w:ascii="Arial" w:cs="Arial" w:eastAsia="Arial" w:hAnsi="Arial"/>
          <w:sz w:val="13"/>
          <w:szCs w:val="13"/>
          <w:color w:val="FFFFFF"/>
        </w:rPr>
        <w:t>29Increasing fuel economy standards are driving technology</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Target Segments</w:t>
      </w:r>
    </w:p>
    <w:p>
      <w:pPr>
        <w:spacing w:after="0" w:line="182" w:lineRule="auto"/>
        <w:rPr>
          <w:sz w:val="20"/>
          <w:szCs w:val="20"/>
          <w:color w:val="auto"/>
        </w:rPr>
      </w:pPr>
      <w:r>
        <w:rPr>
          <w:rFonts w:ascii="Arial" w:cs="Arial" w:eastAsia="Arial" w:hAnsi="Arial"/>
          <w:sz w:val="9"/>
          <w:szCs w:val="9"/>
          <w:color w:val="FFFFFF"/>
        </w:rPr>
        <w:t>Product Segments, Markets and Customers 2014</w:t>
      </w:r>
    </w:p>
    <w:p>
      <w:pPr>
        <w:spacing w:after="0" w:line="205" w:lineRule="auto"/>
        <w:rPr>
          <w:sz w:val="20"/>
          <w:szCs w:val="20"/>
          <w:color w:val="auto"/>
        </w:rPr>
      </w:pPr>
      <w:r>
        <w:rPr>
          <w:rFonts w:ascii="Arial" w:cs="Arial" w:eastAsia="Arial" w:hAnsi="Arial"/>
          <w:sz w:val="4"/>
          <w:szCs w:val="4"/>
          <w:color w:val="FFFFFF"/>
        </w:rPr>
        <w:t>35%Automotive Aerospace Railway Linear Systems Fluid Power Industrial</w:t>
      </w:r>
    </w:p>
    <w:p>
      <w:pPr>
        <w:spacing w:after="0" w:line="182" w:lineRule="auto"/>
        <w:rPr>
          <w:sz w:val="20"/>
          <w:szCs w:val="20"/>
          <w:color w:val="auto"/>
        </w:rPr>
      </w:pPr>
      <w:r>
        <w:rPr>
          <w:rFonts w:ascii="Arial" w:cs="Arial" w:eastAsia="Arial" w:hAnsi="Arial"/>
          <w:sz w:val="9"/>
          <w:szCs w:val="9"/>
          <w:color w:val="FFFFFF"/>
        </w:rPr>
        <w:t>Addressable</w:t>
      </w:r>
    </w:p>
    <w:p>
      <w:pPr>
        <w:spacing w:after="0" w:line="182" w:lineRule="auto"/>
        <w:rPr>
          <w:sz w:val="20"/>
          <w:szCs w:val="20"/>
          <w:color w:val="auto"/>
        </w:rPr>
      </w:pPr>
      <w:r>
        <w:rPr>
          <w:rFonts w:ascii="Arial" w:cs="Arial" w:eastAsia="Arial" w:hAnsi="Arial"/>
          <w:sz w:val="9"/>
          <w:szCs w:val="9"/>
          <w:color w:val="FFFFFF"/>
        </w:rPr>
        <w:t>Market$1billion(2014)$25065%million $125 million $100 million $100 million</w:t>
      </w:r>
    </w:p>
    <w:p>
      <w:pPr>
        <w:spacing w:after="0" w:line="206" w:lineRule="auto"/>
        <w:rPr>
          <w:sz w:val="20"/>
          <w:szCs w:val="20"/>
          <w:color w:val="auto"/>
        </w:rPr>
      </w:pPr>
      <w:r>
        <w:rPr>
          <w:rFonts w:ascii="Arial" w:cs="Arial" w:eastAsia="Arial" w:hAnsi="Arial"/>
          <w:sz w:val="4"/>
          <w:szCs w:val="4"/>
          <w:color w:val="FFFFFF"/>
        </w:rPr>
        <w:t>MarketAutomotiveGrowth</w:t>
      </w:r>
    </w:p>
    <w:p>
      <w:pPr>
        <w:spacing w:after="0" w:line="182" w:lineRule="auto"/>
        <w:rPr>
          <w:sz w:val="20"/>
          <w:szCs w:val="20"/>
          <w:color w:val="auto"/>
        </w:rPr>
      </w:pPr>
      <w:r>
        <w:rPr>
          <w:rFonts w:ascii="Arial" w:cs="Arial" w:eastAsia="Arial" w:hAnsi="Arial"/>
          <w:sz w:val="9"/>
          <w:szCs w:val="9"/>
          <w:color w:val="FFFFFF"/>
        </w:rPr>
        <w:t>Penetration in Build rate on Increased utilization Expanding industrial Manufacturing</w:t>
      </w:r>
    </w:p>
    <w:p>
      <w:pPr>
        <w:spacing w:after="0" w:line="205" w:lineRule="auto"/>
        <w:rPr>
          <w:sz w:val="20"/>
          <w:szCs w:val="20"/>
          <w:color w:val="auto"/>
        </w:rPr>
      </w:pPr>
      <w:r>
        <w:rPr>
          <w:rFonts w:ascii="Arial" w:cs="Arial" w:eastAsia="Arial" w:hAnsi="Arial"/>
          <w:sz w:val="4"/>
          <w:szCs w:val="4"/>
          <w:color w:val="FFFFFF"/>
        </w:rPr>
        <w:t>2018Growth Drivers developing markets commercial aircraft of rail automation investment</w:t>
      </w:r>
    </w:p>
    <w:p>
      <w:pPr>
        <w:spacing w:after="0" w:line="205" w:lineRule="auto"/>
        <w:rPr>
          <w:sz w:val="20"/>
          <w:szCs w:val="20"/>
          <w:color w:val="auto"/>
        </w:rPr>
      </w:pPr>
      <w:r>
        <w:rPr>
          <w:rFonts w:ascii="Arial" w:cs="Arial" w:eastAsia="Arial" w:hAnsi="Arial"/>
          <w:sz w:val="4"/>
          <w:szCs w:val="4"/>
          <w:color w:val="FFFFFF"/>
        </w:rPr>
        <w:t>Customers</w:t>
      </w:r>
    </w:p>
    <w:p>
      <w:pPr>
        <w:spacing w:after="0" w:line="205" w:lineRule="auto"/>
        <w:rPr>
          <w:sz w:val="20"/>
          <w:szCs w:val="20"/>
          <w:color w:val="auto"/>
        </w:rPr>
      </w:pPr>
      <w:r>
        <w:rPr>
          <w:rFonts w:ascii="Arial" w:cs="Arial" w:eastAsia="Arial" w:hAnsi="Arial"/>
          <w:sz w:val="4"/>
          <w:szCs w:val="4"/>
          <w:color w:val="FFFFFF"/>
        </w:rPr>
        <w:t>Industrial</w:t>
      </w:r>
    </w:p>
    <w:p>
      <w:pPr>
        <w:spacing w:after="0" w:line="189" w:lineRule="auto"/>
        <w:rPr>
          <w:sz w:val="20"/>
          <w:szCs w:val="20"/>
          <w:color w:val="auto"/>
        </w:rPr>
      </w:pPr>
      <w:r>
        <w:rPr>
          <w:rFonts w:ascii="Arial" w:cs="Arial" w:eastAsia="Arial" w:hAnsi="Arial"/>
          <w:sz w:val="13"/>
          <w:szCs w:val="13"/>
          <w:color w:val="FFFFFF"/>
          <w:vertAlign w:val="superscript"/>
        </w:rPr>
        <w:t>42%</w:t>
      </w:r>
      <w:r>
        <w:rPr>
          <w:rFonts w:ascii="Arial" w:cs="Arial" w:eastAsia="Arial" w:hAnsi="Arial"/>
          <w:sz w:val="8"/>
          <w:szCs w:val="8"/>
          <w:color w:val="FFFFFF"/>
        </w:rPr>
        <w:t>58%</w:t>
      </w:r>
    </w:p>
    <w:p>
      <w:pPr>
        <w:spacing w:after="0"/>
        <w:rPr>
          <w:sz w:val="20"/>
          <w:szCs w:val="20"/>
          <w:color w:val="auto"/>
        </w:rPr>
      </w:pPr>
      <w:r>
        <w:rPr>
          <w:rFonts w:ascii="Arial" w:cs="Arial" w:eastAsia="Arial" w:hAnsi="Arial"/>
          <w:sz w:val="13"/>
          <w:szCs w:val="13"/>
          <w:color w:val="FFFFFF"/>
        </w:rPr>
        <w:t>30Automotive</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MBC High Growth Product Segments</w:t>
      </w:r>
    </w:p>
    <w:p>
      <w:pPr>
        <w:spacing w:after="0" w:line="204" w:lineRule="auto"/>
        <w:rPr>
          <w:sz w:val="20"/>
          <w:szCs w:val="20"/>
          <w:color w:val="auto"/>
        </w:rPr>
      </w:pPr>
      <w:r>
        <w:rPr>
          <w:rFonts w:ascii="Arial" w:cs="Arial" w:eastAsia="Arial" w:hAnsi="Arial"/>
          <w:sz w:val="4"/>
          <w:szCs w:val="4"/>
          <w:color w:val="FFFFFF"/>
        </w:rPr>
        <w:t>Balls Tapered Rollers Other Rollers Cages Sheet Metal Parts</w:t>
      </w:r>
    </w:p>
    <w:p>
      <w:pPr>
        <w:ind w:right="3459"/>
        <w:spacing w:after="0" w:line="182" w:lineRule="auto"/>
        <w:rPr>
          <w:sz w:val="20"/>
          <w:szCs w:val="20"/>
          <w:color w:val="auto"/>
        </w:rPr>
      </w:pPr>
      <w:r>
        <w:rPr>
          <w:rFonts w:ascii="Arial" w:cs="Arial" w:eastAsia="Arial" w:hAnsi="Arial"/>
          <w:sz w:val="9"/>
          <w:szCs w:val="9"/>
          <w:color w:val="FFFFFF"/>
        </w:rPr>
        <w:t>Competitive Profile Primarily outsourced Primarily insourced Primarily insourced Mixed and fragmented Mixed and fragmented Industrial, automotive,</w:t>
      </w:r>
    </w:p>
    <w:p>
      <w:pPr>
        <w:spacing w:after="0" w:line="182" w:lineRule="auto"/>
        <w:rPr>
          <w:sz w:val="20"/>
          <w:szCs w:val="20"/>
          <w:color w:val="auto"/>
        </w:rPr>
      </w:pPr>
      <w:r>
        <w:rPr>
          <w:rFonts w:ascii="Arial" w:cs="Arial" w:eastAsia="Arial" w:hAnsi="Arial"/>
          <w:sz w:val="9"/>
          <w:szCs w:val="9"/>
          <w:color w:val="FFFFFF"/>
        </w:rPr>
        <w:t>Automotive, electrical Industrial and some</w:t>
      </w:r>
    </w:p>
    <w:p>
      <w:pPr>
        <w:spacing w:after="0" w:line="205" w:lineRule="auto"/>
        <w:rPr>
          <w:sz w:val="20"/>
          <w:szCs w:val="20"/>
          <w:color w:val="auto"/>
        </w:rPr>
      </w:pPr>
      <w:r>
        <w:rPr>
          <w:rFonts w:ascii="Arial" w:cs="Arial" w:eastAsia="Arial" w:hAnsi="Arial"/>
          <w:sz w:val="4"/>
          <w:szCs w:val="4"/>
          <w:color w:val="FFFFFF"/>
        </w:rPr>
        <w:t>aeroPrimaryand Marketsindustrialoffautomotive-highway, rail and General industrial Diversified end market</w:t>
      </w:r>
    </w:p>
    <w:p>
      <w:pPr>
        <w:spacing w:after="0" w:line="205" w:lineRule="auto"/>
        <w:rPr>
          <w:sz w:val="20"/>
          <w:szCs w:val="20"/>
          <w:color w:val="auto"/>
        </w:rPr>
      </w:pPr>
      <w:r>
        <w:rPr>
          <w:rFonts w:ascii="Arial" w:cs="Arial" w:eastAsia="Arial" w:hAnsi="Arial"/>
          <w:sz w:val="4"/>
          <w:szCs w:val="4"/>
          <w:color w:val="FFFFFF"/>
        </w:rPr>
        <w:t>industrial</w:t>
      </w:r>
    </w:p>
    <w:p>
      <w:pPr>
        <w:spacing w:after="0" w:line="205" w:lineRule="auto"/>
        <w:rPr>
          <w:sz w:val="20"/>
          <w:szCs w:val="20"/>
          <w:color w:val="auto"/>
        </w:rPr>
      </w:pPr>
      <w:r>
        <w:rPr>
          <w:rFonts w:ascii="Arial" w:cs="Arial" w:eastAsia="Arial" w:hAnsi="Arial"/>
          <w:sz w:val="2"/>
          <w:szCs w:val="2"/>
          <w:color w:val="FFFFFF"/>
        </w:rPr>
        <w:t>Automotive growth</w:t>
      </w:r>
      <w:r>
        <w:rPr>
          <w:rFonts w:ascii="Arial" w:cs="Arial" w:eastAsia="Arial" w:hAnsi="Arial"/>
          <w:sz w:val="4"/>
          <w:szCs w:val="4"/>
          <w:color w:val="FFFFFF"/>
          <w:vertAlign w:val="subscript"/>
        </w:rPr>
        <w:t>developing</w:t>
      </w:r>
      <w:r>
        <w:rPr>
          <w:rFonts w:ascii="Arial" w:cs="Arial" w:eastAsia="Arial" w:hAnsi="Arial"/>
          <w:sz w:val="2"/>
          <w:szCs w:val="2"/>
          <w:color w:val="FFFFFF"/>
        </w:rPr>
        <w:t>Developing trend Industrial investment and Follows the roller Niche market within</w:t>
      </w:r>
    </w:p>
    <w:p>
      <w:pPr>
        <w:ind w:right="5099"/>
        <w:spacing w:after="0" w:line="182" w:lineRule="auto"/>
        <w:rPr>
          <w:sz w:val="20"/>
          <w:szCs w:val="20"/>
          <w:color w:val="auto"/>
        </w:rPr>
      </w:pPr>
      <w:r>
        <w:rPr>
          <w:rFonts w:ascii="Arial" w:cs="Arial" w:eastAsia="Arial" w:hAnsi="Arial"/>
          <w:sz w:val="9"/>
          <w:szCs w:val="9"/>
          <w:color w:val="FFFFFF"/>
        </w:rPr>
        <w:t>Market Growth markets towards outsourcing aftermarket demand markets automotive Key Regions/Markets</w:t>
      </w:r>
    </w:p>
    <w:p>
      <w:pPr>
        <w:ind w:left="80"/>
        <w:spacing w:after="0" w:line="205" w:lineRule="auto"/>
        <w:rPr>
          <w:sz w:val="20"/>
          <w:szCs w:val="20"/>
          <w:color w:val="auto"/>
        </w:rPr>
      </w:pPr>
      <w:r>
        <w:rPr>
          <w:rFonts w:ascii="Arial" w:cs="Arial" w:eastAsia="Arial" w:hAnsi="Arial"/>
          <w:sz w:val="2"/>
          <w:szCs w:val="2"/>
          <w:color w:val="FFFFFF"/>
        </w:rPr>
        <w:t>Growth in developing markets will drive end</w:t>
      </w:r>
      <w:r>
        <w:rPr>
          <w:rFonts w:ascii="Arial" w:cs="Arial" w:eastAsia="Arial" w:hAnsi="Arial"/>
          <w:sz w:val="4"/>
          <w:szCs w:val="4"/>
          <w:color w:val="FFFFFF"/>
          <w:vertAlign w:val="subscript"/>
        </w:rPr>
        <w:t>markets</w:t>
      </w:r>
      <w:r>
        <w:rPr>
          <w:rFonts w:ascii="Arial" w:cs="Arial" w:eastAsia="Arial" w:hAnsi="Arial"/>
          <w:sz w:val="2"/>
          <w:szCs w:val="2"/>
          <w:color w:val="FFFFFF"/>
        </w:rPr>
        <w:t xml:space="preserve"> expansion</w:t>
      </w:r>
    </w:p>
    <w:p>
      <w:pPr>
        <w:spacing w:after="0" w:line="205" w:lineRule="auto"/>
        <w:rPr>
          <w:sz w:val="20"/>
          <w:szCs w:val="20"/>
          <w:color w:val="auto"/>
        </w:rPr>
      </w:pPr>
      <w:r>
        <w:rPr>
          <w:rFonts w:ascii="Arial" w:cs="Arial" w:eastAsia="Arial" w:hAnsi="Arial"/>
          <w:sz w:val="4"/>
          <w:szCs w:val="4"/>
          <w:color w:val="FFFFFF"/>
          <w:vertAlign w:val="superscript"/>
        </w:rPr>
        <w:t>•</w:t>
      </w:r>
    </w:p>
    <w:p>
      <w:pPr>
        <w:ind w:left="80"/>
        <w:spacing w:after="0" w:line="205" w:lineRule="auto"/>
        <w:rPr>
          <w:sz w:val="20"/>
          <w:szCs w:val="20"/>
          <w:color w:val="auto"/>
        </w:rPr>
      </w:pPr>
      <w:r>
        <w:rPr>
          <w:rFonts w:ascii="Arial" w:cs="Arial" w:eastAsia="Arial" w:hAnsi="Arial"/>
          <w:sz w:val="4"/>
          <w:szCs w:val="4"/>
          <w:color w:val="FFFFFF"/>
        </w:rPr>
        <w:t>OutsourcingExpansionofwillcontentcreateintosignificantbroaderindustrialopportunities</w:t>
      </w:r>
    </w:p>
    <w:p>
      <w:pPr>
        <w:spacing w:after="0"/>
        <w:rPr>
          <w:sz w:val="20"/>
          <w:szCs w:val="20"/>
          <w:color w:val="auto"/>
        </w:rPr>
      </w:pPr>
      <w:r>
        <w:rPr>
          <w:rFonts w:ascii="Arial" w:cs="Arial" w:eastAsia="Arial" w:hAnsi="Arial"/>
          <w:sz w:val="13"/>
          <w:szCs w:val="13"/>
          <w:color w:val="FFFFFF"/>
        </w:rPr>
        <w:t>31</w:t>
      </w:r>
    </w:p>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24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4725" cy="422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7"/>
          <w:szCs w:val="7"/>
          <w:color w:val="FFFFFF"/>
        </w:rPr>
        <w:t>MarchInvestor17,Presentation2015</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4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2019-12-06T10:21:38Z</dcterms:created>
  <dcterms:modified xsi:type="dcterms:W3CDTF">2019-12-06T10:21:38Z</dcterms:modified>
</cp:coreProperties>
</file>