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67945</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43815</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74" w:lineRule="exact"/>
        <w:rPr>
          <w:sz w:val="24"/>
          <w:szCs w:val="24"/>
          <w:color w:val="auto"/>
        </w:rPr>
      </w:pPr>
    </w:p>
    <w:p>
      <w:pPr>
        <w:ind w:left="1380" w:hanging="598"/>
        <w:spacing w:after="0"/>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40"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b w:val="1"/>
          <w:bCs w:val="1"/>
          <w:color w:val="auto"/>
        </w:rPr>
        <w:t>December 31, 2022</w:t>
      </w:r>
    </w:p>
    <w:p>
      <w:pPr>
        <w:spacing w:after="0" w:line="200" w:lineRule="exact"/>
        <w:rPr>
          <w:sz w:val="24"/>
          <w:szCs w:val="24"/>
          <w:color w:val="auto"/>
        </w:rPr>
      </w:pPr>
    </w:p>
    <w:p>
      <w:pPr>
        <w:spacing w:after="0" w:line="232" w:lineRule="exact"/>
        <w:rPr>
          <w:sz w:val="24"/>
          <w:szCs w:val="24"/>
          <w:color w:val="auto"/>
        </w:rPr>
      </w:pPr>
    </w:p>
    <w:p>
      <w:pPr>
        <w:ind w:left="1380" w:hanging="598"/>
        <w:spacing w:after="0"/>
        <w:tabs>
          <w:tab w:leader="none" w:pos="1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50"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3620135</wp:posOffset>
            </wp:positionH>
            <wp:positionV relativeFrom="paragraph">
              <wp:posOffset>-7620</wp:posOffset>
            </wp:positionV>
            <wp:extent cx="1288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9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139700</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242570</wp:posOffset>
            </wp:positionV>
            <wp:extent cx="428625" cy="41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99060</wp:posOffset>
            </wp:positionV>
            <wp:extent cx="2631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70"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62-1096725</w:t>
            </w:r>
          </w:p>
        </w:tc>
        <w:tc>
          <w:tcPr>
            <w:tcW w:w="0" w:type="dxa"/>
            <w:vAlign w:val="bottom"/>
          </w:tcPr>
          <w:p>
            <w:pPr>
              <w:spacing w:after="0"/>
              <w:rPr>
                <w:sz w:val="1"/>
                <w:szCs w:val="1"/>
                <w:color w:val="auto"/>
              </w:rPr>
            </w:pPr>
          </w:p>
        </w:tc>
      </w:tr>
      <w:tr>
        <w:trPr>
          <w:trHeight w:val="219"/>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100" w:type="dxa"/>
            <w:vAlign w:val="bottom"/>
          </w:tcPr>
          <w:p>
            <w:pPr>
              <w:jc w:val="center"/>
              <w:ind w:left="91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3"/>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600</w:t>
            </w:r>
          </w:p>
        </w:tc>
        <w:tc>
          <w:tcPr>
            <w:tcW w:w="3100" w:type="dxa"/>
            <w:vAlign w:val="bottom"/>
            <w:vMerge w:val="restart"/>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28277</w:t>
            </w:r>
          </w:p>
        </w:tc>
        <w:tc>
          <w:tcPr>
            <w:tcW w:w="0" w:type="dxa"/>
            <w:vAlign w:val="bottom"/>
          </w:tcPr>
          <w:p>
            <w:pPr>
              <w:spacing w:after="0"/>
              <w:rPr>
                <w:sz w:val="1"/>
                <w:szCs w:val="1"/>
                <w:color w:val="auto"/>
              </w:rPr>
            </w:pPr>
          </w:p>
        </w:tc>
      </w:tr>
      <w:tr>
        <w:trPr>
          <w:trHeight w:val="234"/>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3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440" w:type="dxa"/>
            <w:vAlign w:val="bottom"/>
          </w:tcPr>
          <w:p>
            <w:pPr>
              <w:jc w:val="center"/>
              <w:ind w:right="91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00" w:type="dxa"/>
            <w:vAlign w:val="bottom"/>
          </w:tcPr>
          <w:p>
            <w:pPr>
              <w:jc w:val="center"/>
              <w:ind w:left="93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(980) 264-4300</w:t>
      </w:r>
    </w:p>
    <w:p>
      <w:pPr>
        <w:spacing w:after="0" w:line="1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40" w:right="479" w:bottom="1440" w:gutter="0" w:footer="0" w:header="0"/>
        </w:sectPr>
      </w:pPr>
    </w:p>
    <w:p>
      <w:pPr>
        <w:spacing w:after="0" w:line="5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44" w:lineRule="exact"/>
        <w:rPr>
          <w:sz w:val="24"/>
          <w:szCs w:val="24"/>
          <w:color w:val="auto"/>
        </w:rPr>
      </w:pPr>
    </w:p>
    <w:p>
      <w:pPr>
        <w:sectPr>
          <w:pgSz w:w="11900" w:h="16838" w:orient="portrait"/>
          <w:cols w:equalWidth="0" w:num="3">
            <w:col w:w="4440" w:space="720"/>
            <w:col w:w="1320" w:space="720"/>
            <w:col w:w="3900"/>
          </w:cols>
          <w:pgMar w:left="320" w:top="1440" w:right="4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36" w:lineRule="exact"/>
        <w:rPr>
          <w:sz w:val="24"/>
          <w:szCs w:val="24"/>
          <w:color w:val="auto"/>
        </w:rPr>
      </w:pPr>
    </w:p>
    <w:p>
      <w:pPr>
        <w:sectPr>
          <w:pgSz w:w="11900" w:h="16838" w:orient="portrait"/>
          <w:cols w:equalWidth="0" w:num="3">
            <w:col w:w="4640" w:space="720"/>
            <w:col w:w="1160" w:space="720"/>
            <w:col w:w="3860"/>
          </w:cols>
          <w:pgMar w:left="320" w:top="1440"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38" w:lineRule="exact"/>
        <w:rPr>
          <w:sz w:val="24"/>
          <w:szCs w:val="24"/>
          <w:color w:val="auto"/>
        </w:rPr>
      </w:pPr>
    </w:p>
    <w:p>
      <w:pPr>
        <w:ind w:right="1500"/>
        <w:spacing w:after="0" w:line="30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1" w:lineRule="exact"/>
        <w:rPr>
          <w:sz w:val="24"/>
          <w:szCs w:val="24"/>
          <w:color w:val="auto"/>
        </w:rPr>
      </w:pPr>
    </w:p>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780" w:type="dxa"/>
        <w:tblCellMar>
          <w:top w:w="0" w:type="dxa"/>
          <w:left w:w="0" w:type="dxa"/>
          <w:bottom w:w="0" w:type="dxa"/>
          <w:right w:w="0" w:type="dxa"/>
        </w:tblCellMar>
      </w:tblP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0" w:lineRule="exact"/>
        <w:rPr>
          <w:sz w:val="20"/>
          <w:szCs w:val="20"/>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1" w:lineRule="exact"/>
        <w:rPr>
          <w:sz w:val="20"/>
          <w:szCs w:val="20"/>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was approximately $67.5 million as of June 30, 2022, the last business day of the registrant’s most recently completed second fiscal quarter, computed using the closing price of the registrant’s common stock as quoted on the Nasdaq Stock Market LLC on that date of $2.53.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there were 43,846,073 shares of the registrant’s common stock, par value $0.01 per share, outstanding.</w:t>
      </w:r>
    </w:p>
    <w:p>
      <w:pPr>
        <w:spacing w:after="0" w:line="11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Portions of the Proxy Statement with respect to the 2023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60" w:type="dxa"/>
            <w:vAlign w:val="bottom"/>
            <w:gridSpan w:val="9"/>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60" w:type="dxa"/>
            <w:vAlign w:val="bottom"/>
            <w:gridSpan w:val="9"/>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20" w:type="dxa"/>
            <w:vAlign w:val="bottom"/>
            <w:gridSpan w:val="3"/>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84"/>
              </w:rPr>
              <w:t>PART I</w:t>
            </w:r>
          </w:p>
        </w:tc>
        <w:tc>
          <w:tcPr>
            <w:tcW w:w="1000" w:type="dxa"/>
            <w:vAlign w:val="bottom"/>
            <w:gridSpan w:val="5"/>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1"/>
              </w:rPr>
              <w:t>Item 1A.</w:t>
            </w:r>
          </w:p>
        </w:tc>
        <w:tc>
          <w:tcPr>
            <w:tcW w:w="440" w:type="dxa"/>
            <w:vAlign w:val="bottom"/>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2"/>
              </w:rPr>
              <w:t>Item 1B.</w:t>
            </w:r>
          </w:p>
        </w:tc>
        <w:tc>
          <w:tcPr>
            <w:tcW w:w="440" w:type="dxa"/>
            <w:vAlign w:val="bottom"/>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440" w:type="dxa"/>
            <w:vAlign w:val="bottom"/>
          </w:tcPr>
          <w:p>
            <w:pPr>
              <w:spacing w:after="0"/>
              <w:rPr>
                <w:sz w:val="22"/>
                <w:szCs w:val="22"/>
                <w:color w:val="auto"/>
              </w:rPr>
            </w:pPr>
          </w:p>
        </w:tc>
        <w:tc>
          <w:tcPr>
            <w:tcW w:w="20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240" w:type="dxa"/>
            <w:vAlign w:val="bottom"/>
            <w:gridSpan w:val="12"/>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80" w:type="dxa"/>
            <w:vAlign w:val="bottom"/>
            <w:gridSpan w:val="3"/>
          </w:tcPr>
          <w:p>
            <w:pPr>
              <w:spacing w:after="0"/>
              <w:rPr>
                <w:sz w:val="22"/>
                <w:szCs w:val="22"/>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40" w:type="dxa"/>
            <w:vAlign w:val="bottom"/>
            <w:gridSpan w:val="16"/>
          </w:tcPr>
          <w:p>
            <w:pPr>
              <w:spacing w:after="0"/>
              <w:rPr>
                <w:sz w:val="22"/>
                <w:szCs w:val="22"/>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Part II</w:t>
            </w:r>
          </w:p>
        </w:tc>
        <w:tc>
          <w:tcPr>
            <w:tcW w:w="1000" w:type="dxa"/>
            <w:vAlign w:val="bottom"/>
            <w:gridSpan w:val="5"/>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80" w:type="dxa"/>
            <w:vAlign w:val="bottom"/>
            <w:gridSpan w:val="3"/>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r>
              <w:rPr>
                <w:rFonts w:ascii="Times New Roman" w:cs="Times New Roman" w:eastAsia="Times New Roman" w:hAnsi="Times New Roman"/>
                <w:sz w:val="18"/>
                <w:szCs w:val="18"/>
                <w:color w:val="000000"/>
              </w:rPr>
              <w:t>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1"/>
              </w:rPr>
              <w:t>Item 7A.</w:t>
            </w:r>
          </w:p>
        </w:tc>
        <w:tc>
          <w:tcPr>
            <w:tcW w:w="440" w:type="dxa"/>
            <w:vAlign w:val="bottom"/>
          </w:tcPr>
          <w:p>
            <w:pPr>
              <w:spacing w:after="0"/>
              <w:rPr>
                <w:sz w:val="22"/>
                <w:szCs w:val="22"/>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7"/>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480" w:type="dxa"/>
            <w:vAlign w:val="bottom"/>
            <w:gridSpan w:val="3"/>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480" w:type="dxa"/>
            <w:vAlign w:val="bottom"/>
            <w:gridSpan w:val="3"/>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1"/>
              </w:rPr>
              <w:t>Item 9A.</w:t>
            </w:r>
          </w:p>
        </w:tc>
        <w:tc>
          <w:tcPr>
            <w:tcW w:w="440" w:type="dxa"/>
            <w:vAlign w:val="bottom"/>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2"/>
              </w:rPr>
              <w:t>Item 9B.</w:t>
            </w:r>
          </w:p>
        </w:tc>
        <w:tc>
          <w:tcPr>
            <w:tcW w:w="440" w:type="dxa"/>
            <w:vAlign w:val="bottom"/>
          </w:tcPr>
          <w:p>
            <w:pPr>
              <w:spacing w:after="0"/>
              <w:rPr>
                <w:sz w:val="22"/>
                <w:szCs w:val="22"/>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2"/>
                <w:szCs w:val="22"/>
                <w:color w:val="auto"/>
              </w:rPr>
            </w:pPr>
          </w:p>
        </w:tc>
        <w:tc>
          <w:tcPr>
            <w:tcW w:w="7520" w:type="dxa"/>
            <w:vAlign w:val="bottom"/>
            <w:gridSpan w:val="14"/>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2"/>
              </w:rPr>
              <w:t>Item 9C.</w:t>
            </w:r>
          </w:p>
        </w:tc>
        <w:tc>
          <w:tcPr>
            <w:tcW w:w="440" w:type="dxa"/>
            <w:vAlign w:val="bottom"/>
          </w:tcPr>
          <w:p>
            <w:pPr>
              <w:spacing w:after="0"/>
              <w:rPr>
                <w:sz w:val="22"/>
                <w:szCs w:val="22"/>
                <w:color w:val="auto"/>
              </w:rPr>
            </w:pPr>
          </w:p>
        </w:tc>
        <w:tc>
          <w:tcPr>
            <w:tcW w:w="4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80" w:type="dxa"/>
            <w:vAlign w:val="bottom"/>
            <w:gridSpan w:val="6"/>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6"/>
              </w:rPr>
              <w:t>Item 10.</w:t>
            </w:r>
          </w:p>
        </w:tc>
        <w:tc>
          <w:tcPr>
            <w:tcW w:w="460" w:type="dxa"/>
            <w:vAlign w:val="bottom"/>
            <w:gridSpan w:val="2"/>
          </w:tcPr>
          <w:p>
            <w:pPr>
              <w:spacing w:after="0"/>
              <w:rPr>
                <w:sz w:val="22"/>
                <w:szCs w:val="22"/>
                <w:color w:val="auto"/>
              </w:rPr>
            </w:pPr>
          </w:p>
        </w:tc>
        <w:tc>
          <w:tcPr>
            <w:tcW w:w="4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40" w:type="dxa"/>
            <w:vAlign w:val="bottom"/>
            <w:gridSpan w:val="8"/>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6"/>
              </w:rPr>
              <w:t>Item 11.</w:t>
            </w:r>
          </w:p>
        </w:tc>
        <w:tc>
          <w:tcPr>
            <w:tcW w:w="440" w:type="dxa"/>
            <w:vAlign w:val="bottom"/>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6"/>
              </w:rPr>
              <w:t>Item 12.</w:t>
            </w:r>
          </w:p>
        </w:tc>
        <w:tc>
          <w:tcPr>
            <w:tcW w:w="440" w:type="dxa"/>
            <w:vAlign w:val="bottom"/>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6"/>
              </w:rPr>
              <w:t>Item 13.</w:t>
            </w:r>
          </w:p>
        </w:tc>
        <w:tc>
          <w:tcPr>
            <w:tcW w:w="440" w:type="dxa"/>
            <w:vAlign w:val="bottom"/>
          </w:tcPr>
          <w:p>
            <w:pPr>
              <w:spacing w:after="0"/>
              <w:rPr>
                <w:sz w:val="22"/>
                <w:szCs w:val="22"/>
                <w:color w:val="auto"/>
              </w:rPr>
            </w:pP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6"/>
              </w:rPr>
              <w:t>Item 14.</w:t>
            </w:r>
          </w:p>
        </w:tc>
        <w:tc>
          <w:tcPr>
            <w:tcW w:w="20" w:type="dxa"/>
            <w:vAlign w:val="bottom"/>
            <w:tcBorders>
              <w:top w:val="single" w:sz="8" w:color="0000FF"/>
            </w:tcBorders>
          </w:tcPr>
          <w:p>
            <w:pPr>
              <w:spacing w:after="0"/>
              <w:rPr>
                <w:sz w:val="22"/>
                <w:szCs w:val="22"/>
                <w:color w:val="auto"/>
              </w:rPr>
            </w:pPr>
          </w:p>
        </w:tc>
        <w:tc>
          <w:tcPr>
            <w:tcW w:w="440" w:type="dxa"/>
            <w:vAlign w:val="bottom"/>
          </w:tcPr>
          <w:p>
            <w:pPr>
              <w:spacing w:after="0"/>
              <w:rPr>
                <w:sz w:val="22"/>
                <w:szCs w:val="22"/>
                <w:color w:val="auto"/>
              </w:rPr>
            </w:pPr>
          </w:p>
        </w:tc>
        <w:tc>
          <w:tcPr>
            <w:tcW w:w="28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tcBorders>
              <w:top w:val="single" w:sz="8" w:color="0000FF"/>
            </w:tcBorders>
            <w:gridSpan w:val="6"/>
          </w:tcPr>
          <w:p>
            <w:pPr>
              <w:spacing w:after="0"/>
              <w:rPr>
                <w:sz w:val="22"/>
                <w:szCs w:val="22"/>
                <w:color w:val="auto"/>
              </w:rPr>
            </w:pPr>
          </w:p>
        </w:tc>
        <w:tc>
          <w:tcPr>
            <w:tcW w:w="3840" w:type="dxa"/>
            <w:vAlign w:val="bottom"/>
            <w:gridSpan w:val="5"/>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1000" w:type="dxa"/>
            <w:vAlign w:val="bottom"/>
            <w:gridSpan w:val="5"/>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6"/>
              </w:rPr>
              <w:t>Item 15.</w:t>
            </w:r>
          </w:p>
        </w:tc>
        <w:tc>
          <w:tcPr>
            <w:tcW w:w="440" w:type="dxa"/>
            <w:vAlign w:val="bottom"/>
          </w:tcPr>
          <w:p>
            <w:pPr>
              <w:spacing w:after="0"/>
              <w:rPr>
                <w:sz w:val="22"/>
                <w:szCs w:val="22"/>
                <w:color w:val="auto"/>
              </w:rPr>
            </w:pP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120" w:type="dxa"/>
            <w:vAlign w:val="bottom"/>
            <w:gridSpan w:val="10"/>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6"/>
              </w:rPr>
              <w:t>Item 16.</w:t>
            </w:r>
          </w:p>
        </w:tc>
        <w:tc>
          <w:tcPr>
            <w:tcW w:w="440" w:type="dxa"/>
            <w:vAlign w:val="bottom"/>
          </w:tcPr>
          <w:p>
            <w:pPr>
              <w:spacing w:after="0"/>
              <w:rPr>
                <w:sz w:val="22"/>
                <w:szCs w:val="22"/>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21"/>
                <w:szCs w:val="21"/>
                <w:color w:val="auto"/>
              </w:rPr>
            </w:pPr>
          </w:p>
        </w:tc>
      </w:tr>
      <w:tr>
        <w:trPr>
          <w:trHeight w:val="885"/>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gridSpan w:val="13"/>
          </w:tcPr>
          <w:p>
            <w:pPr>
              <w:jc w:val="center"/>
              <w:ind w:left="3930"/>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5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(the “Securities Act”),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NN, Inc.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inflationary pressures and changes in the cost or availability of materials, supply chain shortages and disruptions, and the availability of labor; our dependence on certain major customers, some of whom are not parties to long-term agreements (and/or are terminable on short notice); the impact of acquisitions and divestitures; our ability to hire or retain key personnel;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and cyber liability or potential liability for breaches of our or our service providers’ information technology systems or business operations disruptions. The foregoing factors should be not be construed as exhaustive and should be read in conjunction with the sections entitled “Risk Factors” and “Management’s Discussion and Analysis of Financial Condition and Results of Operations” included in this Annual Report, and in any of the Company’s subsequent filings made with the Securities and Exchange Commission (the “SEC”). Any forward-looking statement speaks only as of the date of this Annual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NN, Inc. is a diversified industrial company that combines in-depth materials science expertise with advanced engineering and production capabilities to design and manufacture high-precision metal and plastic components and assemblies for a variety of end markets on a global basis. As used in this Annual Report, the terms “NN,” the “Company,” “we,” “our,” or “us” refer to NN, Inc., and its subsidiaries. As of December 31, 2022, we had 31 facilities in North America, Europe, South America, and Asia.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enterprise and management structure is designed to accelerate growth and further balance our portfolio by aligning our strategic assets and businesses.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are organized into the Mobile Solutions and Power Solutions groups and are based principally on the end markets they serve.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 and Products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Mobile Solutions is focused on growth in the automotive and general industrial end markets. We have developed an expertise in 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Power Solutions is focused on growth in the electrical, general industrial, automotive, and medical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transportation electrification.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High-precision manufacturing capabilities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volume level requested by our customers. As the need for tight-tolerance precision parts, subassemblies, and devices continues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Differentiated, system-critical products</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tight-tolerance and high-quality nature of our precision products is specifically suited for use in the most demanding applications that require superior reliability. Our products are critical components to the operation and reliability of larger mechanical systems. Precision parts are difficult to manufacture and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Underwriters Laboratories (“UL”).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Complete product lifecycle focus</w:t>
      </w:r>
    </w:p>
    <w:p>
      <w:pPr>
        <w:spacing w:after="0" w:line="6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the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Prototype products are developed for testing, and process validation procedures are instituted. In certain instances, we will file for regulatory production approval and include the customer’s proprietary processes, further reducing supplier changes. We will assist the customer with continuous supply chain management and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blue-chip customer base</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maintain relationships with hundreds of customers around the world. Our customers are typically sophisticated, engineering-driven, mechanical systems manufacturers with long histories of product development and reputations for quality. We have no significant retail exposure, which limits volatility and provides enhanced sales visibility. Relationships with our top ten customers, in terms of revenue, average more than ten years. We have significant exposure to emerging markets in Asia, South America, and Europe through these global customers as well as key local manufacturers. The diverse nature, size, and reach of our customer base provides resistance to localized market and geographic fluctuations and helps stabilize overall product demand.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global footprint</w:t>
      </w:r>
    </w:p>
    <w:p>
      <w:pPr>
        <w:spacing w:after="0" w:line="6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31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2.1 million square feet of manufacturing space. North America constitutes the largest portion of our manufacturing operations with facilities in the U.S. and Mexico. The North American facilities are strategically located to serve major customers in the United States and Mexico. Our foreign facilities are located in regional manufacturing hubs in France, Poland, China, and Brazil, and primarily serve global customers in those local markets. We believe that the Asian and South American facilities have significant growth potential as local customer bases expand and the markets for high-precision products grow in those regions.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Synergies</w:t>
      </w:r>
    </w:p>
    <w:p>
      <w:pPr>
        <w:spacing w:after="0" w:line="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continue to realize synergy effects between Mobile Solutions and Power Solutions by pairing our experienced engineering resources and wide-ranging portfolio of process technologies from each business to serve our customers’ ever evolving needs. Recent solutions developed in the electrical, electric vehicle, and general industrial markets leveraged the deep experience and expertise from each business to respond to tight, stringent requirements - all of which in a custom and innovative manner to meet each customer’s unique demand requirements. In addition, we continue to experience customer demand that utilizes multiple facilities from both businesses on a global basis due to our track record of quality and strong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products are supplied primarily to manufacturers for use in a broad range of industrial applications, including automotive; electrical; agricultural; construction; residential devices and equipment; aerospace and defense; medical; heating, ventilation, and air conditioning; and fluid power and diesel engines. Sales to each of our top ten customers are made to multiple customer locations and divisions throughout the world. In 2022, our top ten customers accounted for approximately 48% of our net sales. In 2022, 70% of our products were sold to customers in North America, 13% to customers in Asia, 10% to customers in South America, and 7% to customers in Europe.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Principles</w:t>
      </w:r>
    </w:p>
    <w:p>
      <w:pPr>
        <w:spacing w:after="0" w:line="6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in the communities in which we operate.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Headcount</w:t>
      </w:r>
    </w:p>
    <w:p>
      <w:pPr>
        <w:spacing w:after="0" w:line="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2022, we employed a total of 3,363 full and part-time employees and 298 temporary workers, which includes 1,335 employees in the U.S. and 2,326 employees in other countries employed by our international subsidiaries. Of our total employment, approximately 12% are management/staff employees and 88% are production employees. Our employees in the France, Brazil, and Mexico City plants are subject to labor council relationships that vary due to the diverse countries in which we operate. We believe we have a good working relationship with our employees and the unions that represent them.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 (“DE&amp;I”)</w:t>
      </w:r>
    </w:p>
    <w:p>
      <w:pPr>
        <w:spacing w:after="0" w:line="65"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Diversity, equity, and inclusion are at the core of our values and strategic business priorities. Throughout our business, we champion equality, supporting parity for women and under-represented groups as we work to create ethical, safe, and supportive workplaces where our employees thrive. We believe a diverse and inclusive workplace results in business growth and encourages increased innovation, retention of talent, and a more engaged workforce.</w:t>
      </w:r>
    </w:p>
    <w:p>
      <w:pPr>
        <w:spacing w:after="0" w:line="2"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Respect for human rights is fundamental to our business and our commitment to ethical business conduct, as is embodied by our Human Rights Policy, which sets forth our expectations related to workplace discrimination; diversity, equity and inclusion; workplace conditions; and freedom of association.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Benefits, and Employee Health and Safety</w:t>
      </w:r>
    </w:p>
    <w:p>
      <w:pPr>
        <w:spacing w:after="0" w:line="6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compensation programs are based on a strong alignment between pay and performance, and are designed to reward both financial and operational successes and support actions that drive stockholder value creation at all organizational levels. We use a combination of programs (which vary by geography and level) to attract and retain our employees, including annual performance bonuses, quarterly gainsharing bonuses, and equity awards.</w:t>
      </w:r>
    </w:p>
    <w:p>
      <w:pPr>
        <w:spacing w:after="0" w:line="68"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We also provide our employees and their families access to a range of benefits, including health insurance benefits, employer-paid life and disability insurance, health savings and flexible spending accounts, 401(k) match, vacation and paid time off, wellness offerings, education assistance, and an employee assistance program.</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health and safety of our employees and anyone who conducts business on our behalf is very important to us. Our commitment to safety starts at the top levels of our organization. We believe a safe and secure workplace is fundamental to our success. We are also committed to engaging our employees to continually improve health and safety by acting upon opportunities to reduce risk and improve our safety and health performance. In addition we offer training programs on a regular basis. We maintain comprehensive safety programs focused on identifying hazards and eliminating risks that can lead to work-place injuries.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strong safety focus that we maintain within our operations, our emphasis during the COVID-19 pandemic has been on protecting the health and safety of our employees and the communities in which we operate. Our team monitors country, state, and local guidance, and uses these to implement best practice guidelines for employees and visitors. Throughout the COVID-19 pandemic, we increased communications, including the addition of virtual “town hall” style meetings at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group and organizational level. This has helped employees across our global footprint stay connected, whether working from home or at one of our manufacturing sites.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invest resources in professional development to improve employee motivation, performance and engagement. Our annual talent management program helps identify needs at multiple levels, enabling us to provide employees with the resources they need to help achieve their career goals, build skills and lead their organizations. Further, annual goal-setting and development opportunities for employees and leaders helps our people align their professional experience with the Company’s business objectives and encourages them to take ownership of their development and career paths.</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use regular talent management and performance evaluation processes to inform the Company’s internal development processes and to calibrate assessment of individual performance organizationally. These activities form the basis for succession planning activities, up to and including the senior leadership level.</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have apprenticeships, internships, and cooperative education programs in place at certain locations, which we intend to expand more broadly across the company. These programs allow us to provide a combination of education and employment options that deliver depth and context and help them build a long-term career path.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market in which Mobile Solutions operates, internal production of components by our customers can impact our business as the customers weigh the risk of outsourcing strategically critical components or producing in-house. Our primary competitors are: Anton Häring KG; A. Berger Holding GmbH &amp; Co. KG; Brovedani Group, Burgmaier Technologies GmbH &amp; Co. KG; CIE Automotive, S.A.; IMS Companies; and MacLean-Fogg Component Solutions. We believe that we generally win new business on the basis of our technical competence, proven track record of successful product development and global platform, as well as on quality, price, and service.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Power Solutions operates in intensely competitive but very fragmented supply chains. We must compete with numerous companies in each industry market segment. Our primary competitors are: Checon Corporation; Deringer-Ney, Inc.; Electrical Contacts, Ltd.; Interplex Industries, Inc.; J&amp;J Machining, LLC; Norstan, Inc.; Owens Industries, Inc.; and Precinmac Precision Machining. We believe that competition within the electrical end market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Solutions</w:t>
      </w:r>
    </w:p>
    <w:p>
      <w:pPr>
        <w:spacing w:after="0" w:line="6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Mobile Solutions produces products from a wide variety of metals in various forms from various sources located in the North America, Europe, South America, and Asia.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Solutions</w:t>
      </w:r>
    </w:p>
    <w:p>
      <w:pPr>
        <w:spacing w:after="0" w:line="6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Power Solutions uses a wide variety of metals in various forms, including precious metals like gold, silver, palladium, and platinum, as well as plastics. Through our diverse network of suppliers, we minimize supplier concentration risk and provide a stable supply of raw materials at competitive pricing. This group also procures resins and metal stampings from several domestic and foreign suppliers. Power Solutions bases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 consignment agreements. In effect, we contract the precious metals for our own stock and buy the raw materials on the same day customer shipments are priced, thereby eliminating risk of price changes from procurement to product shipment.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Cost Pressures</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each of our segments, we have historically been affected by upward price pressure on steel principally due to general increases in global demand. In general, we pass through material cost fluctuations to our customers in the form of changes in selling price. Most of the raw materials we use are purchased from various suppliers and are typically available from numerous sources, some of which are located in China and Europe. The COVID-19 pandemic and ongoing supply chain disruptions, resulting in supply shortages and higher shipping charges, have impacted our suppliers and could continue to impact our ability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maintain supplies of products and the costs associated with obtaining raw materials and key components. We continue to monitor the effects of these impacts on our supply chain in order to maintain regular and timely supply of raw materials to our business segments.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Licenses</w:t>
      </w:r>
    </w:p>
    <w:p>
      <w:pPr>
        <w:spacing w:after="0" w:line="67"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We have several U.S. patents, patent applications and trademarks for various trade names. However, we cannot be certain that we would be able to protect and enforce our intellectual property rights against third parties, and if we cannot do so, we may face increased competition and diminished net sales.</w:t>
      </w:r>
    </w:p>
    <w:p>
      <w:pPr>
        <w:spacing w:after="0" w:line="3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Furthermore, third parties may assert infringement claims against us based on their patents or other intellectual property, and we may have to pay substantial damages and/or redesign our products if we are ultimately found to infringe. Even if such intellectual property claims against us are without merit, investigating and defending these types of lawsuits takes significant time, may be expensive and may divert management attention from other business concerns.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rely on certain data and processes, including trade secrets and know-how, and the success of our business depends, to some extent,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information remaining confidential. Each officer is subject to a non-competition and confidentiality agreement that seeks to protect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Additionally, all employees are subject to company code of ethics policies that prohibit the disclosure of information critical to the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automotive sales tend to slow in July and December, and sales to original equipment manufacturers are often stronger immediately preceding and following the launch of new products. However, as a whole, we are not materially impacted by seasonality.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and Environmental Matters</w:t>
      </w:r>
    </w:p>
    <w:p>
      <w:pPr>
        <w:spacing w:after="0" w:line="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regulatory requirements, including those intended to protect public health and the environment. In the U.S. certain of our products and operations are regulated by the Environmental Protection Agency. Similar regulations have been adopted by authorities in foreign countries where we sell our products, and by state and local authorities in the U.S. In order to conduct our operations in compliance with these laws and regulations we must obtain and maintain numerous permits, approvals and certificates from various federal, state, local, and foreign governmental authorities.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also required to comply with increasingly complex and changing laws and regulations enacted to protect business and personal data in the U.S. and other jurisdictions regarding privacy, data protection, and data security, including those related to the collection, storage, use, transmission, and protection of personal information and other customer, supplier or employee data. Such privacy and data protection laws and regulations, and the interpretation and enforcement of such laws and regulations, are continuously developing and evolving and there is significant uncertainty with respect to how compliance with these laws and regulations may evolve and the costs and complexity of future compliance.</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information compiled to date, management believes that our current operations are in substantial compliance with applicable governmental laws and regulations, the violation of which could have a material adverse effect on our business and financial condition. As of the date hereof, compliance with these laws and regulations has not had a material effect on our capital expenditures, results of operations, and competitive position. For additional information, see “Item 1A - Risk Factors.”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potential impact of climate change on our operations is unclear. Climate change could result in an increase in severe weather events, such as hurricanes, tropical storms, blizzards and ice storms, which often results in delays or other negative consequences for our manufacturing operations, which could negatively impact our financial results. We have not identified any, and we do not believe there to be in the near term, material impacts on our business, financial condition or results of operations as a result of compliance with legislation or regulatory rules regarding climate change or from the known physical effects of climate change. Increased regulation and other climate change concerns, however, could subject us to additional costs and restrictions and could negatively affect our business, operations and financial results.</w:t>
      </w:r>
    </w:p>
    <w:p>
      <w:pPr>
        <w:spacing w:after="0" w:line="7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May 5, 2022, we released our 2021 Sustainability Report which established our global sustainability strategy. We conducted a comprehensive environmental, social and governance (“ESG”) materiality assessment to identify our most significant economic, environmental and social impacts. The material ESG topics identified during this process enable our organization to prioritize our investments and actions and provide meaningful disclosures throughout this report. We intend to regularly review and update our ESG priorities on an ongoing basis to ensure they continue to reflect our evolving business operations. The information provided in our 2021 Sustainability Report as well as on our website, is not part of this Annual Report, and is therefore not incorporated by reference into this Annual Report or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180" w:type="dxa"/>
            <w:vAlign w:val="bottom"/>
          </w:tcPr>
          <w:p>
            <w:pPr>
              <w:ind w:left="3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r>
      <w:tr>
        <w:trPr>
          <w:trHeight w:val="218"/>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R. Buchan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 Mobile Solutions and Power Solutions</w:t>
            </w: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S. Heiter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3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Andrew Wall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Commercial Officer</w:t>
            </w:r>
          </w:p>
        </w:tc>
      </w:tr>
    </w:tbl>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Warren A. Veltman was appointed President and Chief Executive Officer in September 2019, having previously served as Executive Vice President of Mobile Solutions since January 2018. Mr. Veltman joined NN as part of the Autocam acquisition in 2014 as the Senior Vice President and General Manager of our former Autocam Precision Components Group. Prior to the acquisition, Mr. Veltman served as Chief Financial Officer of Autocam Corporation from 1990 and Secretary and Treasurer since 1991. As previously announced, Mr. Veltman will retire as President and Chief Executive Officer on March 31, 2023; however, such date may be extended in order to facilitate an orderly transition.</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Michael C. Felcher was appointed Senior Vice President and Chief Financial Officer in July 2021 having previously served as Vice President, Chief Accounting Officer since June 2018. Prior to joining the Company, Mr. Felcher served as the Vice President, North America Chief Financial Officer for JELD-WEN, Inc., a publicly held, global manufacturer of doors and windows, from 2013 to 2017. Before assuming his role at JELD-WEN, Inc., Mr. Felcher served as a Director of Finance for United Technologies Corp. following its acquisition of Goodrich Corporation in 2012. Previously, Mr. Felcher served in a variety of finance roles at Goodrich. Mr. Felcher began his career at PricewaterhouseCoopers and is a licensed CPA.</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John R. Buchan was appointed Executive Vice President of Mobile Solutions in September 2019 and Executive Vice President of Mobile Solutions and Power Solutions in November 2019 having previously served as Vice President of Operations of Mobile Solutions. Mr. Buchan joined NN as part of the Autocam acquisition in 2014, where he served as the Chief Operations Officer. Prior to joining Autocam in 2002, Mr. Buchan held a variety of technical leadership roles at Benteler Automotive, culminating in his appointment as Executive Vice President of the Exhaust Products Group. Mr. Buchan has spent his entire career in operations roles, beginning with General Motors Central Foundry and Rochester Products Divisions. As previously announced, Mr. Buchan will retire as Executive Vice President of Mobile Solutions and Power Solutions on March 31, 2023; however, such date may be extended in order to facilitate an orderly transition.</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Matthew S. Heiter joined us as Senior Vice President, General Counsel and Secretary in July 2015. Prior to joining NN, Mr. Heiter was a shareholder in the law firm of Baker, Donelson, Bearman, Caldwell and Berkowitz, P.C. from May 1996 to December 1999 and from July 2002 to July 2015, where he served as chairman of the firm’s Securities and Corporate Governance Practice Group. From January 2000 to July 2002, Mr. Heiter served as the Executive Vice President, General Counsel, and Secretary of Internet Pictures Corporation, a publicly traded internet technology company.</w:t>
      </w:r>
    </w:p>
    <w:p>
      <w:pPr>
        <w:spacing w:after="0" w:line="7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 Gail Nixon joined us in 2007 and was appointed Senior Vice President and Chief Human Resources Officer in January 2018. Ms. Nixon previously served as our Vice President of Human Resources as well as Corporate Human Resources Manager. Ms. Nixon is a member of the Society for Human Resource Management (“SHRM”) and has earned her Senior Professional in Human Resources and SHRM – Senior Certified Professional designations. From 2000 to 2007, she held various accounting and human resources positions with a multi-state healthcare organization, ultimately serving as its corporate human resources director.</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J. Andrew Wall joined us as Senior Vice President and Chief Commercial Officer in January 2022. Prior to joining NN, he served in numerous management positions for ABB, Ltd. (“ABB”), a publicly held, global manufacturer of heavy electrical equipment and automation technology. Mr. Wall served as ABB’s Vice President, Product Marketing and Sales, Electrification U.S. from January 2018 through December 2021, where he was responsible for leading the creation and implementation of ABB's U.S. product marketing strategy. Before that, Mr. Wall served as Vice President and General Manager, Power Products Services U.S. for ABB from July 2015 through December 2017.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 SEC Filings</w:t>
      </w:r>
    </w:p>
    <w:p>
      <w:pPr>
        <w:spacing w:after="0" w:line="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in the “Investor Relations” section of our website (www.nninc.com), our annual reports on Form 10-K, quarterly reports on Form 10-Q, current reports on Form 8-K, and amendments to those reports filed or furnished pursuant to Section 13(a) or 15(d) of the Exchange Act, as soon as reasonably practicable after electronically filing such material with, or furnishing it to, the SEC.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risks and uncertainties may have a material affect on our business, prospects, financial condition, results of operations, and cash flows, and should be considered in connection with the other information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 The risks and uncertainties described below are not the only risks facing our company. Risks and uncertainties not currently known to us or that we currently deem to be immaterial also may materially adversely affect our business, prospects, financial condition, results of operations, and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6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disease outbreaks and other public health crises, such as the COVID-19 pandemic, could materially adversely impact our business, financial condition, results of operations and cash flows.</w:t>
      </w:r>
    </w:p>
    <w:p>
      <w:pPr>
        <w:spacing w:after="0" w:line="253" w:lineRule="auto"/>
        <w:rPr>
          <w:sz w:val="20"/>
          <w:szCs w:val="20"/>
          <w:color w:val="auto"/>
        </w:rPr>
      </w:pPr>
      <w:r>
        <w:rPr>
          <w:rFonts w:ascii="Times New Roman" w:cs="Times New Roman" w:eastAsia="Times New Roman" w:hAnsi="Times New Roman"/>
          <w:sz w:val="18"/>
          <w:szCs w:val="18"/>
          <w:color w:val="auto"/>
        </w:rPr>
        <w:t>Pandemics, epidemics or disease outbreaks in the U.S. or globally, including the COVID-19 pandemic, have disrupted, and may in the future disrupt, our business, which could materially affect our results of financial condition, results of operations and cash flows. Any such events may adversely impact our global supply chain and global manufacturing operations and cause us to again suspend our operations in countries and states where we operate. In particular, we have experienced, and could continue to experience, among other things: (1) global supply disruptions, especially in China; (2) labor disruptions; (3) an inability to manufacture; (4) an inability to sell and distribute our products to our customers; (5) a decline in customer demand during and following the pandemic, whether as a result of our inability to satisfy customer demand in a timely manner due to raw material shortages, supply chain disruptions, inflationary cost pressures, or work stoppages experienced by one or more of our customers; and (6) an impaired ability to access credit and the capital markets, especially in light of the rising interest rates. Any new pandemic or other public health crises, or future public health crises, could have a material impact on our business, financial condition, results of operations and cash flows going forward. To the extent any new pandemic or other public health crises adversely affects our business, financial condition, results of operation and cash flows, it may also have the effect of heightening other risks and uncertainties disclosed below.</w:t>
      </w:r>
    </w:p>
    <w:p>
      <w:pPr>
        <w:spacing w:after="0" w:line="80"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relatively limited number of customers, and the loss of any major customer would have a material adverse effect on our business.</w:t>
      </w: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2022, sales to various U.S. and foreign divisions of our ten largest customers accounted for approximately 48% of our consolidated net sales. The loss of all or a substantial portion of sales to these customers would cause us to lose a substantial portion of our revenue and would lower our operating profit margin and cash flows from operations.</w:t>
      </w:r>
    </w:p>
    <w:p>
      <w:pPr>
        <w:spacing w:after="0" w:line="6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Work stoppages or similar difficulties and unanticipated business disruptions could significantly disrupt our operations, reduce our revenues and materially affect our earnings.</w:t>
      </w:r>
    </w:p>
    <w:p>
      <w:pPr>
        <w:spacing w:after="0" w:line="254" w:lineRule="auto"/>
        <w:rPr>
          <w:sz w:val="20"/>
          <w:szCs w:val="20"/>
          <w:color w:val="auto"/>
        </w:rPr>
      </w:pPr>
      <w:r>
        <w:rPr>
          <w:rFonts w:ascii="Times New Roman" w:cs="Times New Roman" w:eastAsia="Times New Roman" w:hAnsi="Times New Roman"/>
          <w:sz w:val="18"/>
          <w:szCs w:val="18"/>
          <w:color w:val="auto"/>
        </w:rPr>
        <w:t>We have a complex network of suppliers, owned and leased manufacturing locations, co-manufacturing locations, distribution networks, and information systems that support our ability to consistently provide our products to our customers. Factors that are hard to predict or beyond our control, such as supply chain disruptions, weather, raw material shortages, natural disasters, fires or explosions, political unrest, terrorism, generalized labor unrest, or public health crises, such as the COVID-19 pandemic, could damage or disrupt our operations or our customers’, suppliers’, co-manufacturers’ or distributors’ operations. These disruptions may require additional resources to restore our supply chain or distribution network. If we cannot respond to disruptions in our operations, whether by finding alternative suppliers or replacing capacity at key manufacturing or distribution locations, or if we are unable to quickly repair damage to our information, production, or supply systems, we may be late in delivering, or be unable to deliver, products to our customers and may also be unable to track orders, inventory, receivables, and payables. If that occurs, our customers’ confidence in us and long-term demand for our products could decline. Any of these events could materially and adversely affect our product sales, financial condition, and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and sell products to customers outside the U.S. and are subject to several risks related to doing business internationally.</w:t>
      </w:r>
    </w:p>
    <w:p>
      <w:pPr>
        <w:spacing w:after="0" w:line="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obtain a majority of our raw materials from overseas suppliers, actively participate in overseas manufacturing operations and sell to a large number of international customers. During the year ended December 31, 2022, sales to customers located outside of the U.S. accounted for 39% of our consolidated net sales. As a result of doing business internationally, we face risks associated with the following:</w:t>
      </w:r>
    </w:p>
    <w:p>
      <w:pPr>
        <w:spacing w:after="0" w:line="1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regulations, which may make our products more costly to export or import;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monetary and fiscal policies, laws and regulations, and other activities of governments, agencies and similar organizations;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recessions or marked declines specific to a particular country or region;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imposition of trade restrictions or prohibitions;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imposition of import tariffs or other duties or taxes;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establishing and maintaining relationships with local original equipment manufacturers, distributors and dealers;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geographically diverse operations;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 instability, civil unrest, government controls over certain sectors and human rights concerns in countries, including but not limited to, China, in which our suppliers, manufacturing operations, and customers are located; and</w:t>
      </w:r>
    </w:p>
    <w:p>
      <w:pPr>
        <w:spacing w:after="0" w:line="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geopolitical environment, wars, conflicts, or trade barriers or blockades in the European Union and Asia, which may adversely affect business activity and economic conditions globally and could continue to contribute to instability in global financial and foreign exchange markets, as well as disrupt the free movement of goods, services, and people between countries.</w:t>
      </w:r>
    </w:p>
    <w:p>
      <w:pPr>
        <w:spacing w:after="0" w:line="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8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prices we pay for raw materials used in our products may be impacted by tariffs. The tariffs initiated by the U.S. government in 2018 under Section 232 of the Trade Expansion Act of 1962 resulted in increased metals prices in the United States. We cannot predict whether, and to what extent, there may be changes to international trade agreements or whether quotas, duties, tariffs, exchange controls or other restrictions on our products will be changed or imposed. In addition, an open conflict or war across any region could affect our ability to obtain raw materials. The current military conflict between Russia and Ukraine, and related sanctions, export controls or other actions that may be initiated by nations could adversely affect our business and our supply chain or our business partners or customers in other countries. Although we currently do not source raw materials directly from Russia or Ukraine, if we are unable to source our products from the countries where we wish to purchase them, either because of the occurrence or threat of wars or other conflicts, regulatory changes or for any other reason, or if the cost of doing so increases, it could have a material adverse effect on our business, financial condition and results of operations. Disruptions in the supply of raw materials and components could temporarily impair our ability to manufacture our products for our customers or require us to pay higher prices to obtain these raw materials or components from other sources, which could have a material adverse effect on our business and our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products could result in a product recall.</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markets are highly competitive, and many of our competitors have significant advantages that could adversely affect our business.</w:t>
      </w:r>
    </w:p>
    <w:p>
      <w:pPr>
        <w:spacing w:after="0" w:line="6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face substantial competition in the sale of components, system subassemblies,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loss of key personnel and the inability to attract and retain qualified employees could have a material adverse impact on our operations.</w:t>
      </w:r>
    </w:p>
    <w:p>
      <w:pPr>
        <w:spacing w:after="0" w:line="6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71"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security breach or disruption to our information technology systems could materially adversely affect our business, financial condition, results of operations, and reputation.</w:t>
      </w:r>
    </w:p>
    <w:p>
      <w:pPr>
        <w:ind w:right="140"/>
        <w:spacing w:after="0" w:line="252" w:lineRule="auto"/>
        <w:rPr>
          <w:sz w:val="20"/>
          <w:szCs w:val="20"/>
          <w:color w:val="auto"/>
        </w:rPr>
      </w:pPr>
      <w:r>
        <w:rPr>
          <w:rFonts w:ascii="Times New Roman" w:cs="Times New Roman" w:eastAsia="Times New Roman" w:hAnsi="Times New Roman"/>
          <w:sz w:val="18"/>
          <w:szCs w:val="18"/>
          <w:color w:val="auto"/>
        </w:rPr>
        <w:t>We rely on proprietary and third-party information technology systems to process, transmit and store information and to manage or support our business processes. We store and maintain confidential financial and business information regarding us and persons with whom we do business on our information technology systems. We also collect and hold personally identifiable information of our employees in connection with their employment. In addition, we engage third-party service providers that may collect and hold personally identifiable information of our employees in connection with providing business services to us, including web hosting, accounting, payroll and benefit services. The protection of the information technology systems on which we rely is critically important to us. We take steps, and generally require third-party service providers to take steps, to protect the security of the information maintained in our and our service providers’ information technology systems, including the use of systems, software, tools, and monitoring to provide security for processing, transmitting, and storing of the information. Despite our security measures and business continuity plans, we face risks associated with security breaches or disruptions to the information technology systems on which we rely, which could result from, among other incidents, attacks by hackers, computer viruses, malware (including “ransomware”), phishing attacks or breaches due to errors or malfeasance by employees, contractors and others who have access to these systems. Our third-party service providers could also be the source of a cybersecurity attack on, or breach of, our information technology systems. Techniques used in cybersecurity attacks to obtain unauthorized access, disable or sabotage information technology systems change frequently, as data breaches and other cybersecurity events have become increasingly commonplace, including as a result of the intensification of state-sponsored cybersecurity attacks during periods of geopolitical conflict, such as the ongoing conflict in Ukraine.</w:t>
      </w:r>
    </w:p>
    <w:p>
      <w:pPr>
        <w:spacing w:after="0" w:line="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security measures put in place by us and our service providers cannot provide absolute security and there can be no assurance that we or our service providers will not suffer a data security incident in the future, that unauthorized parties will not gain access to sensitive information stored on our or our service providers’ systems, that such access will not, whether temporarily or permanently, impact, interfere with, or interrupt our operations, or that any such incident will be discovered in a timely manner. Even the most well-protected information, networks, systems, and facilities remain potentially vulnerable as the techniques used in such attempted security breaches evolve and generally are not recognized until launched against a target, and in some</w:t>
      </w:r>
    </w:p>
    <w:p>
      <w:pPr>
        <w:spacing w:after="0" w:line="8" w:lineRule="exact"/>
        <w:rPr>
          <w:sz w:val="20"/>
          <w:szCs w:val="20"/>
          <w:color w:val="auto"/>
        </w:rPr>
      </w:pPr>
    </w:p>
    <w:p>
      <w:pPr>
        <w:jc w:val="both"/>
        <w:ind w:right="100"/>
        <w:spacing w:after="0" w:line="290" w:lineRule="auto"/>
        <w:rPr>
          <w:sz w:val="20"/>
          <w:szCs w:val="20"/>
          <w:color w:val="auto"/>
        </w:rPr>
      </w:pPr>
      <w:r>
        <w:rPr>
          <w:rFonts w:ascii="Times New Roman" w:cs="Times New Roman" w:eastAsia="Times New Roman" w:hAnsi="Times New Roman"/>
          <w:sz w:val="17"/>
          <w:szCs w:val="17"/>
          <w:color w:val="auto"/>
        </w:rPr>
        <w:t>cases are designed to not be detected and, in fact, may not be detected. In addition, third-party information technology providers may not provide us with fixes or updates to hardware or software in a manner as to avoid an unauthorized loss or disclosure or to address a known vulnerability, which may subject</w:t>
      </w: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us to known threats or downtime as a result of those delays. Accordingly, we and our service providers may be unable to anticipate these techniques or to implement adequate security barriers or other preventative measures. Further, we may be required to expend significant additional resources to continue to enhance information security measures and internal processes and procedures or to investigate and remediate any information security vulnerabilities.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data security incident could compromise our or our service providers’ information technology systems, and the information stored by us or our service providers, including personally identifiable information of employees, could be accessed, misused, publicly disclosed, corrupted, lost, or stolen. Any failure to prevent a data breach or a security failure of our or our service providers’ information technology systems could interrupt our operations, result in downtime, divert our planned efforts and resources from other projects, damage our reputation and brand, damage our competitive position, subject us to liability claims or regulatory penalties under laws protecting the privacy of personal information. Similarly, if our third-party service providers fail to use adequate security or data protection processes, or use personal information in an unpermitted or improper manner, we may be liable for certain losses and it may damage our reputation. Various events described above have occurred in the past and may occur in the future. Although impacts of past events have been immaterial, the impacts of such events in the future may materially and adversely affect our business, financial condition, or results of operations.</w:t>
      </w:r>
    </w:p>
    <w:p>
      <w:pPr>
        <w:spacing w:after="0" w:line="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business, financial condition, and prospects may be adversely affected by the current military conflict between Russia and Ukraine, other future social and geopolitical instability and resulting domestic and foreign economic instability.</w:t>
      </w:r>
    </w:p>
    <w:p>
      <w:pPr>
        <w:ind w:right="540"/>
        <w:spacing w:after="0" w:line="282" w:lineRule="auto"/>
        <w:rPr>
          <w:sz w:val="20"/>
          <w:szCs w:val="20"/>
          <w:color w:val="auto"/>
        </w:rPr>
      </w:pPr>
      <w:r>
        <w:rPr>
          <w:rFonts w:ascii="Times New Roman" w:cs="Times New Roman" w:eastAsia="Times New Roman" w:hAnsi="Times New Roman"/>
          <w:sz w:val="18"/>
          <w:szCs w:val="18"/>
          <w:color w:val="auto"/>
        </w:rPr>
        <w:t>We are exposed to the risk of changes in social, geopolitical, legal, and economic conditions. The global economy has been, and may continue to be, negatively impacted by Russia’s invasion of Ukraine. As a result of Russia’s invasion of Ukraine,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United States,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The negative impacts arising from the conflict and these sanctions and export restrictions, including those imposed by Russia, may include reduced consumer demand, supply chain disruptions and increased costs for transportation, energy, and raw materials. Although none of our operations are physically located in Russia or Ukraine, further escalation of geopolitical tensions could have a broader impact that expands into other markets where we do business, which may adversely affect our business, financial condition, results of operations and prospects.</w:t>
      </w:r>
    </w:p>
    <w:p>
      <w:pPr>
        <w:spacing w:after="0" w:line="7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Physical effects of climate change or legal, regulatory or market measures intended to address climate change could materially adversely affect our business and operations.</w:t>
      </w:r>
    </w:p>
    <w:p>
      <w:pPr>
        <w:ind w:right="60"/>
        <w:spacing w:after="0" w:line="254" w:lineRule="auto"/>
        <w:rPr>
          <w:sz w:val="20"/>
          <w:szCs w:val="20"/>
          <w:color w:val="auto"/>
        </w:rPr>
      </w:pPr>
      <w:r>
        <w:rPr>
          <w:rFonts w:ascii="Times New Roman" w:cs="Times New Roman" w:eastAsia="Times New Roman" w:hAnsi="Times New Roman"/>
          <w:sz w:val="18"/>
          <w:szCs w:val="18"/>
          <w:color w:val="auto"/>
        </w:rPr>
        <w:t>Risks associated with climate change are subject to increasing societal, regulatory and political focus in the U.S. and globally. Shifts in weather patterns caused by climate change could increase the frequency, severity, or duration of certain adverse weather conditions and natural disasters, such as hurricanes, tornadoes, earthquakes, wildfires, droughts, extreme temperatures, or flooding, which could result in more significant business and supply chain interruptions, damage to our products and facilities as well as the infrastructure of our customers, reduced workforce availability, increased costs of raw materials and components, increased liabilities, and decreased revenues than what we have experienced in the past from such events. In addition, increased public concern over climate change could result in new legal or regulatory requirements designed to mitigate the effects of climate change, which could include the adoption of more stringent environmental laws and regulations or stricter enforcement of existing laws and regulations. Such developments could result in increased compliance costs and adverse impacts on raw material sourcing, manufacturing operations, and the distribution of our products, which could adversely affect our business and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w:t>
      </w:r>
    </w:p>
    <w:p>
      <w:pPr>
        <w:spacing w:after="0" w:line="6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261" w:lineRule="auto"/>
        <w:rPr>
          <w:sz w:val="20"/>
          <w:szCs w:val="20"/>
          <w:color w:val="auto"/>
        </w:rPr>
      </w:pPr>
      <w:r>
        <w:rPr>
          <w:rFonts w:ascii="Times New Roman" w:cs="Times New Roman" w:eastAsia="Times New Roman" w:hAnsi="Times New Roman"/>
          <w:sz w:val="18"/>
          <w:szCs w:val="18"/>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activities are subject to various laws and regulations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medical devices are subject to regulation by numerous government agencies, including the Food and Drug Administration (“FDA”) and comparable agencies outside the U.S. To varying degrees, each of these agencies requires us to comply with laws and regulations 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amount of time;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stringent clinical and pre-clinical testing, as well as increased post-market surveillance;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proposed uses of our products.</w:t>
      </w:r>
    </w:p>
    <w:p>
      <w:pPr>
        <w:spacing w:after="0" w:line="1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also significantly increased the number of warning letters 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6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with respect to our environmental, social and governance practices may impose additional costs on us or expose us to new or additional risks.</w:t>
      </w: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the increased legislative and regulatory attention to climate change, customer, investor, and employee expectations in ESG have been rapidly evolving and increasing. While we have been committed to continuous improvements to our product portfolio to meet anticipated regulatory standard levels, if customers, regulators or investors demand we increase our greenhouse gas emission or renewable energy disclosures or our ESG initiatives, we may have to implement additional reporting standards and reporting requirements. If we fail to meet customer, investor, or employee expectations, we may be unable to attract or retain our consumer base or talent. Further,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spacing w:after="0" w:line="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standards by which ESG efforts and related matters are measured are developing and evolving, and we could be criticized for the scope of our initiatives and goals, or lack thereof. If we fail to comply with the evolving customer or investor or employee expectations and standards, or if we are perceived to have failed to adequately respond to such expectations and standards, we may suffer from reputational damage, which could have an adverse impact on our business or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Capitalization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prospects, financial condition, results of operations, or cash flows.</w:t>
      </w:r>
    </w:p>
    <w:p>
      <w:pPr>
        <w:spacing w:after="0" w:line="6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As of December 31, 2022, we had $157.1 million of indebtedness outstanding and $35.3 million available for future borrowings under our asset backed credit facility (the “ABL Facility”). Our debt obligations could have important consequences, including:</w:t>
      </w:r>
    </w:p>
    <w:p>
      <w:pPr>
        <w:spacing w:after="0" w:line="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63"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which could cause our debt service obligations to increase significantly;</w:t>
      </w:r>
    </w:p>
    <w:p>
      <w:pPr>
        <w:spacing w:after="0" w:line="63"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64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6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Despite our indebtedness level, we may still be able to incur substantial additional amounts of debt, which could further exacerbate the risks associated with our substantial indebtedness.</w:t>
      </w:r>
    </w:p>
    <w:p>
      <w:pPr>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will limit our flexibility in operating our business.</w:t>
      </w:r>
    </w:p>
    <w:p>
      <w:pPr>
        <w:spacing w:after="0" w:line="6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preferred equity;</w:t>
      </w:r>
    </w:p>
    <w:p>
      <w:pPr>
        <w:spacing w:after="0" w:line="63"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our capital stock, prepay, redeem, or repurchase certain debt or make other restricted payments;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our existing businesses;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facility (as defined below) or to accelerate the maturity date of the indebtedness incurred thereunder.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77"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we may not be able to refinance our debt obligations as they mature.</w:t>
      </w: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international operations that are subject to foreign economic uncertainties and foreign currency fluctuation.</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Approximately 25%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In 2022, the U.S. dollar strengthened against foreign currencies which unfavorably affected our revenue by $4.2 million. In contrast, a weakening of the U.S. dollar may beneficially affect our business, prospects, financial condition, results of operations,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and may decline. Among the factors that could affect our stock price are:</w:t>
      </w:r>
    </w:p>
    <w:p>
      <w:pPr>
        <w:spacing w:after="0" w:line="6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 or micro-economic factors;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the rate of growth of our financial indicators, such as earnings per share, net income and revenues;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or earnings estimates or publication of research reports by analysts;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member of our senior management team;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stockholders;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legal, and regulatory factors unrelated to our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dividend.</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inhibit a takeover, which could adversely affect the value of our common stock.</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as well as Delaware corporate law, contain provisions that could delay or prevent a change of control or changes in our management that a stockholder might consider favorable and may prevent stockholders from receiving a takeover premium for their shares. These provisions include, for example, the authorization of our board of directors to issue up to five million preferred shares without a stockholder vote and that stockholders may not call a special meeting.</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 and Divestitures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may constitute an important part of our future growth strategy.</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ownership interest in us. Our inability to acquire businesses, or to operate them profitably once acquired, could have a material adverse effect on our business, financial condition, results of operations, and cash flows. Our borrowing agreements limit our ability to complete acquisitions without prior approval of our lenders. We have had difficulty with purchase accounting and other aspects related to the accounting for our acquisitions, which resulted in material weaknesses in our internal control over financial reporting. Although we have remediated these material weaknesses, there can be no assurances we will not face similar issues with respect to any future acquisitions.</w:t>
      </w:r>
    </w:p>
    <w:p>
      <w:pPr>
        <w:spacing w:after="0" w:line="7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all of the anticipated benefits from completed acquisitions or any future strategic portfolio acquisition, or those benefits may take longer to realize than expected.</w:t>
      </w:r>
    </w:p>
    <w:p>
      <w:pPr>
        <w:ind w:right="120"/>
        <w:spacing w:after="0" w:line="281" w:lineRule="auto"/>
        <w:rPr>
          <w:sz w:val="20"/>
          <w:szCs w:val="20"/>
          <w:color w:val="auto"/>
        </w:rPr>
      </w:pPr>
      <w:r>
        <w:rPr>
          <w:rFonts w:ascii="Times New Roman" w:cs="Times New Roman" w:eastAsia="Times New Roman" w:hAnsi="Times New Roman"/>
          <w:sz w:val="17"/>
          <w:szCs w:val="17"/>
          <w:color w:val="auto"/>
        </w:rPr>
        <w:t>We either may not realize all of the anticipated benefits from completed acquisitions or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to integration matters;</w:t>
      </w:r>
    </w:p>
    <w:p>
      <w:pPr>
        <w:spacing w:after="0" w:line="63" w:lineRule="exact"/>
        <w:rPr>
          <w:rFonts w:ascii="Times New Roman" w:cs="Times New Roman" w:eastAsia="Times New Roman" w:hAnsi="Times New Roman"/>
          <w:sz w:val="18"/>
          <w:szCs w:val="18"/>
          <w:color w:val="auto"/>
        </w:rPr>
      </w:pPr>
    </w:p>
    <w:p>
      <w:pPr>
        <w:ind w:left="660" w:right="300" w:hanging="328"/>
        <w:spacing w:after="0" w:line="287"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ind w:left="660" w:right="10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business opportunities, and growth prospects from combining the acquired businesses with our own;</w:t>
      </w:r>
    </w:p>
    <w:p>
      <w:pPr>
        <w:spacing w:after="0" w:line="1"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implement effective internal controls, procedures, and policies for acquired businesses as required by the Sarbanes-Oxley Act of 2002 within the time periods prescribed thereby;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potential unknown liabilities and unforeseen increased expenses or delays associated with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keeping existing customers and obtaining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attracting and retaining key personnel;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or the loss of momentum in, ongoing operations or inconsistencies in standards, controls, procedures and policies.</w:t>
      </w:r>
    </w:p>
    <w:p>
      <w:pPr>
        <w:spacing w:after="0" w:line="11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incurred a significant amount of debt in connection with our acquisitions in the past few years. Finally, in relation to such acquisitions, we have significantly higher amounts of intangible assets. These intangible assets will be subject to impairment testing, and we could incur a significant impact to our financial statements in the form of an impairment if assumptions and expectations related to our acquisitions are not realized.</w:t>
      </w:r>
    </w:p>
    <w:p>
      <w:pPr>
        <w:spacing w:after="0" w:line="6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indemnification provisions of acquisition agreements by which we have acquired companies may not fully protect us and may result in unexpected liabilities.</w:t>
      </w: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joint ventures could expose us to additional risks from time to time.</w:t>
      </w:r>
    </w:p>
    <w:p>
      <w:pPr>
        <w:spacing w:after="0" w:line="67"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We currently have a 49% investment in a Chinese joint venture and may participate in additional joint ventures from time to time. Our participation in joint ventures is subject to risks that may not be present with other methods of ownership, including:</w:t>
      </w:r>
    </w:p>
    <w:p>
      <w:pPr>
        <w:spacing w:after="0" w:line="1" w:lineRule="exact"/>
        <w:rPr>
          <w:sz w:val="20"/>
          <w:szCs w:val="20"/>
          <w:color w:val="auto"/>
        </w:rPr>
      </w:pPr>
    </w:p>
    <w:p>
      <w:pPr>
        <w:ind w:left="660" w:right="2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1"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transfer our interest in a joint venture to a third party may be restricted and the market for our interest may be limited;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might become bankrupt, fail to fund their share of required capital contributions or fail to fulfill their obligations as</w:t>
      </w:r>
    </w:p>
    <w:p>
      <w:pPr>
        <w:spacing w:after="0" w:line="27" w:lineRule="exact"/>
        <w:rPr>
          <w:rFonts w:ascii="Times New Roman" w:cs="Times New Roman" w:eastAsia="Times New Roman" w:hAnsi="Times New Roman"/>
          <w:sz w:val="18"/>
          <w:szCs w:val="18"/>
          <w:color w:val="auto"/>
        </w:rPr>
      </w:pPr>
    </w:p>
    <w:p>
      <w:pPr>
        <w:ind w:left="66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joint venture partner, which may require us to infuse our own capital into the venture on behalf of the partner despite other competing uses for such capital; and</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venture partners may have competing interests in our markets that could create conflict of interest issues.</w:t>
      </w:r>
    </w:p>
    <w:p>
      <w:pPr>
        <w:spacing w:after="0" w:line="113"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harm our business, including our competitive position and business prospects.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attract and retain customers, suppliers, investors, and employees is impacted by our reputation. Harm to our reputation can arise from various sources, including employee misconduct, security breaches, unethical behavior, litigation, or regulatory outcomes. The consequences of damage to our reputation include, among other things, increasing the number of litigation claims and the size of damages asserted or subjecting us to enforcement actions, fines, and penalties, all of which would cause us to incur significant defense related costs and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laws could have a material adverse effect on our business, cash flow, results of operations, and financial condition.</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U.S. tax laws and regulations, as well as the administrative interpretations of those laws and regulations, are constantly under review and may be changed at any time, possibly with retroactive effect. No assurance can be given as to whether, when, or in what form changes to the U.S. tax laws applicable to us may be enacted. Changes in U.S. tax laws, tax rulings, or interpretations of existing laws could materially affect our business, cash flow, results of operations, and financial condition.</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2022, we owned or leased 31 facilities in a total of six countries, which includes a 49% equity interest in a manufacturing joint venture in China. Utilization of these sites may vary with product mix and economic, seasonal, and other business conditions. Our plants generally have sufficient capacity for existing needs and expected near-term growth. These plants are generally well maintained, in good operating condition, and suitable and adequate for their use. Due to a strategic shift to focus on growth opportunities and ongoing efforts to optimize the Company’s manufacturing footprint, we plan to cease manufacturing operations at several facilities during 2023. The following table lists the current locations of our facilities by segment.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Solutions Group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6"/>
                <w:szCs w:val="16"/>
                <w:color w:val="auto"/>
              </w:rPr>
            </w:pP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Boituva, Brazil (1)</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Plant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Campinas, Brazil</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Office</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Dowagiac, Michigan</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Juarez, Mexico</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Mexico</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Kamienna Gora, Poland</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Poland</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3, Warehouse</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Kentwood, Michigan</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Office</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Marnaz, France</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7"/>
              </w:rPr>
              <w:t>France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Michigan</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Marshall, Michigan (1)</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Sao Joao da Boa Vista, Brazil</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Sao Joao da Boa Vista, Brazil</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Brazil</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Wellington, Ohio</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Wellington, Ohio (1)</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Wuxi, China</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418"/>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Power Solutions Group</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7"/>
                <w:szCs w:val="17"/>
                <w:color w:val="auto"/>
              </w:rPr>
            </w:pPr>
          </w:p>
        </w:tc>
      </w:tr>
      <w:tr>
        <w:trPr>
          <w:trHeight w:val="23"/>
        </w:trPr>
        <w:tc>
          <w:tcPr>
            <w:tcW w:w="5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Algonquin, Illinois</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Plant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1</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2</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Plant 3</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Attleboro,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Office, Warehouse</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Foshan City, China</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China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Irvine, California (1)</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Lubbock, Texas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City, Mexico</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Mexico</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30"/>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North Attleboro, Massachusetts</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0" w:type="dxa"/>
            <w:vAlign w:val="bottom"/>
          </w:tcPr>
          <w:p>
            <w:pPr>
              <w:spacing w:after="0"/>
              <w:rPr>
                <w:sz w:val="19"/>
                <w:szCs w:val="19"/>
                <w:color w:val="auto"/>
              </w:rPr>
            </w:pPr>
          </w:p>
        </w:tc>
      </w:tr>
      <w:tr>
        <w:trPr>
          <w:trHeight w:val="229"/>
        </w:trPr>
        <w:tc>
          <w:tcPr>
            <w:tcW w:w="5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Palmer, Massachusetts</w:t>
            </w:r>
          </w:p>
        </w:tc>
        <w:tc>
          <w:tcPr>
            <w:tcW w:w="19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19"/>
                <w:szCs w:val="19"/>
                <w:color w:val="auto"/>
              </w:rPr>
            </w:pPr>
          </w:p>
        </w:tc>
      </w:tr>
      <w:tr>
        <w:trPr>
          <w:trHeight w:val="234"/>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Taunton, Massachusetts (1)</w:t>
            </w:r>
          </w:p>
        </w:tc>
        <w:tc>
          <w:tcPr>
            <w:tcW w:w="19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Plant</w:t>
            </w:r>
          </w:p>
        </w:tc>
        <w:tc>
          <w:tcPr>
            <w:tcW w:w="19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U.S.A.</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Pr>
          <w:p>
            <w:pPr>
              <w:spacing w:after="0"/>
              <w:rPr>
                <w:sz w:val="20"/>
                <w:szCs w:val="20"/>
                <w:color w:val="auto"/>
              </w:rPr>
            </w:pPr>
          </w:p>
        </w:tc>
      </w:tr>
      <w:tr>
        <w:trPr>
          <w:trHeight w:val="400"/>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Joint Venture</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General Character</w:t>
            </w:r>
          </w:p>
        </w:tc>
        <w:tc>
          <w:tcPr>
            <w:tcW w:w="19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20" w:type="dxa"/>
            <w:vAlign w:val="bottom"/>
          </w:tcPr>
          <w:p>
            <w:pPr>
              <w:spacing w:after="0"/>
              <w:rPr>
                <w:sz w:val="17"/>
                <w:szCs w:val="17"/>
                <w:color w:val="auto"/>
              </w:rPr>
            </w:pPr>
          </w:p>
        </w:tc>
      </w:tr>
      <w:tr>
        <w:trPr>
          <w:trHeight w:val="23"/>
        </w:trPr>
        <w:tc>
          <w:tcPr>
            <w:tcW w:w="5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Wuxi, China</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rPr>
              <w:t>Plant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 w:type="dxa"/>
            <w:vAlign w:val="bottom"/>
            <w:tcBorders>
              <w:top w:val="single" w:sz="8" w:color="auto"/>
            </w:tcBorders>
            <w:shd w:val="clear" w:color="auto" w:fill="CCEEFF"/>
          </w:tcPr>
          <w:p>
            <w:pPr>
              <w:spacing w:after="0"/>
              <w:rPr>
                <w:sz w:val="19"/>
                <w:szCs w:val="19"/>
                <w:color w:val="auto"/>
              </w:rPr>
            </w:pPr>
          </w:p>
        </w:tc>
      </w:tr>
      <w:tr>
        <w:trPr>
          <w:trHeight w:val="26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spacing w:after="0" w:line="100" w:lineRule="exact"/>
        <w:rPr>
          <w:sz w:val="20"/>
          <w:szCs w:val="20"/>
          <w:color w:val="auto"/>
        </w:rPr>
      </w:pPr>
    </w:p>
    <w:p>
      <w:pPr>
        <w:ind w:left="720" w:hanging="38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that we plan to close during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these manufacturing plants, we lease office space in Charlotte, North Carolina, which serves as our corporate headquarters.</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disclosed in Note 13 of the Notes to Consolidated Financial Statements included elsewhere in this Annual Report, we are engaged in certain legal proceedings, and the disclosure set forth in Note 13 relating to certain commitments and contingencies is incorporated herein by reference.</w:t>
      </w:r>
    </w:p>
    <w:p>
      <w:pPr>
        <w:spacing w:after="0" w:line="15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the Registrant’s Common Equity, Related Stockholder Matters, and Issuer Purchases of Equity Securities</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common stock is traded on Nasdaq under the trading symbol “NNBR.” As of February 24, 2023, there were 3,878 beneficial owners of record of our common stock.</w:t>
      </w:r>
    </w:p>
    <w:p>
      <w:pPr>
        <w:spacing w:after="0" w:line="5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following graph and table compare the cumulative total shareholder return on our common stock with the cumulative total shareholder return of: (i) the Russell 2000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Index, which is a broad equity market index, and (ii) the S&amp;P SmallCap 600</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Industrials Index, which is a published industry index, for the period from December 31, 2017, to December 31, 2022. The following graph and table assume that a $100 investment was made at the close of trading on December 31, 2017. We cannot assure you that the performance of our common stock will continue in the future with the same or similar trend depicted on the graph.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(Performance results through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5254625" cy="3257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NN, Inc.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SmallCap 600 Industrials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w:t>
            </w:r>
          </w:p>
        </w:tc>
      </w:tr>
    </w:tbl>
    <w:p>
      <w:pPr>
        <w:spacing w:after="0" w:line="63"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Source: Zachs Investment Research, Inc.</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Part III, Item 12 – “Security Ownership of Certain Beneficial Owners and Management and Related Stockholder Matters” of this Annual Report for information required by Item 201 (d) of Regulation S-K.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and the Selected Financial Data included elsewhere in this Annual Report. Historical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54"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detailed discussion of our results of operations and liquidity and capital resources for the year ended December 31, 2021 compared to the year ended December 31, 2020 are not included herein and can be found in Item 7. Management's Discussion and Analysis of Financial Condition and Results of Operations of our </w:t>
      </w:r>
      <w:hyperlink r:id="rId43">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March 11,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Management Focus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strategy and management focus are based upon the following long-term objectives</w:t>
      </w:r>
    </w:p>
    <w:p>
      <w:pPr>
        <w:spacing w:after="0" w:line="6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 within our segments;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operating margins;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reduction;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of manufacturing footprint;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capital deployment;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leverage ratio improvement;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management initiatives;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health, safety, and satisfaction;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generally focuses on these trends and relevant market indicators</w:t>
      </w:r>
    </w:p>
    <w:p>
      <w:pPr>
        <w:spacing w:after="0" w:line="6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related to the geographic migration of competitive manufacturing, electric vehicles, and electrification;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subject to regional and global inflationary environments, including, but not limited to:</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and benefits, including health care costs;</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w:t>
      </w:r>
    </w:p>
    <w:p>
      <w:pPr>
        <w:spacing w:after="0" w:line="63"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automotive production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industrial growth and economics;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and non-residential construction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 for United States public companies and manufacturing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exchange rate movements and trends;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levels and expectations;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regulations.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generally focuses on the following key indicators of operating performance</w:t>
      </w:r>
    </w:p>
    <w:p>
      <w:pPr>
        <w:spacing w:after="0" w:line="6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and capital spending;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non-GAAP measures as defined in our quarterly earnings releases and investor presentations;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reliability;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and internal quality indicators;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development.</w:t>
      </w:r>
    </w:p>
    <w:p>
      <w:pPr>
        <w:sectPr>
          <w:pgSz w:w="11900" w:h="16838" w:orient="portrait"/>
          <w:cols w:equalWidth="0" w:num="1">
            <w:col w:w="10880"/>
          </w:cols>
          <w:pgMar w:left="320" w:top="22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29" w:right="6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significant accounting policies, including the assumptions and judgment underlying them, are disclosed in Note 1 of the Notes to Consolidated Financial Statements. As disclosed in Note 1,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6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eliminate disproportionate tax effects from accumulated other comprehensive income (loss) when the circumstances upon which they are premised cease to exist.</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 significant piece of objective negative evidence evaluated is cumulative losses incurred over the three-year period ended December 31, 2022. Such objective evidence limits the ability to consider other subjective evidence, such as our projections for future earnings growth. We have recorded a U.S. deferred tax liability for foreign earnings which are not indefinitely reinvested. We treat global intangible low-taxed income (“GILTI”) as a periodic charge in the year in which it arises and therefore do not record deferred taxes for basis differences associated with GILTI.</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 degree of management judgment and complexity. Future adverse changes in market conditions or adverse operating results of the underlying assets could result in having to record additional impairment charges not previously recognized.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Fair value principles prioritize valuation inputs across three broad levels. An asset or liability’s classification within the various levels is determined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6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year ended December 31, 2022, that management believes are important to provide an understanding of the business and results of operations or that may influence operations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the COVID-19 pandemic, the ongoing Russia-Ukraine conflict, inflationary cost pressures, rising interest rates, supply chain disruptions, and labor shortages.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COVID-19 pandemic and governmental responses thereto, including COVID-19 lockdowns in China, continue to impact our business operations and our customers' and suppliers' ability to operate at normal levels. Disruptions in normal operating levels continue to create supply chain disruptions and inflationary cost pressures within our end-markets. We anticipate that supply chain constraints and the inflationary environment, as impacted by the COVID-19 pandemic, will continue into 2023.</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Russia-Ukraine conflict also continues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 ongoing Russia-Ukraine conflict we cannot predict the extent to which our operations, or those of our customers or suppliers, will be impacted in the future, or the ways in which the conflict may impact our business, financial condition, results of operations and cash flows.</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U.S. economy is experiencing broad and rapid inflation and rising interest rates, as well as supply issues in materials, services, and labor due to economic policy, the COVID-19 pandemic and, more recently, the Russia-Ukraine conflict. These impacts are likely to persist into 2023 and beyond. We cannot predict the impact on the Company’s end-markets or input costs nor the ability of the Company to recover cost increases through pricing.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2022, 2021 and 2020, no single customer accounted for 10% or more of consolidated net sales.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Data as a Percentage of 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percentage of our net sales represented by statement of operations line item.</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63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benefit (provision) for income taxes and share</w:t>
            </w:r>
          </w:p>
        </w:tc>
        <w:tc>
          <w:tcPr>
            <w:tcW w:w="1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net income from joint venture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20" w:type="dxa"/>
            <w:vAlign w:val="bottom"/>
            <w:gridSpan w:val="2"/>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24</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64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6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2022 compared to the Year Ended December 31,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(12,088)</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156"/>
        </w:trPr>
        <w:tc>
          <w:tcPr>
            <w:tcW w:w="6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benefit (provision) for income taxes and share of net</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4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$21.2 million, or 4.4%, during the year ended December 31, 2022, compared to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pricing partially offset by lower volume and unfavorable foreign exchange effects of $4.2 million.</w:t>
      </w:r>
    </w:p>
    <w:p>
      <w:pPr>
        <w:spacing w:after="0" w:line="50"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$31.1 million, or 8.0%, during the year ended December 31, 2022,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primarily due to inflationary costs and unfavorable overhead absorption, partially offset by lower sales volume and favorable foreign exchange effects.</w:t>
      </w:r>
    </w:p>
    <w:p>
      <w:pPr>
        <w:spacing w:after="0" w:line="6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$1.9 million during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year ended December 31, 2021, primarily due to lower incentive compensation, severance and retention expense. These decreases were partially offset by higher stock compensation expense, higher professional fees and increased travel costs.</w:t>
      </w:r>
    </w:p>
    <w:p>
      <w:pPr>
        <w:spacing w:after="0" w:line="65"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(Income), Net. </w:t>
      </w:r>
      <w:r>
        <w:rPr>
          <w:rFonts w:ascii="Times New Roman" w:cs="Times New Roman" w:eastAsia="Times New Roman" w:hAnsi="Times New Roman"/>
          <w:sz w:val="18"/>
          <w:szCs w:val="18"/>
          <w:color w:val="auto"/>
        </w:rPr>
        <w:t>Other operating expense (income), net changed unfavorably by $3.0 million primarily due to a legal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reached during the first quarter of 2022 and the gain on the sale of a facility that was recognized in the third quarter of 2021.</w:t>
      </w:r>
    </w:p>
    <w:p>
      <w:pPr>
        <w:spacing w:after="0" w:line="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$2.4 million during the year ended December 31, 2022, compared to the year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interest rates and a larger average debt balance as a result of the credit facility and preferred stock refinance that occurred during the first quarter of 2021. In addition, borrowings on the ABL Facility during the year ended December 31, 2022 contributed to higher interest expense. These increases were partially offset by 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amount of interest expense that was capitalized in 2022 compared with the prior year and the positive impact of the interest rate swap.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12,664</w:t>
            </w:r>
          </w:p>
        </w:tc>
      </w:tr>
      <w:tr>
        <w:trPr>
          <w:trHeight w:val="21"/>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and Write-off of Debt Issuance Costs. </w:t>
      </w:r>
      <w:r>
        <w:rPr>
          <w:rFonts w:ascii="Times New Roman" w:cs="Times New Roman" w:eastAsia="Times New Roman" w:hAnsi="Times New Roman"/>
          <w:sz w:val="18"/>
          <w:szCs w:val="18"/>
          <w:color w:val="auto"/>
        </w:rPr>
        <w:t>We recognized $2.4 million in the first quarter of 2021 for the write-off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unamortized debt issuance costs associated with the credit facility that was terminated in March 2021.</w:t>
      </w:r>
    </w:p>
    <w:p>
      <w:pPr>
        <w:spacing w:after="0" w:line="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Payments on Interest Rate Swap. </w:t>
      </w:r>
      <w:r>
        <w:rPr>
          <w:rFonts w:ascii="Times New Roman" w:cs="Times New Roman" w:eastAsia="Times New Roman" w:hAnsi="Times New Roman"/>
          <w:sz w:val="18"/>
          <w:szCs w:val="18"/>
          <w:color w:val="auto"/>
        </w:rPr>
        <w:t>Derivative payments on interest rate swap represent cash settlements of an interest rate swap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in the first quarter of 2021. We entered into a new interest rate swap in the third quarter of 2021, which is designated as a cash flow hedge with the impact of settlements recognized in interest expense.</w:t>
      </w:r>
    </w:p>
    <w:p>
      <w:pPr>
        <w:spacing w:after="0" w:line="6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Loss on Interest Rate Swap</w:t>
      </w:r>
      <w:r>
        <w:rPr>
          <w:rFonts w:ascii="Times New Roman" w:cs="Times New Roman" w:eastAsia="Times New Roman" w:hAnsi="Times New Roman"/>
          <w:sz w:val="18"/>
          <w:szCs w:val="18"/>
          <w:color w:val="auto"/>
        </w:rPr>
        <w:t>. We recognized a $2.0 million loss in the first quarter of 2021 related to the termination of the previous interest rate swap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2021.</w:t>
      </w:r>
    </w:p>
    <w:p>
      <w:pPr>
        <w:spacing w:after="0" w:line="5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changed unfavorably by $0.3 million during the year ended December 31, 2022,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primarily due to lower derivative mark-to-market gains recognized in 2022, partially offset by the impact of a litigation settlement in 2021 and more favorable foreign exchange effects associated with intercompany borrowings.</w:t>
      </w:r>
    </w:p>
    <w:p>
      <w:pPr>
        <w:spacing w:after="0" w:line="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Benefit (Provision) for Income Taxes. </w:t>
      </w:r>
      <w:r>
        <w:rPr>
          <w:rFonts w:ascii="Times New Roman" w:cs="Times New Roman" w:eastAsia="Times New Roman" w:hAnsi="Times New Roman"/>
          <w:sz w:val="18"/>
          <w:szCs w:val="18"/>
          <w:color w:val="auto"/>
        </w:rPr>
        <w:t>Our effective tax rate was (5.2)% for the year ended December 31, 2022, compared to 7.8%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Our effective tax rate for the year ended December 31, 2022 was unfavorably impacted by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The effective tax rate for the year ended December 31, 2022 was favorably impacted by the recording of interest income on the Company’s federal income tax refund requested as a result of the Coronavirus Aid, Relief, and Economic Security Act, as well as the recording of a benefit of a pending state refund claim. Our effective tax rate for the year ended December 31, 2021 was favorably impacted by the change in assertion and reduction in the accrual of tax on non-permanently reinvested unremitted earnings of foreign subsidiaries and unfavorably impacted by the limitation on the amount of tax benefit recorded for loss carryforwards in certain jurisdictions where we believe it is more likely than not that a portion of the future tax benefit may not be realized.</w:t>
      </w:r>
    </w:p>
    <w:p>
      <w:pPr>
        <w:spacing w:after="0" w:line="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by $0.3 million during the year ended December 31,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2021, primarily due to higher sales partially offset by higher operating costs in the current year. The JV, in which we own a 49% investment, recognized net sales of $101.6 million and $94.8 million for the years ended December 31, 2022 and 2021, respectively.</w:t>
      </w:r>
    </w:p>
    <w:p>
      <w:pPr>
        <w:spacing w:after="0" w:line="6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Income from Discontinued Operations, Net of Tax</w:t>
      </w:r>
      <w:r>
        <w:rPr>
          <w:rFonts w:ascii="Times New Roman" w:cs="Times New Roman" w:eastAsia="Times New Roman" w:hAnsi="Times New Roman"/>
          <w:sz w:val="18"/>
          <w:szCs w:val="18"/>
          <w:color w:val="auto"/>
        </w:rPr>
        <w:t>. We recognized a gain of $1.2 million during the year ended December 31, 2021, due to the favorable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of a tax indemnity that resulted from the sale of our Life Sciences business in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r>
    </w:tbl>
    <w:p>
      <w:pPr>
        <w:spacing w:after="0" w:line="1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sales increased by $7.7 million, or 2.7%, during the year ended December 31, 2022, compared to the year ended December 31, 2021, primarily due to increased pricing, partially offset by lower sales of diesel components due to lower European demand which was impacted by the war in Ukraine, COVID-19 interruptions in China, lost sales associated with certain fuel systems reaching end of production, and unfavorable foreign exchange effects of $4.1 million.</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Income (loss) from operations decreased by $11.2 million during the year ended December 31, 2022 compared to the prior year, primarily due to inflationary costs not fully recovered in customer pricing, unfavorable overhead absorption, start-up costs associated with Mexico new business launches, and variable cost inefficiencies associated with supply chain interruptions,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uneven customer ordering patterns, and labor constraints caused by pandemic interruptions. These decreases were partially offset by lower incentive compensation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13,404</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5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(2,957)</w:t>
            </w:r>
          </w:p>
        </w:tc>
      </w:tr>
    </w:tbl>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sales increased by $13.4 million, or 7.0%, during the year ended December 31, 2022, compared to the year ended December 31, 2021, primarily due to higher customer pricing.</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$3.0 million during the year ended December 31, 2022 compared to the same period in the prior year, primarily due to a $1.8 million litigation settlement to resolve a claim from 2016, an increase in amortization expense, and the absence of a gain on the sale of a facility in the third quarter of 2021. These decreases were partially offset by the impact of higher customer pricing.</w:t>
      </w:r>
    </w:p>
    <w:p>
      <w:pPr>
        <w:spacing w:after="0" w:line="172" w:lineRule="exact"/>
        <w:rPr>
          <w:sz w:val="20"/>
          <w:szCs w:val="20"/>
          <w:color w:val="auto"/>
        </w:rPr>
      </w:pPr>
    </w:p>
    <w:p>
      <w:pPr>
        <w:ind w:right="5180"/>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2021 to December 31, 2022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From December 31, 2021 to December 31, 2022, total assets decreased by $33.0 million primarily due to normal depreciation and amortization of fixed assets and intangible assets. These decreases were partially offset by increases in accounts receivable and inventories during the year ended December 31, 2022. The increase in accounts receivable is due to higher sales during the end of the current year compared with the end of 2021. The value of inventory increased due to higher material and labor costs as well as higher quantities to maintain customer safety stock due to ongoing supply chain interruptions, especially in China.</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From December 31, 2021 to December 31, 2022, total liabilities decreased by $5.9 million, primarily due to lower employee incentive compensation accruals and a decrease in the valuation of certain derivatives. These decreases were offset by an increase in accounts payable attributed to higher inventory balances at December 31, 2022.</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$112.9 million as of December 31, 2022, compared to $122.3 million as of December 31, 2021. The decrease was primarily due to increases in accounts payable and other current liabilities, partially offset by increases in accounts receivable and inventory.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provided by operations was $7.7 million for the year ended December 31, 2022, compared with cash provided by operations of $15.6 million for the year ended December 31, 2021. The decrease was primarily due to an increase in net loss and increases in accounts receivable and inventory, partially offset by dividends received from our unconsolidated joint venture and lower income tax payments in 2022.</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$17.5 million for the year ended December 31, 2022, compared with cash used in investing activities of $36.1 million for the year ended December 31, 2021. The decrease was primarily due to cash paid to settle the interest rate swap in the first quarter of 2021.</w:t>
      </w:r>
    </w:p>
    <w:p>
      <w:pPr>
        <w:spacing w:after="0" w:line="54"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Cash used in financing activities was $5.2 million for the year ended December 31, 2022, compared with cash provided by financing activities of $2.6 million for the year ended December 31, 2021. The difference was primarily due to the debt and preferred stock refinancing in the first quarter of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(the “Term Loan Facility”) as of December 31, 2022, was $147.4 million, without regard to unamortized debt issuance costs and discount. As of December 31, 2022, we had $35.3 million available for future borrowings under the ABL Facility. This amount of borrowing capacity is net of $1.0 million of outstanding borrowings and $11.0 million of outstanding letters of credit at December 31, 2022, which are considered as usage of the ABL Facility.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We may be required to make additional principal payments annually that are calculated as a percentage of our excess cash flow, as defined by the lender, based on our net leverage ratio. Outstanding borrowings under the Term Loan Facility bear interest at either 1) one-month LIBOR (subject to a 1.000% floor) plus an applicable margin of 6.875% or 2) the greater of various benchmark rates plus an applicable margin of 5.875%. Based on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rate in effect at December 31, 2022, and the fixed rate on the 2021 interest rate swap, annual interest payments would be approximately $14.7 million.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ABL Facility bears interest on a variable rate structure with borrowings bearing interest at one-month LIBOR plus an applicable margin of 1.75%. The interest rate in effect at December 31, 2022, was 6.00%. We pay a commitment fee of 0.375% for unused capacity under the ABL Facility.</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December 31, 2022. Both credit facilities allow for optional expansion of available borrowings, subject to certain terms and conditions. On March 3, 2023, we amended our Term Loan Facility and ABL Facility to adjust certain covenants under the agreements, as well as to change the applicable base rate on which interest expense is determined. See Note 11 of the Notes to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5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Currencies</w:t>
      </w:r>
    </w:p>
    <w:p>
      <w:pPr>
        <w:spacing w:after="0" w:line="6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currently have foreign operations in Brazil, China, France, Mexico, and Poland. The local currency of each foreign facility is also its functional currency.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 Refer to Note 19 in the Notes to Consolidated Financial Statements included in this Annual Report for further discussion about the interest rate swap.</w:t>
      </w:r>
    </w:p>
    <w:p>
      <w:pPr>
        <w:spacing w:after="0" w:line="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December 31, 2022, we had $147.4 million of principal outstanding under the Term Loan Facility without regard to capitalized debt issuance costs. A one-percent increase in one-month LIBOR would have resulted in a net increase in interest expense of $0.9 million on an annualized basis.</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At December 31, 2022, using one-month LIBOR plus a 1.75% spread, the interest rate on the $1.0 million of outstanding borrowings under the ABL Facility was 6.00%.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To help reduce exposure to foreign currency fluctuation, we have incurred debt in euros in the past. Various strategies to manage this risk are available to management, including producing and selling in local currencies and hedging programs. We did not hold a position in any foreign currency derivatives as of 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20" w:type="dxa"/>
            <w:vAlign w:val="bottom"/>
          </w:tcPr>
          <w:p>
            <w:pPr>
              <w:spacing w:after="0"/>
              <w:rPr>
                <w:sz w:val="19"/>
                <w:szCs w:val="19"/>
                <w:color w:val="auto"/>
              </w:rPr>
            </w:pPr>
          </w:p>
        </w:tc>
        <w:tc>
          <w:tcPr>
            <w:tcW w:w="109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248)</w:t>
            </w: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9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280" w:type="dxa"/>
            <w:vAlign w:val="bottom"/>
            <w:tcBorders>
              <w:top w:val="single" w:sz="8" w:color="0000FF"/>
            </w:tcBorders>
            <w:gridSpan w:val="17"/>
          </w:tcPr>
          <w:p>
            <w:pPr>
              <w:spacing w:after="0"/>
              <w:rPr>
                <w:sz w:val="18"/>
                <w:szCs w:val="18"/>
                <w:color w:val="auto"/>
              </w:rPr>
            </w:pPr>
          </w:p>
        </w:tc>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9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20" w:type="dxa"/>
            <w:vAlign w:val="bottom"/>
            <w:tcBorders>
              <w:top w:val="single" w:sz="8" w:color="0000FF"/>
            </w:tcBorders>
            <w:gridSpan w:val="10"/>
          </w:tcPr>
          <w:p>
            <w:pPr>
              <w:spacing w:after="0"/>
              <w:rPr>
                <w:sz w:val="18"/>
                <w:szCs w:val="18"/>
                <w:color w:val="auto"/>
              </w:rPr>
            </w:pPr>
          </w:p>
        </w:tc>
        <w:tc>
          <w:tcPr>
            <w:tcW w:w="6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740" w:type="dxa"/>
            <w:vAlign w:val="bottom"/>
            <w:gridSpan w:val="9"/>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 Significant Accounting Policies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 2. Discontinued Operations</w:t>
            </w:r>
          </w:p>
        </w:tc>
        <w:tc>
          <w:tcPr>
            <w:tcW w:w="480" w:type="dxa"/>
            <w:vAlign w:val="bottom"/>
            <w:tcBorders>
              <w:top w:val="single" w:sz="8" w:color="0000FF"/>
            </w:tcBorders>
            <w:gridSpan w:val="5"/>
          </w:tcPr>
          <w:p>
            <w:pPr>
              <w:spacing w:after="0"/>
              <w:rPr>
                <w:sz w:val="18"/>
                <w:szCs w:val="18"/>
                <w:color w:val="auto"/>
              </w:rPr>
            </w:pPr>
          </w:p>
        </w:tc>
        <w:tc>
          <w:tcPr>
            <w:tcW w:w="782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 3. Segment Information</w:t>
            </w:r>
          </w:p>
        </w:tc>
        <w:tc>
          <w:tcPr>
            <w:tcW w:w="8560" w:type="dxa"/>
            <w:vAlign w:val="bottom"/>
            <w:gridSpan w:val="1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4. Accounts Receivable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 5. Inventories</w:t>
            </w:r>
          </w:p>
        </w:tc>
        <w:tc>
          <w:tcPr>
            <w:tcW w:w="8580" w:type="dxa"/>
            <w:vAlign w:val="bottom"/>
            <w:gridSpan w:val="1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6. Property, Plant and Equipment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Note 7. Goodwill</w:t>
            </w:r>
          </w:p>
        </w:tc>
        <w:tc>
          <w:tcPr>
            <w:tcW w:w="1520" w:type="dxa"/>
            <w:vAlign w:val="bottom"/>
            <w:tcBorders>
              <w:top w:val="single" w:sz="8" w:color="0000FF"/>
            </w:tcBorders>
            <w:gridSpan w:val="11"/>
          </w:tcPr>
          <w:p>
            <w:pPr>
              <w:spacing w:after="0"/>
              <w:rPr>
                <w:sz w:val="18"/>
                <w:szCs w:val="18"/>
                <w:color w:val="auto"/>
              </w:rPr>
            </w:pPr>
          </w:p>
        </w:tc>
        <w:tc>
          <w:tcPr>
            <w:tcW w:w="7900" w:type="dxa"/>
            <w:vAlign w:val="bottom"/>
            <w:gridSpan w:val="1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8. Intangible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9. Investment in Joint Venture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 10. Income Taxes</w:t>
            </w:r>
          </w:p>
        </w:tc>
        <w:tc>
          <w:tcPr>
            <w:tcW w:w="812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 11. Debt</w:t>
            </w:r>
          </w:p>
        </w:tc>
        <w:tc>
          <w:tcPr>
            <w:tcW w:w="902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Note 12. Leases</w:t>
            </w:r>
          </w:p>
        </w:tc>
        <w:tc>
          <w:tcPr>
            <w:tcW w:w="952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13. Commitments and Contingencies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 14. Preferred Stock and Stockholders' Equity</w:t>
            </w:r>
          </w:p>
        </w:tc>
        <w:tc>
          <w:tcPr>
            <w:tcW w:w="70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15. Revenue from Contracts with Customers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Note 16. Share-Based Compensation</w:t>
            </w:r>
          </w:p>
        </w:tc>
        <w:tc>
          <w:tcPr>
            <w:tcW w:w="708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11"/>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Note 17. Accumulated Other Comprehensive Income</w:t>
            </w:r>
          </w:p>
        </w:tc>
        <w:tc>
          <w:tcPr>
            <w:tcW w:w="68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18. Net Income (Loss) Per Common Share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 19. Fair Value Measurements</w:t>
            </w:r>
          </w:p>
        </w:tc>
        <w:tc>
          <w:tcPr>
            <w:tcW w:w="722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r>
      <w:tr>
        <w:trPr>
          <w:trHeight w:val="885"/>
        </w:trPr>
        <w:tc>
          <w:tcPr>
            <w:tcW w:w="240" w:type="dxa"/>
            <w:vAlign w:val="bottom"/>
            <w:gridSpan w:val="2"/>
          </w:tcPr>
          <w:p>
            <w:pPr>
              <w:spacing w:after="0"/>
              <w:rPr>
                <w:sz w:val="24"/>
                <w:szCs w:val="24"/>
                <w:color w:val="auto"/>
              </w:rPr>
            </w:pPr>
          </w:p>
        </w:tc>
        <w:tc>
          <w:tcPr>
            <w:tcW w:w="2500" w:type="dxa"/>
            <w:vAlign w:val="bottom"/>
            <w:tcBorders>
              <w:top w:val="single" w:sz="8" w:color="0000FF"/>
            </w:tcBorders>
            <w:gridSpan w:val="11"/>
          </w:tcPr>
          <w:p>
            <w:pPr>
              <w:spacing w:after="0"/>
              <w:rPr>
                <w:sz w:val="24"/>
                <w:szCs w:val="24"/>
                <w:color w:val="auto"/>
              </w:rPr>
            </w:pPr>
          </w:p>
        </w:tc>
        <w:tc>
          <w:tcPr>
            <w:tcW w:w="8180" w:type="dxa"/>
            <w:vAlign w:val="bottom"/>
            <w:gridSpan w:val="14"/>
          </w:tcPr>
          <w:p>
            <w:pPr>
              <w:jc w:val="right"/>
              <w:ind w:right="52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internal control over financial reporting of NN, Inc. (a Delaware corporation) and subsidiaries (the “Company”) as of</w:t>
      </w:r>
    </w:p>
    <w:p>
      <w:pPr>
        <w:spacing w:after="0"/>
        <w:rPr>
          <w:sz w:val="20"/>
          <w:szCs w:val="20"/>
          <w:color w:val="auto"/>
        </w:rPr>
      </w:pPr>
      <w:r>
        <w:rPr>
          <w:rFonts w:ascii="Arial" w:cs="Arial" w:eastAsia="Arial" w:hAnsi="Arial"/>
          <w:sz w:val="17"/>
          <w:szCs w:val="17"/>
          <w:color w:val="auto"/>
        </w:rPr>
        <w:t xml:space="preserve">December 31, 2022,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 xml:space="preserve">internal control over financial reporting as of December 31, 2022,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COSO.</w:t>
      </w:r>
    </w:p>
    <w:p>
      <w:pPr>
        <w:spacing w:after="0" w:line="1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March 10,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expressed an unqualified opinion on those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w:t>
      </w:r>
    </w:p>
    <w:p>
      <w:pPr>
        <w:spacing w:after="0" w:line="2" w:lineRule="exact"/>
        <w:rPr>
          <w:sz w:val="20"/>
          <w:szCs w:val="20"/>
          <w:color w:val="auto"/>
        </w:rPr>
      </w:pPr>
    </w:p>
    <w:p>
      <w:pPr>
        <w:jc w:val="both"/>
        <w:ind w:right="40"/>
        <w:spacing w:after="0" w:line="231" w:lineRule="auto"/>
        <w:rPr>
          <w:sz w:val="20"/>
          <w:szCs w:val="20"/>
          <w:color w:val="auto"/>
        </w:rPr>
      </w:pPr>
      <w:r>
        <w:rPr>
          <w:rFonts w:ascii="Arial" w:cs="Arial" w:eastAsia="Arial" w:hAnsi="Arial"/>
          <w:sz w:val="18"/>
          <w:szCs w:val="18"/>
          <w:color w:val="auto"/>
        </w:rPr>
        <w:t>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obtain reasonable assurance about whether effective internal control over financial reporting was maintained in all material respects. Our audit included obtaining an understanding of internal control over financial reporting, assessing the risk that a material weakness exists,</w:t>
      </w:r>
    </w:p>
    <w:p>
      <w:pPr>
        <w:spacing w:after="0" w:line="1"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financial reporting and the preparation of financial statements for external purposes in accordance with generally accepted accounting principles. A company’s internal control over financial reporting includes those policies and procedures that (1) pertain to the maintenance of</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rPr>
          <w:sz w:val="20"/>
          <w:szCs w:val="20"/>
          <w:color w:val="auto"/>
        </w:rPr>
      </w:pPr>
      <w:r>
        <w:rPr>
          <w:rFonts w:ascii="Arial" w:cs="Arial" w:eastAsia="Arial" w:hAnsi="Arial"/>
          <w:sz w:val="18"/>
          <w:szCs w:val="18"/>
          <w:color w:val="auto"/>
        </w:rPr>
        <w:t>March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audited the accompanying consolidated balance sheets of NN, Inc. (a Delaware corporation) and subsidiaries (the “Company”) as of December 31, 2022 and 2021, the related consolidated statements of operations and comprehensive income (loss), changes in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10, 2023 expressed an unqualified opinion.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427,534</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343,594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58,055</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92,942</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(117,457)</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18,898</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55"/>
        </w:trPr>
        <w:tc>
          <w:tcPr>
            <w:tcW w:w="75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 before benefit (provision) for income taxes and share of net income</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joint venture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(152,088)</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continuing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 (Note 2)</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38,898</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 for discontinued operations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 net of tax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Reclassification adjustment for (gains) losses included in net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(89,770)</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discontinued operations per common share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23"/>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42,199</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continuing operations per common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discontinued operations per common share</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48"/>
        </w:trPr>
        <w:tc>
          <w:tcPr>
            <w:tcW w:w="7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$1,469 and $1,352 at December 31, 2022 and 2021,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75,027</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209,105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579,101</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36,710</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74,017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301,109</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perpetual preferred stock - $0.01 par value per share, 65 shares authorized, issued and outstanding at</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90,000 shares authorized, 43,856 and 43,027 shares issued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December 31, 2022 and 2021,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474,757</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579,101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9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7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840" w:type="dxa"/>
            <w:vAlign w:val="bottom"/>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353,277</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0" w:type="dxa"/>
            <w:vAlign w:val="bottom"/>
          </w:tcPr>
          <w:p>
            <w:pPr>
              <w:spacing w:after="0"/>
              <w:rPr>
                <w:sz w:val="1"/>
                <w:szCs w:val="1"/>
                <w:color w:val="auto"/>
              </w:rPr>
            </w:pPr>
          </w:p>
        </w:tc>
      </w:tr>
      <w:tr>
        <w:trPr>
          <w:trHeight w:val="176"/>
        </w:trPr>
        <w:tc>
          <w:tcPr>
            <w:tcW w:w="38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under stock incentive plans, net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warrants to liabilities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254,152</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0" w:type="dxa"/>
            <w:vAlign w:val="bottom"/>
          </w:tcPr>
          <w:p>
            <w:pPr>
              <w:spacing w:after="0"/>
              <w:rPr>
                <w:sz w:val="1"/>
                <w:szCs w:val="1"/>
                <w:color w:val="auto"/>
              </w:rPr>
            </w:pPr>
          </w:p>
        </w:tc>
      </w:tr>
      <w:tr>
        <w:trPr>
          <w:trHeight w:val="176"/>
        </w:trPr>
        <w:tc>
          <w:tcPr>
            <w:tcW w:w="38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under stock incentive plans, net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224,185</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0" w:type="dxa"/>
            <w:vAlign w:val="bottom"/>
          </w:tcPr>
          <w:p>
            <w:pPr>
              <w:spacing w:after="0"/>
              <w:rPr>
                <w:sz w:val="1"/>
                <w:szCs w:val="1"/>
                <w:color w:val="auto"/>
              </w:rPr>
            </w:pPr>
          </w:p>
        </w:tc>
      </w:tr>
      <w:tr>
        <w:trPr>
          <w:trHeight w:val="175"/>
        </w:trPr>
        <w:tc>
          <w:tcPr>
            <w:tcW w:w="38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under stock incentive plans, net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forgiven for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468,143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(245,198)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(100,592)</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of continuing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45,680</w:t>
            </w: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of discontinued operations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35,731</w:t>
            </w: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 and discount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15,692</w:t>
            </w: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Goodwill impairment of continuing operations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92,942</w:t>
            </w: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impairment of discontinued operations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146,757</w:t>
            </w: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Impairments of property, plant and equipment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extinguishment of debt and write-off of debt issuance costs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derivative loss (gain), net of cash settlements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15,309</w:t>
            </w: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 of net income from joint venture, net of cash dividends received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w:t>
            </w: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disposal of discontinued operations, net of tax and cost to sell</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(233,824)</w:t>
            </w: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(21,697)</w:t>
            </w: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w:t>
            </w: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74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10,831</w:t>
            </w:r>
          </w:p>
        </w:tc>
      </w:tr>
      <w:tr>
        <w:trPr>
          <w:trHeight w:val="219"/>
        </w:trPr>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5,114</w:t>
            </w:r>
          </w:p>
        </w:tc>
      </w:tr>
      <w:tr>
        <w:trPr>
          <w:trHeight w:val="213"/>
        </w:trPr>
        <w:tc>
          <w:tcPr>
            <w:tcW w:w="74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(8,606)</w:t>
            </w:r>
          </w:p>
        </w:tc>
      </w:tr>
      <w:tr>
        <w:trPr>
          <w:trHeight w:val="219"/>
        </w:trPr>
        <w:tc>
          <w:tcPr>
            <w:tcW w:w="7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Income taxes receivable and payable, net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13"/>
        </w:trPr>
        <w:tc>
          <w:tcPr>
            <w:tcW w:w="74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11,295</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15,586</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15,549</w:t>
            </w:r>
          </w:p>
        </w:tc>
      </w:tr>
      <w:tr>
        <w:trPr>
          <w:trHeight w:val="194"/>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(23,773)</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(cash paid for post-closing adjustments on) sale of business, net of cash sold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743,178</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settlements of interest rate swap</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07"/>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(17,492)</w:t>
            </w:r>
          </w:p>
        </w:tc>
        <w:tc>
          <w:tcPr>
            <w:tcW w:w="1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(36,103)</w:t>
            </w: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719,284</w:t>
            </w:r>
          </w:p>
        </w:tc>
      </w:tr>
      <w:tr>
        <w:trPr>
          <w:trHeight w:val="19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debt issuance costs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preferred stock</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preferred stock</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(122,434)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66,195</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(93,729)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(776,331)</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short-term debt, net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w:t>
            </w:r>
          </w:p>
        </w:tc>
      </w:tr>
      <w:tr>
        <w:trPr>
          <w:trHeight w:val="21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(714,854)</w:t>
            </w:r>
          </w:p>
        </w:tc>
      </w:tr>
      <w:tr>
        <w:trPr>
          <w:trHeight w:val="207"/>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flows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16,435</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 (1)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28,656</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48,138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31,703</w:t>
            </w: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12,808</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28,656</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90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activities: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additions to property, plant and equipment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9,644</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13,344</w:t>
            </w:r>
          </w:p>
        </w:tc>
        <w:tc>
          <w:tcPr>
            <w:tcW w:w="1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51,542</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w:t>
      </w:r>
    </w:p>
    <w:p>
      <w:pPr>
        <w:spacing w:after="0" w:line="58" w:lineRule="exact"/>
        <w:rPr>
          <w:sz w:val="20"/>
          <w:szCs w:val="20"/>
          <w:color w:val="auto"/>
        </w:rPr>
      </w:pPr>
    </w:p>
    <w:p>
      <w:pPr>
        <w:ind w:left="900" w:right="20" w:hanging="244"/>
        <w:spacing w:after="0" w:line="282" w:lineRule="auto"/>
        <w:tabs>
          <w:tab w:leader="none" w:pos="9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include $13.8 million of cash and cash equivalents that were included in current assets of discontinued operations as of December 31, 2019.</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ectPr>
          <w:pgSz w:w="11900" w:h="16838" w:orient="portrait"/>
          <w:cols w:equalWidth="0" w:num="1">
            <w:col w:w="11240"/>
          </w:cols>
          <w:pgMar w:left="320" w:top="229" w:right="339" w:bottom="69"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69"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NN, Inc. is a diversified industrial company that combines in-depth materials science expertise with advanced engineering and production capabilities to design and manufacture high-precision metal and plastic components and assemblies for a variety of end markets on a global basis. As used in this Annual Report on Form 10-K (this “Annual Report”), the terms “NN,” the “Company,” “we,” “our,” or “us” refer to NN, Inc., and its subsidiaries. We have 31 facilities in North America, Europe, South America, and Asia.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(“U.S. GAAP”). Certain prior period amounts have been reclassified to conform to the current year’s presentation. Except for per share data or as otherwise indicated, all U.S. dollar amounts presented in the tables in these Notes to Consolidated Financial Statements are in thousands.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6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NN, Inc., and its wholly owned subsidiaries. We own a 49% interest in a joint venture which we account for using the equity method (see Note 9). All intercompany transactions and balances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Consolidated Financial Statements</w:t>
      </w:r>
    </w:p>
    <w:p>
      <w:pPr>
        <w:spacing w:after="0" w:line="6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use estimates and assumptions that affect the reported amounts of certain assets and liabilities, disclosure of contingent assets and liabilities, and the reported amounts of revenues and expenses. Actual results may differ from those estimates.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6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Accounting for Convertible Instruments and Contracts in an Entity’s Own Equity</w:t>
      </w:r>
      <w:r>
        <w:rPr>
          <w:rFonts w:ascii="Times New Roman" w:cs="Times New Roman" w:eastAsia="Times New Roman" w:hAnsi="Times New Roman"/>
          <w:sz w:val="17"/>
          <w:szCs w:val="17"/>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The adoption of ASU 2020-06 effective January 1, 2022 did not have a material impact on our consolidated financial statements and related disclosures.</w:t>
      </w:r>
    </w:p>
    <w:p>
      <w:pPr>
        <w:spacing w:after="0" w:line="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Issuer’s Accounting for Certain Modifications or Exchanges of Freestanding Equity-Classified Written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(“ASU 2021-04”), which clarifies the accounting for modifications or exchanges of freestanding equity-classified written call options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classified after modification or exchange. Specifically, ASU 2021-04 requires the issuer to treat a modification of an equity-classified warrant as an exchange of the original warrant. The difference between the fair value of the modified warrant and the fair value of the warrant immediately before modification is then recognized as an issuance cost or discount of the related transaction. Since we do not have any equity-classified written call options that would be subject to this guidance, the adoption of ASU 2021-04 did not have any impact on our consolidated financial statements and related disclosures during the year ended December 31, 2022.</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 Assistance</w:t>
      </w:r>
      <w:r>
        <w:rPr>
          <w:rFonts w:ascii="Times New Roman" w:cs="Times New Roman" w:eastAsia="Times New Roman" w:hAnsi="Times New Roman"/>
          <w:sz w:val="18"/>
          <w:szCs w:val="18"/>
          <w:color w:val="auto"/>
        </w:rPr>
        <w:t xml:space="preserve"> (“ASU 2021-10”), which requires business entities to provide certain annual disclosures when they have received government assistance and use a grant or contribution accounting model by analogy to other accounting guidance. We have adopted ASU 2021-10 prospectively for the year ended December 31,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6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Cash and cash equivalents include cash and highly liquid investments with original maturities of three months or less. We maintain cash balances in transaction accounts with various financial institutions that are insured by the Federal Deposit Insurance Corporation (“FDIC”). Although we maintain balances that exceed the federally insured limit, we have not experienced any losses related to these balances, and we believe credit risk to be minimal. We had $12.5 million and $17.6 million in cash and cash equivalents as of December 31, 2022 and 2021, respectively, held at foreign financial institutions.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6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their net realizable value. We maintain allowances for estimated losses resulting from the inability of our customers to make required payments. The allowances are based on the amount that we ultimately expect to collect from our customers. We evaluate the collectability of accounts receivable based on a combination of factors including number of days receivables are past due, historical collection experience, current market conditions, and forecasted direction of economic and business environment. Accounts receivable are written off at the time a customer receivable is deemed uncollectible.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6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standard costs, which approximates the average cost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also include tools, molds, and dies in progress that we are producing and will ultimately sell to our customers. These inventories are also carried at the lower of cost or net realizable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improvements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 impairment whenever events or changes in circumstances indicate the carrying amount of an asset may not be recoverable. Property, plant and equipment also includes tools, molds, and dies used in manufacturing.</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Depreciation is calculated based on historical cost using the straight-line method over the estimated useful lives of the depreciable assets. Estimated useful lives for buildings and land improvements generally range from 10 to 40 years. Estimated useful lives for machinery and equipment generally range from 3 to 12 years. Estimated useful lives for leasehold improvements are based on the life of the lease.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determine whether an arrangement is a lease at inception. Lease right-of-use (“ROU”) assets represent our right to use an underlying asset for the lease term, and lease liabilities represent our obligation to make lease payments arising from the lease. Lease ROU assets and liabilities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lease ROU assets is recognized in expense on a straight-line basis over the lease term.</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recognize short-term leases, which have a term of twelve months or less, on a straight-line basis and do not record a related lease asset or liability for such leases. Finance lease ROU assets consist primarily of equipment used in the manufacturing process with terms of four years to eight years. Operating lease ROU assets consist of the following:</w:t>
      </w:r>
    </w:p>
    <w:p>
      <w:pPr>
        <w:spacing w:after="0" w:line="1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used in the manufacturing process as well as office equipment with terms of two years to five years;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plants and office facilities with terms of four years to 20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6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Long-lived tangible and intangible assets subject to depreciation or amortization are tested for recoverability when changes in circumstances indicate the carrying value of these assets, or asset groups,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intangible asset, or asset group, is evaluated by comparing its carrying value to the future estimated undiscounted cash flows expected to be generated by the asset or asset group. If the asset is deemed not recoverable, then the asset is considered impaired and adjusted to fair value which is then depreciated or amortized over its remaining useful life. Assets to be disposed of are recorded at the lesser of carrying value or fair value less costs of disposal.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equity method investment is subject to a review for impairment if, and when, circumstances indicate that a decline in value below its carrying amount may have occurred. Examples of such circumstances include, but are not limited to, a significant deterioration in the earnings performance or business prospects of the investee; a significant adverse change in the regulatory, economic or technological environment of the investee; a significant adverse change in the general market condition of either the geographic area or the industry in which the investee operates; and recurring negative cash flows from operations. If management considers the decline to be other than temporary, we would write down the investment to its estimated fair market value.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 We treat global intangible low-taxed income (“GILTI”) as a periodic charge in the year in which it arises and therefore do not record deferred taxes for basis differences associated with GILTI. We eliminate disproportionate tax effects from accumulated other comprehensive income (loss) when the circumstances upon which they are premised cease to exist.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generally transfer control and recognize revenue when we ship the product from our manufacturing facility to our customer at a point in time, as this is when our customer obtains the ability to direct use of, and obtain substantially all of the remaining benefits from, the product. In limited circumstances, we recognize revenue over time as services are rendered. We have elected to recognize the cost for freight and shipping when control over products has transferred to the customer as a component of cost of sales.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81"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We utilize the portfolio approach practical expedient to evaluate sales-related discounts on a portfolio basis to contracts with similar characteristics. The effect on our consolidated financial statements of applying the portfolio approach would not differ materially from evaluation of individual contracts.</w:t>
      </w:r>
    </w:p>
    <w:p>
      <w:pPr>
        <w:spacing w:after="0" w:line="3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and we estimate the impact to the transaction price based on an analysis of historical experience.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w:t>
      </w:r>
    </w:p>
    <w:p>
      <w:pPr>
        <w:spacing w:after="0" w:line="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cost of stock options, restricted stock, and performance share units is recognized as compensation expense over the vesting periods based on the grant date fair value, net of expected forfeitures. We determine grant date fair value using the Black Scholes financial pricing model for stock options and a Monte Carlo simulation for performance share units that include a market condition for vesting because these awards are not traded in open markets. We determine grant date fair value using the closing price of our common stock on the date of grant for restricted stock and performance share units that include performance conditions for vesting.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Preferred Stock Dividends</w:t>
      </w:r>
    </w:p>
    <w:p>
      <w:pPr>
        <w:spacing w:after="0" w:line="6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Dividends are recorded as a reduction to retained earnings. When we have an accumulated deficit, dividends are recorded as a reduction of additional paid-in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(loss) and accumulated other comprehensive income (loss)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as incurred in either cost of sales or selling, general and administrative expense in the Consolidated Statements of Operations and Comprehensive Income (Loss) and were immaterial to the years ended December 31, 2022, 2021, and 2020. Transaction gains or losses on intercompany loan transactions are recognized as incurred in the “Other expense (income), net” line in the Consolidated Statements of Operations and Comprehensive Income (Loss). For the years ended December 31, 2022, 2021, and 2020, transaction gains (losses) on intercompany loan transactions were $0.2 million, $(0.5) million, and $(0.8) million,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6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we allocate earnings or losses to common stockholders and participating securities using the two-class method to compute earnings per share (“EPS”) unless the treasury stock method results in a lower EPS. The two-class method is an earnings allocation formula that treats participating securities as having rights to earnings that otherwise would have been available to common stockholders. Participating securities may participate in undistributed earnings with common stock whether or not that participation is conditioned upon the occurrence of a specified event. Under the two-class method, our net income (loss) is reduced (or increased) by the amount that has been or will be distributed to our participating security holders. We have elected to allocate undistributed income to participating securities based on year-to-date results. Our participating securities, which include preferred stock, do not participate in losses.</w:t>
      </w:r>
    </w:p>
    <w:p>
      <w:pPr>
        <w:spacing w:after="0" w:line="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allocable to common shares by the weighted average number of common shares outstanding. Diluted net income (loss) per common share includes the effect of warrants, convertible preferred stock, and stock options unless inclusion would not be dilutive.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Assistance</w:t>
      </w:r>
    </w:p>
    <w:p>
      <w:pPr>
        <w:spacing w:after="0" w:line="6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we received $1.4 million in grants and other programs from various governments outside of the U.S. These amounts were received as employment programs, rent abatements, and incentives for capital expenditures in specific locations. Amounts received were recognized as reductions to the underlying expense or capital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2020, we sold our Life Sciences business under the terms of a Stock Purchase Agreement (the “SPA”) with affiliates of American Securities LLC for $753.3 million cash. The Life Sciences business included facilities that were engaged in the production of a variety of components, assemblies, and instruments, such as surgical knives, bioresorbable implants, surgical staples, cases and trays, orthopaedic implants and tools, laparoscopic devices, and drug delivery devices for the orthopaedics and medical/surgical end markets. The sale of the Life Sciences business furthered management’s strategy to improve liquidity and create the financial flexibility to pursue key growth areas in the Mobile Solutions and Power Solutions segments. The SPA included a potential earnout payment of up to $70.0 million based on the performance of the Life Sciences business during the year ended December 31, 2022. Since the sold Life Sciences business did not meet the minimum threshold as defined by the SPA, no earnout payment will be received.</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After working capital and other closing adjustments, we received cash proceeds at closing of $757.2 million in 2020 and paid $3.9 million to the buyer during the year ended December 31, 2021, for post-closing adjustments. Under the terms of a transition services agreement, we provided certain support services after the sale. In accordance with the terms of the SPA, we agreed to indemnify the buyer for certain tax liabilities on its consolidated federal income tax return related to the Life Sciences business during the portion of the year ended December 31, 2020, prior to the change in ownership on October 6, 2020. We recognized a tax indemnification of $1.2 million during the year ended December 31, 2020 which was reversed during the year ended December 31, 2021, as the actual tax liability was determined to be $0.</w:t>
      </w:r>
    </w:p>
    <w:p>
      <w:pPr>
        <w:spacing w:after="0" w:line="7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205-20, </w:t>
      </w:r>
      <w:r>
        <w:rPr>
          <w:rFonts w:ascii="Times New Roman" w:cs="Times New Roman" w:eastAsia="Times New Roman" w:hAnsi="Times New Roman"/>
          <w:sz w:val="18"/>
          <w:szCs w:val="18"/>
          <w:i w:val="1"/>
          <w:iCs w:val="1"/>
          <w:color w:val="auto"/>
        </w:rPr>
        <w:t>Presentation of Financial Statements - Discontinued Operations,</w:t>
      </w:r>
      <w:r>
        <w:rPr>
          <w:rFonts w:ascii="Times New Roman" w:cs="Times New Roman" w:eastAsia="Times New Roman" w:hAnsi="Times New Roman"/>
          <w:sz w:val="18"/>
          <w:szCs w:val="18"/>
          <w:color w:val="auto"/>
        </w:rPr>
        <w:t xml:space="preserve"> the operating results of the Life Sciences business are classified as discontinued operations. The presentation of discontinued operations includes revenues and expenses of the discontinued operations and the gain on the disposition of the business, all net of tax, as one line item on the Consolidated Statements of Operations and Comprehensive Income (Loss). The Consolidated Statements of Operations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Comprehensive Income (Loss) for all periods presented have been revised to reflect this presentation. Accordingly, the results of the Life Sciences business have been excluded from continuing operations and segment results for all periods presented in the consolidated financial statements and the accompanying notes unless otherwise stated. The Consolidated Statements of Cash Flows include cash flows of the Life Sciences business in each line item unless otherwise stated.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the discontinued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920" w:type="dxa"/>
            <w:vAlign w:val="bottom"/>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225,255</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8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160,464</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35,731</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146,757</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8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(138,517)</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48,893</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costs of disposal and benefit for income taxes</w:t>
            </w:r>
          </w:p>
        </w:tc>
        <w:tc>
          <w:tcPr>
            <w:tcW w:w="8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(188,476)</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82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r>
      <w:tr>
        <w:trPr>
          <w:trHeight w:val="223"/>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costs of disposal</w:t>
            </w:r>
          </w:p>
        </w:tc>
        <w:tc>
          <w:tcPr>
            <w:tcW w:w="8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(176,008)</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212,319</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 on costs of disposal</w:t>
            </w:r>
          </w:p>
        </w:tc>
        <w:tc>
          <w:tcPr>
            <w:tcW w:w="8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38,898</w:t>
            </w:r>
          </w:p>
        </w:tc>
      </w:tr>
      <w:tr>
        <w:trPr>
          <w:trHeight w:val="21"/>
        </w:trPr>
        <w:tc>
          <w:tcPr>
            <w:tcW w:w="8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carrying value of the Life Sciences reporting unit exceeded its estimated fair value as of March 31, 2020. As a result of our analysis, we recorded an impairment loss on goodwill of $146.8 million for Life Sciences during the year ended December 31, 2020. The judgments, assumptions, and estimates involved in the goodwill impairment analysis for the Life Sciences reporting unit are consistent with those discussed in Note 7.</w:t>
      </w:r>
    </w:p>
    <w:p>
      <w:pPr>
        <w:spacing w:after="0" w:line="7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Our previous credit facility, which was in place at the time, required us to use proceeds from the sale of the Life Sciences business to prepay a portion of our previous debt. We paid $700.0 million in the aggregate on our term loans during the fourth quarter of 2020. The prepayment was applied to debt in</w:t>
      </w:r>
    </w:p>
    <w:p>
      <w:pPr>
        <w:ind w:right="200"/>
        <w:spacing w:after="0" w:line="282" w:lineRule="auto"/>
        <w:rPr>
          <w:sz w:val="20"/>
          <w:szCs w:val="20"/>
          <w:color w:val="auto"/>
        </w:rPr>
      </w:pPr>
      <w:r>
        <w:rPr>
          <w:rFonts w:ascii="Times New Roman" w:cs="Times New Roman" w:eastAsia="Times New Roman" w:hAnsi="Times New Roman"/>
          <w:sz w:val="18"/>
          <w:szCs w:val="18"/>
          <w:color w:val="auto"/>
        </w:rPr>
        <w:t>accordance with the prepayment provisions of the previous credit agreement, which was in place at the time. Average quarterly interest rates were multiplied by the required prepayment amounts to calculate interest expense to be reclassified to discontinued operations for historical periods presented.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 of interest expense related to the previous credit facility that was reclassified to discontinued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60" w:type="dxa"/>
            <w:vAlign w:val="bottom"/>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35,147</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4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13,990</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 and other</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of discontinued operations</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48,893</w:t>
            </w:r>
          </w:p>
        </w:tc>
      </w:tr>
      <w:tr>
        <w:trPr>
          <w:trHeight w:val="21"/>
        </w:trPr>
        <w:tc>
          <w:tcPr>
            <w:tcW w:w="8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noncash items and cash paid for capital expenditures of discontinued operations for each period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2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35,731</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94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146,757</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94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w:t>
            </w: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94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61" w:lineRule="exact"/>
        <w:rPr>
          <w:sz w:val="20"/>
          <w:szCs w:val="20"/>
          <w:color w:val="auto"/>
        </w:rPr>
      </w:pPr>
    </w:p>
    <w:p>
      <w:pPr>
        <w:ind w:left="660" w:right="20" w:hanging="328"/>
        <w:spacing w:after="0" w:line="271" w:lineRule="auto"/>
        <w:tabs>
          <w:tab w:leader="none" w:pos="653" w:val="left"/>
        </w:tabs>
        <w:numPr>
          <w:ilvl w:val="0"/>
          <w:numId w:val="19"/>
        </w:numPr>
        <w:rPr>
          <w:rFonts w:ascii="Calibri" w:cs="Calibri" w:eastAsia="Calibri" w:hAnsi="Calibri"/>
          <w:sz w:val="19"/>
          <w:szCs w:val="19"/>
          <w:i w:val="1"/>
          <w:iCs w:val="1"/>
          <w:color w:val="auto"/>
        </w:rPr>
      </w:pPr>
      <w:r>
        <w:rPr>
          <w:rFonts w:ascii="Times New Roman" w:cs="Times New Roman" w:eastAsia="Times New Roman" w:hAnsi="Times New Roman"/>
          <w:sz w:val="17"/>
          <w:szCs w:val="17"/>
          <w:i w:val="1"/>
          <w:iCs w:val="1"/>
          <w:color w:val="auto"/>
        </w:rPr>
        <w:t xml:space="preserve">Mobile Solutions. </w:t>
      </w:r>
      <w:r>
        <w:rPr>
          <w:rFonts w:ascii="Times New Roman" w:cs="Times New Roman" w:eastAsia="Times New Roman" w:hAnsi="Times New Roman"/>
          <w:sz w:val="17"/>
          <w:szCs w:val="17"/>
          <w:color w:val="auto"/>
        </w:rPr>
        <w:t>Mobile Solutions is focused on growth in the automotive and general industrial end markets. We have developed an expertise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manufacturing highly complex, tight tolerance, system critical components. Our technical capabilities can be utilized in numerous applications including for use in battery electric, hybrid electric, and internal combustion engine vehicles. The group currently manufactures components on a high-volume basis for use in power steering, braking, transmissions, and gasoline fuel system applications, along with components utilized in heating, ventilation and air conditioning and diesel injection and diesel emissions treatment applications. This expertise has been gained through investment in technical capabilities, processes and systems, and allows us to provide skilled program management and product launch capabilities.</w:t>
      </w:r>
    </w:p>
    <w:p>
      <w:pPr>
        <w:spacing w:after="0" w:line="11" w:lineRule="exact"/>
        <w:rPr>
          <w:rFonts w:ascii="Calibri" w:cs="Calibri" w:eastAsia="Calibri" w:hAnsi="Calibri"/>
          <w:sz w:val="19"/>
          <w:szCs w:val="19"/>
          <w:i w:val="1"/>
          <w:iCs w:val="1"/>
          <w:color w:val="auto"/>
        </w:rPr>
      </w:pPr>
    </w:p>
    <w:p>
      <w:pPr>
        <w:ind w:left="660" w:right="4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Solutions. </w:t>
      </w:r>
      <w:r>
        <w:rPr>
          <w:rFonts w:ascii="Times New Roman" w:cs="Times New Roman" w:eastAsia="Times New Roman" w:hAnsi="Times New Roman"/>
          <w:sz w:val="18"/>
          <w:szCs w:val="18"/>
          <w:color w:val="auto"/>
        </w:rPr>
        <w:t>Power Solutions is focused on growth in the electrical, general industrial, automotive, and medical end markets. Within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we combine materials science expertise with advanced engineering and production capabilities to design and manufacture a broad range of high-precision metal and plastic components, assemblies, and finished devices used in applications ranging from power control to transportation electrification. We manufacture a variety of products including electrical contacts, connectors, contact assemblies, and precision stampings for the electrical end market and high precision products for the aerospace and defense end market utilizing our extensive process technologies for optical grade plastics, thermally conductive plastics, titanium, Inconel, magnesium, and electroplating. Our medical business includes the production of a variety of tools and instruments for the orthopaedics and medical/surgical end markets.</w:t>
      </w:r>
    </w:p>
    <w:p>
      <w:pPr>
        <w:spacing w:after="0" w:line="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divisions are considered our two operating segments as each has engaged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256,360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 and Consolidations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and Consolidations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(36,702)</w:t>
            </w:r>
          </w:p>
        </w:tc>
        <w:tc>
          <w:tcPr>
            <w:tcW w:w="0" w:type="dxa"/>
            <w:vAlign w:val="bottom"/>
          </w:tcPr>
          <w:p>
            <w:pPr>
              <w:spacing w:after="0"/>
              <w:rPr>
                <w:sz w:val="1"/>
                <w:szCs w:val="1"/>
                <w:color w:val="auto"/>
              </w:rPr>
            </w:pPr>
          </w:p>
        </w:tc>
      </w:tr>
      <w:tr>
        <w:trPr>
          <w:trHeight w:val="223"/>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 and Consolidations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and Consolidations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right="2760" w:firstLine="656"/>
        <w:spacing w:after="0" w:line="332" w:lineRule="auto"/>
        <w:tabs>
          <w:tab w:leader="none" w:pos="10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eliminations of intersegment transactions which occur during the ordinary course of business. The following table summarizes total assets by reportable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Solutions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357,171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Consolidations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546,127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579,101</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980" w:right="340" w:hanging="324"/>
        <w:spacing w:after="0" w:line="282" w:lineRule="auto"/>
        <w:tabs>
          <w:tab w:leader="none" w:pos="10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 Mobile Solutions includes $31.8 million and $34.0 million as of December 31, 2022 and 2021, respectively, related to the investment in our 49% owned joint venture (Note 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long-lived tangible assets by country.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112,430</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32,605</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26,977</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Mexico</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w:t>
            </w:r>
          </w:p>
        </w:tc>
      </w:tr>
      <w:tr>
        <w:trPr>
          <w:trHeight w:val="229"/>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Poland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foreign countries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197,637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209,105</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impact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20"/>
        <w:spacing w:after="0" w:line="367" w:lineRule="auto"/>
        <w:rPr>
          <w:sz w:val="20"/>
          <w:szCs w:val="20"/>
          <w:color w:val="auto"/>
        </w:rPr>
      </w:pPr>
      <w:r>
        <w:rPr>
          <w:rFonts w:ascii="Times New Roman" w:cs="Times New Roman" w:eastAsia="Times New Roman" w:hAnsi="Times New Roman"/>
          <w:sz w:val="18"/>
          <w:szCs w:val="18"/>
          <w:color w:val="auto"/>
        </w:rPr>
        <w:t xml:space="preserve">As of December 31, 2022 and 2021, no customer represented greater than 10% of our consolidated accounts receivable balance. </w:t>
      </w:r>
      <w:r>
        <w:rPr>
          <w:rFonts w:ascii="Times New Roman" w:cs="Times New Roman" w:eastAsia="Times New Roman" w:hAnsi="Times New Roman"/>
          <w:sz w:val="18"/>
          <w:szCs w:val="18"/>
          <w:i w:val="1"/>
          <w:iCs w:val="1"/>
          <w:color w:val="auto"/>
        </w:rPr>
        <w:t>Accounts Receivable Sales Programs</w:t>
      </w:r>
    </w:p>
    <w:p>
      <w:pPr>
        <w:spacing w:after="0" w:line="1" w:lineRule="exact"/>
        <w:rPr>
          <w:sz w:val="20"/>
          <w:szCs w:val="20"/>
          <w:color w:val="auto"/>
        </w:rPr>
      </w:pPr>
    </w:p>
    <w:p>
      <w:pPr>
        <w:jc w:val="both"/>
        <w:ind w:right="180"/>
        <w:spacing w:after="0" w:line="250"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During the year ended December 31, 2022, we incurred fees of $0.6 million related to the sale of receivables which is recorded in the Other income, net line item on the Consolidated Statements of Operations and Comprehensive Income (Loss).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75,027</w:t>
            </w:r>
          </w:p>
        </w:tc>
        <w:tc>
          <w:tcPr>
            <w:tcW w:w="0" w:type="dxa"/>
            <w:vAlign w:val="bottom"/>
          </w:tcPr>
          <w:p>
            <w:pPr>
              <w:spacing w:after="0"/>
              <w:rPr>
                <w:sz w:val="1"/>
                <w:szCs w:val="1"/>
                <w:color w:val="auto"/>
              </w:rPr>
            </w:pPr>
          </w:p>
        </w:tc>
      </w:tr>
      <w:tr>
        <w:trPr>
          <w:trHeight w:val="21"/>
        </w:trPr>
        <w:tc>
          <w:tcPr>
            <w:tcW w:w="7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comprised of the following amounts:</w:t>
            </w: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57,991</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Machinery and equipment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353,364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344,041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422,683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407,041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225,046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197,936</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197,637</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209,105</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we recorded depreciation expense of $31.4 million, $31.8 million, and $31.3 million, respectively.</w:t>
      </w:r>
    </w:p>
    <w:p>
      <w:pPr>
        <w:spacing w:after="0" w:line="5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monitor property, plant and equipment for any indicators of potential impairment. There were no impairment charges for the years ended December 31, 2022 and 2021. We recognized an impairment charge of $4.1 million for the year ended December 31, 2020, related to the early retirement of identified fixed assets. The impairment charge was recorded to the “Other operating expense (income), net,” line item on the Consolidated Statements of Operations and Comprehensive Income (Loss). The impairment charge was determined by writing the assets down to the estimated salvage value, less disposal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first quarter of 2020, our market capitalization declined to a level that was less than the net book value of our stockholders’ equity. The decline in market capitalization was a triggering event that caused us to perform a goodwill impairment analysis as of March 31, 2020. The goodwill impairment analysis required significant judgments to calculate the fair value for the Power Solutions reporting unit, including estimation of future cash flows, which is dependent on internal forecasts, estimation of the long-term growth rate for each operating segment, and determination of weighted average cost of capital. Our forecasts used in the goodwill impairment analysis reflected our expectations of declines in sales resulting from the COVID-19 pandemic. Significant assumptions and estimates are involved in the application of the discounted cash flow model</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The carrying value of the Power Solutions reporting unit exceeded the estimated fair value as of the March 31, 2020, analysis. As a result of our analysis, we recorded an impairment loss on goodwill of $92.9 million to the “Goodwill impairment” line on the Consolidated Statements of Operations and Comprehensive Income (Loss) for the year ended December 31, 2020. As of December 31, 2022 and 2021, there was no remaining goodwill balance.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Mobile Solutions</w:t>
            </w:r>
          </w:p>
        </w:tc>
        <w:tc>
          <w:tcPr>
            <w:tcW w:w="18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Power Solutions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29,062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74,003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103,065</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8"/>
              </w:rPr>
              <w:t>(3,353)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rPr>
              <w:t>(10,994)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63,009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88,718</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8"/>
              </w:rPr>
              <w:t>(3,353)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(15,827)</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50,535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cost and accumulated amortization of our intangible assets as of December 31, 2022 and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14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4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Acquisition Date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85,851</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 and trade name</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identified intangible assets</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88,718</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estimated useful life of customer relationships and trademarks and trade names was 5.3 years and 5.7 years,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that are fully amortized are removed and no longer represented in the gross carrying value or accumulated amortization.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estimated future amortization expense for each of the next five years.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2023</w:t>
            </w:r>
          </w:p>
        </w:tc>
        <w:tc>
          <w:tcPr>
            <w:tcW w:w="52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2024</w:t>
            </w:r>
          </w:p>
        </w:tc>
        <w:tc>
          <w:tcPr>
            <w:tcW w:w="5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r>
      <w:tr>
        <w:trPr>
          <w:trHeight w:val="230"/>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2025</w:t>
            </w:r>
          </w:p>
        </w:tc>
        <w:tc>
          <w:tcPr>
            <w:tcW w:w="5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w:t>
            </w:r>
          </w:p>
        </w:tc>
      </w:tr>
      <w:tr>
        <w:trPr>
          <w:trHeight w:val="229"/>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2026</w:t>
            </w:r>
          </w:p>
        </w:tc>
        <w:tc>
          <w:tcPr>
            <w:tcW w:w="5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r>
      <w:tr>
        <w:trPr>
          <w:trHeight w:val="230"/>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2027</w:t>
            </w:r>
          </w:p>
        </w:tc>
        <w:tc>
          <w:tcPr>
            <w:tcW w:w="5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r>
    </w:tbl>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As of December 31, 2022, our market capitalization was at a level that was less than the net book value of our stockholders’ equity, which was deemed a triggering event that caused us to perform impairment analyses on our long-lived assets. Based on our analyses, the carrying values of the long-lived assets were recoverable and no impairment charge was recorded during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Investment in Joint Venture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 with the share of net income from the joint venture recorded in the Mobile Solutions segment.</w:t>
      </w:r>
    </w:p>
    <w:p>
      <w:pPr>
        <w:sectPr>
          <w:pgSz w:w="11900" w:h="16838" w:orient="portrait"/>
          <w:cols w:equalWidth="0" w:num="1">
            <w:col w:w="11240"/>
          </w:cols>
          <w:pgMar w:left="320" w:top="229"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changes in our investment in the JV.</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paid by joint venture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860" w:hanging="853"/>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34,045</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6,592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(6,245)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(2,590)</w:t>
      </w:r>
    </w:p>
    <w:p>
      <w:pPr>
        <w:spacing w:after="0" w:line="31" w:lineRule="exact"/>
        <w:rPr>
          <w:sz w:val="20"/>
          <w:szCs w:val="20"/>
          <w:color w:val="auto"/>
        </w:rPr>
      </w:pPr>
    </w:p>
    <w:p>
      <w:pPr>
        <w:ind w:left="860" w:hanging="853"/>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0" w:space="720"/>
            <w:col w:w="1420"/>
          </w:cols>
          <w:pgMar w:left="320" w:top="229"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5" w:name="page46"/>
    <w:bookmarkEnd w:id="45"/>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tables show summarized financial information of the unconsolidated JV.</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06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68,216</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84,654</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77,620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56,669</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r>
      <w:tr>
        <w:trPr>
          <w:trHeight w:val="404"/>
        </w:trPr>
        <w:tc>
          <w:tcPr>
            <w:tcW w:w="7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r>
      <w:tr>
        <w:trPr>
          <w:trHeight w:val="23"/>
        </w:trPr>
        <w:tc>
          <w:tcPr>
            <w:tcW w:w="7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gridSpan w:val="2"/>
          </w:tcPr>
          <w:p>
            <w:pPr>
              <w:spacing w:after="0"/>
              <w:rPr>
                <w:sz w:val="16"/>
                <w:szCs w:val="16"/>
                <w:color w:val="auto"/>
              </w:rPr>
            </w:pPr>
          </w:p>
        </w:tc>
        <w:tc>
          <w:tcPr>
            <w:tcW w:w="13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65,465</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79,473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75,222</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67,206</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w:t>
            </w:r>
          </w:p>
        </w:tc>
      </w:tr>
    </w:tbl>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recognized sales to the JV of $0.1 million, $0.4 million, and $0.1 million during the years ended December 31, 2022, 2021, and 2020, respectively.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due to us from the JV as of December 31, 2022 were $0.1 million.</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67" w:lineRule="exact"/>
        <w:rPr>
          <w:sz w:val="20"/>
          <w:szCs w:val="20"/>
          <w:color w:val="auto"/>
        </w:rPr>
      </w:pPr>
    </w:p>
    <w:p>
      <w:pPr>
        <w:ind w:left="20" w:right="320"/>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income (loss) from continuing operations before benefit (provision) for income taxes and share of net income from joint venture.</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8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Loss from continuing operations before benefit (provision) for income taxes and</w:t>
            </w:r>
          </w:p>
        </w:tc>
        <w:tc>
          <w:tcPr>
            <w:tcW w:w="980" w:type="dxa"/>
            <w:vAlign w:val="bottom"/>
            <w:vMerge w:val="restart"/>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(31,069)</w:t>
            </w:r>
          </w:p>
        </w:tc>
        <w:tc>
          <w:tcPr>
            <w:tcW w:w="120" w:type="dxa"/>
            <w:vAlign w:val="bottom"/>
            <w:vMerge w:val="restart"/>
            <w:shd w:val="clear" w:color="auto" w:fill="CCEEFF"/>
          </w:tcPr>
          <w:p>
            <w:pPr>
              <w:spacing w:after="0"/>
              <w:rPr>
                <w:sz w:val="14"/>
                <w:szCs w:val="14"/>
                <w:color w:val="auto"/>
              </w:rPr>
            </w:pP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(22,442)</w:t>
            </w:r>
          </w:p>
        </w:tc>
        <w:tc>
          <w:tcPr>
            <w:tcW w:w="1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total income tax expense (benefit) recognized in each year.</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U.S. federal, state and foreign valuation allowance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income taxes based on the U.S. federal statutory income tax rate.</w:t>
      </w:r>
    </w:p>
    <w:p>
      <w:pPr>
        <w:spacing w:after="0" w:line="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exclusive of state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taxes, exclusive of tax reform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earnings taxed at different rates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GILTI</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84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true-up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84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CARES Act</w:t>
            </w:r>
          </w:p>
        </w:tc>
        <w:tc>
          <w:tcPr>
            <w:tcW w:w="184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CARES Act refund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unremitted foreign earnings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gain</w:t>
            </w:r>
          </w:p>
        </w:tc>
        <w:tc>
          <w:tcPr>
            <w:tcW w:w="1840" w:type="dxa"/>
            <w:vAlign w:val="bottom"/>
            <w:gridSpan w:val="3"/>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lending</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revaluation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 net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
        </w:trPr>
        <w:tc>
          <w:tcPr>
            <w:tcW w:w="5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effective tax rate was (5.2)% for 2022 which differed from the U.S. federal statutory tax rate of 21% primarily due to the impact of our valuation allowance change during the year.</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effective tax rate for continuing operations was 7.8% for 2021. The 2021 effective tax rate for continuing operations differs from the U.S. federal statutory tax rate of 21% primarily due to the impact of our valuation allowance change during the year.</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effective tax rate for continuing operations was 5.9% for 2020. The 2020 effective tax rate for continuing operations differs from the U.S. federal statutory tax rate of 21% primarily due to (1) the impact of the impairment of nondeductible goodwill which is treated as a permanent difference and (2) the accrual of taxes on unremitted earnings of the foreign subsidiaries which may be repatriated.</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Among other provisions, the CARES Act allows for the carryback of certain tax losses and favorably impacts the deductibility of interest expense and depreciation. The CARES Act had a material impact on our consolidated financial statements, primarily due to enacted federal rate difference in the carryback periods, and has been accounted for in the benefit for income taxes for the year ended December 31, 2020.</w:t>
      </w:r>
    </w:p>
    <w:p>
      <w:pPr>
        <w:spacing w:after="0" w:line="72"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On October 6, 2020, we sold our Life Sciences business via a sale of our equity interest in Precision Engineered Products Holdings, Inc., a wholly owned U.S. domestic subsidiary. Prior to the sale, we completed tax restructuring in which Precision Engineered Products Holdings, Inc., distributed to NN, Inc., all of its asset and equity holdings related to the Power Solutions segment. The restructuring process created a deferred gain, required to be realized upon the third party equity sale, equal to the fair market value of the distributed assets over tax basis. The associated U.S. federal, state, and foreign tax impacts are reflected in the tables within this footnote.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principal components of the deferred tax assets and liabilities.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in excess of book depreciation</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24,045</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unremitted foreign earnings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r>
      <w:tr>
        <w:trPr>
          <w:trHeight w:val="223"/>
        </w:trPr>
        <w:tc>
          <w:tcPr>
            <w:tcW w:w="78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63,691</w:t>
            </w: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Section 174 research and development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personnel accruals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82,358</w:t>
            </w: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r>
      <w:tr>
        <w:trPr>
          <w:trHeight w:val="223"/>
        </w:trPr>
        <w:tc>
          <w:tcPr>
            <w:tcW w:w="78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56,549</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December 31, 2022, we had a $33.4 million U.S. federal net operating loss (“NOL”) carryover. The federal NOL has an indefinite life, but utilization within any tax year is limited to 80% of taxable income. Therefore, a valuation allowance of $4.4 million has been established to reduce the attribute balance to the amount expected to be utilized. As of December 31, 2022, we had $239.5 million of state NOL carryovers, which begin to expire in 2030. Management believes that certain of the state NOL carryovers will more likely than not expire prior to utilization. As such, a valuation allowance of $15.8 million (prior to federal benefit) has been established to reduce the state attribute balance to the amount expected to be utilized before expiration. We also have $4.8 million, tax-effected, of foreign NOL carryovers at December 31, 2022. The foreign NOLs have an indefinite life; however, management believes that benefit for certain of the foreign NOLs may not be realized. Therefore, we have established a valuation allowance of $1.8 million to reduce the carrying value of the asset related to foreign NOLs to the amount that has been determined to be more likely than not realized.</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$0.2 million and $2.6 million of U.S. federal tax credits and tax credits in foreign jurisdictions, respectively, as of December 31, 2022. We have recognized a valuation allowance of $1.9 million for the foreign tax credits. In addition, we have $2.1 million (prior to federal benefit) of state deferred tax assets for which we believe recognition is not appropriate.</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 U.S. federal and state deferred tax asset related to interest expense carryforwards. Management believes it is more likely than not that the benefit for this assets will not be realized. We have established a valuation allowance of $8.0 million to eliminate the carrying value of this asset.</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 assesses available positive and negative evidence to estimate whether it is more likely than not sufficient future taxable income will be generated to provide use of the existing deferred tax assets. A significant piece of objective negative evidence evaluated is cumulative losses incurred over the three-year period ended December 31, 2022. Such objective evidence limits the ability to consider other subjective evidence, such as our projections for future earnings growth. On the basis of this evaluation, as of December 31, 2022, a valuation allowance of $30.2 million has been recorded to recognize only the portion of the deferred tax asset that is more likely than not to be realized without consideration of future earnings growth.</w:t>
      </w:r>
    </w:p>
    <w:p>
      <w:pPr>
        <w:spacing w:after="0" w:line="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Management believes all remaining tax assets will more likely than not be realized. However, the amount of the deferred tax asset realized will change based on future conditions, and the amount considered realizable will be adjusted if objective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negative evidence in the form of cumulative losses is no longer present allowing additional weight to be given to subjective evidence such as our projections for growth.</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2022, the valuation allowance increased by $4.4 million, primarily due to allowances recorded against U.S. federal net operating loss carryforwards and carryforwards of disallowed interest expense which are subject to certain annual deduction limitations. The increase was partially offset by utilization of previously reserved net operating loss carryforwards in certain foreign jurisdictions, the write-off of deferred tax assets and adjustments to state net operating losses resulting from amended returns for which a full valuation allowance was recorded.</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 result of the deemed mandatory repatriation provisions in the U.S. Tax Cuts and Jobs Act of 2017 and subsequent recognition in income of GILTI, we do not have material basis differences related to cumulative unremitted earnings for U.S. income tax purposes. However, we continue to evaluate the impact that repatriation of foreign earnings would have on withholding and other taxes. As of December 31, 2022, we have recorded a liability of $5.0 million for the anticipated withholding taxes that would be due upon repatriation of the unremitted earnings of those subsidiaries for which management does not intend to permanently reinvest.</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2021, the Company asserted that it was permanently reinvested in certain jurisdictions for which it previously was unable to assert permanent reinvestment. Prior to the Company’s debt refinancing in 2021, the Company had recorded a liability on all unremitted earnings. However, upon completion of the debt refinancing, the Company reevaluated repatriation plans, changed its assertion for certain jurisdictions and recorded the resulting tax benefit of $2.4 million.</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U.S. federal income tax as well as tax in several foreign jurisdictions. We are also subject to tax by various state authorities. The tax years subject to examination vary by jurisdiction. We are no longer subject to U.S. federal examination for periods before 2017. We regularly assess the outcomes of both ongoing and future examinations for the current or prior years to ensure our provision for income taxes is sufficient. We recognize liabilities based on estimates of whether additional taxes will be due, and we believe our reserves are adequate in relation to any potential assessments. The outcome of any one examination, some of which may conclude during the next twelve months, is not expected to have a material impact on our financial position or results of operations.</w:t>
      </w:r>
    </w:p>
    <w:p>
      <w:pPr>
        <w:spacing w:after="0" w:line="7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Interest and penalties related to federal, state, and foreign income tax matters are recorded as a component of the provision for income taxes in our Consolidated Statements of Operations and Comprehensive Income (Loss). Accrued interest and penalties of $0.5 million, $0.5 million, and $0.6 million are included in other non-current liabilities as of December 31, 2022, 2021, and 2020, respectively. In 2022, we accrued $0.6 million of interest on IRS refunds relating to the CARES Act. We initially filed refund claims in 2021 and will be accruing interest quarterly until refunds are received.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amounts of unrecognized tax benefits, excluding interest and penalties.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reduction to unrecognized tax benefits in 2022 is related to the foreign currency remeasurement of previously unrecognized tax benefits. As of December 31, 2022, the unrecognized tax benefits would, if recognized, impact our effective tax rate by $0.6 million, inclusive of the impact of interest and penalties. Management believes that it is reasonably possible that the amount of unrecognized income tax benefits, including interest and penalties, may not decrease during the next twelve months as no statutes are expected to lapse within the period.</w:t>
      </w:r>
    </w:p>
    <w:p>
      <w:pPr>
        <w:spacing w:after="0" w:line="72"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We operate under tax holidays in other countries, which are effective through December 31, 2026, and may be extended if certain additional requirements are satisfied. The tax holidays are conditional upon our meeting certain employment and investment thresholds. The tax holidays did not impact our 2022 foreign taxes. The impact of these tax holidays decreased foreign taxes by $0.2 million and $0.2 million for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w:t>
      </w:r>
    </w:p>
    <w:p>
      <w:pPr>
        <w:spacing w:after="0" w:line="6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On March 22, 2021, we entered into a new $150.0 million term loan facility (the “Term Loan Facility”) and a new $50.0 million asset backed credit facility (the “ABL Facility”). The following table presents the outstanding debt balances.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147,375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148,875</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principal</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157,104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maturities of long-term debt</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net of current portion</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153,783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156,731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Less-unamortized debt issuance costs and discount (1)</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149,389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151,052</w:t>
            </w:r>
          </w:p>
        </w:tc>
      </w:tr>
      <w:tr>
        <w:trPr>
          <w:trHeight w:val="21"/>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580" w:right="600" w:hanging="248"/>
        <w:spacing w:after="0" w:line="282" w:lineRule="auto"/>
        <w:tabs>
          <w:tab w:leader="none" w:pos="5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$0.6 million and $0.7 million related to the ABL Facility were recorded in other non-current assets as of December 31, 2022 and 2021, respectively.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$0.6 million, $0.3 million, and $0.2 million in the years ended December 31, 2022, 2021, and 2020, respectively, related to construction in progress.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Term Loan Facility bear interest at either 1) one-month LIBOR (subject to a 1.000% floor) plus an applicable margin of 6.875% or 2) the greater of various benchmark rates plus an applicable margin of 5.875%. At December 31, 2022, the Term Loan Facility bore interest, based on one-month LIBOR, at 11.259%. We have an interest rate swap, which expires in July 2024, that changes the one-month LIBOR to a fixed rate of 1.291% on $60.0 million of the outstanding balance of the Term Loan Facility. Refer to Note 19 for further discussion of the interest rate swap agreement.</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assets other than accounts receivable and inventory and has a second lien on accounts receivable and inventory. On March 3, 2022, we amended our Term Loan Facility, which increased the quarterly maximum consolidated net leverage ratio. We were in compliance with all requirements under the Term Loan Facility as of December 31, 2022.</w:t>
      </w:r>
    </w:p>
    <w:p>
      <w:pPr>
        <w:spacing w:after="0" w:line="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capitalized an additional $2.8 million in new debt issuance costs. These costs are recorded as a direct reduction to the carrying amount of the associated long-term debt and amortized over the term of the debt.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6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December 31, 2022, using one-month LIBOR plus a 1.75% spread, the weighted average interest rate on outstanding borrowings under the ABL Facility was 6.00%. We pay a commitment fee of 0.375% for unused capacity under the ABL Facility and a 1.875% fee on the amount of letters of credit outstanding. The final maturity date of the ABL Facility is March 22, 2026.</w:t>
      </w:r>
    </w:p>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2022, we had $1.0 million of outstanding borrowings under the ABL Facility, $11.0 million of outstanding letters of credit, and $35.3 million available for future borrowings under the ABL Facility. The ABL Facility has a first lien on accounts receivable and inventory. We were in compliance with all requirements under the ABL Facility as of December 31,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Amendments</w:t>
      </w:r>
    </w:p>
    <w:p>
      <w:pPr>
        <w:spacing w:after="0" w:line="6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March 3, 2023, we amended our Term Loan Facility (the “Term Loan Amendment”) and ABL Facility (the “ABL Amendment”) to adjust certain covenants under the agreements, as well as to change the applicable base rate on which interest expense is determined.</w:t>
      </w:r>
    </w:p>
    <w:p>
      <w:pPr>
        <w:spacing w:after="0" w:line="54"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The Term Loan Amendment increases the quarterly maximum consolidated net leverage ratio covenant beginning in 2023 and waived the required excess cash flow payment that would have been paid in 2023. The Term Loan Amendment provides for increased utilization of customer programs to accelerate payment terms and also introduces a quarterly domestic liquidity covenant. Interest under the Term Loan Amendment is increased on a paid-in-kind basis at a rate dependent on the Company’s leverage ratio and whether the Company completes a qualifying junior equity raise by June 30, 2023. The Company also issued penny warrants in connection with the Term Loan Amendment. In addition, the base rate for interest expense has been changed from LIBOR to the secured overnight financing rate (“SOFR”).</w:t>
      </w:r>
    </w:p>
    <w:p>
      <w:pPr>
        <w:spacing w:after="0" w:line="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ABL Amendment provides for increased utilization of customer programs to accelerate payment terms and also introduces a quarterly domestic liquidity covenant. In addition, the base rate for interest expense has been changed from LIBOR to SOFR.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Maturities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aggregate maturities of long-term debt for the next five years.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2023</w:t>
            </w:r>
          </w:p>
        </w:tc>
        <w:tc>
          <w:tcPr>
            <w:tcW w:w="51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30"/>
        </w:trPr>
        <w:tc>
          <w:tcPr>
            <w:tcW w:w="50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2024</w:t>
            </w:r>
          </w:p>
        </w:tc>
        <w:tc>
          <w:tcPr>
            <w:tcW w:w="5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229"/>
        </w:trPr>
        <w:tc>
          <w:tcPr>
            <w:tcW w:w="50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2025</w:t>
            </w:r>
          </w:p>
        </w:tc>
        <w:tc>
          <w:tcPr>
            <w:tcW w:w="5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30"/>
        </w:trPr>
        <w:tc>
          <w:tcPr>
            <w:tcW w:w="50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2026</w:t>
            </w:r>
          </w:p>
        </w:tc>
        <w:tc>
          <w:tcPr>
            <w:tcW w:w="5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143,887</w:t>
            </w:r>
          </w:p>
        </w:tc>
      </w:tr>
      <w:tr>
        <w:trPr>
          <w:trHeight w:val="229"/>
        </w:trPr>
        <w:tc>
          <w:tcPr>
            <w:tcW w:w="50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2027</w:t>
            </w:r>
          </w:p>
        </w:tc>
        <w:tc>
          <w:tcPr>
            <w:tcW w:w="5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6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recognized a $2.4 million loss on extinguishment for unamortized debt issuance costs that were written off in the year ended December 31, 2021, in connection with the termination of our previous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expense: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 (1)</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10,197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expenses related to leases with a lease term of one month or less.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lease-related assets and liabilities recorded on the balance sheet.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492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49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assets</w:t>
            </w:r>
          </w:p>
        </w:tc>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60,084</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3" w:lineRule="exact"/>
        <w:rPr>
          <w:sz w:val="20"/>
          <w:szCs w:val="20"/>
          <w:color w:val="auto"/>
        </w:rPr>
      </w:pPr>
    </w:p>
    <w:p>
      <w:pPr>
        <w:ind w:left="360"/>
        <w:spacing w:after="0"/>
        <w:tabs>
          <w:tab w:leader="none" w:pos="3340" w:val="left"/>
        </w:tabs>
        <w:rPr>
          <w:sz w:val="20"/>
          <w:szCs w:val="20"/>
          <w:color w:val="auto"/>
        </w:rPr>
      </w:pPr>
      <w:r>
        <w:rPr>
          <w:rFonts w:ascii="Times New Roman" w:cs="Times New Roman" w:eastAsia="Times New Roman" w:hAnsi="Times New Roman"/>
          <w:sz w:val="18"/>
          <w:szCs w:val="18"/>
          <w:color w:val="auto"/>
        </w:rPr>
        <w:t>Operating lease liabilities</w:t>
      </w:r>
      <w:r>
        <w:rPr>
          <w:sz w:val="20"/>
          <w:szCs w:val="20"/>
          <w:color w:val="auto"/>
        </w:rPr>
        <w:tab/>
      </w:r>
      <w:r>
        <w:rPr>
          <w:rFonts w:ascii="Times New Roman" w:cs="Times New Roman" w:eastAsia="Times New Roman" w:hAnsi="Times New Roman"/>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3340" w:val="left"/>
        </w:tabs>
        <w:rPr>
          <w:sz w:val="20"/>
          <w:szCs w:val="20"/>
          <w:color w:val="auto"/>
        </w:rPr>
      </w:pPr>
      <w:r>
        <w:rPr>
          <w:rFonts w:ascii="Times New Roman" w:cs="Times New Roman" w:eastAsia="Times New Roman" w:hAnsi="Times New Roman"/>
          <w:sz w:val="18"/>
          <w:szCs w:val="18"/>
          <w:color w:val="auto"/>
        </w:rPr>
        <w:t>Finance lease liabilities</w:t>
      </w:r>
      <w:r>
        <w:rPr>
          <w:sz w:val="20"/>
          <w:szCs w:val="20"/>
          <w:color w:val="auto"/>
        </w:rPr>
        <w:tab/>
      </w:r>
      <w:r>
        <w:rPr>
          <w:rFonts w:ascii="Times New Roman" w:cs="Times New Roman" w:eastAsia="Times New Roman" w:hAnsi="Times New Roman"/>
          <w:sz w:val="17"/>
          <w:szCs w:val="17"/>
          <w:color w:val="auto"/>
        </w:rPr>
        <w:t>Other current liabilities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3340" w:val="left"/>
        </w:tabs>
        <w:rPr>
          <w:sz w:val="20"/>
          <w:szCs w:val="20"/>
          <w:color w:val="auto"/>
        </w:rPr>
      </w:pPr>
      <w:r>
        <w:rPr>
          <w:rFonts w:ascii="Times New Roman" w:cs="Times New Roman" w:eastAsia="Times New Roman" w:hAnsi="Times New Roman"/>
          <w:sz w:val="18"/>
          <w:szCs w:val="18"/>
          <w:color w:val="auto"/>
        </w:rPr>
        <w:t>Operating lease liabilities</w:t>
      </w:r>
      <w:r>
        <w:rPr>
          <w:sz w:val="20"/>
          <w:szCs w:val="20"/>
          <w:color w:val="auto"/>
        </w:rPr>
        <w:tab/>
      </w:r>
      <w:r>
        <w:rPr>
          <w:rFonts w:ascii="Times New Roman" w:cs="Times New Roman" w:eastAsia="Times New Roman" w:hAnsi="Times New Roman"/>
          <w:sz w:val="17"/>
          <w:szCs w:val="17"/>
          <w:color w:val="auto"/>
        </w:rPr>
        <w:t>Operating lease liabilities, net of current portion</w:t>
      </w:r>
    </w:p>
    <w:p>
      <w:pPr>
        <w:spacing w:after="0" w:line="23" w:lineRule="exact"/>
        <w:rPr>
          <w:sz w:val="20"/>
          <w:szCs w:val="20"/>
          <w:color w:val="auto"/>
        </w:rPr>
      </w:pPr>
    </w:p>
    <w:p>
      <w:pPr>
        <w:ind w:left="360"/>
        <w:spacing w:after="0"/>
        <w:tabs>
          <w:tab w:leader="none" w:pos="3340" w:val="left"/>
        </w:tabs>
        <w:rPr>
          <w:sz w:val="20"/>
          <w:szCs w:val="20"/>
          <w:color w:val="auto"/>
        </w:rPr>
      </w:pPr>
      <w:r>
        <w:rPr>
          <w:rFonts w:ascii="Times New Roman" w:cs="Times New Roman" w:eastAsia="Times New Roman" w:hAnsi="Times New Roman"/>
          <w:sz w:val="18"/>
          <w:szCs w:val="18"/>
          <w:color w:val="auto"/>
        </w:rPr>
        <w:t>Finance lease liabilities</w:t>
      </w:r>
      <w:r>
        <w:rPr>
          <w:sz w:val="20"/>
          <w:szCs w:val="20"/>
          <w:color w:val="auto"/>
        </w:rPr>
        <w:tab/>
      </w:r>
      <w:r>
        <w:rPr>
          <w:rFonts w:ascii="Times New Roman" w:cs="Times New Roman" w:eastAsia="Times New Roman" w:hAnsi="Times New Roman"/>
          <w:sz w:val="17"/>
          <w:szCs w:val="17"/>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supplemental cash flow information related to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4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r>
      <w:tr>
        <w:trPr>
          <w:trHeight w:val="234"/>
        </w:trPr>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454"/>
        </w:trPr>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51,295</w:t>
            </w:r>
          </w:p>
        </w:tc>
      </w:tr>
      <w:tr>
        <w:trPr>
          <w:trHeight w:val="234"/>
        </w:trPr>
        <w:tc>
          <w:tcPr>
            <w:tcW w:w="1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23"/>
        </w:trPr>
        <w:tc>
          <w:tcPr>
            <w:tcW w:w="120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65,556</w:t>
            </w:r>
          </w:p>
        </w:tc>
      </w:tr>
      <w:tr>
        <w:trPr>
          <w:trHeight w:val="20"/>
        </w:trPr>
        <w:tc>
          <w:tcPr>
            <w:tcW w:w="12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18"/>
        </w:trPr>
        <w:tc>
          <w:tcPr>
            <w:tcW w:w="1200" w:type="dxa"/>
            <w:vAlign w:val="bottom"/>
          </w:tcPr>
          <w:p>
            <w:pPr>
              <w:spacing w:after="0"/>
              <w:rPr>
                <w:sz w:val="24"/>
                <w:szCs w:val="24"/>
                <w:color w:val="auto"/>
              </w:rPr>
            </w:pPr>
          </w:p>
        </w:tc>
        <w:tc>
          <w:tcPr>
            <w:tcW w:w="194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24"/>
                <w:szCs w:val="24"/>
                <w:color w:val="auto"/>
              </w:rPr>
            </w:pPr>
          </w:p>
        </w:tc>
      </w:tr>
      <w:tr>
        <w:trPr>
          <w:trHeight w:val="23"/>
        </w:trPr>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12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5"/>
                <w:szCs w:val="15"/>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1" w:lineRule="exact"/>
        <w:rPr>
          <w:sz w:val="20"/>
          <w:szCs w:val="20"/>
          <w:color w:val="auto"/>
        </w:rPr>
      </w:pPr>
    </w:p>
    <w:p>
      <w:pPr>
        <w:sectPr>
          <w:pgSz w:w="11900" w:h="16838" w:orient="portrait"/>
          <w:cols w:equalWidth="0" w:num="2">
            <w:col w:w="6820" w:space="240"/>
            <w:col w:w="41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w:t>
            </w: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weighted-average discount rate for finance and operating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 years</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4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The maturities of lease liabilities as of December 31, 2022, is as follows:</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54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2"/>
        </w:trPr>
        <w:tc>
          <w:tcPr>
            <w:tcW w:w="54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In August 2022, we began subleasing a portion of our leased corporate headquarters office space. Since the Company retains the obligation to the lessor, the underlying lease continues to be accounted for as operating leases. Sublease income is recognized on a straight-line basis over the lease terms.</w:t>
      </w:r>
    </w:p>
    <w:p>
      <w:pPr>
        <w:spacing w:after="0" w:line="3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March 2020, we amended the lease of our corporate headquarters building to exit over half of the previously leased space and reduce annual base rent payments. The amendment was accounted for as a lease modification, and the remeasurement of the lease resulted in an $8.1 million decrease in the operating lease ROU asset, a $10.5 million decrease in the noncurrent portion of the operating lease liability, and a $0.6 million decrease in the current portion of the operating lease liability. The $3.0 million difference between the change in the operating lease ROU asset and the operating lease liabilities was recognized in “Other operating expense (income), net,” on the Consolidated Statements of Operations and Comprehensive Income (Loss) for the year ended December 31, 2020. In connection with the discontinued use of the previously leased space, we also recognized a $4.4 million termination charge and a $2.9 million impairment charge on the associated leasehold improvements, all of which were also recognized in “Other operating expense (income), net” for the year ended December 31, 2020.</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2020 and as part of our overall plan to improve liquidity during the COVID-19 pandemic, we negotiated with certain lessors to defer rent payments on leased buildings. In total, $0.5 million of operating lease payments were deferred over a period ranging from April 2020 to December 2020 and were repaid from June 2020 through December 2022. The deferral of rent payments did not result in a substantial change in total lease payments over the individual lease terms. We elected to apply lease accounting relief announced by the FASB in April 2020 and treated these lease concessions as if they existed in the original contracts rather than applying lease modification accounting. The net impact on cash flows from operating activities on the Consolidated Statements of Cash Flows for the years ended December 31, 2022, 2021, and 2020, was $(0.3) million, $(0.2) million, and $0.7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December 31,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Offering Matter</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1, 2019, Erie County Employees’ Retirement System, on behalf of a purported class of plaintiffs, filed a complaint in the Supreme Court of the State of New York, County of New York against us, certain of our current and former officers and directors, and each of the underwriters involved in our public offering and sale of 14.4 million shares of our common stock pursuant to a preliminary prospectus supplement, dated September 10, 2018, a final prospectus supplement, dated September 13, 2018, and a base prospectus, dated April 19, 2017, relating to our effective shelf registration statement on Form S-3 (File No. 333-216737) (the “Offering”). The amended complaint alleged violations of Sections 11, 12(a)(2), and 15 of the Securities Act in connection with the Offering.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25, 2022, the parties filed a Stipulation of Settlement to settle the securities offering action. Under the terms of the Stipulation of Settlement, which was approved and finalized by the court on December 1, 2022, the Company and/or its insurance carriers were to make cash payments to the plaintiff in the amount of $9.5 million (the “Settlement Amount”), in exchange for which the Company and the other named defendants were released from all claims related to the securities offering action. Since we had previously paid covered expenses totaling $1.0 million meeting our directors' and officers' retention requirement, the Settlement Amount was covered and paid by our directors' and officers' insurance carriers during the fourth quarter of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April 25, 2022, we reached an agreement to settle breach of contract claims brought by a former customer regarding the sale of products by us in 2016. Under the agreement, we are paying $1.8 million to the customer in specified installments through July 2023. The $1.8 million settlement is included in the “Other operating expense (income), net” line in the Condensed Consolidated Statements of Operations and Comprehensive Income (Loss).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Preferred Stock and Stockholders' Equity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Perpetual Preferred Stock</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22, 2021, we completed a private placement of 65,000 shares of newly designated Series D Perpetual Preferred Stock, with a par value of $0.01 per share (the “Series D Preferred Stock”), at a price of $1,000 per share, together with detachable warrants (the “2021 Warrants”) to purchase up to</w:t>
      </w:r>
    </w:p>
    <w:p>
      <w:pPr>
        <w:ind w:right="60"/>
        <w:spacing w:after="0" w:line="253" w:lineRule="auto"/>
        <w:rPr>
          <w:sz w:val="20"/>
          <w:szCs w:val="20"/>
          <w:color w:val="auto"/>
        </w:rPr>
      </w:pPr>
      <w:r>
        <w:rPr>
          <w:rFonts w:ascii="Times New Roman" w:cs="Times New Roman" w:eastAsia="Times New Roman" w:hAnsi="Times New Roman"/>
          <w:sz w:val="18"/>
          <w:szCs w:val="18"/>
          <w:color w:val="auto"/>
        </w:rPr>
        <w:t>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19 discusses the accounting for these features.</w:t>
      </w:r>
    </w:p>
    <w:p>
      <w:pPr>
        <w:spacing w:after="0" w:line="52"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As of December 31, 2022, the carrying value of the Series D Preferred Stock shares was $64.7 million, which included $18.0 million of accumulated unpaid and deemed dividends. The following table presents the change in the Series D Preferred Stock carrying value.</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53,807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shares, net of issuance costs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2021 Warrants issued</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bifurcated embedded derivative</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64,701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cash proceeds of $61.8 million from the issuance of the Series D Preferred Stock, along with part of the proceeds from the Term Loan Facility, were used to redeem all of the outstanding shares of the Company’s Series B Convertible Preferred Stock (the “Series B Preferred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Convertible Preferred Stock</w:t>
      </w:r>
    </w:p>
    <w:p>
      <w:pPr>
        <w:spacing w:after="0" w:line="6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Series B Preferred Stock had a liquidation preference of $1,000 per share and was redeemable in cash at our option, subject to the applicable redemption premium. Series B Preferred Stock shares earned cumulative dividends at a rate of 10.625% per year, and accrued whether or not earned or declared. The Series B Preferred Stock was recognized at a discounted value, net of issuance costs and allocation to warrants and bifurcated embedded derivatives. The aggregate discount was amortized as a deemed dividend through December 31, 2023, which is the date the holders had a non-contingent conversion option into a variable number of common shares equal to the liquidation preference plus accrued and unpaid dividends. Deemed dividends adjust retained earnings (or in the absence of retained earnings, additional paid-in capital).</w:t>
      </w:r>
    </w:p>
    <w:p>
      <w:pPr>
        <w:spacing w:after="0" w:line="7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8"/>
          <w:szCs w:val="18"/>
          <w:color w:val="auto"/>
        </w:rPr>
        <w:t>At redemption on March 22, 2021, the carrying value of the Series B Preferred Stock shares included $14.3 million of accumulated unpaid and deemed dividends. The following table presents the change in the Series B Preferred Stock carrying value.</w:t>
      </w: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Redemption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Revenue from Contracts with Customers</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During the year ended December 31, 2022, we received equipment from a customer as part of the selling price of goods transferred. This noncash consideration was recognized as revenue equal to the fair value of the equipment received.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revenue by customer geographical region.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Poland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6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Poland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285,863</w:t>
            </w: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2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Poland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256,360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171,269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center"/>
              <w:ind w:left="795"/>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and specification plating and surface finishing.</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24"/>
                <w:szCs w:val="24"/>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24"/>
                <w:szCs w:val="24"/>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2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Revenue</w:t>
      </w:r>
    </w:p>
    <w:p>
      <w:pPr>
        <w:spacing w:after="0" w:line="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(e.g. contract liability) on the Consolidated Balance Sheets. These contract liabilities are reported on the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Consolidated Balance Sheets on a contract-by-contract basis at the end of each reporting period as deferred revenue, which is reported in the “Other current liabilities” line on the Consolidated Balance Sheets.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Changes in the contract liability balances during the year ended December 31, 2022, were not materially impacted by any other factors. The balance of deferred revenue was $0.7 million and $0.5 million as of December 31, 2022 and December 31, 2021, respectively. Revenue recognized for performance obligations satisfied or partially satisfied during the year ended December 31, 2022 included $0.5 million that was included in deferred revenue as of December 31,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December 31, 2022, unless our contracts meet one of the practical expedients. Our contracts met the practical expedient for a performance obligation that is part of a contract that has an original expected duration of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and Fulfill a Contract</w:t>
      </w:r>
    </w:p>
    <w:p>
      <w:pPr>
        <w:spacing w:after="0" w:line="6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recognize commissions paid to internal sales personnel that are incremental to obtaining customer contracts as an expense when incurred since the amortization period is less than one year. Costs to obtain a contract are expensed as selling, general and administrative expense.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Sales, VAT, and other taxes we collect concurrent with revenue-producing activities are excluded from revenue. Incidental items that are immaterial in the context of the contract are recognized as expense.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accounted for 10% or more of consolidated net sales, during the years ended December 31, 2022, 2021, and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Share-Based Compensation</w:t>
      </w:r>
    </w:p>
    <w:p>
      <w:pPr>
        <w:spacing w:after="0" w:line="6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2022, we have 3.4 million shares available that can be issued to employees and non-executive directors under the 2022 Omnibus Incentive Plan as options, stock appreciation rights, and other share-based awards. Shares of our common stock delivered upon exercise or vesting may consist of newly issued shares of our common stock or shares acquired in the open market.</w:t>
      </w:r>
    </w:p>
    <w:p>
      <w:pPr>
        <w:spacing w:after="0" w:line="68"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8"/>
          <w:szCs w:val="18"/>
          <w:color w:val="auto"/>
        </w:rPr>
        <w:t>Share-based compensation expense is recognized in the “Selling, general, and administrative expense” line in the Consolidated Statements of Operations and Comprehensive Income (Loss) except for $0.8 million attributable to discontinued operations for the year ended December 31, 2020. The following table lists the components of share-based compensation expense by type of award.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r>
      <w:tr>
        <w:trPr>
          <w:trHeight w:val="20"/>
        </w:trPr>
        <w:tc>
          <w:tcPr>
            <w:tcW w:w="5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unvested awards was $3.1 million as of December 31, 2022, which will be recognized over a weighted-average period of 1.7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2022, 2021, and 2020, we granted 897,000, 459,000, and 460,000 shares of restricted stock to non-executive directors, officers, and certain other key employees. Shares of restricted stock vest pro-rata generally over three years for employees and over one year for non-executive directors. The fair value of restricted stock awards is based on the closing price of our common stock as of the date of grant. The weighted average grant-date fair value of restricted stock granted in the years ended December 31, 2022, 2021, and 2020, was $3.31, $6.84, and $9.35 per share, respectively. The total grant-date fair value of restricted stock that vested in the years ended December 31, 2022, 2021, and 2020, was $2.1 million, $2.8 million, and $1.9 million,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December 31, 2022 and changes during the year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20" w:type="dxa"/>
            <w:vAlign w:val="bottom"/>
          </w:tcPr>
          <w:p>
            <w:pPr>
              <w:spacing w:after="0"/>
              <w:rPr>
                <w:sz w:val="13"/>
                <w:szCs w:val="13"/>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46"/>
        </w:trPr>
        <w:tc>
          <w:tcPr>
            <w:tcW w:w="784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ind w:right="595"/>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196"/>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1,038,000</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Some PSUs are based on total shareholder return (“TSR Awards”), and other PSUs are based on return on invested capital (“ROIC Awards”). TSR Awards granted in 2022, 2021, and 2020 were made pursuant to the 2019 Omnibus Plan and a Performance Share Unit Agreement (the “2019 Omnibus Agreement”). ROIC Awards granted in 2022 were made pursuant to the 2022 Omnibus Incentive Plan and a Performance Share Unit Agreement. ROIC Awards granted in 2021 and 2020 were made pursuant to the 2019 Omnibus Agreement.</w:t>
      </w:r>
    </w:p>
    <w:p>
      <w:pPr>
        <w:spacing w:after="0" w:line="7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TSR Awards vest, if at all, upon our achieving a specified relative total shareholder return, which will be measured against the total shareholder return of a specified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 years later on December 31. If the PSUs do not vest at the end of the performance periods, then the PSUs will expire automatically.</w:t>
      </w:r>
    </w:p>
    <w:p>
      <w:pPr>
        <w:spacing w:after="0" w:line="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PSUs that vest will be settled by the issuance of shares of our common stock with the actual number of shares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 participant will earn 25% or 50%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goals with respect to TSR Awards and ROIC Awards granted in 2022, 2021, and 2020.</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TSR Awards:</w:t>
            </w:r>
          </w:p>
        </w:tc>
        <w:tc>
          <w:tcPr>
            <w:tcW w:w="1560" w:type="dxa"/>
            <w:vAlign w:val="bottom"/>
          </w:tcPr>
          <w:p>
            <w:pPr>
              <w:spacing w:after="0"/>
              <w:rPr>
                <w:sz w:val="13"/>
                <w:szCs w:val="13"/>
                <w:color w:val="auto"/>
              </w:rPr>
            </w:pP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54"/>
        </w:trPr>
        <w:tc>
          <w:tcPr>
            <w:tcW w:w="840" w:type="dxa"/>
            <w:vAlign w:val="bottom"/>
            <w:tcBorders>
              <w:bottom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3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(25% or 50% of Shares)</w:t>
            </w:r>
            <w:r>
              <w:rPr>
                <w:rFonts w:ascii="Times New Roman" w:cs="Times New Roman" w:eastAsia="Times New Roman" w:hAnsi="Times New Roman"/>
                <w:sz w:val="9"/>
                <w:szCs w:val="9"/>
                <w:b w:val="1"/>
                <w:bCs w:val="1"/>
                <w:color w:val="auto"/>
              </w:rPr>
              <w:t>(1)</w:t>
            </w:r>
          </w:p>
        </w:tc>
        <w:tc>
          <w:tcPr>
            <w:tcW w:w="2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 grants</w:t>
            </w:r>
          </w:p>
        </w:tc>
        <w:tc>
          <w:tcPr>
            <w:tcW w:w="2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 th Percentile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55 th Percentile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th Percentile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grants</w:t>
            </w:r>
          </w:p>
        </w:tc>
        <w:tc>
          <w:tcPr>
            <w:tcW w:w="2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 th Percentile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50 th Percentile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th Percentile</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grants</w:t>
            </w:r>
          </w:p>
        </w:tc>
        <w:tc>
          <w:tcPr>
            <w:tcW w:w="2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 th Percentile</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50 th Percentile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th Percentile</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20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4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2020" w:type="dxa"/>
            <w:vAlign w:val="bottom"/>
          </w:tcPr>
          <w:p>
            <w:pPr>
              <w:ind w:left="740"/>
              <w:spacing w:after="0" w:line="127" w:lineRule="exact"/>
              <w:rPr>
                <w:sz w:val="20"/>
                <w:szCs w:val="20"/>
                <w:color w:val="auto"/>
              </w:rPr>
            </w:pPr>
            <w:r>
              <w:rPr>
                <w:rFonts w:ascii="Times New Roman" w:cs="Times New Roman" w:eastAsia="Times New Roman" w:hAnsi="Times New Roman"/>
                <w:sz w:val="14"/>
                <w:szCs w:val="14"/>
                <w:b w:val="1"/>
                <w:bCs w:val="1"/>
                <w:color w:val="auto"/>
              </w:rPr>
              <w:t>(50% of 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480" w:type="dxa"/>
            <w:vAlign w:val="bottom"/>
          </w:tcPr>
          <w:p>
            <w:pPr>
              <w:jc w:val="right"/>
              <w:ind w:right="615"/>
              <w:spacing w:after="0" w:line="127"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grants</w:t>
            </w:r>
          </w:p>
        </w:tc>
        <w:tc>
          <w:tcPr>
            <w:tcW w:w="2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6.4 %</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grants</w:t>
            </w:r>
          </w:p>
        </w:tc>
        <w:tc>
          <w:tcPr>
            <w:tcW w:w="2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6.3 %</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grants</w:t>
            </w:r>
          </w:p>
        </w:tc>
        <w:tc>
          <w:tcPr>
            <w:tcW w:w="2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6.7 %</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right="640" w:firstLine="656"/>
        <w:spacing w:after="0" w:line="395" w:lineRule="auto"/>
        <w:tabs>
          <w:tab w:leader="none" w:pos="9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Threshold performance will earn 25% of the target number of PSUs for the 2022 grants and 50% for the 2021 grants and 2020 grants. The following table presents the number of PSUs granted and the grant-date fair value of each award in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Award Year</w:t>
            </w:r>
          </w:p>
        </w:tc>
        <w:tc>
          <w:tcPr>
            <w:tcW w:w="17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4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297"/>
              <w:spacing w:after="0" w:line="12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1"/>
                <w:szCs w:val="11"/>
                <w:color w:val="auto"/>
              </w:rPr>
            </w:pPr>
          </w:p>
        </w:tc>
        <w:tc>
          <w:tcPr>
            <w:tcW w:w="174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Performance Units</w:t>
            </w:r>
          </w:p>
        </w:tc>
        <w:tc>
          <w:tcPr>
            <w:tcW w:w="4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337"/>
              <w:spacing w:after="0" w:line="12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32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74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9"/>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grant-date fair value of TSR Awards is determined using the Monte Carlo simulation model, as the total shareholder return metric is considered a market condition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and expense is recognized over the performance period regardless of actual award payout. The grant-date fair value of ROIC Awards is based on the closing price of a share of our common stock on the date of grant and compensation expense is recognized over the performance period based on the estimated outcome of the performance condition.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PSUs as of December 31, 2022 and changes during the year then ended.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9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Nonvested TSR Awards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Nonvested ROIC Awards</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1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w:t>
            </w: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20" w:type="dxa"/>
            <w:vAlign w:val="bottom"/>
          </w:tcPr>
          <w:p>
            <w:pPr>
              <w:spacing w:after="0"/>
              <w:rPr>
                <w:sz w:val="11"/>
                <w:szCs w:val="11"/>
                <w:color w:val="auto"/>
              </w:rPr>
            </w:pPr>
          </w:p>
        </w:tc>
        <w:tc>
          <w:tcPr>
            <w:tcW w:w="1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Performance</w:t>
            </w: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424"/>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left="364"/>
              <w:spacing w:after="0" w:line="14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382,000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10.88</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492,000</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None of the PSUs that were granted in 2018, 2019, and 2020 vested in 2020, 2021, and 2022, respectively, because the actual performance achieved was below the “Threshold Performance” level as defined by the grant agreements.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6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Stock options have an exercise price equal to the closing price of our stock on the date of grant, an exercise term of ten years with a vesting period of three years. No options were granted in 2022 or 2021. We granted 159,000 options during the year ended December 31, 2020 with a weighted average grant-date fair value of $4.76 per share.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 option activity for the year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60" w:type="dxa"/>
            <w:vAlign w:val="bottom"/>
          </w:tcPr>
          <w:p>
            <w:pPr>
              <w:spacing w:after="0"/>
              <w:rPr>
                <w:sz w:val="13"/>
                <w:szCs w:val="13"/>
                <w:color w:val="auto"/>
              </w:rPr>
            </w:pPr>
          </w:p>
        </w:tc>
        <w:tc>
          <w:tcPr>
            <w:tcW w:w="11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60" w:type="dxa"/>
            <w:vAlign w:val="bottom"/>
          </w:tcPr>
          <w:p>
            <w:pPr>
              <w:spacing w:after="0"/>
              <w:rPr>
                <w:sz w:val="12"/>
                <w:szCs w:val="12"/>
                <w:color w:val="auto"/>
              </w:rPr>
            </w:pPr>
          </w:p>
        </w:tc>
        <w:tc>
          <w:tcPr>
            <w:tcW w:w="118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7"/>
                <w:szCs w:val="17"/>
                <w:color w:val="auto"/>
              </w:rPr>
            </w:pPr>
          </w:p>
        </w:tc>
        <w:tc>
          <w:tcPr>
            <w:tcW w:w="11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9"/>
                <w:szCs w:val="19"/>
                <w:color w:val="auto"/>
              </w:rPr>
            </w:pPr>
          </w:p>
        </w:tc>
        <w:tc>
          <w:tcPr>
            <w:tcW w:w="16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3.0 years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2.8 years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980" w:right="200" w:hanging="324"/>
        <w:spacing w:after="0" w:line="282" w:lineRule="auto"/>
        <w:tabs>
          <w:tab w:leader="none" w:pos="9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December 31, 2022, was greater than the exercise price of any individual option grant.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(44,554)</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loss on interest rate swap (3)</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discontinued operations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loss on interest rate swap (3)</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rate swap settlements of effective hedge.</w:t>
      </w:r>
    </w:p>
    <w:p>
      <w:pPr>
        <w:spacing w:after="0" w:line="63" w:lineRule="exact"/>
        <w:rPr>
          <w:rFonts w:ascii="Times New Roman" w:cs="Times New Roman" w:eastAsia="Times New Roman" w:hAnsi="Times New Roman"/>
          <w:sz w:val="18"/>
          <w:szCs w:val="18"/>
          <w:color w:val="auto"/>
        </w:rPr>
      </w:pPr>
    </w:p>
    <w:p>
      <w:pPr>
        <w:ind w:left="660" w:right="160" w:hanging="247"/>
        <w:spacing w:after="0" w:line="282" w:lineRule="auto"/>
        <w:tabs>
          <w:tab w:leader="none" w:pos="67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derivative loss and settlements after discontinuation of hedge accounting. See Note 19 for further discussion of the interest rate swap.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Income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common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(139,490)</w:t>
            </w: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preferred stock cumulative dividends and deemed dividends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from continuing operations per common share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(151,863)</w:t>
            </w: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(112,965)</w:t>
            </w:r>
          </w:p>
        </w:tc>
      </w:tr>
      <w:tr>
        <w:trPr>
          <w:trHeight w:val="216"/>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42,692</w:t>
            </w: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2021 Warrants outstanding (1)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42,199</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common share net income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loss from continuing operations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from discontinued operations per common share</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900" w:right="280" w:hanging="244"/>
        <w:spacing w:after="0" w:line="282" w:lineRule="auto"/>
        <w:tabs>
          <w:tab w:leader="none" w:pos="9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2021 Warrants outstanding are included in shares outstanding for calculation of basic earnings per share because they are exercisable at an exercise price of $0.01 per share, subject to certain adjustments (see Note 19).</w:t>
      </w:r>
    </w:p>
    <w:p>
      <w:pPr>
        <w:spacing w:after="0" w:line="5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that were excluded from the calculation of diluted net income (loss) per common share because they had an anti-dilutive effect.</w:t>
      </w: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Preferred Stock, as-converted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19,021</w:t>
            </w:r>
          </w:p>
        </w:tc>
      </w:tr>
      <w:tr>
        <w:trPr>
          <w:trHeight w:val="223"/>
        </w:trPr>
        <w:tc>
          <w:tcPr>
            <w:tcW w:w="70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21,392</w:t>
            </w:r>
          </w:p>
        </w:tc>
      </w:tr>
      <w:tr>
        <w:trPr>
          <w:trHeight w:val="20"/>
        </w:trPr>
        <w:tc>
          <w:tcPr>
            <w:tcW w:w="7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 options excluded from the EPS calculations had a per share exercise price ranging from $7.93 to $25.16 for the year ended December 31, 2022. The 2019 Warrants excluded from the EPS calculations for the year ended December 31, 2022 had a per share exercise price of $11.49.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Related Derivatives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features were bifurcated and accounted for separately from the Series B Preferred Stock. The following features were recorded as derivatives.</w:t>
      </w:r>
    </w:p>
    <w:p>
      <w:pPr>
        <w:spacing w:after="0" w:line="61" w:lineRule="exact"/>
        <w:rPr>
          <w:sz w:val="20"/>
          <w:szCs w:val="20"/>
          <w:color w:val="auto"/>
        </w:rPr>
      </w:pPr>
    </w:p>
    <w:p>
      <w:pPr>
        <w:ind w:left="660" w:right="200" w:hanging="328"/>
        <w:spacing w:after="0" w:line="28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conjunction with our placement of the Series B Preferred Stock, we issued detachable warrants to purchase up to 1.5 million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(the “2019 Warrants”), which are exercisable, in full or in part,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right="400"/>
        <w:spacing w:after="0" w:line="266" w:lineRule="auto"/>
        <w:rPr>
          <w:sz w:val="20"/>
          <w:szCs w:val="20"/>
          <w:color w:val="auto"/>
        </w:rPr>
      </w:pPr>
      <w:r>
        <w:rPr>
          <w:rFonts w:ascii="Times New Roman" w:cs="Times New Roman" w:eastAsia="Times New Roman" w:hAnsi="Times New Roman"/>
          <w:sz w:val="18"/>
          <w:szCs w:val="18"/>
          <w:color w:val="auto"/>
        </w:rPr>
        <w:t>at any time prior to December 11, 2026. The original exercise price was $12.00 per share, subject to anti-dilution adjustments in the event of future below market issuances, stock splits, stock dividends, combinations or similar events. The issuance of the 2021 Warrants resulted in an adjusted exercise price of $11.49 per share for the 2019 Warrants because the new warrants have an exercise price below market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features were bifurcated and accounted for separately from the Series D Preferred Stock. The following features were recorded as derivatives.</w:t>
      </w:r>
    </w:p>
    <w:p>
      <w:pPr>
        <w:spacing w:after="0" w:line="61" w:lineRule="exact"/>
        <w:rPr>
          <w:sz w:val="20"/>
          <w:szCs w:val="20"/>
          <w:color w:val="auto"/>
        </w:rPr>
      </w:pPr>
    </w:p>
    <w:p>
      <w:pPr>
        <w:ind w:left="660" w:right="18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conjunction with our placement of the Series D Preferred Stock, we issued detachable warrants to purchase up to 1.9 million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The 2021 Warrants are exercisable, in full or in part, at any time prior to March 22, 2027, at an exercise price of $0.01 per share, subject to anti-dilution adjustments in the event of certain future equity issuances, stock splits, stock dividends, combinations or similar events.</w:t>
      </w:r>
    </w:p>
    <w:p>
      <w:pPr>
        <w:spacing w:after="0" w:line="71" w:lineRule="exact"/>
        <w:rPr>
          <w:rFonts w:ascii="Times New Roman" w:cs="Times New Roman" w:eastAsia="Times New Roman" w:hAnsi="Times New Roman"/>
          <w:sz w:val="18"/>
          <w:szCs w:val="18"/>
          <w:color w:val="auto"/>
        </w:rPr>
      </w:pPr>
    </w:p>
    <w:p>
      <w:pPr>
        <w:ind w:left="660" w:right="200" w:hanging="328"/>
        <w:spacing w:after="0" w:line="26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put feature. </w:t>
      </w:r>
      <w:r>
        <w:rPr>
          <w:rFonts w:ascii="Times New Roman" w:cs="Times New Roman" w:eastAsia="Times New Roman" w:hAnsi="Times New Roman"/>
          <w:sz w:val="18"/>
          <w:szCs w:val="18"/>
          <w:color w:val="auto"/>
        </w:rPr>
        <w:t>The Series D Preferred Stock includes a put feature that allows the holder to redeem the Series D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 change in control at the greater of 1) the liquidation preference plus accrued dividends or 2) 140% of the liquidation preference. The put feature is considered a redemption right at a premium and is not clearly and closely related to the debt host.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liability balance of the preferred stock related derivatives.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15,121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(5,265)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(7,009)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(3,005)</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88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580" w:hanging="328"/>
        <w:spacing w:after="0" w:line="282" w:lineRule="auto"/>
        <w:tabs>
          <w:tab w:leader="none" w:pos="7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income, net” line in the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preferred stock related derivatives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2.9 years as of December 31, 2022 and 3.6 years as of December 31, 2021.</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fair value of the 2021 Warrants is determined using the observable market price of a share of our common stock, less the $0.01 per share exercise price.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change-in-control put feature utilizes unobservable inputs based on the Company’s assessment of the probability of a change-in-control event occurring in a future period. The probability of a change-in-control event ranged from 3% to 10% as of December 31, 2022 and 1% to 10% as of December 31,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6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manage our exposure to fluctuations in interest rates using a mix of fixed and variable rate debt. We utilize fixed-rate interest rate swap agreements to change the variable interest rate to a fixed rate on a portion of our variable rate debt.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February 8, 2019, we entered into a $700.0 million fixed-rate interest rate swap agreement that changed the LIBOR-based portion of the interest rate on a portion of our variable rate debt to a fixed rate of 2.4575% (the “2019 Swap”). On March 22, 2021, we terminated the 2019 Swap with a $13.7 million cash payment in connection with the extinguishment of our previously outstanding long-term variable-rate debt. The 2019 Swap was designated as a cash flow hedge at inception. However, in the fourth quarter of 2020, the 2019 Swap no longer qualified as an effective hedge, and subsequent changes in fair value of the 2019 Swap were recognized in earnings. Amounts recognized in earnings related to the 2019 Swap are recorded in the “Loss on interest rate swap” line on the Consolidated Statements of Operations and Comprehensive Income (Loss) except that cash settlements prior to termination are recognized in “Derivative payments on interest rate swap.” Cash settlements during 2021 and the fourth quarter of 2020 are presented in investing activities on the Consolidated Statements of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the interest rate swaps on the Consolidated Statements of Operations and Comprehensive Income (Loss).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(benefit) (1)</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 (2)</w:t>
            </w:r>
          </w:p>
        </w:tc>
        <w:tc>
          <w:tcPr>
            <w:tcW w:w="86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 (2)</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580" w:hanging="248"/>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settlements on the interest rate swaps while the hedges are effective.</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settlements and changes in fair value on the 2019 Swap while the hedge was ineffective.</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we reported a $3.1 million gain and a $0.1 million gain, respectively, net of tax, in accumulated other comprehensive income related to the interest rate swap.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interest rate swaps within the fair value hierarchy.</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760" w:type="dxa"/>
            <w:vAlign w:val="bottom"/>
            <w:gridSpan w:val="2"/>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900" w:type="dxa"/>
            <w:vAlign w:val="bottom"/>
          </w:tcPr>
          <w:p>
            <w:pPr>
              <w:spacing w:after="0"/>
              <w:rPr>
                <w:sz w:val="12"/>
                <w:szCs w:val="12"/>
                <w:color w:val="auto"/>
              </w:rPr>
            </w:pP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7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vMerge w:val="continue"/>
          </w:tcPr>
          <w:p>
            <w:pPr>
              <w:spacing w:after="0"/>
              <w:rPr>
                <w:sz w:val="12"/>
                <w:szCs w:val="12"/>
                <w:color w:val="auto"/>
              </w:rPr>
            </w:pPr>
          </w:p>
        </w:tc>
        <w:tc>
          <w:tcPr>
            <w:tcW w:w="4900" w:type="dxa"/>
            <w:vAlign w:val="bottom"/>
          </w:tcPr>
          <w:p>
            <w:pPr>
              <w:spacing w:after="0"/>
              <w:rPr>
                <w:sz w:val="12"/>
                <w:szCs w:val="12"/>
                <w:color w:val="auto"/>
              </w:rPr>
            </w:pP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11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 -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4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4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 of the interest rate swap is calculated through standard pricing models which use inputs derived from or corroborated by observable market data such as interest rate yield curves, index forward curves, discount curves, and volatility surfaces. The counterparty to these derivative contracts is a highly rated financial institution which we believe carries only a minimal risk of nonperformance.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December 31, 2022, the carrying values of these financial instruments, except for debt, approximated fair value. The fair value of our debt was $155.2 million with a carrying amount of $152.7 million as of December 31, 2022. The fair value of debt was calculated by discounting the future cash flows to its present value using prevailing market interest rates for debt with similar creditworthiness, terms and maturities and is considered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62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6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Rules 13a-15(e) and 15d-15(e) of the Exchange Act). Based upon that evaluation, our Chief Executive Officer and Chief Financial Officer concluded that our disclosure controls and procedures were effective as of December 31, 2022,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Management, under the supervision and with the participation of the Chief Executive Officer and Chief Financial Officer, conducted an evaluation of the effectiveness of our internal control over financial reporting as of December 31, 2022, based on the criteria described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determined that the Company's internal control over financial reporting was effective as of December 31, 2022.</w:t>
      </w:r>
    </w:p>
    <w:p>
      <w:pPr>
        <w:spacing w:after="0" w:line="7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Grant Thornton LLP, the independent registered public accounting firm that has audited our consolidated financial statements, has audited the effectiveness of the Company’s internal control over financial reporting as of December 31, 2022, as stated in their report included in Item 8 of this Annual Report.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the Exchange Act Rules 13a-15(f) and 15d-15(f)) that occurred during the quarter ended December 31, 2022,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510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of Form 10-K concerning our directors is contained in our definitive proxy statement to be filed with the Securities and Exchange Commission within 120 days after December 31, 2022 (“our definitive proxy statement”), and in accordance with General Instruction G to Form 10-K, is hereby incorporated herein by reference.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Code of Conduct/Ethics Statement, as amended (the “Code”), is applicable to all officers, directors, and employees. The Code is posted on our website at www.nninc.com. Information contained on our website is not part of this Annual Report.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of Form 10-K is contained in the sections entitled “Information about the Directors and the Director Nominees — Compensation of Directors” and “Executive Compensation” of our definitive proxy statement and, in accordance with General Instruction G to Form 10-K, is hereby incorporated herein by reference.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Item 201(d) of Regulation S-K concerning our equity compensation plans is set forth in the table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576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Table of Equity Compensation Plan Information</w:t>
            </w:r>
          </w:p>
        </w:tc>
        <w:tc>
          <w:tcPr>
            <w:tcW w:w="0" w:type="dxa"/>
            <w:vAlign w:val="bottom"/>
          </w:tcPr>
          <w:p>
            <w:pPr>
              <w:spacing w:after="0"/>
              <w:rPr>
                <w:sz w:val="1"/>
                <w:szCs w:val="1"/>
                <w:color w:val="auto"/>
              </w:rPr>
            </w:pPr>
          </w:p>
        </w:tc>
      </w:tr>
      <w:tr>
        <w:trPr>
          <w:trHeight w:val="188"/>
        </w:trPr>
        <w:tc>
          <w:tcPr>
            <w:tcW w:w="5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 securities</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Pr>
          <w:p>
            <w:pPr>
              <w:jc w:val="center"/>
              <w:ind w:right="6"/>
              <w:spacing w:after="0" w:line="145" w:lineRule="exact"/>
              <w:rPr>
                <w:sz w:val="20"/>
                <w:szCs w:val="20"/>
                <w:color w:val="auto"/>
              </w:rPr>
            </w:pPr>
            <w:r>
              <w:rPr>
                <w:rFonts w:ascii="Times New Roman" w:cs="Times New Roman" w:eastAsia="Times New Roman" w:hAnsi="Times New Roman"/>
                <w:sz w:val="14"/>
                <w:szCs w:val="14"/>
                <w:color w:val="auto"/>
              </w:rPr>
              <w:t>remaining available for</w:t>
            </w: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 securities to</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Weighted-average</w:t>
            </w:r>
          </w:p>
        </w:tc>
        <w:tc>
          <w:tcPr>
            <w:tcW w:w="1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future issuance under</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equity compensation plans</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be issued upon exercise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exercise price of</w:t>
            </w:r>
          </w:p>
        </w:tc>
        <w:tc>
          <w:tcPr>
            <w:tcW w:w="1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(excluding securities reflected</w:t>
            </w:r>
          </w:p>
        </w:tc>
        <w:tc>
          <w:tcPr>
            <w:tcW w:w="0" w:type="dxa"/>
            <w:vAlign w:val="bottom"/>
          </w:tcPr>
          <w:p>
            <w:pPr>
              <w:spacing w:after="0"/>
              <w:rPr>
                <w:sz w:val="1"/>
                <w:szCs w:val="1"/>
                <w:color w:val="auto"/>
              </w:rPr>
            </w:pPr>
          </w:p>
        </w:tc>
      </w:tr>
      <w:tr>
        <w:trPr>
          <w:trHeight w:val="139"/>
        </w:trPr>
        <w:tc>
          <w:tcPr>
            <w:tcW w:w="5480" w:type="dxa"/>
            <w:vAlign w:val="bottom"/>
          </w:tcPr>
          <w:p>
            <w:pPr>
              <w:spacing w:after="0"/>
              <w:rPr>
                <w:sz w:val="12"/>
                <w:szCs w:val="12"/>
                <w:color w:val="auto"/>
              </w:rPr>
            </w:pPr>
          </w:p>
        </w:tc>
        <w:tc>
          <w:tcPr>
            <w:tcW w:w="1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of outstanding options,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60"/>
              <w:spacing w:after="0" w:line="139" w:lineRule="exact"/>
              <w:rPr>
                <w:sz w:val="20"/>
                <w:szCs w:val="20"/>
                <w:color w:val="auto"/>
              </w:rPr>
            </w:pPr>
            <w:r>
              <w:rPr>
                <w:rFonts w:ascii="Times New Roman" w:cs="Times New Roman" w:eastAsia="Times New Roman" w:hAnsi="Times New Roman"/>
                <w:sz w:val="14"/>
                <w:szCs w:val="14"/>
                <w:color w:val="auto"/>
              </w:rPr>
              <w:t>outstanding options,</w:t>
            </w:r>
          </w:p>
        </w:tc>
        <w:tc>
          <w:tcPr>
            <w:tcW w:w="18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in</w:t>
            </w:r>
          </w:p>
        </w:tc>
        <w:tc>
          <w:tcPr>
            <w:tcW w:w="0" w:type="dxa"/>
            <w:vAlign w:val="bottom"/>
          </w:tcPr>
          <w:p>
            <w:pPr>
              <w:spacing w:after="0"/>
              <w:rPr>
                <w:sz w:val="1"/>
                <w:szCs w:val="1"/>
                <w:color w:val="auto"/>
              </w:rPr>
            </w:pPr>
          </w:p>
        </w:tc>
      </w:tr>
      <w:tr>
        <w:trPr>
          <w:trHeight w:val="149"/>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Plan Category</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warrants, and rights</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column (a))</w:t>
            </w:r>
          </w:p>
        </w:tc>
        <w:tc>
          <w:tcPr>
            <w:tcW w:w="0" w:type="dxa"/>
            <w:vAlign w:val="bottom"/>
          </w:tcPr>
          <w:p>
            <w:pPr>
              <w:spacing w:after="0"/>
              <w:rPr>
                <w:sz w:val="1"/>
                <w:szCs w:val="1"/>
                <w:color w:val="auto"/>
              </w:rPr>
            </w:pPr>
          </w:p>
        </w:tc>
      </w:tr>
      <w:tr>
        <w:trPr>
          <w:trHeight w:val="193"/>
        </w:trPr>
        <w:tc>
          <w:tcPr>
            <w:tcW w:w="5480" w:type="dxa"/>
            <w:vAlign w:val="bottom"/>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w w:val="97"/>
              </w:rPr>
              <w:t>(b)</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15"/>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of Form 10-K regarding review, approval, or ratification of transactions with related persons is contained in the section entitled “Certain Relationships and Related Transactions” of our definitive proxy statement and, in accordance with General Instruction G to Form 10-K, is hereby incorporated herein by reference.</w:t>
      </w:r>
    </w:p>
    <w:p>
      <w:pPr>
        <w:spacing w:after="0" w:line="68"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of Form 10-K regarding director independence is contained in the section entitled “Information about the Directors and the Director Nominees” of our definitive proxy statement and, in accordance with General Instruction G to Form 10-K, is hereby incorporated herein by reference.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of Form 10-K concerning our accounting fees and services is contained in the section entitled “Fees Paid to Registered Independent Public Accounting Firm” of our definitive proxy statement and, in accordance with General Instruction G to Form 10-K, is hereby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67"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1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consolidated financial statements of NN, Inc. filed as part of this Annual Report on Form 10-K begin on the following pages hereof:</w:t>
      </w:r>
    </w:p>
    <w:p>
      <w:pPr>
        <w:spacing w:after="0" w:line="43" w:lineRule="exact"/>
        <w:rPr>
          <w:sz w:val="20"/>
          <w:szCs w:val="20"/>
          <w:color w:val="auto"/>
        </w:rPr>
      </w:pPr>
    </w:p>
    <w:tbl>
      <w:tblPr>
        <w:tblLayout w:type="fixed"/>
        <w:tblInd w:w="13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6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6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1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280" w:type="dxa"/>
            <w:vAlign w:val="bottom"/>
            <w:tcBorders>
              <w:top w:val="single" w:sz="8" w:color="0000FF"/>
            </w:tcBorders>
            <w:gridSpan w:val="5"/>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4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23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10"/>
        </w:trPr>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820" w:type="dxa"/>
            <w:vAlign w:val="bottom"/>
            <w:gridSpan w:val="5"/>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09"/>
        </w:trPr>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40" w:type="dxa"/>
            <w:vAlign w:val="bottom"/>
            <w:gridSpan w:val="4"/>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required information is reflected in the Notes to Consolidated Financial Statements within Item 8.</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19" w:lineRule="exact"/>
        <w:rPr>
          <w:sz w:val="20"/>
          <w:szCs w:val="20"/>
          <w:color w:val="auto"/>
        </w:rPr>
      </w:pPr>
    </w:p>
    <w:p>
      <w:pPr>
        <w:ind w:left="1300" w:right="240"/>
        <w:spacing w:after="0" w:line="293" w:lineRule="auto"/>
        <w:rPr>
          <w:sz w:val="20"/>
          <w:szCs w:val="20"/>
          <w:color w:val="auto"/>
        </w:rPr>
      </w:pPr>
      <w:r>
        <w:rPr>
          <w:rFonts w:ascii="Times New Roman" w:cs="Times New Roman" w:eastAsia="Times New Roman" w:hAnsi="Times New Roman"/>
          <w:sz w:val="18"/>
          <w:szCs w:val="18"/>
          <w:color w:val="auto"/>
        </w:rPr>
        <w:t>NN, Inc. will provide without charge to any person, upon the written request of such person, a copy of any of the following Exhibits to this Form 10-K.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gridSpan w:val="2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3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gridSpan w:val="24"/>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80" w:type="dxa"/>
            <w:vAlign w:val="bottom"/>
            <w:tcBorders>
              <w:top w:val="single" w:sz="8" w:color="auto"/>
            </w:tcBorders>
          </w:tcPr>
          <w:p>
            <w:pPr>
              <w:jc w:val="right"/>
              <w:ind w:right="613"/>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20" w:type="dxa"/>
            <w:vAlign w:val="bottom"/>
            <w:tcBorders>
              <w:top w:val="single" w:sz="8" w:color="auto"/>
            </w:tcBorders>
            <w:gridSpan w:val="25"/>
          </w:tcPr>
          <w:p>
            <w:pPr>
              <w:spacing w:after="0" w:line="188"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Agreement and Plan of Merger, dated as of July 18, 2014, by</w:t>
              </w:r>
            </w:hyperlink>
          </w:p>
        </w:tc>
        <w:tc>
          <w:tcPr>
            <w:tcW w:w="10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18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52"/>
              <w:spacing w:after="0" w:line="188" w:lineRule="exact"/>
              <w:rPr>
                <w:sz w:val="20"/>
                <w:szCs w:val="20"/>
                <w:color w:val="auto"/>
              </w:rPr>
            </w:pPr>
            <w:r>
              <w:rPr>
                <w:rFonts w:ascii="Times New Roman" w:cs="Times New Roman" w:eastAsia="Times New Roman" w:hAnsi="Times New Roman"/>
                <w:sz w:val="18"/>
                <w:szCs w:val="18"/>
                <w:color w:val="auto"/>
                <w:w w:val="98"/>
              </w:rPr>
              <w:t>July 22, 2014</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and among NN, Inc., PMC Global Acquisition Corporation,</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Autocam Corporation, Newport Global Advisors, L.P.,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John C. Kennedy</w:t>
              </w:r>
            </w:hyperlink>
          </w:p>
        </w:tc>
        <w:tc>
          <w:tcPr>
            <w:tcW w:w="302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Stock Purchase Agreement, dated as of August 17, 2015, by</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August 18, 2015</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and among NN, Inc., Precision Engineered Products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Holdings, Inc. and PEP Industries, LLC</w:t>
              </w:r>
            </w:hyperlink>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Purchase Agreement, dated as of July 10, 2017, by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July 10, 2017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between NN, Inc. and TSUBAKI NAKASHIMA Co.,</w:t>
              </w:r>
            </w:hyperlink>
          </w:p>
        </w:tc>
        <w:tc>
          <w:tcPr>
            <w:tcW w:w="660" w:type="dxa"/>
            <w:vAlign w:val="bottom"/>
            <w:gridSpan w:val="14"/>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Ltd.</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Stock Purchase Agreement, dated as of April 2, 2018, by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April 3, 2018</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among NN, Inc. Precision Engineered Products LLC, Paragon</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24"/>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Equity LLC, and PMG Intermediate Holding Corporation</w:t>
              </w:r>
            </w:hyperlink>
          </w:p>
        </w:tc>
        <w:tc>
          <w:tcPr>
            <w:tcW w:w="14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Stock Purchase Agreement, dated as of August 22, 2020, by</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and between NN, Inc., Precision Engineered Products</w:t>
              </w:r>
            </w:hyperlink>
          </w:p>
        </w:tc>
        <w:tc>
          <w:tcPr>
            <w:tcW w:w="80" w:type="dxa"/>
            <w:vAlign w:val="bottom"/>
            <w:gridSpan w:val="3"/>
          </w:tcPr>
          <w:p>
            <w:pPr>
              <w:spacing w:after="0"/>
              <w:rPr>
                <w:sz w:val="13"/>
                <w:szCs w:val="13"/>
                <w:color w:val="auto"/>
              </w:rPr>
            </w:pPr>
          </w:p>
        </w:tc>
        <w:tc>
          <w:tcPr>
            <w:tcW w:w="2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6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Holdings, Inc. and ASP Navigate Acquisition Corp.</w:t>
              </w:r>
            </w:hyperlink>
          </w:p>
        </w:tc>
        <w:tc>
          <w:tcPr>
            <w:tcW w:w="3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200" w:type="dxa"/>
            <w:vAlign w:val="bottom"/>
            <w:gridSpan w:val="4"/>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Restated Certificate of Incorporation of NN, Inc.</w:t>
              </w:r>
            </w:hyperlink>
          </w:p>
        </w:tc>
        <w:tc>
          <w:tcPr>
            <w:tcW w:w="900" w:type="dxa"/>
            <w:vAlign w:val="bottom"/>
            <w:gridSpan w:val="18"/>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S-3</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333-89950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June 6, 2002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May 20, 2019</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Incorporation of NN, Inc. (Declassification).</w:t>
              </w:r>
            </w:hyperlink>
          </w:p>
        </w:tc>
        <w:tc>
          <w:tcPr>
            <w:tcW w:w="4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Certificate of Amendment to Restated Certificate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May 20, 2019</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Incorporation of NN, Inc. (Share Increase)</w:t>
              </w:r>
            </w:hyperlink>
          </w:p>
        </w:tc>
        <w:tc>
          <w:tcPr>
            <w:tcW w:w="680" w:type="dxa"/>
            <w:vAlign w:val="bottom"/>
            <w:tcBorders>
              <w:top w:val="single" w:sz="8" w:color="0000FF"/>
            </w:tcBorders>
            <w:gridSpan w:val="4"/>
          </w:tcPr>
          <w:p>
            <w:pPr>
              <w:spacing w:after="0"/>
              <w:rPr>
                <w:sz w:val="13"/>
                <w:szCs w:val="13"/>
                <w:color w:val="auto"/>
              </w:rPr>
            </w:pPr>
          </w:p>
        </w:tc>
        <w:tc>
          <w:tcPr>
            <w:tcW w:w="4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0" w:type="dxa"/>
            <w:vAlign w:val="bottom"/>
            <w:gridSpan w:val="4"/>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Certificate of Designation of Series A Junior Participating</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December 18, 2008</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Preferred Stock of NN, Inc., as filed with the Secretary of</w:t>
              </w:r>
            </w:hyperlink>
          </w:p>
        </w:tc>
        <w:tc>
          <w:tcPr>
            <w:tcW w:w="400" w:type="dxa"/>
            <w:vAlign w:val="bottom"/>
            <w:gridSpan w:val="1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the</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State of Delaware</w:t>
              </w:r>
            </w:hyperlink>
          </w:p>
        </w:tc>
        <w:tc>
          <w:tcPr>
            <w:tcW w:w="200" w:type="dxa"/>
            <w:vAlign w:val="bottom"/>
            <w:gridSpan w:val="4"/>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Certificate of Designation of Series B Convertible Preferred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December 11, 2019</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Stock of NN, Inc.</w:t>
              </w:r>
            </w:hyperlink>
          </w:p>
        </w:tc>
        <w:tc>
          <w:tcPr>
            <w:tcW w:w="300" w:type="dxa"/>
            <w:vAlign w:val="bottom"/>
            <w:gridSpan w:val="8"/>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2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Certificate of Designations of Series C Junior Participating</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April 16, 2020</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Preferred Stock of NN, Inc.</w:t>
              </w:r>
            </w:hyperlink>
          </w:p>
        </w:tc>
        <w:tc>
          <w:tcPr>
            <w:tcW w:w="380" w:type="dxa"/>
            <w:vAlign w:val="bottom"/>
            <w:gridSpan w:val="11"/>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top w:val="single" w:sz="8" w:color="0000FF"/>
            </w:tcBorders>
            <w:gridSpan w:val="3"/>
          </w:tcPr>
          <w:p>
            <w:pPr>
              <w:spacing w:after="0"/>
              <w:rPr>
                <w:sz w:val="24"/>
                <w:szCs w:val="24"/>
                <w:color w:val="auto"/>
              </w:rPr>
            </w:pPr>
          </w:p>
        </w:tc>
        <w:tc>
          <w:tcPr>
            <w:tcW w:w="2540" w:type="dxa"/>
            <w:vAlign w:val="bottom"/>
            <w:gridSpan w:val="2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80" w:type="dxa"/>
            <w:vAlign w:val="bottom"/>
            <w:gridSpan w:val="38"/>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3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6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80" w:type="dxa"/>
            <w:vAlign w:val="bottom"/>
            <w:gridSpan w:val="38"/>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8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40" w:type="dxa"/>
            <w:vAlign w:val="bottom"/>
            <w:tcBorders>
              <w:top w:val="single" w:sz="8" w:color="auto"/>
              <w:bottom w:val="single" w:sz="8" w:color="0000FF"/>
            </w:tcBorders>
            <w:gridSpan w:val="14"/>
          </w:tcPr>
          <w:p>
            <w:pPr>
              <w:spacing w:after="0" w:line="188"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Amended and Restated By-Laws of NN, Inc.</w:t>
              </w:r>
            </w:hyperlink>
          </w:p>
        </w:tc>
        <w:tc>
          <w:tcPr>
            <w:tcW w:w="1280" w:type="dxa"/>
            <w:vAlign w:val="bottom"/>
            <w:tcBorders>
              <w:top w:val="single" w:sz="8" w:color="auto"/>
            </w:tcBorders>
            <w:gridSpan w:val="25"/>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001-39268</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center"/>
              <w:ind w:right="31"/>
              <w:spacing w:after="0" w:line="188" w:lineRule="exact"/>
              <w:rPr>
                <w:sz w:val="20"/>
                <w:szCs w:val="20"/>
                <w:color w:val="auto"/>
              </w:rPr>
            </w:pPr>
            <w:r>
              <w:rPr>
                <w:rFonts w:ascii="Times New Roman" w:cs="Times New Roman" w:eastAsia="Times New Roman" w:hAnsi="Times New Roman"/>
                <w:sz w:val="18"/>
                <w:szCs w:val="18"/>
                <w:color w:val="auto"/>
              </w:rPr>
              <w:t>January 20, 2023</w:t>
            </w: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Designation of Series D Preferred Stock</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000-39268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22, 2021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The specimen stock certificate representing NN, Inc.’s</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333-89950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June 6, 2002</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 xml:space="preserve">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Stockholders’ Agreement, effective as of August 29, 2014, by</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2, 2014</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and between NN, Inc. and John C. Kennedy</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Common Stock Purchase Warrant</w:t>
              </w:r>
            </w:hyperlink>
          </w:p>
        </w:tc>
        <w:tc>
          <w:tcPr>
            <w:tcW w:w="1460" w:type="dxa"/>
            <w:vAlign w:val="bottom"/>
            <w:gridSpan w:val="27"/>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December 11, 2019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Rights Agreement, dated as of April 15, 2020, between NN,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April 16, 2020</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Inc. and Computershare Inc., as Rights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2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Description of Securities</w:t>
              </w:r>
            </w:hyperlink>
          </w:p>
        </w:tc>
        <w:tc>
          <w:tcPr>
            <w:tcW w:w="1300" w:type="dxa"/>
            <w:vAlign w:val="bottom"/>
            <w:gridSpan w:val="25"/>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000-39268</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15, 2021</w:t>
            </w: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Common Stock Warrant</w:t>
              </w:r>
            </w:hyperlink>
          </w:p>
        </w:tc>
        <w:tc>
          <w:tcPr>
            <w:tcW w:w="20" w:type="dxa"/>
            <w:vAlign w:val="bottom"/>
            <w:tcBorders>
              <w:top w:val="single" w:sz="8" w:color="0000FF"/>
            </w:tcBorders>
          </w:tcPr>
          <w:p>
            <w:pPr>
              <w:spacing w:after="0"/>
              <w:rPr>
                <w:sz w:val="18"/>
                <w:szCs w:val="18"/>
                <w:color w:val="auto"/>
              </w:rPr>
            </w:pPr>
          </w:p>
        </w:tc>
        <w:tc>
          <w:tcPr>
            <w:tcW w:w="2840" w:type="dxa"/>
            <w:vAlign w:val="bottom"/>
            <w:gridSpan w:val="35"/>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000-39268</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22, 2021</w:t>
            </w: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NN, Inc. 2005 Stock Incentive Plan</w:t>
              </w:r>
            </w:hyperlink>
          </w:p>
        </w:tc>
        <w:tc>
          <w:tcPr>
            <w:tcW w:w="2060" w:type="dxa"/>
            <w:vAlign w:val="bottom"/>
            <w:gridSpan w:val="32"/>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333-130395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December 16, 2005</w:t>
            </w: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NN, Inc. 2011 Amended and Restated Stock Incentive Plan</w:t>
              </w:r>
            </w:hyperlink>
          </w:p>
        </w:tc>
        <w:tc>
          <w:tcPr>
            <w:tcW w:w="320" w:type="dxa"/>
            <w:vAlign w:val="bottom"/>
            <w:gridSpan w:val="10"/>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Appendix A</w:t>
            </w: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April 1, 2016</w:t>
            </w: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Form of Indemnification Agreement</w:t>
              </w:r>
            </w:hyperlink>
          </w:p>
        </w:tc>
        <w:tc>
          <w:tcPr>
            <w:tcW w:w="2000" w:type="dxa"/>
            <w:vAlign w:val="bottom"/>
            <w:gridSpan w:val="31"/>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S-3/A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333-89950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July 15, 2002</w:t>
            </w: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Elective Deferred Compensation Plan, dated February 26,</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31, 1999</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6">
              <w:r>
                <w:rPr>
                  <w:rFonts w:ascii="Times New Roman" w:cs="Times New Roman" w:eastAsia="Times New Roman" w:hAnsi="Times New Roman"/>
                  <w:sz w:val="18"/>
                  <w:szCs w:val="18"/>
                  <w:color w:val="0000FF"/>
                  <w:w w:val="94"/>
                </w:rPr>
                <w:t>1999</w:t>
              </w:r>
            </w:hyperlink>
          </w:p>
        </w:tc>
        <w:tc>
          <w:tcPr>
            <w:tcW w:w="38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Escrow Agreement, effective as of August 29, 2014, by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2, 2014</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among NN, Inc., Newport Global Advisors, L.P., John C.</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Kennedy and Computershare Trust Company, N.A.</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Indemnity Agreement, effective as of August 29, 2014, by</w:t>
              </w:r>
            </w:hyperlink>
          </w:p>
        </w:tc>
        <w:tc>
          <w:tcPr>
            <w:tcW w:w="380" w:type="dxa"/>
            <w:vAlign w:val="bottom"/>
            <w:gridSpan w:val="13"/>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September 2, 2014</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gridSpan w:val="40"/>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and among NN, Inc. and each of the shareholders of Autocam</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Corporation identified therein</w:t>
              </w:r>
            </w:hyperlink>
          </w:p>
        </w:tc>
        <w:tc>
          <w:tcPr>
            <w:tcW w:w="2300" w:type="dxa"/>
            <w:vAlign w:val="bottom"/>
            <w:tcBorders>
              <w:top w:val="single" w:sz="8" w:color="0000FF"/>
            </w:tcBorders>
            <w:gridSpan w:val="29"/>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Executive Employment Agreement, dated September 9, 2014,</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16, 2015</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between NN, Inc. and Warren A. Veltman</w:t>
              </w:r>
            </w:hyperlink>
          </w:p>
        </w:tc>
        <w:tc>
          <w:tcPr>
            <w:tcW w:w="1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and Restatement Agreement, dated as of</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October 3, 2016</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September 30, 2016, by and among NN, Inc., certain</w:t>
              </w:r>
            </w:hyperlink>
          </w:p>
        </w:tc>
        <w:tc>
          <w:tcPr>
            <w:tcW w:w="740" w:type="dxa"/>
            <w:vAlign w:val="bottom"/>
            <w:gridSpan w:val="2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NN,</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 subsidiaries named therein, SunTrust Bank, KeyBank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National Association and Regions Bank</w:t>
              </w:r>
            </w:hyperlink>
          </w:p>
        </w:tc>
        <w:tc>
          <w:tcPr>
            <w:tcW w:w="13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Incremental Amendment to Amended and Restated Credit</w:t>
              </w:r>
            </w:hyperlink>
          </w:p>
        </w:tc>
        <w:tc>
          <w:tcPr>
            <w:tcW w:w="420" w:type="dxa"/>
            <w:vAlign w:val="bottom"/>
            <w:gridSpan w:val="15"/>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November 4, 2016</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gridSpan w:val="40"/>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Agreement, dated as of October 31, 2016, among NN, Inc.,</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the Guarantors, HomeTrust Bank, as 2016 Revolving Credit</w:t>
              </w:r>
            </w:hyperlink>
          </w:p>
        </w:tc>
        <w:tc>
          <w:tcPr>
            <w:tcW w:w="40" w:type="dxa"/>
            <w:vAlign w:val="bottom"/>
            <w:tcBorders>
              <w:bottom w:val="single" w:sz="8" w:color="0000FF"/>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8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gridSpan w:val="33"/>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Increase Lender, KeyBank National Association, as an L/C</w:t>
              </w:r>
            </w:hyperlink>
          </w:p>
        </w:tc>
        <w:tc>
          <w:tcPr>
            <w:tcW w:w="8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Issuer, Regions Bank, as Swing Line Lender and an 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Issuer, and SunTrust Bank, as Administrative Agent and</w:t>
              </w:r>
            </w:hyperlink>
          </w:p>
        </w:tc>
        <w:tc>
          <w:tcPr>
            <w:tcW w:w="20" w:type="dxa"/>
            <w:vAlign w:val="bottom"/>
          </w:tcPr>
          <w:p>
            <w:pPr>
              <w:spacing w:after="0"/>
              <w:rPr>
                <w:sz w:val="14"/>
                <w:szCs w:val="14"/>
                <w:color w:val="auto"/>
              </w:rPr>
            </w:pPr>
          </w:p>
        </w:tc>
        <w:tc>
          <w:tcPr>
            <w:tcW w:w="560" w:type="dxa"/>
            <w:vAlign w:val="bottom"/>
            <w:gridSpan w:val="20"/>
          </w:tcPr>
          <w:p>
            <w:pPr>
              <w:ind w:left="20"/>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an</w:t>
              </w:r>
            </w:hyperlink>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L/C Issuer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NN, Inc. 2016 Omnibus Incentive Plan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Appendix A</w:t>
            </w: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November 10, 2016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Incentive Stock Option Agreement under the 2016</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16, 2017</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Omnibus Incentive Plan</w:t>
              </w:r>
            </w:hyperlink>
          </w:p>
        </w:tc>
        <w:tc>
          <w:tcPr>
            <w:tcW w:w="254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Nonqualified Stock Option Agreement under the</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16, 2017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2016 Omnibus Incentive Plan</w:t>
              </w:r>
            </w:hyperlink>
          </w:p>
        </w:tc>
        <w:tc>
          <w:tcPr>
            <w:tcW w:w="2000" w:type="dxa"/>
            <w:vAlign w:val="bottom"/>
            <w:tcBorders>
              <w:top w:val="single" w:sz="8" w:color="0000FF"/>
            </w:tcBorders>
            <w:gridSpan w:val="16"/>
          </w:tcPr>
          <w:p>
            <w:pPr>
              <w:spacing w:after="0"/>
              <w:rPr>
                <w:sz w:val="13"/>
                <w:szCs w:val="13"/>
                <w:color w:val="auto"/>
              </w:rPr>
            </w:pPr>
          </w:p>
        </w:tc>
        <w:tc>
          <w:tcPr>
            <w:tcW w:w="160" w:type="dxa"/>
            <w:vAlign w:val="bottom"/>
            <w:gridSpan w:val="8"/>
          </w:tcPr>
          <w:p>
            <w:pPr>
              <w:spacing w:after="0"/>
              <w:rPr>
                <w:sz w:val="13"/>
                <w:szCs w:val="13"/>
                <w:color w:val="auto"/>
              </w:rPr>
            </w:pPr>
          </w:p>
        </w:tc>
        <w:tc>
          <w:tcPr>
            <w:tcW w:w="140" w:type="dxa"/>
            <w:vAlign w:val="bottom"/>
            <w:gridSpan w:val="5"/>
          </w:tcPr>
          <w:p>
            <w:pPr>
              <w:spacing w:after="0"/>
              <w:rPr>
                <w:sz w:val="13"/>
                <w:szCs w:val="13"/>
                <w:color w:val="auto"/>
              </w:rPr>
            </w:pPr>
          </w:p>
        </w:tc>
        <w:tc>
          <w:tcPr>
            <w:tcW w:w="1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Restricted Share Award Agreement under the 2016</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16, 2017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Omnibus Incentive Plan</w:t>
              </w:r>
            </w:hyperlink>
          </w:p>
        </w:tc>
        <w:tc>
          <w:tcPr>
            <w:tcW w:w="2560" w:type="dxa"/>
            <w:vAlign w:val="bottom"/>
            <w:tcBorders>
              <w:top w:val="single" w:sz="8" w:color="0000FF"/>
            </w:tcBorders>
            <w:gridSpan w:val="27"/>
          </w:tcPr>
          <w:p>
            <w:pPr>
              <w:spacing w:after="0"/>
              <w:rPr>
                <w:sz w:val="13"/>
                <w:szCs w:val="13"/>
                <w:color w:val="auto"/>
              </w:rPr>
            </w:pPr>
          </w:p>
        </w:tc>
        <w:tc>
          <w:tcPr>
            <w:tcW w:w="140" w:type="dxa"/>
            <w:vAlign w:val="bottom"/>
            <w:gridSpan w:val="5"/>
          </w:tcPr>
          <w:p>
            <w:pPr>
              <w:spacing w:after="0"/>
              <w:rPr>
                <w:sz w:val="13"/>
                <w:szCs w:val="13"/>
                <w:color w:val="auto"/>
              </w:rPr>
            </w:pPr>
          </w:p>
        </w:tc>
        <w:tc>
          <w:tcPr>
            <w:tcW w:w="1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Performance Share Unit Award Agreement under the</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March 16, 2017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2016 Omnibus Incentive Plan</w:t>
              </w:r>
            </w:hyperlink>
          </w:p>
        </w:tc>
        <w:tc>
          <w:tcPr>
            <w:tcW w:w="2300" w:type="dxa"/>
            <w:vAlign w:val="bottom"/>
            <w:tcBorders>
              <w:top w:val="single" w:sz="8" w:color="0000FF"/>
            </w:tcBorders>
            <w:gridSpan w:val="29"/>
          </w:tcPr>
          <w:p>
            <w:pPr>
              <w:spacing w:after="0"/>
              <w:rPr>
                <w:sz w:val="13"/>
                <w:szCs w:val="13"/>
                <w:color w:val="auto"/>
              </w:rPr>
            </w:pPr>
          </w:p>
        </w:tc>
        <w:tc>
          <w:tcPr>
            <w:tcW w:w="18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gridSpan w:val="4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Separation Agreement, dated as of April 1, 2017, by and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May 4, 2017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between NN, Inc. and Matthew S. Heiter.</w:t>
              </w:r>
            </w:hyperlink>
          </w:p>
        </w:tc>
        <w:tc>
          <w:tcPr>
            <w:tcW w:w="1060" w:type="dxa"/>
            <w:vAlign w:val="bottom"/>
            <w:tcBorders>
              <w:top w:val="single" w:sz="8" w:color="0000FF"/>
            </w:tcBorders>
            <w:gridSpan w:val="8"/>
          </w:tcPr>
          <w:p>
            <w:pPr>
              <w:spacing w:after="0"/>
              <w:rPr>
                <w:sz w:val="13"/>
                <w:szCs w:val="13"/>
                <w:color w:val="auto"/>
              </w:rPr>
            </w:pPr>
          </w:p>
        </w:tc>
        <w:tc>
          <w:tcPr>
            <w:tcW w:w="560" w:type="dxa"/>
            <w:vAlign w:val="bottom"/>
            <w:gridSpan w:val="20"/>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40" w:type="dxa"/>
            <w:vAlign w:val="bottom"/>
            <w:gridSpan w:val="40"/>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60" w:type="dxa"/>
            <w:vAlign w:val="bottom"/>
            <w:gridSpan w:val="37"/>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60" w:type="dxa"/>
            <w:vAlign w:val="bottom"/>
            <w:gridSpan w:val="3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8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20" w:type="dxa"/>
            <w:vAlign w:val="bottom"/>
            <w:tcBorders>
              <w:top w:val="single" w:sz="8" w:color="auto"/>
            </w:tcBorders>
            <w:gridSpan w:val="40"/>
          </w:tcPr>
          <w:p>
            <w:pPr>
              <w:spacing w:after="0" w:line="18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1 to Amended and Restated Credit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Agreement, dated as of April 3, 2017, by and among</w:t>
              </w:r>
            </w:hyperlink>
          </w:p>
        </w:tc>
        <w:tc>
          <w:tcPr>
            <w:tcW w:w="100" w:type="dxa"/>
            <w:vAlign w:val="bottom"/>
          </w:tcPr>
          <w:p>
            <w:pPr>
              <w:spacing w:after="0"/>
              <w:rPr>
                <w:sz w:val="13"/>
                <w:szCs w:val="13"/>
                <w:color w:val="auto"/>
              </w:rPr>
            </w:pPr>
          </w:p>
        </w:tc>
        <w:tc>
          <w:tcPr>
            <w:tcW w:w="680" w:type="dxa"/>
            <w:vAlign w:val="bottom"/>
            <w:gridSpan w:val="27"/>
          </w:tcPr>
          <w:p>
            <w:pPr>
              <w:jc w:val="center"/>
              <w:ind w:right="300"/>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NN,</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Inc., certain NN, Inc. subsidiaries named therein, SunTrust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gridSpan w:val="26"/>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Bank, JPMorgan Chase Bank, N.A., KeyBank National</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Association and Regions Bank</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Amendment No. 2 to Amended and Restated Credit</w:t>
              </w:r>
            </w:hyperlink>
          </w:p>
        </w:tc>
        <w:tc>
          <w:tcPr>
            <w:tcW w:w="780" w:type="dxa"/>
            <w:vAlign w:val="bottom"/>
            <w:gridSpan w:val="28"/>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Agreement, dated as of August 15, 2017, by and among NN,</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Inc., certain NN, Inc. subsidiaries named therein, and</w:t>
              </w:r>
            </w:hyperlink>
          </w:p>
        </w:tc>
        <w:tc>
          <w:tcPr>
            <w:tcW w:w="66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SunTrust Bank, Regions Bank, JPMorgan Chase Bank, N.A.,</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HomeTrust Bank and Key Bank National Association,</w:t>
              </w:r>
            </w:hyperlink>
          </w:p>
        </w:tc>
        <w:tc>
          <w:tcPr>
            <w:tcW w:w="5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40"/>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collectively, the Revolving Credit Lenders, and SunTrust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Bank, as the Administrative Agent.</w:t>
              </w:r>
            </w:hyperlink>
          </w:p>
        </w:tc>
        <w:tc>
          <w:tcPr>
            <w:tcW w:w="15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3 to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Agreement, dated as of November 24, 2017, by and</w:t>
              </w:r>
            </w:hyperlink>
          </w:p>
        </w:tc>
        <w:tc>
          <w:tcPr>
            <w:tcW w:w="780" w:type="dxa"/>
            <w:vAlign w:val="bottom"/>
            <w:gridSpan w:val="28"/>
          </w:tcPr>
          <w:p>
            <w:pPr>
              <w:jc w:val="center"/>
              <w:ind w:right="160"/>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among</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NN, Inc., certain NN, Inc. subsidiaries named therein,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SunTrust Bank, as administrative agent, and certain</w:t>
              </w:r>
            </w:hyperlink>
          </w:p>
        </w:tc>
        <w:tc>
          <w:tcPr>
            <w:tcW w:w="640" w:type="dxa"/>
            <w:vAlign w:val="bottom"/>
            <w:gridSpan w:val="26"/>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lenders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named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4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Commitment Letter, dated as of April 2, 2018, by and among</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NN, Inc., SunTrust Bank and SunTrust Robinson Humphrey,</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No. 4 to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Agreement, dated May 7, 2018, by and among NN,</w:t>
              </w:r>
            </w:hyperlink>
          </w:p>
        </w:tc>
        <w:tc>
          <w:tcPr>
            <w:tcW w:w="800" w:type="dxa"/>
            <w:vAlign w:val="bottom"/>
            <w:gridSpan w:val="29"/>
          </w:tcPr>
          <w:p>
            <w:pPr>
              <w:jc w:val="center"/>
              <w:ind w:right="180"/>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Inc., the</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bottom w:val="single" w:sz="8" w:color="0000FF"/>
            </w:tcBorders>
            <w:gridSpan w:val="33"/>
          </w:tcPr>
          <w:p>
            <w:pPr>
              <w:spacing w:after="0" w:line="16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affiliated Guarantors party thereto, SunTrust Bank, SunTrust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gridSpan w:val="35"/>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Robinson Humphrey, Inc. and the Lenders party thereto</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Amendment No. 5 to Amended and Restated Credit</w:t>
              </w:r>
            </w:hyperlink>
          </w:p>
        </w:tc>
        <w:tc>
          <w:tcPr>
            <w:tcW w:w="520" w:type="dxa"/>
            <w:vAlign w:val="bottom"/>
            <w:gridSpan w:val="23"/>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Agreement, dated December 26, 2018, by and among</w:t>
              </w:r>
            </w:hyperlink>
          </w:p>
        </w:tc>
        <w:tc>
          <w:tcPr>
            <w:tcW w:w="780" w:type="dxa"/>
            <w:vAlign w:val="bottom"/>
            <w:gridSpan w:val="28"/>
          </w:tcPr>
          <w:p>
            <w:pPr>
              <w:jc w:val="center"/>
              <w:ind w:right="180"/>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NN,</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Inc., certain NN, Inc. subsidiaries named therein, SunTrust</w:t>
              </w:r>
            </w:hyperlink>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Bank, as administrative agent and certain lenders named</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145">
              <w:r>
                <w:rPr>
                  <w:rFonts w:ascii="Times New Roman" w:cs="Times New Roman" w:eastAsia="Times New Roman" w:hAnsi="Times New Roman"/>
                  <w:sz w:val="18"/>
                  <w:szCs w:val="18"/>
                  <w:color w:val="0000FF"/>
                  <w:w w:val="95"/>
                </w:rPr>
                <w:t>therein</w:t>
              </w:r>
            </w:hyperlink>
          </w:p>
        </w:tc>
        <w:tc>
          <w:tcPr>
            <w:tcW w:w="35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Cooperation Agreement dated February 25, 2019, by and</w:t>
              </w:r>
            </w:hyperlink>
          </w:p>
        </w:tc>
        <w:tc>
          <w:tcPr>
            <w:tcW w:w="40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among NN, Inc., Legion Partners Asset Management, LLC,</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and certain persons listed therein</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Amendment No. 6 to Amended and Restated Credit</w:t>
              </w:r>
            </w:hyperlink>
          </w:p>
        </w:tc>
        <w:tc>
          <w:tcPr>
            <w:tcW w:w="780" w:type="dxa"/>
            <w:vAlign w:val="bottom"/>
            <w:gridSpan w:val="28"/>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gridSpan w:val="40"/>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Agreement, dated March 15, 2019, by and among NN, Inc.,</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certain NN, Inc. subsidiaries named therein, SunTrust Bank,</w:t>
              </w:r>
            </w:hyperlink>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34"/>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as administrative agent and certain lenders named therein</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6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NN, Inc. 2019 Omnibus Incentive Plan.</w:t>
              </w:r>
            </w:hyperlink>
          </w:p>
        </w:tc>
        <w:tc>
          <w:tcPr>
            <w:tcW w:w="1260" w:type="dxa"/>
            <w:vAlign w:val="bottom"/>
            <w:tcBorders>
              <w:top w:val="single" w:sz="8" w:color="0000FF"/>
            </w:tcBorders>
            <w:gridSpan w:val="11"/>
          </w:tcPr>
          <w:p>
            <w:pPr>
              <w:spacing w:after="0"/>
              <w:rPr>
                <w:sz w:val="18"/>
                <w:szCs w:val="18"/>
                <w:color w:val="auto"/>
              </w:rPr>
            </w:pPr>
          </w:p>
        </w:tc>
        <w:tc>
          <w:tcPr>
            <w:tcW w:w="40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Separation Agreement, dated as of April 1, 2017,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between NN, Inc. and D. Gail Nixon.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4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No. 7 to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Agreement, dated June 11, 2019, by and among NN,</w:t>
              </w:r>
            </w:hyperlink>
          </w:p>
        </w:tc>
        <w:tc>
          <w:tcPr>
            <w:tcW w:w="420" w:type="dxa"/>
            <w:vAlign w:val="bottom"/>
            <w:tcBorders>
              <w:bottom w:val="single" w:sz="8" w:color="0000FF"/>
            </w:tcBorders>
            <w:gridSpan w:val="11"/>
          </w:tcPr>
          <w:p>
            <w:pPr>
              <w:ind w:left="80"/>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Inc.,</w:t>
              </w:r>
            </w:hyperlink>
          </w:p>
        </w:tc>
        <w:tc>
          <w:tcPr>
            <w:tcW w:w="36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40"/>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certain NN, Inc. subsidiaries named therein, SunTrust Bank,</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as administrative agent and certain lenders named therein</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gridSpan w:val="1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4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Incentive Stock Option Agreement under the 2019</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Omnibus Incentive Plan.</w:t>
              </w:r>
            </w:hyperlink>
          </w:p>
        </w:tc>
        <w:tc>
          <w:tcPr>
            <w:tcW w:w="246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4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Nonqualified Stock Option Agreement under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2019 Omnibus Incentive Plan.</w:t>
              </w:r>
            </w:hyperlink>
          </w:p>
        </w:tc>
        <w:tc>
          <w:tcPr>
            <w:tcW w:w="20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60" w:type="dxa"/>
            <w:vAlign w:val="bottom"/>
            <w:gridSpan w:val="2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gridSpan w:val="4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Share Award Agreement under the 2019</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Omnibus Incentive Plan.</w:t>
              </w:r>
            </w:hyperlink>
          </w:p>
        </w:tc>
        <w:tc>
          <w:tcPr>
            <w:tcW w:w="2560" w:type="dxa"/>
            <w:vAlign w:val="bottom"/>
            <w:tcBorders>
              <w:top w:val="single" w:sz="8" w:color="0000FF"/>
            </w:tcBorders>
            <w:gridSpan w:val="27"/>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40" w:type="dxa"/>
            <w:vAlign w:val="bottom"/>
            <w:gridSpan w:val="41"/>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34290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2017</w:t>
            </w:r>
          </w:p>
        </w:tc>
      </w:tr>
      <w:tr>
        <w:trPr>
          <w:trHeight w:val="95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2017</w:t>
            </w:r>
          </w:p>
        </w:tc>
      </w:tr>
      <w:tr>
        <w:trPr>
          <w:trHeight w:val="131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2017</w:t>
            </w:r>
          </w:p>
        </w:tc>
      </w:tr>
      <w:tr>
        <w:trPr>
          <w:trHeight w:val="95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3, 2018</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7, 2018</w:t>
            </w:r>
          </w:p>
        </w:tc>
      </w:tr>
      <w:tr>
        <w:trPr>
          <w:trHeight w:val="77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26, 2018</w:t>
            </w:r>
          </w:p>
        </w:tc>
      </w:tr>
      <w:tr>
        <w:trPr>
          <w:trHeight w:val="95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18, 2019</w:t>
            </w:r>
          </w:p>
        </w:tc>
      </w:tr>
      <w:tr>
        <w:trPr>
          <w:trHeight w:val="765"/>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DEF14A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Appendix C</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8, 2019</w:t>
            </w:r>
          </w:p>
        </w:tc>
      </w:tr>
      <w:tr>
        <w:trPr>
          <w:trHeight w:val="23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10,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2019</w:t>
            </w:r>
          </w:p>
        </w:tc>
      </w:tr>
      <w:tr>
        <w:trPr>
          <w:trHeight w:val="77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bl>
    <w:p>
      <w:pPr>
        <w:sectPr>
          <w:pgSz w:w="11900" w:h="16838" w:orient="portrait"/>
          <w:cols w:equalWidth="0" w:num="2">
            <w:col w:w="5740" w:space="100"/>
            <w:col w:w="5400"/>
          </w:cols>
          <w:pgMar w:left="320" w:top="229"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gridSpan w:val="3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8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80" w:type="dxa"/>
            <w:vAlign w:val="bottom"/>
            <w:tcBorders>
              <w:top w:val="single" w:sz="8" w:color="auto"/>
            </w:tcBorders>
            <w:gridSpan w:val="38"/>
          </w:tcPr>
          <w:p>
            <w:pPr>
              <w:spacing w:after="0" w:line="188"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Performance Share Unit Award Agreement under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2019 Omnibus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Letter of Understanding and Relocation Agreement, effective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as of August 23, 2019, by and between NN, Inc. and Thomas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DeByle.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Separation Agreement.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Amendment No. 1 to Executive Employment Agreement,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dated as of September 20, 2019, by and between NN,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18"/>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Warren A. Veltman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Securities Purchase Agreement, dated December 5, 2019, by</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and among NN, Inc. and the Investors.</w:t>
              </w:r>
            </w:hyperlink>
          </w:p>
        </w:tc>
        <w:tc>
          <w:tcPr>
            <w:tcW w:w="15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Registration Rights Agreement, dated as of December 11,</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2019, by and among NN, Inc. and the Investors.</w:t>
              </w:r>
            </w:hyperlink>
          </w:p>
        </w:tc>
        <w:tc>
          <w:tcPr>
            <w:tcW w:w="7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No. 8 to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6"/>
              </w:rPr>
            </w:pPr>
            <w:hyperlink r:id="rId162">
              <w:r>
                <w:rPr>
                  <w:rFonts w:ascii="Times New Roman" w:cs="Times New Roman" w:eastAsia="Times New Roman" w:hAnsi="Times New Roman"/>
                  <w:sz w:val="18"/>
                  <w:szCs w:val="18"/>
                  <w:color w:val="0000FF"/>
                  <w:w w:val="96"/>
                </w:rPr>
                <w:t>Agreement, dated December 19, 2019, by and among</w:t>
              </w:r>
            </w:hyperlink>
          </w:p>
        </w:tc>
        <w:tc>
          <w:tcPr>
            <w:tcW w:w="860" w:type="dxa"/>
            <w:vAlign w:val="bottom"/>
            <w:gridSpan w:val="25"/>
          </w:tcPr>
          <w:p>
            <w:pPr>
              <w:ind w:left="160"/>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NN,</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Inc., certain NN, Inc. subsidiaries named therein, SunTrust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gridSpan w:val="22"/>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Bank, as administrative agent and certain lenders named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62">
              <w:r>
                <w:rPr>
                  <w:rFonts w:ascii="Times New Roman" w:cs="Times New Roman" w:eastAsia="Times New Roman" w:hAnsi="Times New Roman"/>
                  <w:sz w:val="18"/>
                  <w:szCs w:val="18"/>
                  <w:color w:val="0000FF"/>
                  <w:w w:val="95"/>
                </w:rPr>
                <w:t>therein</w:t>
              </w:r>
            </w:hyperlink>
          </w:p>
        </w:tc>
        <w:tc>
          <w:tcPr>
            <w:tcW w:w="3560" w:type="dxa"/>
            <w:vAlign w:val="bottom"/>
            <w:tcBorders>
              <w:top w:val="single" w:sz="8" w:color="0000FF"/>
            </w:tcBorders>
            <w:gridSpan w:val="15"/>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Amendment No. 2 to Executive Employment Agreement,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gridSpan w:val="38"/>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dated as of February 17, 2020, by and between NN, Inc. and</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Warren A. Veltman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Executive Employment Agreement dated October 3, 2014,</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between the Company and John R. Buchan</w:t>
              </w:r>
            </w:hyperlink>
          </w:p>
        </w:tc>
        <w:tc>
          <w:tcPr>
            <w:tcW w:w="112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Amendment No. 1 to Second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Agreement, dated as of July 29, 2020, by and among NN,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Inc., certain NN, Inc. subsidiaries named therein, Truist</w:t>
              </w:r>
            </w:hyperlink>
          </w:p>
        </w:tc>
        <w:tc>
          <w:tcPr>
            <w:tcW w:w="420" w:type="dxa"/>
            <w:vAlign w:val="bottom"/>
            <w:gridSpan w:val="20"/>
          </w:tcPr>
          <w:p>
            <w:pPr>
              <w:spacing w:after="0" w:line="169" w:lineRule="exact"/>
              <w:rPr>
                <w:rFonts w:ascii="Times New Roman" w:cs="Times New Roman" w:eastAsia="Times New Roman" w:hAnsi="Times New Roman"/>
                <w:sz w:val="18"/>
                <w:szCs w:val="18"/>
                <w:color w:val="0000FF"/>
                <w:w w:val="93"/>
              </w:rPr>
            </w:pPr>
            <w:hyperlink r:id="rId165">
              <w:r>
                <w:rPr>
                  <w:rFonts w:ascii="Times New Roman" w:cs="Times New Roman" w:eastAsia="Times New Roman" w:hAnsi="Times New Roman"/>
                  <w:sz w:val="18"/>
                  <w:szCs w:val="18"/>
                  <w:color w:val="0000FF"/>
                  <w:w w:val="93"/>
                </w:rPr>
                <w:t>Bank,</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JPMorgan Chase Bank, N.A., KeyBank National Association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and HomeTrust Bank</w:t>
              </w:r>
            </w:hyperlink>
          </w:p>
        </w:tc>
        <w:tc>
          <w:tcPr>
            <w:tcW w:w="290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No. 2 to Second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Agreement, dated as of August 22, 2020, by and among NN,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gridSpan w:val="28"/>
          </w:tcPr>
          <w:p>
            <w:pPr>
              <w:spacing w:after="0" w:line="169" w:lineRule="exact"/>
              <w:rPr>
                <w:rFonts w:ascii="Times New Roman" w:cs="Times New Roman" w:eastAsia="Times New Roman" w:hAnsi="Times New Roman"/>
                <w:sz w:val="18"/>
                <w:szCs w:val="18"/>
                <w:color w:val="0000FF"/>
                <w:w w:val="97"/>
              </w:rPr>
            </w:pPr>
            <w:hyperlink r:id="rId166">
              <w:r>
                <w:rPr>
                  <w:rFonts w:ascii="Times New Roman" w:cs="Times New Roman" w:eastAsia="Times New Roman" w:hAnsi="Times New Roman"/>
                  <w:sz w:val="18"/>
                  <w:szCs w:val="18"/>
                  <w:color w:val="0000FF"/>
                  <w:w w:val="97"/>
                </w:rPr>
                <w:t>Inc., certain NN, Inc. subsidiaries named therein, Truist Bank,</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JPMorgan Chase Bank, N.A., KeyBank National Association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and HomeTrust Bank</w:t>
              </w:r>
            </w:hyperlink>
          </w:p>
        </w:tc>
        <w:tc>
          <w:tcPr>
            <w:tcW w:w="290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of Retention Bonus Agreement</w:t>
              </w:r>
            </w:hyperlink>
          </w:p>
        </w:tc>
        <w:tc>
          <w:tcPr>
            <w:tcW w:w="1900" w:type="dxa"/>
            <w:vAlign w:val="bottom"/>
            <w:gridSpan w:val="3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Securities Purchase Agreement, dated March 22, 2021,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between NN, Inc. and the NGTV Nevada Holdings LP</w:t>
              </w:r>
            </w:hyperlink>
          </w:p>
        </w:tc>
        <w:tc>
          <w:tcPr>
            <w:tcW w:w="6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Board Observer Agreement, dated March 22, 2021, by and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between NN, Inc. and the NHTV Nevada Holdings LP</w:t>
              </w:r>
            </w:hyperlink>
          </w:p>
        </w:tc>
        <w:tc>
          <w:tcPr>
            <w:tcW w:w="320" w:type="dxa"/>
            <w:vAlign w:val="bottom"/>
            <w:tcBorders>
              <w:top w:val="single" w:sz="8" w:color="0000FF"/>
            </w:tcBorders>
            <w:gridSpan w:val="8"/>
          </w:tcPr>
          <w:p>
            <w:pPr>
              <w:spacing w:after="0"/>
              <w:rPr>
                <w:sz w:val="13"/>
                <w:szCs w:val="13"/>
                <w:color w:val="auto"/>
              </w:rPr>
            </w:pPr>
          </w:p>
        </w:tc>
        <w:tc>
          <w:tcPr>
            <w:tcW w:w="14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Term Loan Credit Agreement, dated March 22, 2021, by and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among NN, Inc., as borrower, and Oaktree Fund</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Administration, LLC, as administrative agent</w:t>
              </w:r>
            </w:hyperlink>
          </w:p>
        </w:tc>
        <w:tc>
          <w:tcPr>
            <w:tcW w:w="460" w:type="dxa"/>
            <w:vAlign w:val="bottom"/>
            <w:gridSpan w:val="2"/>
          </w:tcPr>
          <w:p>
            <w:pPr>
              <w:spacing w:after="0"/>
              <w:rPr>
                <w:sz w:val="14"/>
                <w:szCs w:val="14"/>
                <w:color w:val="auto"/>
              </w:rPr>
            </w:pPr>
          </w:p>
        </w:tc>
        <w:tc>
          <w:tcPr>
            <w:tcW w:w="560" w:type="dxa"/>
            <w:vAlign w:val="bottom"/>
            <w:gridSpan w:val="19"/>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 w:type="dxa"/>
            <w:vAlign w:val="bottom"/>
            <w:gridSpan w:val="1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gridSpan w:val="3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Credit Agreement, dated March 22, 2021, by and among NN,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Inc., as borrower, and JPMorgan Chase Bank, N.A., as</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171">
              <w:r>
                <w:rPr>
                  <w:rFonts w:ascii="Times New Roman" w:cs="Times New Roman" w:eastAsia="Times New Roman" w:hAnsi="Times New Roman"/>
                  <w:sz w:val="18"/>
                  <w:szCs w:val="18"/>
                  <w:color w:val="0000FF"/>
                  <w:w w:val="98"/>
                </w:rPr>
                <w:t>administrative agent</w:t>
              </w:r>
            </w:hyperlink>
          </w:p>
        </w:tc>
        <w:tc>
          <w:tcPr>
            <w:tcW w:w="2460" w:type="dxa"/>
            <w:vAlign w:val="bottom"/>
            <w:tcBorders>
              <w:top w:val="single" w:sz="8" w:color="0000FF"/>
            </w:tcBorders>
            <w:gridSpan w:val="10"/>
          </w:tcPr>
          <w:p>
            <w:pPr>
              <w:spacing w:after="0"/>
              <w:rPr>
                <w:sz w:val="14"/>
                <w:szCs w:val="14"/>
                <w:color w:val="auto"/>
              </w:rPr>
            </w:pPr>
          </w:p>
        </w:tc>
        <w:tc>
          <w:tcPr>
            <w:tcW w:w="66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80" w:type="dxa"/>
            <w:vAlign w:val="bottom"/>
            <w:gridSpan w:val="38"/>
          </w:tcPr>
          <w:p>
            <w:pPr>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Cooperation Agreement, dated May 13, 2021, among NN,</w:t>
              </w:r>
            </w:hyperlink>
          </w:p>
        </w:tc>
        <w:tc>
          <w:tcPr>
            <w:tcW w:w="0" w:type="dxa"/>
            <w:vAlign w:val="bottom"/>
          </w:tcPr>
          <w:p>
            <w:pPr>
              <w:spacing w:after="0"/>
              <w:rPr>
                <w:sz w:val="1"/>
                <w:szCs w:val="1"/>
                <w:color w:val="auto"/>
              </w:rPr>
            </w:pPr>
          </w:p>
        </w:tc>
      </w:tr>
    </w:tbl>
    <w:p>
      <w:pPr>
        <w:ind w:left="1220" w:right="520"/>
        <w:spacing w:after="0" w:line="233"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Inc., Corre Partners Management, LLC, and each of the</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persons listed on the signature page thereto</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34290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r>
      <w:tr>
        <w:trPr>
          <w:trHeight w:val="41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r>
      <w:tr>
        <w:trPr>
          <w:trHeight w:val="58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r>
      <w:tr>
        <w:trPr>
          <w:trHeight w:val="23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24, 2019</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2019</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2019</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19, 2019</w:t>
            </w:r>
          </w:p>
        </w:tc>
      </w:tr>
      <w:tr>
        <w:trPr>
          <w:trHeight w:val="95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000-23486</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20, 2020</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2020</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31, 2020</w:t>
            </w:r>
          </w:p>
        </w:tc>
      </w:tr>
      <w:tr>
        <w:trPr>
          <w:trHeight w:val="95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2020</w:t>
            </w:r>
          </w:p>
        </w:tc>
      </w:tr>
      <w:tr>
        <w:trPr>
          <w:trHeight w:val="95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19, 2020</w:t>
            </w:r>
          </w:p>
        </w:tc>
      </w:tr>
      <w:tr>
        <w:trPr>
          <w:trHeight w:val="23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41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418"/>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2021</w:t>
            </w:r>
          </w:p>
        </w:tc>
      </w:tr>
      <w:tr>
        <w:trPr>
          <w:trHeight w:val="594"/>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14, 2021</w:t>
            </w:r>
          </w:p>
        </w:tc>
      </w:tr>
    </w:tbl>
    <w:p>
      <w:pPr>
        <w:sectPr>
          <w:pgSz w:w="11900" w:h="16838" w:orient="portrait"/>
          <w:cols w:equalWidth="0" w:num="2">
            <w:col w:w="5740" w:space="100"/>
            <w:col w:w="540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80" w:type="dxa"/>
            <w:vAlign w:val="bottom"/>
            <w:gridSpan w:val="16"/>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4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80" w:type="dxa"/>
            <w:vAlign w:val="bottom"/>
            <w:gridSpan w:val="16"/>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0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20" w:type="dxa"/>
            <w:vAlign w:val="bottom"/>
            <w:tcBorders>
              <w:top w:val="single" w:sz="8" w:color="auto"/>
            </w:tcBorders>
            <w:gridSpan w:val="16"/>
          </w:tcPr>
          <w:p>
            <w:pPr>
              <w:spacing w:after="0" w:line="188"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Separation Agreement and General Release, dated June 14,</w:t>
              </w:r>
            </w:hyperlink>
          </w:p>
        </w:tc>
        <w:tc>
          <w:tcPr>
            <w:tcW w:w="120" w:type="dxa"/>
            <w:vAlign w:val="bottom"/>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118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14"/>
              <w:spacing w:after="0" w:line="188" w:lineRule="exact"/>
              <w:rPr>
                <w:sz w:val="20"/>
                <w:szCs w:val="20"/>
                <w:color w:val="auto"/>
              </w:rPr>
            </w:pPr>
            <w:r>
              <w:rPr>
                <w:rFonts w:ascii="Times New Roman" w:cs="Times New Roman" w:eastAsia="Times New Roman" w:hAnsi="Times New Roman"/>
                <w:sz w:val="18"/>
                <w:szCs w:val="18"/>
                <w:color w:val="auto"/>
              </w:rPr>
              <w:t>June 15, 2021</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2021, by and between NN, Inc. and Thomas D. DeByle</w:t>
              </w:r>
            </w:hyperlink>
          </w:p>
        </w:tc>
        <w:tc>
          <w:tcPr>
            <w:tcW w:w="26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Separation Agreement by and between NN, Inc. and Michael</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June 15, 2021</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C. Felcher</w:t>
              </w:r>
            </w:hyperlink>
          </w:p>
        </w:tc>
        <w:tc>
          <w:tcPr>
            <w:tcW w:w="3640" w:type="dxa"/>
            <w:vAlign w:val="bottom"/>
            <w:tcBorders>
              <w:top w:val="single" w:sz="8" w:color="0000FF"/>
            </w:tcBorders>
            <w:gridSpan w:val="14"/>
          </w:tcPr>
          <w:p>
            <w:pPr>
              <w:spacing w:after="0"/>
              <w:rPr>
                <w:sz w:val="13"/>
                <w:szCs w:val="13"/>
                <w:color w:val="auto"/>
              </w:rPr>
            </w:pPr>
          </w:p>
        </w:tc>
        <w:tc>
          <w:tcPr>
            <w:tcW w:w="2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7"/>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Amendment No. 1 to Term Loan Credit Agreement, dated as</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March 4, 2022</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of March 3, 2022, by and among NN, Inc., certain</w:t>
              </w:r>
            </w:hyperlink>
          </w:p>
        </w:tc>
        <w:tc>
          <w:tcPr>
            <w:tcW w:w="26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subsidiaries of NN, Inc., the lenders party thereto,</w:t>
              </w:r>
            </w:hyperlink>
          </w:p>
        </w:tc>
        <w:tc>
          <w:tcPr>
            <w:tcW w:w="1020" w:type="dxa"/>
            <w:vAlign w:val="bottom"/>
            <w:gridSpan w:val="11"/>
          </w:tcPr>
          <w:p>
            <w:pPr>
              <w:ind w:left="20"/>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and</w:t>
              </w:r>
            </w:hyperlink>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Oaktree Fund Administration, LLC, as administrative</w:t>
              </w:r>
            </w:hyperlink>
          </w:p>
        </w:tc>
        <w:tc>
          <w:tcPr>
            <w:tcW w:w="740" w:type="dxa"/>
            <w:vAlign w:val="bottom"/>
            <w:gridSpan w:val="8"/>
          </w:tcPr>
          <w:p>
            <w:pPr>
              <w:ind w:left="20"/>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agent.</w:t>
              </w:r>
            </w:hyperlink>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2022 Omnibus Incentive Plan</w:t>
              </w:r>
            </w:hyperlink>
          </w:p>
        </w:tc>
        <w:tc>
          <w:tcPr>
            <w:tcW w:w="2180" w:type="dxa"/>
            <w:vAlign w:val="bottom"/>
            <w:tcBorders>
              <w:top w:val="single" w:sz="8" w:color="0000FF"/>
            </w:tcBorders>
            <w:gridSpan w:val="10"/>
          </w:tcPr>
          <w:p>
            <w:pPr>
              <w:spacing w:after="0"/>
              <w:rPr>
                <w:sz w:val="18"/>
                <w:szCs w:val="18"/>
                <w:color w:val="auto"/>
              </w:rPr>
            </w:pPr>
          </w:p>
        </w:tc>
        <w:tc>
          <w:tcPr>
            <w:tcW w:w="300" w:type="dxa"/>
            <w:vAlign w:val="bottom"/>
            <w:gridSpan w:val="4"/>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DEF14A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001-39268</w:t>
            </w:r>
          </w:p>
        </w:tc>
        <w:tc>
          <w:tcPr>
            <w:tcW w:w="100" w:type="dxa"/>
            <w:vAlign w:val="bottom"/>
          </w:tcPr>
          <w:p>
            <w:pPr>
              <w:spacing w:after="0"/>
              <w:rPr>
                <w:sz w:val="18"/>
                <w:szCs w:val="18"/>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Appendix A</w:t>
            </w:r>
          </w:p>
        </w:tc>
        <w:tc>
          <w:tcPr>
            <w:tcW w:w="166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April 15, 2022</w:t>
            </w: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List of Subsidiaries of NN, Inc.</w:t>
            </w:r>
          </w:p>
        </w:tc>
        <w:tc>
          <w:tcPr>
            <w:tcW w:w="2360" w:type="dxa"/>
            <w:vAlign w:val="bottom"/>
            <w:gridSpan w:val="13"/>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Grant Thornton LLP, Independent Registered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Public Accounting Firm</w:t>
            </w:r>
          </w:p>
        </w:tc>
        <w:tc>
          <w:tcPr>
            <w:tcW w:w="54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Sarbanes-Oxley Act</w:t>
            </w:r>
          </w:p>
        </w:tc>
        <w:tc>
          <w:tcPr>
            <w:tcW w:w="1180" w:type="dxa"/>
            <w:vAlign w:val="bottom"/>
            <w:tcBorders>
              <w:top w:val="single" w:sz="8" w:color="0000FF"/>
            </w:tcBorders>
            <w:gridSpan w:val="3"/>
          </w:tcPr>
          <w:p>
            <w:pPr>
              <w:spacing w:after="0"/>
              <w:rPr>
                <w:sz w:val="13"/>
                <w:szCs w:val="13"/>
                <w:color w:val="auto"/>
              </w:rPr>
            </w:pPr>
          </w:p>
        </w:tc>
        <w:tc>
          <w:tcPr>
            <w:tcW w:w="90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Sarbanes-Oxley Act</w:t>
            </w:r>
          </w:p>
        </w:tc>
        <w:tc>
          <w:tcPr>
            <w:tcW w:w="1120" w:type="dxa"/>
            <w:vAlign w:val="bottom"/>
            <w:tcBorders>
              <w:top w:val="single" w:sz="8" w:color="0000FF"/>
            </w:tcBorders>
            <w:gridSpan w:val="2"/>
          </w:tcPr>
          <w:p>
            <w:pPr>
              <w:spacing w:after="0"/>
              <w:rPr>
                <w:sz w:val="13"/>
                <w:szCs w:val="13"/>
                <w:color w:val="auto"/>
              </w:rPr>
            </w:pPr>
          </w:p>
        </w:tc>
        <w:tc>
          <w:tcPr>
            <w:tcW w:w="960" w:type="dxa"/>
            <w:vAlign w:val="bottom"/>
            <w:gridSpan w:val="10"/>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906 of Sarbanes-Oxley Act</w:t>
            </w:r>
          </w:p>
        </w:tc>
        <w:tc>
          <w:tcPr>
            <w:tcW w:w="1180" w:type="dxa"/>
            <w:vAlign w:val="bottom"/>
            <w:tcBorders>
              <w:top w:val="single" w:sz="8" w:color="0000FF"/>
            </w:tcBorders>
            <w:gridSpan w:val="3"/>
          </w:tcPr>
          <w:p>
            <w:pPr>
              <w:spacing w:after="0"/>
              <w:rPr>
                <w:sz w:val="13"/>
                <w:szCs w:val="13"/>
                <w:color w:val="auto"/>
              </w:rPr>
            </w:pPr>
          </w:p>
        </w:tc>
        <w:tc>
          <w:tcPr>
            <w:tcW w:w="90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906 of Sarbanes-Oxley Act</w:t>
            </w:r>
          </w:p>
        </w:tc>
        <w:tc>
          <w:tcPr>
            <w:tcW w:w="1120" w:type="dxa"/>
            <w:vAlign w:val="bottom"/>
            <w:tcBorders>
              <w:top w:val="single" w:sz="8" w:color="0000FF"/>
            </w:tcBorders>
            <w:gridSpan w:val="2"/>
          </w:tcPr>
          <w:p>
            <w:pPr>
              <w:spacing w:after="0"/>
              <w:rPr>
                <w:sz w:val="13"/>
                <w:szCs w:val="13"/>
                <w:color w:val="auto"/>
              </w:rPr>
            </w:pPr>
          </w:p>
        </w:tc>
        <w:tc>
          <w:tcPr>
            <w:tcW w:w="960" w:type="dxa"/>
            <w:vAlign w:val="bottom"/>
            <w:gridSpan w:val="10"/>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40" w:type="dxa"/>
            <w:vAlign w:val="bottom"/>
            <w:gridSpan w:val="17"/>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gridSpan w:val="17"/>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67" w:lineRule="exact"/>
        <w:rPr>
          <w:sz w:val="20"/>
          <w:szCs w:val="20"/>
          <w:color w:val="auto"/>
        </w:rPr>
      </w:pPr>
    </w:p>
    <w:p>
      <w:pPr>
        <w:ind w:left="680" w:hanging="654"/>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3" w:lineRule="exact"/>
        <w:rPr>
          <w:sz w:val="20"/>
          <w:szCs w:val="20"/>
          <w:color w:val="auto"/>
        </w:rPr>
      </w:pPr>
    </w:p>
    <w:p>
      <w:pPr>
        <w:ind w:left="680" w:right="80" w:hanging="654"/>
        <w:spacing w:after="0" w:line="229"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Annual Report on Form 10-K pursuant to 18 U.S.C. Section 1350 and is not being filed for purposes of Section 18 of the Securities Exchange Act of 1934 and is not to be incorporated by reference into any filing of the Company, whether made before or after the date hereof, regardless of any general incorporation language in such filings.</w:t>
      </w:r>
    </w:p>
    <w:p>
      <w:pPr>
        <w:spacing w:after="0" w:line="2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67" w:lineRule="exact"/>
        <w:rPr>
          <w:sz w:val="20"/>
          <w:szCs w:val="20"/>
          <w:color w:val="auto"/>
        </w:rPr>
      </w:pPr>
    </w:p>
    <w:p>
      <w:pPr>
        <w:ind w:left="1020" w:right="12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97" w:lineRule="exact"/>
        <w:rPr>
          <w:sz w:val="20"/>
          <w:szCs w:val="20"/>
          <w:color w:val="auto"/>
        </w:rPr>
      </w:pPr>
    </w:p>
    <w:p>
      <w:pPr>
        <w:ind w:left="1020"/>
        <w:spacing w:after="0"/>
        <w:tabs>
          <w:tab w:leader="none" w:pos="1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34290</wp:posOffset>
            </wp:positionV>
            <wp:extent cx="26142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5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Warren A. Veltman</w:t>
      </w:r>
    </w:p>
    <w:p>
      <w:pPr>
        <w:spacing w:after="0" w:line="4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08" w:lineRule="exact"/>
        <w:rPr>
          <w:sz w:val="20"/>
          <w:szCs w:val="20"/>
          <w:color w:val="auto"/>
        </w:rPr>
      </w:pPr>
    </w:p>
    <w:p>
      <w:pPr>
        <w:ind w:left="1020"/>
        <w:spacing w:after="0"/>
        <w:tabs>
          <w:tab w:leader="none" w:pos="1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10, 2023</w:t>
      </w:r>
    </w:p>
    <w:p>
      <w:pPr>
        <w:spacing w:after="0" w:line="387" w:lineRule="exact"/>
        <w:rPr>
          <w:sz w:val="20"/>
          <w:szCs w:val="20"/>
          <w:color w:val="auto"/>
        </w:rPr>
      </w:pPr>
    </w:p>
    <w:p>
      <w:pPr>
        <w:ind w:left="1020" w:right="56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40"/>
          </w:cols>
          <w:pgMar w:left="320" w:top="229" w:right="1339" w:bottom="1440" w:gutter="0" w:footer="0" w:header="0"/>
        </w:sectPr>
      </w:pPr>
    </w:p>
    <w:p>
      <w:pPr>
        <w:spacing w:after="0" w:line="3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4"/>
          <w:szCs w:val="14"/>
          <w:b w:val="1"/>
          <w:bCs w:val="1"/>
          <w:color w:val="auto"/>
        </w:rPr>
        <w:t>Name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33655</wp:posOffset>
            </wp:positionV>
            <wp:extent cx="2040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38"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Warren A. Veltman</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Jeri J.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Jeri J. Harman</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Raynard D. Benvenuti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0"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Robert E.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Robert E. Brunner</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Christina E.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7">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João Faria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João Faria</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Rajeev Gautam,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Rajeev Gautam, Ph.D.</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Shihab Kuran,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Shihab Kuran, Ph.D.</w:t>
      </w:r>
    </w:p>
    <w:p>
      <w:pPr>
        <w:spacing w:after="0" w:line="33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/s/ Tom H. Wilson,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040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8"/>
          <w:szCs w:val="18"/>
          <w:color w:val="auto"/>
        </w:rPr>
        <w:t>Tom H. Wilson, Jr.</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0" w:type="dxa"/>
            <w:vAlign w:val="bottom"/>
            <w:gridSpan w:val="2"/>
          </w:tcPr>
          <w:p>
            <w:pPr>
              <w:ind w:left="1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8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25"/>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20"/>
                <w:szCs w:val="20"/>
                <w:color w:val="auto"/>
              </w:rPr>
            </w:pPr>
          </w:p>
        </w:tc>
      </w:tr>
      <w:tr>
        <w:trPr>
          <w:trHeight w:val="57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480" w:type="dxa"/>
            <w:vAlign w:val="bottom"/>
          </w:tcPr>
          <w:p>
            <w:pPr>
              <w:spacing w:after="0"/>
              <w:rPr>
                <w:sz w:val="20"/>
                <w:szCs w:val="20"/>
                <w:color w:val="auto"/>
              </w:rPr>
            </w:pPr>
          </w:p>
        </w:tc>
      </w:tr>
      <w:tr>
        <w:trPr>
          <w:trHeight w:val="63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Chairman, 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8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79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8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8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8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8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r>
        <w:trPr>
          <w:trHeight w:val="8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10, 2023</w:t>
            </w:r>
          </w:p>
        </w:tc>
      </w:tr>
    </w:tbl>
    <w:p>
      <w:pPr>
        <w:spacing w:after="0" w:line="483" w:lineRule="exact"/>
        <w:rPr>
          <w:sz w:val="20"/>
          <w:szCs w:val="20"/>
          <w:color w:val="auto"/>
        </w:rPr>
      </w:pPr>
    </w:p>
    <w:p>
      <w:pPr>
        <w:sectPr>
          <w:pgSz w:w="11900" w:h="16838" w:orient="portrait"/>
          <w:cols w:equalWidth="0" w:num="2">
            <w:col w:w="3840" w:space="720"/>
            <w:col w:w="5680"/>
          </w:cols>
          <w:pgMar w:left="320" w:top="229"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240"/>
          </w:cols>
          <w:pgMar w:left="320" w:top="229" w:right="1339"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68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r>
      <w:tr>
        <w:trPr>
          <w:trHeight w:val="848"/>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 of NN, Inc.</w:t>
            </w:r>
          </w:p>
        </w:tc>
        <w:tc>
          <w:tcPr>
            <w:tcW w:w="2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3"/>
        </w:trPr>
        <w:tc>
          <w:tcPr>
            <w:tcW w:w="4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1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Precision Products, Inc.</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(China) Automotive Components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do Brasil Usinagem, Ltda.</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Equipment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Equipment,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Europe, B.V.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France, S.A.R.L.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International,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Poland Sp. z.o.o.</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 South Carolina,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Michigan</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Autocam-Pax,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Michigan</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Bouverat Industries, S.A.S.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 (Foshan) Precision Engineered Products Co.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 de Mexico, S.A. de C.V.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Brainin-Advance Industries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Caprock Enclosures,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Caprock Manufacturing,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Metal Finishing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Holmed,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HowesTemco,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Molding Corporation</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Kugelfertigung Eltmann GmbH</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Euroball Ireland Ltd.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Power Solutions,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Power Solutions Holdings,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NN Precision Plastics,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PMC USA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PNC Acquisition Company,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Polymetallurgical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Precision Metal Components Mexico S. de R.L. de C.V.</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Premco,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Profiles Incorporated</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Southern California Technical Arts, Inc.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Triumph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Wauconda Tool &amp; Engineering LLC</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Whirlaway Corporation</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Ohio</w:t>
            </w:r>
          </w:p>
        </w:tc>
      </w:tr>
    </w:tbl>
    <w:p>
      <w:pPr>
        <w:sectPr>
          <w:pgSz w:w="11900" w:h="16838" w:orient="portrait"/>
          <w:cols w:equalWidth="0" w:num="1">
            <w:col w:w="11240"/>
          </w:cols>
          <w:pgMar w:left="320" w:top="887" w:right="339" w:bottom="1440" w:gutter="0" w:footer="0" w:header="0"/>
        </w:sectPr>
      </w:pPr>
    </w:p>
    <w:bookmarkStart w:id="72" w:name="page73"/>
    <w:bookmarkEnd w:id="72"/>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issued our reports dated March 10, 2023, with respect to the consolidated financial statements and internal control over financial reporting included in the Annual Report of NN, Inc. on Form 10-K for the year ended December 31, 2022. We consent to the incorporation by reference of said reports in the Registration Statements of NN, Inc. on Form S-8 (File Nos. 333-130395, 333-174519, 333-216739,333-232258, and 333-265893).</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ectPr>
          <w:pgSz w:w="11900" w:h="16838" w:orient="portrait"/>
          <w:cols w:equalWidth="0" w:num="1">
            <w:col w:w="11240"/>
          </w:cols>
          <w:pgMar w:left="320" w:top="76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2023</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NN, Inc. (the “Company”) on Form 10-K for the annual period ended December 31, 2022,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NN, Inc. (the “Company”) on Form 10-K for the annual period ended December 31, 2022,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2023</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lvl w:ilvl="1">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lvl w:ilvl="1">
      <w:lvlJc w:val="left"/>
      <w:lvlText w:val="%2."/>
      <w:numFmt w:val="decimal"/>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54" Type="http://schemas.openxmlformats.org/officeDocument/2006/relationships/image" Target="media/image98.png"/><Relationship Id="rId155" Type="http://schemas.openxmlformats.org/officeDocument/2006/relationships/image" Target="media/image99.png"/><Relationship Id="rId173" Type="http://schemas.openxmlformats.org/officeDocument/2006/relationships/image" Target="media/image100.png"/><Relationship Id="rId174" Type="http://schemas.openxmlformats.org/officeDocument/2006/relationships/image" Target="media/image101.png"/><Relationship Id="rId179" Type="http://schemas.openxmlformats.org/officeDocument/2006/relationships/image" Target="media/image102.png"/><Relationship Id="rId180" Type="http://schemas.openxmlformats.org/officeDocument/2006/relationships/image" Target="media/image103.png"/><Relationship Id="rId181" Type="http://schemas.openxmlformats.org/officeDocument/2006/relationships/image" Target="media/image104.png"/><Relationship Id="rId182" Type="http://schemas.openxmlformats.org/officeDocument/2006/relationships/image" Target="media/image105.png"/><Relationship Id="rId183" Type="http://schemas.openxmlformats.org/officeDocument/2006/relationships/image" Target="media/image106.png"/><Relationship Id="rId184" Type="http://schemas.openxmlformats.org/officeDocument/2006/relationships/image" Target="media/image107.png"/><Relationship Id="rId185" Type="http://schemas.openxmlformats.org/officeDocument/2006/relationships/image" Target="media/image108.png"/><Relationship Id="rId186" Type="http://schemas.openxmlformats.org/officeDocument/2006/relationships/image" Target="media/image109.png"/><Relationship Id="rId187" Type="http://schemas.openxmlformats.org/officeDocument/2006/relationships/image" Target="media/image110.png"/><Relationship Id="rId188" Type="http://schemas.openxmlformats.org/officeDocument/2006/relationships/image" Target="media/image111.png"/><Relationship Id="rId189" Type="http://schemas.openxmlformats.org/officeDocument/2006/relationships/image" Target="media/image112.png"/><Relationship Id="rId190" Type="http://schemas.openxmlformats.org/officeDocument/2006/relationships/image" Target="media/image113.png"/><Relationship Id="rId191" Type="http://schemas.openxmlformats.org/officeDocument/2006/relationships/image" Target="media/image114.png"/><Relationship Id="rId43" Type="http://schemas.openxmlformats.org/officeDocument/2006/relationships/hyperlink" Target="http://www.sec.gov/ix?doc=/Archives/edgar/data/918541/000091854122000039/nnbr-20211231.htm" TargetMode="External"/><Relationship Id="rId102" Type="http://schemas.openxmlformats.org/officeDocument/2006/relationships/hyperlink" Target="http://www.sec.gov/Archives/edgar/data/918541/000119312514275202/d759459dex21.htm" TargetMode="External"/><Relationship Id="rId103" Type="http://schemas.openxmlformats.org/officeDocument/2006/relationships/hyperlink" Target="http://www.sec.gov/Archives/edgar/data/918541/000119312515294271/d17337dex21.htm" TargetMode="External"/><Relationship Id="rId104" Type="http://schemas.openxmlformats.org/officeDocument/2006/relationships/hyperlink" Target="http://www.sec.gov/Archives/edgar/data/918541/000119312517224726/d422757dex21.htm" TargetMode="External"/><Relationship Id="rId105" Type="http://schemas.openxmlformats.org/officeDocument/2006/relationships/hyperlink" Target="http://www.sec.gov/Archives/edgar/data/918541/000119312518105623/d535081dex21.htm" TargetMode="External"/><Relationship Id="rId106" Type="http://schemas.openxmlformats.org/officeDocument/2006/relationships/hyperlink" Target="http://www.sec.gov/Archives/edgar/data/918541/000119312520227628/d73183dex21.htm" TargetMode="External"/><Relationship Id="rId107" Type="http://schemas.openxmlformats.org/officeDocument/2006/relationships/hyperlink" Target="http://www.sec.gov/Archives/edgar/data/918541/000095016802001631/dex31.txt" TargetMode="External"/><Relationship Id="rId108" Type="http://schemas.openxmlformats.org/officeDocument/2006/relationships/hyperlink" Target="http://www.sec.gov/Archives/edgar/data/918541/000119312519151712/d750456dex31.htm" TargetMode="External"/><Relationship Id="rId109" Type="http://schemas.openxmlformats.org/officeDocument/2006/relationships/hyperlink" Target="http://www.sec.gov/Archives/edgar/data/918541/000119312519151712/d750456dex32.htm" TargetMode="External"/><Relationship Id="rId110" Type="http://schemas.openxmlformats.org/officeDocument/2006/relationships/hyperlink" Target="http://www.sec.gov/Archives/edgar/data/918541/000092290708000740/exhibit31_121608.htm" TargetMode="External"/><Relationship Id="rId111" Type="http://schemas.openxmlformats.org/officeDocument/2006/relationships/hyperlink" Target="http://www.sec.gov/Archives/edgar/data/918541/000119312519311505/d775548dex31.htm" TargetMode="External"/><Relationship Id="rId112" Type="http://schemas.openxmlformats.org/officeDocument/2006/relationships/hyperlink" Target="http://www.sec.gov/Archives/edgar/data/918541/000119312520108738/d852780dex31.htm" TargetMode="External"/><Relationship Id="rId115" Type="http://schemas.openxmlformats.org/officeDocument/2006/relationships/hyperlink" Target="http://www.sec.gov/Archives/edgar/data/918541/000091854123000004/amendedandrestatedbylaws20.htm" TargetMode="External"/><Relationship Id="rId116" Type="http://schemas.openxmlformats.org/officeDocument/2006/relationships/hyperlink" Target="http://www.sec.gov/Archives/edgar/data/0000918541/000119312521089609/d162543dex31.htm" TargetMode="External"/><Relationship Id="rId117" Type="http://schemas.openxmlformats.org/officeDocument/2006/relationships/hyperlink" Target="http://www.sec.gov/Archives/edgar/data/918541/000095016802001631/dex41.txt" TargetMode="External"/><Relationship Id="rId118" Type="http://schemas.openxmlformats.org/officeDocument/2006/relationships/hyperlink" Target="http://www.sec.gov/Archives/edgar/data/918541/000119312514328980/d785003dex41.htm" TargetMode="External"/><Relationship Id="rId119" Type="http://schemas.openxmlformats.org/officeDocument/2006/relationships/hyperlink" Target="http://www.sec.gov/Archives/edgar/data/918541/000119312519311505/d775548dex41.htm" TargetMode="External"/><Relationship Id="rId120" Type="http://schemas.openxmlformats.org/officeDocument/2006/relationships/hyperlink" Target="http://www.sec.gov/Archives/edgar/data/918541/000119312520108738/d852780dex41.htm" TargetMode="External"/><Relationship Id="rId121" Type="http://schemas.openxmlformats.org/officeDocument/2006/relationships/hyperlink" Target="http://www.sec.gov/Archives/edgar/data/918541/000091854121000003/q42020ex45.htm" TargetMode="External"/><Relationship Id="rId122" Type="http://schemas.openxmlformats.org/officeDocument/2006/relationships/hyperlink" Target="http://www.sec.gov/Archives/edgar/data/0000918541/000119312521089609/d162543dex41.htm" TargetMode="External"/><Relationship Id="rId123" Type="http://schemas.openxmlformats.org/officeDocument/2006/relationships/hyperlink" Target="http://www.sec.gov/Archives/edgar/data/918541/000100579405000976/nnex4_3.htm" TargetMode="External"/><Relationship Id="rId124" Type="http://schemas.openxmlformats.org/officeDocument/2006/relationships/hyperlink" Target="http://www.sec.gov/Archives/edgar/data/918541/000119312516528060/d172979ddef14a.htm" TargetMode="External"/><Relationship Id="rId125" Type="http://schemas.openxmlformats.org/officeDocument/2006/relationships/hyperlink" Target="http://www.sec.gov/Archives/edgar/data/918541/000095013102002704/dex106.txt" TargetMode="External"/><Relationship Id="rId126" Type="http://schemas.openxmlformats.org/officeDocument/2006/relationships/hyperlink" Target="http://www.sec.gov/Archives/edgar/data/918541/0001047469-99-013036.txt" TargetMode="External"/><Relationship Id="rId127" Type="http://schemas.openxmlformats.org/officeDocument/2006/relationships/hyperlink" Target="http://www.sec.gov/Archives/edgar/data/918541/000119312514328980/d785003dex103.htm" TargetMode="External"/><Relationship Id="rId128" Type="http://schemas.openxmlformats.org/officeDocument/2006/relationships/hyperlink" Target="http://www.sec.gov/Archives/edgar/data/918541/000119312514328980/d785003dex104.htm" TargetMode="External"/><Relationship Id="rId129" Type="http://schemas.openxmlformats.org/officeDocument/2006/relationships/hyperlink" Target="http://www.sec.gov/Archives/edgar/data/918541/000119312515093835/d863758dex1027.htm" TargetMode="External"/><Relationship Id="rId130" Type="http://schemas.openxmlformats.org/officeDocument/2006/relationships/hyperlink" Target="http://www.sec.gov/Archives/edgar/data/918541/000119312516729285/d137430dex101.htm" TargetMode="External"/><Relationship Id="rId131" Type="http://schemas.openxmlformats.org/officeDocument/2006/relationships/hyperlink" Target="http://www.sec.gov/Archives/edgar/data/918541/000119312516760147/d286848dex101.htm" TargetMode="External"/><Relationship Id="rId132" Type="http://schemas.openxmlformats.org/officeDocument/2006/relationships/hyperlink" Target="http://www.sec.gov/Archives/edgar/data/918541/000119312516765864/d161928ddef14a.htm" TargetMode="External"/><Relationship Id="rId133" Type="http://schemas.openxmlformats.org/officeDocument/2006/relationships/hyperlink" Target="http://www.sec.gov/Archives/edgar/data/918541/000119312517085150/d287773dex1018.htm" TargetMode="External"/><Relationship Id="rId134" Type="http://schemas.openxmlformats.org/officeDocument/2006/relationships/hyperlink" Target="http://www.sec.gov/Archives/edgar/data/918541/000119312517085150/d287773dex1019.htm" TargetMode="External"/><Relationship Id="rId135" Type="http://schemas.openxmlformats.org/officeDocument/2006/relationships/hyperlink" Target="http://www.sec.gov/Archives/edgar/data/918541/000119312517085150/d287773dex1020.htm" TargetMode="External"/><Relationship Id="rId136" Type="http://schemas.openxmlformats.org/officeDocument/2006/relationships/hyperlink" Target="http://www.sec.gov/Archives/edgar/data/918541/000119312517085150/d287773dex1021.htm" TargetMode="External"/><Relationship Id="rId137" Type="http://schemas.openxmlformats.org/officeDocument/2006/relationships/hyperlink" Target="http://www.sec.gov/Archives/edgar/data/918541/000119312517157840/d258644dex102.htm" TargetMode="External"/><Relationship Id="rId140" Type="http://schemas.openxmlformats.org/officeDocument/2006/relationships/hyperlink" Target="http://www.sec.gov/Archives/edgar/data/918541/000119312517109078/d354106dex101.htm" TargetMode="External"/><Relationship Id="rId141" Type="http://schemas.openxmlformats.org/officeDocument/2006/relationships/hyperlink" Target="http://www.sec.gov/Archives/edgar/data/918541/000119312517262214/d443368dex101.htm" TargetMode="External"/><Relationship Id="rId142" Type="http://schemas.openxmlformats.org/officeDocument/2006/relationships/hyperlink" Target="http://www.sec.gov/Archives/edgar/data/918541/000119312517351180/d492996dex101.htm" TargetMode="External"/><Relationship Id="rId143" Type="http://schemas.openxmlformats.org/officeDocument/2006/relationships/hyperlink" Target="http://www.sec.gov/Archives/edgar/data/918541/000119312518105623/d535081dex101.htm" TargetMode="External"/><Relationship Id="rId144" Type="http://schemas.openxmlformats.org/officeDocument/2006/relationships/hyperlink" Target="http://www.sec.gov/Archives/edgar/data/918541/000119312518153752/d584161dex101.htm" TargetMode="External"/><Relationship Id="rId145" Type="http://schemas.openxmlformats.org/officeDocument/2006/relationships/hyperlink" Target="http://www.sec.gov/Archives/edgar/data/918541/000119312518358103/d677211dex101.htm" TargetMode="External"/><Relationship Id="rId146" Type="http://schemas.openxmlformats.org/officeDocument/2006/relationships/hyperlink" Target="http://www.sec.gov/Archives/edgar/data/918541/000119312519050655/d702004dex101.htm" TargetMode="External"/><Relationship Id="rId147" Type="http://schemas.openxmlformats.org/officeDocument/2006/relationships/hyperlink" Target="http://www.sec.gov/Archives/edgar/data/918541/000119312519077094/d690479dex101.htm" TargetMode="External"/><Relationship Id="rId148" Type="http://schemas.openxmlformats.org/officeDocument/2006/relationships/hyperlink" Target="http://www.sec.gov/Archives/edgar/data/918541/000119312519100697/d716172ddef14a.htm" TargetMode="External"/><Relationship Id="rId149" Type="http://schemas.openxmlformats.org/officeDocument/2006/relationships/hyperlink" Target="http://www.sec.gov/Archives/edgar/data/918541/000162828019006509/q12019ex101.htm" TargetMode="External"/><Relationship Id="rId150" Type="http://schemas.openxmlformats.org/officeDocument/2006/relationships/hyperlink" Target="http://www.sec.gov/Archives/edgar/data/918541/000119312519171299/d765702dex101.htm" TargetMode="External"/><Relationship Id="rId151" Type="http://schemas.openxmlformats.org/officeDocument/2006/relationships/hyperlink" Target="http://www.sec.gov/Archives/edgar/data/918541/000162828019010554/q22019ex104.htm" TargetMode="External"/><Relationship Id="rId152" Type="http://schemas.openxmlformats.org/officeDocument/2006/relationships/hyperlink" Target="http://www.sec.gov/Archives/edgar/data/918541/000162828019010554/q22019ex105.htm" TargetMode="External"/><Relationship Id="rId153" Type="http://schemas.openxmlformats.org/officeDocument/2006/relationships/hyperlink" Target="http://www.sec.gov/Archives/edgar/data/918541/000162828019010554/q22019ex106.htm" TargetMode="External"/><Relationship Id="rId156" Type="http://schemas.openxmlformats.org/officeDocument/2006/relationships/hyperlink" Target="http://www.sec.gov/Archives/edgar/data/918541/000162828019010554/q22019ex107.htm" TargetMode="External"/><Relationship Id="rId157" Type="http://schemas.openxmlformats.org/officeDocument/2006/relationships/hyperlink" Target="http://www.sec.gov/Archives/edgar/data/918541/000119312519230172/d797574dex101.htm" TargetMode="External"/><Relationship Id="rId158" Type="http://schemas.openxmlformats.org/officeDocument/2006/relationships/hyperlink" Target="http://www.sec.gov/Archives/edgar/data/918541/000119312519230172/d797574dex102.htm" TargetMode="External"/><Relationship Id="rId159" Type="http://schemas.openxmlformats.org/officeDocument/2006/relationships/hyperlink" Target="http://www.sec.gov/Archives/edgar/data/918541/000119312519252768/d628110dex101.htm" TargetMode="External"/><Relationship Id="rId160" Type="http://schemas.openxmlformats.org/officeDocument/2006/relationships/hyperlink" Target="http://www.sec.gov/Archives/edgar/data/918541/000119312519311505/d775548dex101.htm" TargetMode="External"/><Relationship Id="rId161" Type="http://schemas.openxmlformats.org/officeDocument/2006/relationships/hyperlink" Target="http://www.sec.gov/Archives/edgar/data/918541/000119312519311505/d775548dex102.htm" TargetMode="External"/><Relationship Id="rId162" Type="http://schemas.openxmlformats.org/officeDocument/2006/relationships/hyperlink" Target="http://www.sec.gov/Archives/edgar/data/918541/000119312519319078/d851077dex101.htm" TargetMode="External"/><Relationship Id="rId163" Type="http://schemas.openxmlformats.org/officeDocument/2006/relationships/hyperlink" Target="http://www.sec.gov/Archives/edgar/data/918541/000119312520043434/d574674dex101.htm" TargetMode="External"/><Relationship Id="rId164" Type="http://schemas.openxmlformats.org/officeDocument/2006/relationships/hyperlink" Target="http://www.sec.gov/Archives/edgar/data/918541/000162828020007401/ex101.htm" TargetMode="External"/><Relationship Id="rId165" Type="http://schemas.openxmlformats.org/officeDocument/2006/relationships/hyperlink" Target="http://www.sec.gov/Archives/edgar/data/918541/000119312520206437/d900289dex101.htm" TargetMode="External"/><Relationship Id="rId166" Type="http://schemas.openxmlformats.org/officeDocument/2006/relationships/hyperlink" Target="http://www.sec.gov/Archives/edgar/data/918541/000119312520227628/d73183dex101.htm" TargetMode="External"/><Relationship Id="rId167" Type="http://schemas.openxmlformats.org/officeDocument/2006/relationships/hyperlink" Target="http://www.sec.gov/Archives/edgar/data/918541/000119312520272107/d76177dex101.htm" TargetMode="External"/><Relationship Id="rId168" Type="http://schemas.openxmlformats.org/officeDocument/2006/relationships/hyperlink" Target="http://www.sec.gov/Archives/edgar/data/0000918541/000119312521089609/d162543dex101.htm" TargetMode="External"/><Relationship Id="rId169" Type="http://schemas.openxmlformats.org/officeDocument/2006/relationships/hyperlink" Target="http://www.sec.gov/Archives/edgar/data/0000918541/000119312521089609/d162543dex102.htm" TargetMode="External"/><Relationship Id="rId170" Type="http://schemas.openxmlformats.org/officeDocument/2006/relationships/hyperlink" Target="http://www.sec.gov/Archives/edgar/data/0000918541/000119312521089609/d162543dex103.htm" TargetMode="External"/><Relationship Id="rId171" Type="http://schemas.openxmlformats.org/officeDocument/2006/relationships/hyperlink" Target="http://www.sec.gov/Archives/edgar/data/0000918541/000119312521089609/d162543dex104.htm" TargetMode="External"/><Relationship Id="rId172" Type="http://schemas.openxmlformats.org/officeDocument/2006/relationships/hyperlink" Target="http://www.sec.gov/Archives/edgar/data/918541/000119312521162205/d26069dex101.htm" TargetMode="External"/><Relationship Id="rId175" Type="http://schemas.openxmlformats.org/officeDocument/2006/relationships/hyperlink" Target="http://www.sec.gov/Archives/edgar/data/918541/000091854121000016/ex101-debyleseparationagre.htm" TargetMode="External"/><Relationship Id="rId176" Type="http://schemas.openxmlformats.org/officeDocument/2006/relationships/hyperlink" Target="http://www.sec.gov/Archives/edgar/data/918541/000091854121000016/ex102-formofseparationagre.htm" TargetMode="External"/><Relationship Id="rId177" Type="http://schemas.openxmlformats.org/officeDocument/2006/relationships/hyperlink" Target="http://www.sec.gov/Archives/edgar/data/918541/000091854122000030/exhibit101amendmentno1.htm" TargetMode="External"/><Relationship Id="rId178" Type="http://schemas.openxmlformats.org/officeDocument/2006/relationships/hyperlink" Target="http://www.sec.gov/Archives/edgar/data/918541/000091854122000072/proxystatement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2023-03-10T22:07:02Z</dcterms:created>
  <dcterms:modified xsi:type="dcterms:W3CDTF">2023-03-10T22:07:02Z</dcterms:modified>
</cp:coreProperties>
</file>