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3289935</wp:posOffset>
            </wp:positionH>
            <wp:positionV relativeFrom="paragraph">
              <wp:posOffset>74295</wp:posOffset>
            </wp:positionV>
            <wp:extent cx="6775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CURRENT REPORT PURSUANT TO</w:t>
      </w:r>
    </w:p>
    <w:p>
      <w:pPr>
        <w:spacing w:after="0" w:line="27"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SECTION 13 OR 15(d) OF THE</w:t>
      </w:r>
    </w:p>
    <w:p>
      <w:pPr>
        <w:spacing w:after="0" w:line="9"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4"/>
          <w:szCs w:val="24"/>
          <w:color w:val="auto"/>
        </w:rPr>
      </w:pPr>
    </w:p>
    <w:p>
      <w:pPr>
        <w:spacing w:after="0" w:line="281" w:lineRule="exact"/>
        <w:rPr>
          <w:sz w:val="24"/>
          <w:szCs w:val="24"/>
          <w:color w:val="auto"/>
        </w:rPr>
      </w:pPr>
    </w:p>
    <w:p>
      <w:pPr>
        <w:ind w:left="3380"/>
        <w:spacing w:after="0"/>
        <w:rPr>
          <w:sz w:val="20"/>
          <w:szCs w:val="20"/>
          <w:color w:val="auto"/>
        </w:rPr>
      </w:pPr>
      <w:r>
        <w:rPr>
          <w:rFonts w:ascii="Arial" w:cs="Arial" w:eastAsia="Arial" w:hAnsi="Arial"/>
          <w:sz w:val="18"/>
          <w:szCs w:val="18"/>
          <w:color w:val="auto"/>
        </w:rPr>
        <w:t>Date of Report (Date of earliest event reported): August 5,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3315335</wp:posOffset>
            </wp:positionH>
            <wp:positionV relativeFrom="paragraph">
              <wp:posOffset>169545</wp:posOffset>
            </wp:positionV>
            <wp:extent cx="62611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6110" cy="626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479"/>
        <w:spacing w:after="0"/>
        <w:rPr>
          <w:sz w:val="20"/>
          <w:szCs w:val="20"/>
          <w:color w:val="auto"/>
        </w:rPr>
      </w:pPr>
      <w:r>
        <w:rPr>
          <w:rFonts w:ascii="Arial" w:cs="Arial" w:eastAsia="Arial" w:hAnsi="Arial"/>
          <w:sz w:val="36"/>
          <w:szCs w:val="36"/>
          <w:b w:val="1"/>
          <w:bCs w:val="1"/>
          <w:u w:val="single" w:color="auto"/>
          <w:color w:val="auto"/>
        </w:rPr>
        <w:t>NN, INC.</w:t>
      </w:r>
    </w:p>
    <w:p>
      <w:pPr>
        <w:spacing w:after="0" w:line="45"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20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2240" w:type="dxa"/>
            <w:vAlign w:val="bottom"/>
            <w:gridSpan w:val="2"/>
          </w:tcPr>
          <w:p>
            <w:pPr>
              <w:jc w:val="center"/>
              <w:ind w:right="1560"/>
              <w:spacing w:after="0"/>
              <w:rPr>
                <w:sz w:val="20"/>
                <w:szCs w:val="20"/>
                <w:color w:val="auto"/>
              </w:rPr>
            </w:pPr>
            <w:r>
              <w:rPr>
                <w:rFonts w:ascii="Arial" w:cs="Arial" w:eastAsia="Arial" w:hAnsi="Arial"/>
                <w:sz w:val="18"/>
                <w:szCs w:val="18"/>
                <w:color w:val="auto"/>
                <w:w w:val="89"/>
              </w:rPr>
              <w:t>Delaware</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0-23486</w:t>
            </w:r>
          </w:p>
        </w:tc>
        <w:tc>
          <w:tcPr>
            <w:tcW w:w="1920" w:type="dxa"/>
            <w:vAlign w:val="bottom"/>
          </w:tcPr>
          <w:p>
            <w:pPr>
              <w:spacing w:after="0"/>
              <w:rPr>
                <w:sz w:val="17"/>
                <w:szCs w:val="17"/>
                <w:color w:val="auto"/>
              </w:rPr>
            </w:pPr>
          </w:p>
        </w:tc>
        <w:tc>
          <w:tcPr>
            <w:tcW w:w="2860" w:type="dxa"/>
            <w:vAlign w:val="bottom"/>
            <w:gridSpan w:val="5"/>
          </w:tcPr>
          <w:p>
            <w:pPr>
              <w:jc w:val="right"/>
              <w:ind w:right="880"/>
              <w:spacing w:after="0"/>
              <w:rPr>
                <w:sz w:val="20"/>
                <w:szCs w:val="20"/>
                <w:color w:val="auto"/>
              </w:rPr>
            </w:pPr>
            <w:r>
              <w:rPr>
                <w:rFonts w:ascii="Arial" w:cs="Arial" w:eastAsia="Arial" w:hAnsi="Arial"/>
                <w:sz w:val="18"/>
                <w:szCs w:val="18"/>
                <w:color w:val="auto"/>
              </w:rPr>
              <w:t>62-1096725</w:t>
            </w:r>
          </w:p>
        </w:tc>
      </w:tr>
      <w:tr>
        <w:trPr>
          <w:trHeight w:val="20"/>
        </w:trPr>
        <w:tc>
          <w:tcPr>
            <w:tcW w:w="1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364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(State or Other Jurisdiction of Incorporation)</w:t>
            </w:r>
          </w:p>
        </w:tc>
        <w:tc>
          <w:tcPr>
            <w:tcW w:w="4240" w:type="dxa"/>
            <w:vAlign w:val="bottom"/>
            <w:gridSpan w:val="3"/>
          </w:tcPr>
          <w:p>
            <w:pPr>
              <w:jc w:val="center"/>
              <w:ind w:right="200"/>
              <w:spacing w:after="0"/>
              <w:rPr>
                <w:sz w:val="20"/>
                <w:szCs w:val="20"/>
                <w:color w:val="auto"/>
              </w:rPr>
            </w:pPr>
            <w:r>
              <w:rPr>
                <w:rFonts w:ascii="Arial" w:cs="Arial" w:eastAsia="Arial" w:hAnsi="Arial"/>
                <w:sz w:val="18"/>
                <w:szCs w:val="18"/>
                <w:color w:val="auto"/>
                <w:w w:val="93"/>
              </w:rPr>
              <w:t>(Commission File Number)</w:t>
            </w:r>
          </w:p>
        </w:tc>
        <w:tc>
          <w:tcPr>
            <w:tcW w:w="2860" w:type="dxa"/>
            <w:vAlign w:val="bottom"/>
            <w:gridSpan w:val="5"/>
          </w:tcPr>
          <w:p>
            <w:pPr>
              <w:jc w:val="center"/>
              <w:ind w:left="150"/>
              <w:spacing w:after="0"/>
              <w:rPr>
                <w:sz w:val="20"/>
                <w:szCs w:val="20"/>
                <w:color w:val="auto"/>
              </w:rPr>
            </w:pPr>
            <w:r>
              <w:rPr>
                <w:rFonts w:ascii="Arial" w:cs="Arial" w:eastAsia="Arial" w:hAnsi="Arial"/>
                <w:sz w:val="18"/>
                <w:szCs w:val="18"/>
                <w:color w:val="auto"/>
                <w:w w:val="94"/>
              </w:rPr>
              <w:t>(I.R.S. Employer Identification No.)</w:t>
            </w:r>
          </w:p>
        </w:tc>
      </w:tr>
      <w:tr>
        <w:trPr>
          <w:trHeight w:val="392"/>
        </w:trPr>
        <w:tc>
          <w:tcPr>
            <w:tcW w:w="36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2000 Waters Edge Drive, Johnson City, Tennessee</w:t>
            </w:r>
          </w:p>
        </w:tc>
        <w:tc>
          <w:tcPr>
            <w:tcW w:w="1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40" w:type="dxa"/>
            <w:vAlign w:val="bottom"/>
            <w:gridSpan w:val="2"/>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37604</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7"/>
        </w:trPr>
        <w:tc>
          <w:tcPr>
            <w:tcW w:w="364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860" w:type="dxa"/>
            <w:vAlign w:val="bottom"/>
            <w:gridSpan w:val="5"/>
          </w:tcPr>
          <w:p>
            <w:pPr>
              <w:jc w:val="center"/>
              <w:spacing w:after="0"/>
              <w:rPr>
                <w:sz w:val="20"/>
                <w:szCs w:val="20"/>
                <w:color w:val="auto"/>
              </w:rPr>
            </w:pPr>
            <w:r>
              <w:rPr>
                <w:rFonts w:ascii="Arial" w:cs="Arial" w:eastAsia="Arial" w:hAnsi="Arial"/>
                <w:sz w:val="18"/>
                <w:szCs w:val="18"/>
                <w:color w:val="auto"/>
                <w:w w:val="91"/>
              </w:rPr>
              <w:t>(Zip Code)</w:t>
            </w:r>
          </w:p>
        </w:tc>
      </w:tr>
      <w:tr>
        <w:trPr>
          <w:trHeight w:val="418"/>
        </w:trPr>
        <w:tc>
          <w:tcPr>
            <w:tcW w:w="1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240" w:type="dxa"/>
            <w:vAlign w:val="bottom"/>
            <w:gridSpan w:val="3"/>
          </w:tcPr>
          <w:p>
            <w:pPr>
              <w:jc w:val="right"/>
              <w:ind w:right="1600"/>
              <w:spacing w:after="0"/>
              <w:rPr>
                <w:sz w:val="20"/>
                <w:szCs w:val="20"/>
                <w:color w:val="auto"/>
              </w:rPr>
            </w:pPr>
            <w:r>
              <w:rPr>
                <w:rFonts w:ascii="Arial" w:cs="Arial" w:eastAsia="Arial" w:hAnsi="Arial"/>
                <w:sz w:val="18"/>
                <w:szCs w:val="18"/>
                <w:color w:val="auto"/>
              </w:rPr>
              <w:t>(423) 743-9151</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0"/>
        </w:trPr>
        <w:tc>
          <w:tcPr>
            <w:tcW w:w="1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24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(Registrant's telephone number, including area code)</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spacing w:after="0" w:line="202"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9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040" w:right="719" w:bottom="1440" w:gutter="0" w:footer="0" w:header="0"/>
        </w:sectPr>
      </w:pPr>
    </w:p>
    <w:bookmarkStart w:id="1" w:name="page2"/>
    <w:bookmarkEnd w:id="1"/>
    <w:p>
      <w:pPr>
        <w:spacing w:after="0"/>
        <w:tabs>
          <w:tab w:leader="none" w:pos="920" w:val="left"/>
        </w:tabs>
        <w:rPr>
          <w:sz w:val="20"/>
          <w:szCs w:val="20"/>
          <w:color w:val="auto"/>
        </w:rPr>
      </w:pPr>
      <w:r>
        <w:rPr>
          <w:rFonts w:ascii="Arial" w:cs="Arial" w:eastAsia="Arial" w:hAnsi="Arial"/>
          <w:sz w:val="18"/>
          <w:szCs w:val="18"/>
          <w:b w:val="1"/>
          <w:bCs w:val="1"/>
          <w:color w:val="auto"/>
        </w:rPr>
        <w:t>Item 2.02</w:t>
        <w:tab/>
        <w:t>RESULTS OF OPERATIONS AND FINANCIAL CONDITION</w:t>
      </w:r>
    </w:p>
    <w:p>
      <w:pPr>
        <w:spacing w:after="0" w:line="25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August 5, 2014, NN, Inc. (the “Company”) issued a press release, announcing the Company’s results of operations and financial condition for the second quarter ended June 30, 2014. The full text of the press release is furnished as Exhibit 99.1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25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Description</w:t>
      </w:r>
    </w:p>
    <w:p>
      <w:pPr>
        <w:spacing w:after="0" w:line="25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NN, Inc. dated August 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72" w:right="35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August 6, 2014</w:t>
      </w:r>
      <w:r>
        <w:rPr>
          <w:sz w:val="20"/>
          <w:szCs w:val="20"/>
          <w:color w:val="auto"/>
        </w:rPr>
        <w:tab/>
      </w:r>
      <w:r>
        <w:rPr>
          <w:rFonts w:ascii="Arial" w:cs="Arial" w:eastAsia="Arial" w:hAnsi="Arial"/>
          <w:sz w:val="17"/>
          <w:szCs w:val="17"/>
          <w:b w:val="1"/>
          <w:bCs w:val="1"/>
          <w:color w:val="auto"/>
        </w:rPr>
        <w:t>NN,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By:/s/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115760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57605" cy="17145"/>
                    </a:xfrm>
                    <a:prstGeom prst="rect">
                      <a:avLst/>
                    </a:prstGeom>
                    <a:noFill/>
                  </pic:spPr>
                </pic:pic>
              </a:graphicData>
            </a:graphic>
          </wp:anchor>
        </w:drawing>
      </w:r>
    </w:p>
    <w:p>
      <w:pPr>
        <w:spacing w:after="0" w:line="16" w:lineRule="exact"/>
        <w:rPr>
          <w:sz w:val="20"/>
          <w:szCs w:val="20"/>
          <w:color w:val="auto"/>
        </w:rPr>
      </w:pPr>
    </w:p>
    <w:p>
      <w:pPr>
        <w:ind w:left="6060"/>
        <w:spacing w:after="0"/>
        <w:tabs>
          <w:tab w:leader="none" w:pos="6740" w:val="left"/>
        </w:tabs>
        <w:rPr>
          <w:sz w:val="20"/>
          <w:szCs w:val="20"/>
          <w:color w:val="auto"/>
        </w:rPr>
      </w:pPr>
      <w:r>
        <w:rPr>
          <w:rFonts w:ascii="Arial" w:cs="Arial" w:eastAsia="Arial" w:hAnsi="Arial"/>
          <w:sz w:val="18"/>
          <w:szCs w:val="18"/>
          <w:color w:val="auto"/>
        </w:rPr>
        <w:t>Name:</w:t>
        <w:tab/>
        <w:t>William C. Kelly, Jr.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Vice President and Chief</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Administrative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2164715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513"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40" w:type="dxa"/>
            <w:vAlign w:val="bottom"/>
          </w:tcPr>
          <w:p>
            <w:pPr>
              <w:ind w:left="2440"/>
              <w:spacing w:after="0"/>
              <w:rPr>
                <w:sz w:val="20"/>
                <w:szCs w:val="20"/>
                <w:color w:val="auto"/>
              </w:rPr>
            </w:pPr>
            <w:r>
              <w:rPr>
                <w:rFonts w:ascii="Arial" w:cs="Arial" w:eastAsia="Arial" w:hAnsi="Arial"/>
                <w:sz w:val="18"/>
                <w:szCs w:val="18"/>
                <w:b w:val="1"/>
                <w:bCs w:val="1"/>
                <w:color w:val="auto"/>
              </w:rPr>
              <w:t>EXHIBIT INDEX</w:t>
            </w:r>
          </w:p>
        </w:tc>
      </w:tr>
      <w:tr>
        <w:trPr>
          <w:trHeight w:val="419"/>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80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3840" w:type="dxa"/>
            <w:vAlign w:val="bottom"/>
          </w:tcPr>
          <w:p>
            <w:pPr>
              <w:spacing w:after="0"/>
              <w:rPr>
                <w:sz w:val="24"/>
                <w:szCs w:val="24"/>
                <w:color w:val="auto"/>
              </w:rPr>
            </w:pPr>
          </w:p>
        </w:tc>
      </w:tr>
      <w:tr>
        <w:trPr>
          <w:trHeight w:val="480"/>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5540" w:type="dxa"/>
            <w:vAlign w:val="bottom"/>
            <w:gridSpan w:val="3"/>
          </w:tcPr>
          <w:p>
            <w:pPr>
              <w:ind w:left="740"/>
              <w:spacing w:after="0"/>
              <w:rPr>
                <w:sz w:val="20"/>
                <w:szCs w:val="20"/>
                <w:color w:val="auto"/>
              </w:rPr>
            </w:pPr>
            <w:r>
              <w:rPr>
                <w:rFonts w:ascii="Arial" w:cs="Arial" w:eastAsia="Arial" w:hAnsi="Arial"/>
                <w:sz w:val="18"/>
                <w:szCs w:val="18"/>
                <w:color w:val="auto"/>
              </w:rPr>
              <w:t>Press Release of NN, Inc. dated August 5, 2014.</w:t>
            </w:r>
          </w:p>
        </w:tc>
      </w:tr>
    </w:tbl>
    <w:p>
      <w:pPr>
        <w:sectPr>
          <w:pgSz w:w="11900" w:h="16838" w:orient="portrait"/>
          <w:cols w:equalWidth="0" w:num="1">
            <w:col w:w="10219"/>
          </w:cols>
          <w:pgMar w:left="240" w:top="513" w:right="1440" w:bottom="1440" w:gutter="0" w:footer="0" w:header="0"/>
        </w:sectPr>
      </w:pPr>
    </w:p>
    <w:bookmarkStart w:id="4" w:name="page5"/>
    <w:bookmarkEnd w:id="4"/>
    <w:p>
      <w:pPr>
        <w:ind w:left="10060"/>
        <w:spacing w:after="0"/>
        <w:rPr>
          <w:sz w:val="20"/>
          <w:szCs w:val="20"/>
          <w:color w:val="auto"/>
        </w:rPr>
      </w:pPr>
      <w:r>
        <w:rPr>
          <w:rFonts w:ascii="Arial" w:cs="Arial" w:eastAsia="Arial" w:hAnsi="Arial"/>
          <w:sz w:val="22"/>
          <w:szCs w:val="22"/>
          <w:b w:val="1"/>
          <w:bCs w:val="1"/>
          <w:color w:val="auto"/>
        </w:rPr>
        <w:t>EXHIBIT 99.1</w:t>
      </w:r>
    </w:p>
    <w:p>
      <w:pPr>
        <w:sectPr>
          <w:pgSz w:w="11900" w:h="16838" w:orient="portrait"/>
          <w:cols w:equalWidth="0" w:num="1">
            <w:col w:w="11420"/>
          </w:cols>
          <w:pgMar w:left="240" w:top="112" w:right="239" w:bottom="1440" w:gutter="0" w:footer="0" w:header="0"/>
        </w:sectPr>
      </w:pPr>
    </w:p>
    <w:p>
      <w:pPr>
        <w:spacing w:after="0" w:line="264" w:lineRule="exact"/>
        <w:rPr>
          <w:sz w:val="20"/>
          <w:szCs w:val="20"/>
          <w:color w:val="auto"/>
        </w:rPr>
      </w:pPr>
    </w:p>
    <w:p>
      <w:pPr>
        <w:spacing w:after="0"/>
        <w:rPr>
          <w:sz w:val="20"/>
          <w:szCs w:val="20"/>
          <w:color w:val="auto"/>
        </w:rPr>
      </w:pPr>
      <w:r>
        <w:rPr>
          <w:rFonts w:ascii="Arial" w:cs="Arial" w:eastAsia="Arial" w:hAnsi="Arial"/>
          <w:sz w:val="28"/>
          <w:szCs w:val="28"/>
          <w:color w:val="auto"/>
        </w:rPr>
        <w:t>F I N A N C I A L</w:t>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color w:val="auto"/>
        </w:rPr>
        <w:t>RELATIONS BOARD</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Arial" w:cs="Arial" w:eastAsia="Arial" w:hAnsi="Arial"/>
          <w:sz w:val="54"/>
          <w:szCs w:val="54"/>
          <w:color w:val="auto"/>
        </w:rPr>
        <w:t>n e w s</w:t>
      </w:r>
    </w:p>
    <w:p>
      <w:pPr>
        <w:spacing w:after="0" w:line="428" w:lineRule="exact"/>
        <w:rPr>
          <w:sz w:val="20"/>
          <w:szCs w:val="20"/>
          <w:color w:val="auto"/>
        </w:rPr>
      </w:pPr>
    </w:p>
    <w:p>
      <w:pPr>
        <w:sectPr>
          <w:pgSz w:w="11900" w:h="16838" w:orient="portrait"/>
          <w:cols w:equalWidth="0" w:num="2">
            <w:col w:w="7740" w:space="720"/>
            <w:col w:w="2960"/>
          </w:cols>
          <w:pgMar w:left="240" w:top="112" w:right="239" w:bottom="1440" w:gutter="0" w:footer="0" w:header="0"/>
          <w:type w:val="continuous"/>
        </w:sectPr>
      </w:pPr>
    </w:p>
    <w:p>
      <w:pPr>
        <w:spacing w:after="0" w:line="200" w:lineRule="exact"/>
        <w:rPr>
          <w:sz w:val="20"/>
          <w:szCs w:val="20"/>
          <w:color w:val="auto"/>
        </w:rPr>
      </w:pPr>
    </w:p>
    <w:p>
      <w:pPr>
        <w:spacing w:after="0" w:line="29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RE: NN, Inc.</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2000 Waters Edge Drive</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Johnson City, TN 37604</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FOR FURTHER INFORMATION:</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500" w:type="dxa"/>
            <w:vAlign w:val="bottom"/>
            <w:gridSpan w:val="2"/>
          </w:tcPr>
          <w:p>
            <w:pPr>
              <w:spacing w:after="0"/>
              <w:rPr>
                <w:sz w:val="20"/>
                <w:szCs w:val="20"/>
                <w:color w:val="auto"/>
              </w:rPr>
            </w:pPr>
            <w:r>
              <w:rPr>
                <w:rFonts w:ascii="Arial" w:cs="Arial" w:eastAsia="Arial" w:hAnsi="Arial"/>
                <w:sz w:val="22"/>
                <w:szCs w:val="22"/>
                <w:b w:val="1"/>
                <w:bCs w:val="1"/>
                <w:color w:val="auto"/>
              </w:rPr>
              <w:t>AT THE COMPANY</w:t>
            </w:r>
          </w:p>
        </w:tc>
        <w:tc>
          <w:tcPr>
            <w:tcW w:w="3700" w:type="dxa"/>
            <w:vAlign w:val="bottom"/>
          </w:tcPr>
          <w:p>
            <w:pPr>
              <w:spacing w:after="0"/>
              <w:rPr>
                <w:sz w:val="20"/>
                <w:szCs w:val="20"/>
                <w:color w:val="auto"/>
              </w:rPr>
            </w:pPr>
            <w:r>
              <w:rPr>
                <w:rFonts w:ascii="Arial" w:cs="Arial" w:eastAsia="Arial" w:hAnsi="Arial"/>
                <w:sz w:val="22"/>
                <w:szCs w:val="22"/>
                <w:b w:val="1"/>
                <w:bCs w:val="1"/>
                <w:color w:val="auto"/>
                <w:w w:val="98"/>
              </w:rPr>
              <w:t>AT FINANCIAL RELATIONS BOARD</w:t>
            </w:r>
          </w:p>
        </w:tc>
      </w:tr>
      <w:tr>
        <w:trPr>
          <w:trHeight w:val="222"/>
        </w:trPr>
        <w:tc>
          <w:tcPr>
            <w:tcW w:w="1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Will Kelly</w:t>
            </w:r>
          </w:p>
        </w:tc>
        <w:tc>
          <w:tcPr>
            <w:tcW w:w="3540" w:type="dxa"/>
            <w:vAlign w:val="bottom"/>
          </w:tcPr>
          <w:p>
            <w:pPr>
              <w:spacing w:after="0"/>
              <w:rPr>
                <w:sz w:val="19"/>
                <w:szCs w:val="19"/>
                <w:color w:val="auto"/>
              </w:rPr>
            </w:pPr>
          </w:p>
        </w:tc>
        <w:tc>
          <w:tcPr>
            <w:tcW w:w="3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Marilynn Meek</w:t>
            </w: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Vice President and Chief Administrative Officer</w:t>
            </w:r>
          </w:p>
        </w:tc>
        <w:tc>
          <w:tcPr>
            <w:tcW w:w="3700" w:type="dxa"/>
            <w:vAlign w:val="bottom"/>
          </w:tcPr>
          <w:p>
            <w:pPr>
              <w:spacing w:after="0"/>
              <w:rPr>
                <w:sz w:val="20"/>
                <w:szCs w:val="20"/>
                <w:color w:val="auto"/>
              </w:rPr>
            </w:pPr>
            <w:r>
              <w:rPr>
                <w:rFonts w:ascii="Arial" w:cs="Arial" w:eastAsia="Arial" w:hAnsi="Arial"/>
                <w:sz w:val="18"/>
                <w:szCs w:val="18"/>
                <w:color w:val="auto"/>
              </w:rPr>
              <w:t>(General info)</w:t>
            </w:r>
          </w:p>
        </w:tc>
      </w:t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(423) 743-9151</w:t>
            </w:r>
          </w:p>
        </w:tc>
        <w:tc>
          <w:tcPr>
            <w:tcW w:w="354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(212) 827-3773</w:t>
            </w:r>
          </w:p>
        </w:tc>
      </w:tr>
      <w:tr>
        <w:trPr>
          <w:trHeight w:val="429"/>
        </w:trPr>
        <w:tc>
          <w:tcPr>
            <w:tcW w:w="5500" w:type="dxa"/>
            <w:vAlign w:val="bottom"/>
            <w:gridSpan w:val="2"/>
          </w:tcPr>
          <w:p>
            <w:pPr>
              <w:spacing w:after="0"/>
              <w:rPr>
                <w:sz w:val="20"/>
                <w:szCs w:val="20"/>
                <w:color w:val="auto"/>
              </w:rPr>
            </w:pPr>
            <w:r>
              <w:rPr>
                <w:rFonts w:ascii="Arial" w:cs="Arial" w:eastAsia="Arial" w:hAnsi="Arial"/>
                <w:sz w:val="20"/>
                <w:szCs w:val="20"/>
                <w:b w:val="1"/>
                <w:bCs w:val="1"/>
                <w:color w:val="auto"/>
              </w:rPr>
              <w:t>FOR IMMEDIATE RELEASE</w:t>
            </w:r>
          </w:p>
        </w:tc>
        <w:tc>
          <w:tcPr>
            <w:tcW w:w="3700" w:type="dxa"/>
            <w:vAlign w:val="bottom"/>
          </w:tcPr>
          <w:p>
            <w:pPr>
              <w:spacing w:after="0"/>
              <w:rPr>
                <w:sz w:val="24"/>
                <w:szCs w:val="24"/>
                <w:color w:val="auto"/>
              </w:rPr>
            </w:pPr>
          </w:p>
        </w:tc>
      </w:tr>
      <w:tr>
        <w:trPr>
          <w:trHeight w:val="250"/>
        </w:trPr>
        <w:tc>
          <w:tcPr>
            <w:tcW w:w="5500" w:type="dxa"/>
            <w:vAlign w:val="bottom"/>
            <w:gridSpan w:val="2"/>
          </w:tcPr>
          <w:p>
            <w:pPr>
              <w:spacing w:after="0"/>
              <w:rPr>
                <w:sz w:val="20"/>
                <w:szCs w:val="20"/>
                <w:color w:val="auto"/>
              </w:rPr>
            </w:pPr>
            <w:r>
              <w:rPr>
                <w:rFonts w:ascii="Arial" w:cs="Arial" w:eastAsia="Arial" w:hAnsi="Arial"/>
                <w:sz w:val="18"/>
                <w:szCs w:val="18"/>
                <w:color w:val="auto"/>
              </w:rPr>
              <w:t>August 5</w:t>
            </w:r>
            <w:r>
              <w:rPr>
                <w:rFonts w:ascii="Arial" w:cs="Arial" w:eastAsia="Arial" w:hAnsi="Arial"/>
                <w:sz w:val="19"/>
                <w:szCs w:val="19"/>
                <w:color w:val="auto"/>
              </w:rPr>
              <w:t>, 2014</w:t>
            </w:r>
          </w:p>
        </w:tc>
        <w:tc>
          <w:tcPr>
            <w:tcW w:w="3700" w:type="dxa"/>
            <w:vAlign w:val="bottom"/>
          </w:tcPr>
          <w:p>
            <w:pPr>
              <w:spacing w:after="0"/>
              <w:rPr>
                <w:sz w:val="21"/>
                <w:szCs w:val="21"/>
                <w:color w:val="auto"/>
              </w:rPr>
            </w:pPr>
          </w:p>
        </w:tc>
      </w:tr>
    </w:tbl>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 REPORTS SECOND QUARTER AND SIX MONTHS 2014 RESULTS</w:t>
      </w:r>
    </w:p>
    <w:p>
      <w:pPr>
        <w:spacing w:after="0" w:line="225" w:lineRule="exact"/>
        <w:rPr>
          <w:sz w:val="20"/>
          <w:szCs w:val="20"/>
          <w:color w:val="auto"/>
        </w:rPr>
      </w:pPr>
    </w:p>
    <w:p>
      <w:pPr>
        <w:ind w:left="660" w:hanging="49"/>
        <w:spacing w:after="0" w:line="282" w:lineRule="auto"/>
        <w:tabs>
          <w:tab w:leader="none" w:pos="751"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from normal operations for the second quarter ended June 30, 2014 was $6.0 million, or $0.33 per diluted share as compared to $4.6 million, or $0.27 per diluted share for the same period in 2013</w:t>
      </w:r>
    </w:p>
    <w:p>
      <w:pPr>
        <w:spacing w:after="0" w:line="377" w:lineRule="exact"/>
        <w:rPr>
          <w:rFonts w:ascii="Arial" w:cs="Arial" w:eastAsia="Arial" w:hAnsi="Arial"/>
          <w:sz w:val="18"/>
          <w:szCs w:val="18"/>
          <w:b w:val="1"/>
          <w:bCs w:val="1"/>
          <w:color w:val="auto"/>
        </w:rPr>
      </w:pPr>
    </w:p>
    <w:p>
      <w:pPr>
        <w:ind w:left="740" w:hanging="129"/>
        <w:spacing w:after="0"/>
        <w:tabs>
          <w:tab w:leader="none" w:pos="7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sales increase of $10.4 million to $106.7 million, or 10.8% over prior year’s second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b w:val="1"/>
          <w:bCs w:val="1"/>
          <w:color w:val="auto"/>
        </w:rPr>
        <w:t xml:space="preserve">Johnson City, Tenn, August 5, 2014 – </w:t>
      </w:r>
      <w:r>
        <w:rPr>
          <w:rFonts w:ascii="Arial" w:cs="Arial" w:eastAsia="Arial" w:hAnsi="Arial"/>
          <w:sz w:val="16"/>
          <w:szCs w:val="16"/>
          <w:color w:val="auto"/>
        </w:rPr>
        <w:t>NN, Inc. (NASDAQ: NNBR) today reported its financial results for the period ended June 30, 2014. Net sales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second quarter of 2014 increased $10.4 million, or 10.8% to $106.7 million, compared to net sales of $96.3 million for the second quarter of 2013. This increase included approximately $4.1 million in net sales from the acquisition of the assets of V-S Industries that was announced on February 4, 2014. Continued strong demand in Asia and improved demand from European automotive markets accounted for the remainder of the increase.</w:t>
      </w:r>
    </w:p>
    <w:p>
      <w:pPr>
        <w:spacing w:after="0" w:line="18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Reported net income for the second quarter of 2014 was $5.2 million, or $0.29 per diluted share included approximately $0.8 million of after-tax integration and acquisition costs as compared to $4.8 million, or $0.28 per diluted share for the same period last year. Excluding these costs, net income from normal operations for the second quarter of 2014 was $6.0 million, or $0.33 per diluted share, an increase of 22.2% as compared to diluted earnings per share from normal operations for the same period in the prior year of $4.6 million, or $0.27 per diluted share. Acquisition and integration costs were funded by continued growth and improved operating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5" w:name="page6"/>
    <w:bookmarkEnd w:id="5"/>
    <w:p>
      <w:pPr>
        <w:spacing w:after="0" w:line="264" w:lineRule="auto"/>
        <w:rPr>
          <w:sz w:val="20"/>
          <w:szCs w:val="20"/>
          <w:color w:val="auto"/>
        </w:rPr>
      </w:pPr>
      <w:r>
        <w:rPr>
          <w:rFonts w:ascii="Arial" w:cs="Arial" w:eastAsia="Arial" w:hAnsi="Arial"/>
          <w:sz w:val="18"/>
          <w:szCs w:val="18"/>
          <w:color w:val="auto"/>
        </w:rPr>
        <w:t>Net sales for the first six months of 2014 increased $19.1 million, or 10.0 % to $209.2 million, compared to net sales of $190.1 million for the first six months of 2013. This included approximately $5.9 million in net sales from the acquisition of the assets of V-S Industries. Continued strong demand in Asia and improved demand from European automotive and heavy truck markets accounted for the remainder of the increase.</w:t>
      </w:r>
    </w:p>
    <w:p>
      <w:pPr>
        <w:spacing w:after="0" w:line="208"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Reported net income for the first six months of 2014 was $10.4 million, or $0.58 per diluted share, compared to net income of $7.6 million, or $0.45 per diluted share, for the comparable period last year. Net income from normal operations for the first six months of 2014 excluding after-tax integration and acquisition costs was $11.6 million, or $0.64 per diluted share.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As a percentage of net sales, cost of goods sold in the second quarter of 2014 of 79.0% increased slightly as compared to 78.7% for last year’s second quarter.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Cost of products sold for the first six months of 2014 of 78.7% decreased slightly as compared to 79.0% for the same period last year.</w:t>
      </w:r>
    </w:p>
    <w:p>
      <w:pPr>
        <w:spacing w:after="0" w:line="9" w:lineRule="exact"/>
        <w:rPr>
          <w:sz w:val="20"/>
          <w:szCs w:val="20"/>
          <w:color w:val="auto"/>
        </w:rPr>
      </w:pPr>
    </w:p>
    <w:p>
      <w:pPr>
        <w:jc w:val="both"/>
        <w:ind w:right="160"/>
        <w:spacing w:after="0" w:line="277" w:lineRule="auto"/>
        <w:rPr>
          <w:sz w:val="20"/>
          <w:szCs w:val="20"/>
          <w:color w:val="auto"/>
        </w:rPr>
      </w:pPr>
      <w:r>
        <w:rPr>
          <w:rFonts w:ascii="Arial" w:cs="Arial" w:eastAsia="Arial" w:hAnsi="Arial"/>
          <w:sz w:val="17"/>
          <w:szCs w:val="17"/>
          <w:color w:val="auto"/>
        </w:rPr>
        <w:t>Debt, net of cash, was $50.7 million at June 30, 2014, an increase of $17.3 million compared to $33.4 million at December 31, 2013. The increase was due primarily to the acquisition activity in the first six months of 2014. As of June 30, 2014, approximately $5.8 million, or 25.2% of the planned capital budget of $23.0 million for the year had been utilized. Typically, capital expenditures are more weighted to the second half of the year.</w:t>
      </w:r>
    </w:p>
    <w:p>
      <w:pPr>
        <w:spacing w:after="0" w:line="20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Richard Holder, President and Chief Executive Officer, commented, “Second quarter and six month results were largely in line with our expectations. The strong sales momentum that began in 2013 continued into the second quarter of this year. We again benefited from sustained growth, share gains and product expansion in our Asian and European markets. Sales in North America were in line with our markets. We also continued to strengthen our bottom line while funding acquisition and integration costs.</w:t>
      </w:r>
    </w:p>
    <w:p>
      <w:pPr>
        <w:spacing w:after="0" w:line="214"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“Looking forward, we remain optimistic about the second half of the year. We expect continued strong demand in Asia and improving demand in Europe. RFK and Chelsea will be accretive to earnings in our current quarter and V-S Industries is expected to become accretive to earnings later this year. These three acquisitions combined represent approximately $30 million in increased annual revenues.</w:t>
      </w:r>
    </w:p>
    <w:p>
      <w:pPr>
        <w:spacing w:after="0" w:line="20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“Additionally, last month, we announced the signing of a definitive agreement to acquire Autocam Corporation, a global leader in the engineering, manufacture and assembly of highly complex, system critical components for fuel systems, engines and transmission, power steering and electric motors. This transaction will contribute over $250 million to our top line revenues. Further, it will both leverage NN’s and Autocam’s complementary core strengths and values and position this business segment to outgrow its end markets by taking advantage of global market trends in fuel efficient technologies. Subject to customary closing conditions and regulatory approval, we expect our proposed acquisition of Autocam to close in this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391160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6" w:name="page7"/>
    <w:bookmarkEnd w:id="6"/>
    <w:p>
      <w:pPr>
        <w:ind w:right="120"/>
        <w:spacing w:after="0" w:line="264" w:lineRule="auto"/>
        <w:rPr>
          <w:sz w:val="20"/>
          <w:szCs w:val="20"/>
          <w:color w:val="auto"/>
        </w:rPr>
      </w:pPr>
      <w:r>
        <w:rPr>
          <w:rFonts w:ascii="Arial" w:cs="Arial" w:eastAsia="Arial" w:hAnsi="Arial"/>
          <w:sz w:val="18"/>
          <w:szCs w:val="18"/>
          <w:color w:val="auto"/>
        </w:rPr>
        <w:t>Mr. Holder concluded, “While we are pleased with what we have been able to accomplish so far this year, we are continually working toward further improvement to the benefit of all stakeholders. We will continue to focus on growing our business organically as well as through strategic acquisitions while simultaneously improving our cost structure.”</w:t>
      </w:r>
    </w:p>
    <w:p>
      <w:pPr>
        <w:spacing w:after="0" w:line="208"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NN, Inc. manufactures and supplies high precision metal bearing components, industrial plastic and rubber products and precision metal components to a variety of markets on a global basis. Headquartered in Johnson City, Tennessee, NN has 14 manufacturing plants in the United States, Mexico, Western Europe, Eastern Europe and China. NN, Inc. had sales of US $373 million in 2013.</w:t>
      </w:r>
    </w:p>
    <w:p>
      <w:pPr>
        <w:spacing w:after="0" w:line="208"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pending or completed acquisitions are also forward-looking statements, including statements relating to the anticipated closing date of an acquisition, the Company's ability to obtain required regulatory approvals or satisfy closing conditions, the costs of an acquisition and the Company's source(s) of financing, the future performance and prospects of an acquired business, the expected benefits of an acquisition on the Company's future business and operations and the ability of the Company to successfully integrate recently acquired businesses.</w:t>
      </w:r>
    </w:p>
    <w:p>
      <w:pPr>
        <w:spacing w:after="0" w:line="20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2013. Except as required by law, we undertake no obligation to update or revise any forward-looking statements we make in our press releases, whether as a result of new information, future events or otherwise.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3740" w:type="dxa"/>
            <w:vAlign w:val="bottom"/>
            <w:gridSpan w:val="6"/>
          </w:tcPr>
          <w:p>
            <w:pPr>
              <w:jc w:val="center"/>
              <w:ind w:right="780"/>
              <w:spacing w:after="0"/>
              <w:rPr>
                <w:sz w:val="20"/>
                <w:szCs w:val="20"/>
                <w:color w:val="auto"/>
              </w:rPr>
            </w:pPr>
            <w:r>
              <w:rPr>
                <w:rFonts w:ascii="Arial" w:cs="Arial" w:eastAsia="Arial" w:hAnsi="Arial"/>
                <w:sz w:val="18"/>
                <w:szCs w:val="18"/>
                <w:b w:val="1"/>
                <w:bCs w:val="1"/>
                <w:color w:val="auto"/>
                <w:w w:val="92"/>
              </w:rPr>
              <w:t>Three Months Ended</w:t>
            </w:r>
          </w:p>
        </w:tc>
        <w:tc>
          <w:tcPr>
            <w:tcW w:w="292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rPr>
              <w:t>Six Months Ended</w:t>
            </w:r>
          </w:p>
        </w:tc>
      </w:tr>
      <w:tr>
        <w:trPr>
          <w:trHeight w:val="220"/>
        </w:trPr>
        <w:tc>
          <w:tcPr>
            <w:tcW w:w="4760" w:type="dxa"/>
            <w:vAlign w:val="bottom"/>
          </w:tcPr>
          <w:p>
            <w:pPr>
              <w:spacing w:after="0"/>
              <w:rPr>
                <w:sz w:val="19"/>
                <w:szCs w:val="19"/>
                <w:color w:val="auto"/>
              </w:rPr>
            </w:pPr>
          </w:p>
        </w:tc>
        <w:tc>
          <w:tcPr>
            <w:tcW w:w="1960" w:type="dxa"/>
            <w:vAlign w:val="bottom"/>
            <w:gridSpan w:val="4"/>
          </w:tcPr>
          <w:p>
            <w:pPr>
              <w:jc w:val="center"/>
              <w:ind w:left="910"/>
              <w:spacing w:after="0"/>
              <w:rPr>
                <w:sz w:val="20"/>
                <w:szCs w:val="20"/>
                <w:color w:val="auto"/>
              </w:rPr>
            </w:pPr>
            <w:r>
              <w:rPr>
                <w:rFonts w:ascii="Arial" w:cs="Arial" w:eastAsia="Arial" w:hAnsi="Arial"/>
                <w:sz w:val="18"/>
                <w:szCs w:val="18"/>
                <w:b w:val="1"/>
                <w:bCs w:val="1"/>
                <w:color w:val="auto"/>
                <w:w w:val="88"/>
              </w:rPr>
              <w:t>June 30,</w:t>
            </w: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gridSpan w:val="3"/>
          </w:tcPr>
          <w:p>
            <w:pPr>
              <w:ind w:left="80"/>
              <w:spacing w:after="0"/>
              <w:rPr>
                <w:sz w:val="20"/>
                <w:szCs w:val="20"/>
                <w:color w:val="auto"/>
              </w:rPr>
            </w:pPr>
            <w:r>
              <w:rPr>
                <w:rFonts w:ascii="Arial" w:cs="Arial" w:eastAsia="Arial" w:hAnsi="Arial"/>
                <w:sz w:val="18"/>
                <w:szCs w:val="18"/>
                <w:b w:val="1"/>
                <w:bCs w:val="1"/>
                <w:color w:val="auto"/>
              </w:rPr>
              <w:t>June 30,</w:t>
            </w:r>
          </w:p>
        </w:tc>
      </w:tr>
      <w:tr>
        <w:trPr>
          <w:trHeight w:val="237"/>
        </w:trPr>
        <w:tc>
          <w:tcPr>
            <w:tcW w:w="476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2013</w:t>
            </w:r>
          </w:p>
        </w:tc>
        <w:tc>
          <w:tcPr>
            <w:tcW w:w="80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2014</w:t>
            </w:r>
          </w:p>
        </w:tc>
        <w:tc>
          <w:tcPr>
            <w:tcW w:w="80" w:type="dxa"/>
            <w:vAlign w:val="bottom"/>
          </w:tcPr>
          <w:p>
            <w:pPr>
              <w:spacing w:after="0"/>
              <w:rPr>
                <w:sz w:val="20"/>
                <w:szCs w:val="20"/>
                <w:color w:val="auto"/>
              </w:rPr>
            </w:pPr>
          </w:p>
        </w:tc>
        <w:tc>
          <w:tcPr>
            <w:tcW w:w="1480" w:type="dxa"/>
            <w:vAlign w:val="bottom"/>
            <w:gridSpan w:val="2"/>
          </w:tcPr>
          <w:p>
            <w:pPr>
              <w:jc w:val="right"/>
              <w:ind w:right="29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r>
      <w:tr>
        <w:trPr>
          <w:trHeight w:val="202"/>
        </w:trPr>
        <w:tc>
          <w:tcPr>
            <w:tcW w:w="4760" w:type="dxa"/>
            <w:vAlign w:val="bottom"/>
          </w:tcPr>
          <w:p>
            <w:pPr>
              <w:spacing w:after="0" w:line="201" w:lineRule="exact"/>
              <w:rPr>
                <w:sz w:val="20"/>
                <w:szCs w:val="20"/>
                <w:color w:val="auto"/>
              </w:rPr>
            </w:pPr>
            <w:r>
              <w:rPr>
                <w:rFonts w:ascii="Arial" w:cs="Arial" w:eastAsia="Arial" w:hAnsi="Arial"/>
                <w:sz w:val="18"/>
                <w:szCs w:val="18"/>
                <w:color w:val="auto"/>
              </w:rPr>
              <w:t>Net sales</w:t>
            </w:r>
          </w:p>
        </w:tc>
        <w:tc>
          <w:tcPr>
            <w:tcW w:w="12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$ 106,680</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$ 96,305</w:t>
            </w:r>
          </w:p>
        </w:tc>
        <w:tc>
          <w:tcPr>
            <w:tcW w:w="800" w:type="dxa"/>
            <w:vAlign w:val="bottom"/>
          </w:tcPr>
          <w:p>
            <w:pPr>
              <w:spacing w:after="0"/>
              <w:rPr>
                <w:sz w:val="17"/>
                <w:szCs w:val="17"/>
                <w:color w:val="auto"/>
              </w:rPr>
            </w:pPr>
          </w:p>
        </w:tc>
        <w:tc>
          <w:tcPr>
            <w:tcW w:w="12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$ 209,208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$ 190,102</w:t>
            </w:r>
          </w:p>
        </w:tc>
        <w:tc>
          <w:tcPr>
            <w:tcW w:w="120" w:type="dxa"/>
            <w:vAlign w:val="bottom"/>
          </w:tcPr>
          <w:p>
            <w:pPr>
              <w:spacing w:after="0"/>
              <w:rPr>
                <w:sz w:val="17"/>
                <w:szCs w:val="17"/>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Cost of products sold (exclusive of</w:t>
            </w: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depreciation shown separately below)</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84,285</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800"/>
              <w:spacing w:after="0"/>
              <w:rPr>
                <w:sz w:val="20"/>
                <w:szCs w:val="20"/>
                <w:color w:val="auto"/>
              </w:rPr>
            </w:pPr>
            <w:r>
              <w:rPr>
                <w:rFonts w:ascii="Arial" w:cs="Arial" w:eastAsia="Arial" w:hAnsi="Arial"/>
                <w:sz w:val="18"/>
                <w:szCs w:val="18"/>
                <w:color w:val="auto"/>
              </w:rPr>
              <w:t>75,751</w:t>
            </w:r>
          </w:p>
        </w:tc>
        <w:tc>
          <w:tcPr>
            <w:tcW w:w="1240" w:type="dxa"/>
            <w:vAlign w:val="bottom"/>
          </w:tcPr>
          <w:p>
            <w:pPr>
              <w:jc w:val="right"/>
              <w:spacing w:after="0"/>
              <w:rPr>
                <w:sz w:val="20"/>
                <w:szCs w:val="20"/>
                <w:color w:val="auto"/>
              </w:rPr>
            </w:pPr>
            <w:r>
              <w:rPr>
                <w:rFonts w:ascii="Arial" w:cs="Arial" w:eastAsia="Arial" w:hAnsi="Arial"/>
                <w:sz w:val="18"/>
                <w:szCs w:val="18"/>
                <w:color w:val="auto"/>
              </w:rPr>
              <w:t>164,569</w:t>
            </w:r>
          </w:p>
        </w:tc>
        <w:tc>
          <w:tcPr>
            <w:tcW w:w="8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150,268</w:t>
            </w:r>
          </w:p>
        </w:tc>
        <w:tc>
          <w:tcPr>
            <w:tcW w:w="12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10,074</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8,339</w:t>
            </w:r>
          </w:p>
        </w:tc>
        <w:tc>
          <w:tcPr>
            <w:tcW w:w="8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20,104</w:t>
            </w:r>
          </w:p>
        </w:tc>
        <w:tc>
          <w:tcPr>
            <w:tcW w:w="1600" w:type="dxa"/>
            <w:vAlign w:val="bottom"/>
            <w:gridSpan w:val="3"/>
          </w:tcPr>
          <w:p>
            <w:pPr>
              <w:jc w:val="right"/>
              <w:ind w:right="120"/>
              <w:spacing w:after="0"/>
              <w:rPr>
                <w:sz w:val="20"/>
                <w:szCs w:val="20"/>
                <w:color w:val="auto"/>
              </w:rPr>
            </w:pPr>
            <w:r>
              <w:rPr>
                <w:rFonts w:ascii="Arial" w:cs="Arial" w:eastAsia="Arial" w:hAnsi="Arial"/>
                <w:sz w:val="18"/>
                <w:szCs w:val="18"/>
                <w:color w:val="auto"/>
              </w:rPr>
              <w:t>17,445</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40" w:type="dxa"/>
            <w:vAlign w:val="bottom"/>
          </w:tcPr>
          <w:p>
            <w:pPr>
              <w:jc w:val="right"/>
              <w:spacing w:after="0"/>
              <w:rPr>
                <w:sz w:val="20"/>
                <w:szCs w:val="20"/>
                <w:color w:val="auto"/>
              </w:rPr>
            </w:pPr>
            <w:r>
              <w:rPr>
                <w:rFonts w:ascii="Arial" w:cs="Arial" w:eastAsia="Arial" w:hAnsi="Arial"/>
                <w:sz w:val="18"/>
                <w:szCs w:val="18"/>
                <w:color w:val="auto"/>
              </w:rPr>
              <w:t>4,084</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4,294</w:t>
            </w:r>
          </w:p>
        </w:tc>
        <w:tc>
          <w:tcPr>
            <w:tcW w:w="8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7,961</w:t>
            </w:r>
          </w:p>
        </w:tc>
        <w:tc>
          <w:tcPr>
            <w:tcW w:w="8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8,825</w:t>
            </w:r>
          </w:p>
        </w:tc>
        <w:tc>
          <w:tcPr>
            <w:tcW w:w="120" w:type="dxa"/>
            <w:vAlign w:val="bottom"/>
          </w:tcPr>
          <w:p>
            <w:pPr>
              <w:spacing w:after="0"/>
              <w:rPr>
                <w:sz w:val="18"/>
                <w:szCs w:val="18"/>
                <w:color w:val="auto"/>
              </w:rPr>
            </w:pPr>
          </w:p>
        </w:tc>
      </w:tr>
      <w:tr>
        <w:trPr>
          <w:trHeight w:val="237"/>
        </w:trPr>
        <w:tc>
          <w:tcPr>
            <w:tcW w:w="4760" w:type="dxa"/>
            <w:vAlign w:val="bottom"/>
          </w:tcPr>
          <w:p>
            <w:pPr>
              <w:spacing w:after="0"/>
              <w:rPr>
                <w:sz w:val="20"/>
                <w:szCs w:val="20"/>
                <w:color w:val="auto"/>
              </w:rPr>
            </w:pPr>
            <w:r>
              <w:rPr>
                <w:rFonts w:ascii="Arial" w:cs="Arial" w:eastAsia="Arial" w:hAnsi="Arial"/>
                <w:sz w:val="18"/>
                <w:szCs w:val="18"/>
                <w:color w:val="auto"/>
              </w:rPr>
              <w:t>Loss on disposal of assets</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2"/>
          </w:tcPr>
          <w:p>
            <w:pPr>
              <w:jc w:val="right"/>
              <w:ind w:right="800"/>
              <w:spacing w:after="0"/>
              <w:rPr>
                <w:sz w:val="20"/>
                <w:szCs w:val="20"/>
                <w:color w:val="auto"/>
              </w:rPr>
            </w:pPr>
            <w:r>
              <w:rPr>
                <w:rFonts w:ascii="Arial" w:cs="Arial" w:eastAsia="Arial" w:hAnsi="Arial"/>
                <w:sz w:val="18"/>
                <w:szCs w:val="18"/>
                <w:color w:val="auto"/>
              </w:rPr>
              <w:t>1</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0" w:type="dxa"/>
            <w:vAlign w:val="bottom"/>
            <w:gridSpan w:val="3"/>
          </w:tcPr>
          <w:p>
            <w:pPr>
              <w:jc w:val="right"/>
              <w:ind w:right="120"/>
              <w:spacing w:after="0"/>
              <w:rPr>
                <w:sz w:val="20"/>
                <w:szCs w:val="20"/>
                <w:color w:val="auto"/>
              </w:rPr>
            </w:pPr>
            <w:r>
              <w:rPr>
                <w:rFonts w:ascii="Arial" w:cs="Arial" w:eastAsia="Arial" w:hAnsi="Arial"/>
                <w:sz w:val="18"/>
                <w:szCs w:val="18"/>
                <w:color w:val="auto"/>
              </w:rPr>
              <w:t>5</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8,237</w:t>
            </w:r>
          </w:p>
        </w:tc>
        <w:tc>
          <w:tcPr>
            <w:tcW w:w="2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7,920</w:t>
            </w:r>
          </w:p>
        </w:tc>
        <w:tc>
          <w:tcPr>
            <w:tcW w:w="80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16,574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13,559</w:t>
            </w:r>
          </w:p>
        </w:tc>
        <w:tc>
          <w:tcPr>
            <w:tcW w:w="120" w:type="dxa"/>
            <w:vAlign w:val="bottom"/>
          </w:tcPr>
          <w:p>
            <w:pPr>
              <w:spacing w:after="0"/>
              <w:rPr>
                <w:sz w:val="20"/>
                <w:szCs w:val="20"/>
                <w:color w:val="auto"/>
              </w:rPr>
            </w:pPr>
          </w:p>
        </w:tc>
      </w:tr>
      <w:tr>
        <w:trPr>
          <w:trHeight w:val="404"/>
        </w:trPr>
        <w:tc>
          <w:tcPr>
            <w:tcW w:w="4760" w:type="dxa"/>
            <w:vAlign w:val="bottom"/>
          </w:tcPr>
          <w:p>
            <w:pPr>
              <w:spacing w:after="0"/>
              <w:rPr>
                <w:sz w:val="20"/>
                <w:szCs w:val="20"/>
                <w:color w:val="auto"/>
              </w:rPr>
            </w:pPr>
            <w:r>
              <w:rPr>
                <w:rFonts w:ascii="Arial" w:cs="Arial" w:eastAsia="Arial" w:hAnsi="Arial"/>
                <w:sz w:val="18"/>
                <w:szCs w:val="18"/>
                <w:color w:val="auto"/>
              </w:rPr>
              <w:t>Interest expense</w:t>
            </w:r>
          </w:p>
        </w:tc>
        <w:tc>
          <w:tcPr>
            <w:tcW w:w="1240" w:type="dxa"/>
            <w:vAlign w:val="bottom"/>
          </w:tcPr>
          <w:p>
            <w:pPr>
              <w:jc w:val="right"/>
              <w:spacing w:after="0"/>
              <w:rPr>
                <w:sz w:val="20"/>
                <w:szCs w:val="20"/>
                <w:color w:val="auto"/>
              </w:rPr>
            </w:pPr>
            <w:r>
              <w:rPr>
                <w:rFonts w:ascii="Arial" w:cs="Arial" w:eastAsia="Arial" w:hAnsi="Arial"/>
                <w:sz w:val="18"/>
                <w:szCs w:val="18"/>
                <w:color w:val="auto"/>
              </w:rPr>
              <w:t>551</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gridSpan w:val="2"/>
          </w:tcPr>
          <w:p>
            <w:pPr>
              <w:jc w:val="right"/>
              <w:ind w:right="800"/>
              <w:spacing w:after="0"/>
              <w:rPr>
                <w:sz w:val="20"/>
                <w:szCs w:val="20"/>
                <w:color w:val="auto"/>
              </w:rPr>
            </w:pPr>
            <w:r>
              <w:rPr>
                <w:rFonts w:ascii="Arial" w:cs="Arial" w:eastAsia="Arial" w:hAnsi="Arial"/>
                <w:sz w:val="18"/>
                <w:szCs w:val="18"/>
                <w:color w:val="auto"/>
              </w:rPr>
              <w:t>709</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1,115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1,494</w:t>
            </w:r>
          </w:p>
        </w:tc>
        <w:tc>
          <w:tcPr>
            <w:tcW w:w="120" w:type="dxa"/>
            <w:vAlign w:val="bottom"/>
          </w:tcPr>
          <w:p>
            <w:pPr>
              <w:spacing w:after="0"/>
              <w:rPr>
                <w:sz w:val="24"/>
                <w:szCs w:val="24"/>
                <w:color w:val="auto"/>
              </w:rPr>
            </w:pPr>
          </w:p>
        </w:tc>
      </w:tr>
      <w:tr>
        <w:trPr>
          <w:trHeight w:val="237"/>
        </w:trPr>
        <w:tc>
          <w:tcPr>
            <w:tcW w:w="476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240" w:type="dxa"/>
            <w:vAlign w:val="bottom"/>
          </w:tcPr>
          <w:p>
            <w:pPr>
              <w:jc w:val="right"/>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2"/>
          </w:tcPr>
          <w:p>
            <w:pPr>
              <w:jc w:val="right"/>
              <w:ind w:right="800"/>
              <w:spacing w:after="0"/>
              <w:rPr>
                <w:sz w:val="20"/>
                <w:szCs w:val="20"/>
                <w:color w:val="auto"/>
              </w:rPr>
            </w:pPr>
            <w:r>
              <w:rPr>
                <w:rFonts w:ascii="Arial" w:cs="Arial" w:eastAsia="Arial" w:hAnsi="Arial"/>
                <w:sz w:val="18"/>
                <w:szCs w:val="18"/>
                <w:color w:val="auto"/>
              </w:rPr>
              <w:t>(214)</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212</w:t>
            </w:r>
          </w:p>
        </w:tc>
        <w:tc>
          <w:tcPr>
            <w:tcW w:w="1600" w:type="dxa"/>
            <w:vAlign w:val="bottom"/>
            <w:gridSpan w:val="3"/>
          </w:tcPr>
          <w:p>
            <w:pPr>
              <w:jc w:val="right"/>
              <w:ind w:right="120"/>
              <w:spacing w:after="0"/>
              <w:rPr>
                <w:sz w:val="20"/>
                <w:szCs w:val="20"/>
                <w:color w:val="auto"/>
              </w:rPr>
            </w:pPr>
            <w:r>
              <w:rPr>
                <w:rFonts w:ascii="Arial" w:cs="Arial" w:eastAsia="Arial" w:hAnsi="Arial"/>
                <w:sz w:val="18"/>
                <w:szCs w:val="18"/>
                <w:color w:val="auto"/>
              </w:rPr>
              <w:t>365</w:t>
            </w:r>
          </w:p>
        </w:tc>
      </w:tr>
      <w:tr>
        <w:trPr>
          <w:trHeight w:val="202"/>
        </w:trPr>
        <w:tc>
          <w:tcPr>
            <w:tcW w:w="4760" w:type="dxa"/>
            <w:vAlign w:val="bottom"/>
          </w:tcPr>
          <w:p>
            <w:pPr>
              <w:spacing w:after="0" w:line="201" w:lineRule="exact"/>
              <w:rPr>
                <w:sz w:val="20"/>
                <w:szCs w:val="20"/>
                <w:color w:val="auto"/>
              </w:rPr>
            </w:pPr>
            <w:r>
              <w:rPr>
                <w:rFonts w:ascii="Arial" w:cs="Arial" w:eastAsia="Arial" w:hAnsi="Arial"/>
                <w:sz w:val="18"/>
                <w:szCs w:val="18"/>
                <w:color w:val="auto"/>
              </w:rPr>
              <w:t>Income before provision for income taxes</w:t>
            </w:r>
          </w:p>
        </w:tc>
        <w:tc>
          <w:tcPr>
            <w:tcW w:w="12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7,557</w:t>
            </w:r>
          </w:p>
        </w:tc>
        <w:tc>
          <w:tcPr>
            <w:tcW w:w="2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7,425</w:t>
            </w:r>
          </w:p>
        </w:tc>
        <w:tc>
          <w:tcPr>
            <w:tcW w:w="800" w:type="dxa"/>
            <w:vAlign w:val="bottom"/>
          </w:tcPr>
          <w:p>
            <w:pPr>
              <w:spacing w:after="0"/>
              <w:rPr>
                <w:sz w:val="17"/>
                <w:szCs w:val="17"/>
                <w:color w:val="auto"/>
              </w:rPr>
            </w:pPr>
          </w:p>
        </w:tc>
        <w:tc>
          <w:tcPr>
            <w:tcW w:w="12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15,247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11,700</w:t>
            </w:r>
          </w:p>
        </w:tc>
        <w:tc>
          <w:tcPr>
            <w:tcW w:w="120" w:type="dxa"/>
            <w:vAlign w:val="bottom"/>
          </w:tcPr>
          <w:p>
            <w:pPr>
              <w:spacing w:after="0"/>
              <w:rPr>
                <w:sz w:val="17"/>
                <w:szCs w:val="17"/>
                <w:color w:val="auto"/>
              </w:rPr>
            </w:pPr>
          </w:p>
        </w:tc>
      </w:tr>
      <w:tr>
        <w:trPr>
          <w:trHeight w:val="237"/>
        </w:trPr>
        <w:tc>
          <w:tcPr>
            <w:tcW w:w="47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40" w:type="dxa"/>
            <w:vAlign w:val="bottom"/>
          </w:tcPr>
          <w:p>
            <w:pPr>
              <w:jc w:val="right"/>
              <w:spacing w:after="0"/>
              <w:rPr>
                <w:sz w:val="20"/>
                <w:szCs w:val="20"/>
                <w:color w:val="auto"/>
              </w:rPr>
            </w:pPr>
            <w:r>
              <w:rPr>
                <w:rFonts w:ascii="Arial" w:cs="Arial" w:eastAsia="Arial" w:hAnsi="Arial"/>
                <w:sz w:val="18"/>
                <w:szCs w:val="18"/>
                <w:color w:val="auto"/>
              </w:rPr>
              <w:t>2,357</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2,655</w:t>
            </w:r>
          </w:p>
        </w:tc>
        <w:tc>
          <w:tcPr>
            <w:tcW w:w="8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4,809</w:t>
            </w:r>
          </w:p>
        </w:tc>
        <w:tc>
          <w:tcPr>
            <w:tcW w:w="8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4,059</w:t>
            </w:r>
          </w:p>
        </w:tc>
        <w:tc>
          <w:tcPr>
            <w:tcW w:w="120" w:type="dxa"/>
            <w:vAlign w:val="bottom"/>
          </w:tcPr>
          <w:p>
            <w:pPr>
              <w:spacing w:after="0"/>
              <w:rPr>
                <w:sz w:val="20"/>
                <w:szCs w:val="20"/>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Net income</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$ 5,200</w:t>
            </w:r>
          </w:p>
        </w:tc>
        <w:tc>
          <w:tcPr>
            <w:tcW w:w="20" w:type="dxa"/>
            <w:vAlign w:val="bottom"/>
            <w:tcBorders>
              <w:top w:val="single" w:sz="8" w:color="auto"/>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$ 4,770</w:t>
            </w:r>
          </w:p>
        </w:tc>
        <w:tc>
          <w:tcPr>
            <w:tcW w:w="80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$ 10,438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$ 7,641</w:t>
            </w:r>
          </w:p>
        </w:tc>
        <w:tc>
          <w:tcPr>
            <w:tcW w:w="120" w:type="dxa"/>
            <w:vAlign w:val="bottom"/>
          </w:tcPr>
          <w:p>
            <w:pPr>
              <w:spacing w:after="0"/>
              <w:rPr>
                <w:sz w:val="18"/>
                <w:szCs w:val="18"/>
                <w:color w:val="auto"/>
              </w:rPr>
            </w:pPr>
          </w:p>
        </w:tc>
      </w:tr>
      <w:tr>
        <w:trPr>
          <w:trHeight w:val="21"/>
        </w:trPr>
        <w:tc>
          <w:tcPr>
            <w:tcW w:w="47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6"/>
        </w:trPr>
        <w:tc>
          <w:tcPr>
            <w:tcW w:w="4760" w:type="dxa"/>
            <w:vAlign w:val="bottom"/>
          </w:tcPr>
          <w:p>
            <w:pPr>
              <w:spacing w:after="0"/>
              <w:rPr>
                <w:sz w:val="20"/>
                <w:szCs w:val="20"/>
                <w:color w:val="auto"/>
              </w:rPr>
            </w:pPr>
            <w:r>
              <w:rPr>
                <w:rFonts w:ascii="Arial" w:cs="Arial" w:eastAsia="Arial" w:hAnsi="Arial"/>
                <w:sz w:val="18"/>
                <w:szCs w:val="18"/>
                <w:color w:val="auto"/>
              </w:rPr>
              <w:t>Diluted income per common share</w:t>
            </w:r>
          </w:p>
        </w:tc>
        <w:tc>
          <w:tcPr>
            <w:tcW w:w="1240" w:type="dxa"/>
            <w:vAlign w:val="bottom"/>
          </w:tcPr>
          <w:p>
            <w:pPr>
              <w:jc w:val="right"/>
              <w:spacing w:after="0"/>
              <w:rPr>
                <w:sz w:val="20"/>
                <w:szCs w:val="20"/>
                <w:color w:val="auto"/>
              </w:rPr>
            </w:pPr>
            <w:r>
              <w:rPr>
                <w:rFonts w:ascii="Arial" w:cs="Arial" w:eastAsia="Arial" w:hAnsi="Arial"/>
                <w:sz w:val="18"/>
                <w:szCs w:val="18"/>
                <w:color w:val="auto"/>
              </w:rPr>
              <w:t>$ 0.29</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gridSpan w:val="2"/>
          </w:tcPr>
          <w:p>
            <w:pPr>
              <w:jc w:val="right"/>
              <w:ind w:right="800"/>
              <w:spacing w:after="0"/>
              <w:rPr>
                <w:sz w:val="20"/>
                <w:szCs w:val="20"/>
                <w:color w:val="auto"/>
              </w:rPr>
            </w:pPr>
            <w:r>
              <w:rPr>
                <w:rFonts w:ascii="Arial" w:cs="Arial" w:eastAsia="Arial" w:hAnsi="Arial"/>
                <w:sz w:val="18"/>
                <w:szCs w:val="18"/>
                <w:color w:val="auto"/>
              </w:rPr>
              <w:t>$ 0.28</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$ 0.58</w:t>
            </w:r>
          </w:p>
        </w:tc>
        <w:tc>
          <w:tcPr>
            <w:tcW w:w="1600" w:type="dxa"/>
            <w:vAlign w:val="bottom"/>
            <w:gridSpan w:val="3"/>
          </w:tcPr>
          <w:p>
            <w:pPr>
              <w:jc w:val="right"/>
              <w:ind w:right="120"/>
              <w:spacing w:after="0"/>
              <w:rPr>
                <w:sz w:val="20"/>
                <w:szCs w:val="20"/>
                <w:color w:val="auto"/>
              </w:rPr>
            </w:pPr>
            <w:r>
              <w:rPr>
                <w:rFonts w:ascii="Arial" w:cs="Arial" w:eastAsia="Arial" w:hAnsi="Arial"/>
                <w:sz w:val="18"/>
                <w:szCs w:val="18"/>
                <w:color w:val="auto"/>
              </w:rPr>
              <w:t>$ 0.45</w:t>
            </w:r>
          </w:p>
        </w:tc>
      </w:tr>
      <w:tr>
        <w:trPr>
          <w:trHeight w:val="21"/>
        </w:trPr>
        <w:tc>
          <w:tcPr>
            <w:tcW w:w="47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6"/>
        </w:trPr>
        <w:tc>
          <w:tcPr>
            <w:tcW w:w="4760" w:type="dxa"/>
            <w:vAlign w:val="bottom"/>
          </w:tcPr>
          <w:p>
            <w:pPr>
              <w:spacing w:after="0"/>
              <w:rPr>
                <w:sz w:val="20"/>
                <w:szCs w:val="20"/>
                <w:color w:val="auto"/>
              </w:rPr>
            </w:pPr>
            <w:r>
              <w:rPr>
                <w:rFonts w:ascii="Arial" w:cs="Arial" w:eastAsia="Arial" w:hAnsi="Arial"/>
                <w:sz w:val="18"/>
                <w:szCs w:val="18"/>
                <w:color w:val="auto"/>
              </w:rPr>
              <w:t>Weighted average diluted shares</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18,172</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gridSpan w:val="2"/>
          </w:tcPr>
          <w:p>
            <w:pPr>
              <w:jc w:val="right"/>
              <w:ind w:right="800"/>
              <w:spacing w:after="0"/>
              <w:rPr>
                <w:sz w:val="20"/>
                <w:szCs w:val="20"/>
                <w:color w:val="auto"/>
              </w:rPr>
            </w:pPr>
            <w:r>
              <w:rPr>
                <w:rFonts w:ascii="Arial" w:cs="Arial" w:eastAsia="Arial" w:hAnsi="Arial"/>
                <w:sz w:val="18"/>
                <w:szCs w:val="18"/>
                <w:color w:val="auto"/>
              </w:rPr>
              <w:t>17,172</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18,054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17,115</w:t>
            </w:r>
          </w:p>
        </w:tc>
        <w:tc>
          <w:tcPr>
            <w:tcW w:w="120" w:type="dxa"/>
            <w:vAlign w:val="bottom"/>
          </w:tcPr>
          <w:p>
            <w:pPr>
              <w:spacing w:after="0"/>
              <w:rPr>
                <w:sz w:val="24"/>
                <w:szCs w:val="24"/>
                <w:color w:val="auto"/>
              </w:rPr>
            </w:pPr>
          </w:p>
        </w:tc>
      </w:tr>
      <w:tr>
        <w:trPr>
          <w:trHeight w:val="21"/>
        </w:trPr>
        <w:tc>
          <w:tcPr>
            <w:tcW w:w="47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95"/>
        </w:trPr>
        <w:tc>
          <w:tcPr>
            <w:tcW w:w="476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1400" w:type="dxa"/>
            <w:vAlign w:val="bottom"/>
          </w:tcPr>
          <w:p>
            <w:pPr>
              <w:ind w:left="740"/>
              <w:spacing w:after="0"/>
              <w:rPr>
                <w:sz w:val="20"/>
                <w:szCs w:val="20"/>
                <w:color w:val="auto"/>
              </w:rPr>
            </w:pPr>
            <w:r>
              <w:rPr>
                <w:rFonts w:ascii="Arial" w:cs="Arial" w:eastAsia="Arial" w:hAnsi="Arial"/>
                <w:sz w:val="18"/>
                <w:szCs w:val="18"/>
                <w:b w:val="1"/>
                <w:bCs w:val="1"/>
                <w:color w:val="auto"/>
                <w:w w:val="88"/>
              </w:rPr>
              <w:t>June 30,</w:t>
            </w: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0" w:type="dxa"/>
            <w:vAlign w:val="bottom"/>
            <w:gridSpan w:val="2"/>
          </w:tcPr>
          <w:p>
            <w:pPr>
              <w:ind w:left="42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7220" w:type="dxa"/>
            <w:vAlign w:val="bottom"/>
            <w:gridSpan w:val="2"/>
          </w:tcPr>
          <w:p>
            <w:pPr>
              <w:ind w:left="6700"/>
              <w:spacing w:after="0"/>
              <w:rPr>
                <w:sz w:val="20"/>
                <w:szCs w:val="20"/>
                <w:color w:val="auto"/>
              </w:rPr>
            </w:pPr>
            <w:r>
              <w:rPr>
                <w:rFonts w:ascii="Arial" w:cs="Arial" w:eastAsia="Arial" w:hAnsi="Arial"/>
                <w:sz w:val="18"/>
                <w:szCs w:val="18"/>
                <w:b w:val="1"/>
                <w:bCs w:val="1"/>
                <w:color w:val="auto"/>
              </w:rPr>
              <w:t>2014</w:t>
            </w:r>
          </w:p>
        </w:tc>
        <w:tc>
          <w:tcPr>
            <w:tcW w:w="7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920" w:type="dxa"/>
            <w:vAlign w:val="bottom"/>
          </w:tcPr>
          <w:p>
            <w:pPr>
              <w:jc w:val="right"/>
              <w:ind w:right="690"/>
              <w:spacing w:after="0"/>
              <w:rPr>
                <w:sz w:val="20"/>
                <w:szCs w:val="20"/>
                <w:color w:val="auto"/>
              </w:rPr>
            </w:pPr>
            <w:r>
              <w:rPr>
                <w:rFonts w:ascii="Arial" w:cs="Arial" w:eastAsia="Arial" w:hAnsi="Arial"/>
                <w:sz w:val="18"/>
                <w:szCs w:val="18"/>
                <w:b w:val="1"/>
                <w:bCs w:val="1"/>
                <w:color w:val="auto"/>
              </w:rPr>
              <w:t>2013</w:t>
            </w:r>
          </w:p>
        </w:tc>
        <w:tc>
          <w:tcPr>
            <w:tcW w:w="680" w:type="dxa"/>
            <w:vAlign w:val="bottom"/>
          </w:tcPr>
          <w:p>
            <w:pPr>
              <w:spacing w:after="0"/>
              <w:rPr>
                <w:sz w:val="20"/>
                <w:szCs w:val="20"/>
                <w:color w:val="auto"/>
              </w:rPr>
            </w:pPr>
          </w:p>
        </w:tc>
      </w:tr>
      <w:tr>
        <w:trPr>
          <w:trHeight w:val="202"/>
        </w:trPr>
        <w:tc>
          <w:tcPr>
            <w:tcW w:w="582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14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Cash</w:t>
            </w:r>
          </w:p>
        </w:tc>
        <w:tc>
          <w:tcPr>
            <w:tcW w:w="740" w:type="dxa"/>
            <w:vAlign w:val="bottom"/>
          </w:tcPr>
          <w:p>
            <w:pPr>
              <w:jc w:val="right"/>
              <w:spacing w:after="0"/>
              <w:rPr>
                <w:sz w:val="20"/>
                <w:szCs w:val="20"/>
                <w:color w:val="auto"/>
              </w:rPr>
            </w:pPr>
            <w:r>
              <w:rPr>
                <w:rFonts w:ascii="Arial" w:cs="Arial" w:eastAsia="Arial" w:hAnsi="Arial"/>
                <w:sz w:val="18"/>
                <w:szCs w:val="18"/>
                <w:color w:val="auto"/>
              </w:rPr>
              <w:t>$ 5,812</w:t>
            </w:r>
          </w:p>
        </w:tc>
        <w:tc>
          <w:tcPr>
            <w:tcW w:w="860" w:type="dxa"/>
            <w:vAlign w:val="bottom"/>
          </w:tcPr>
          <w:p>
            <w:pPr>
              <w:spacing w:after="0"/>
              <w:rPr>
                <w:sz w:val="18"/>
                <w:szCs w:val="18"/>
                <w:color w:val="auto"/>
              </w:rPr>
            </w:pPr>
          </w:p>
        </w:tc>
        <w:tc>
          <w:tcPr>
            <w:tcW w:w="2600" w:type="dxa"/>
            <w:vAlign w:val="bottom"/>
            <w:gridSpan w:val="2"/>
          </w:tcPr>
          <w:p>
            <w:pPr>
              <w:jc w:val="right"/>
              <w:ind w:right="680"/>
              <w:spacing w:after="0"/>
              <w:rPr>
                <w:sz w:val="20"/>
                <w:szCs w:val="20"/>
                <w:color w:val="auto"/>
              </w:rPr>
            </w:pPr>
            <w:r>
              <w:rPr>
                <w:rFonts w:ascii="Arial" w:cs="Arial" w:eastAsia="Arial" w:hAnsi="Arial"/>
                <w:sz w:val="18"/>
                <w:szCs w:val="18"/>
                <w:color w:val="auto"/>
              </w:rPr>
              <w:t>$ 3,039</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Accounts receivable, net</w:t>
            </w:r>
          </w:p>
        </w:tc>
        <w:tc>
          <w:tcPr>
            <w:tcW w:w="1600" w:type="dxa"/>
            <w:vAlign w:val="bottom"/>
            <w:gridSpan w:val="2"/>
          </w:tcPr>
          <w:p>
            <w:pPr>
              <w:jc w:val="right"/>
              <w:ind w:right="860"/>
              <w:spacing w:after="0"/>
              <w:rPr>
                <w:sz w:val="20"/>
                <w:szCs w:val="20"/>
                <w:color w:val="auto"/>
              </w:rPr>
            </w:pPr>
            <w:r>
              <w:rPr>
                <w:rFonts w:ascii="Arial" w:cs="Arial" w:eastAsia="Arial" w:hAnsi="Arial"/>
                <w:sz w:val="18"/>
                <w:szCs w:val="18"/>
                <w:color w:val="auto"/>
              </w:rPr>
              <w:t>80,740</w:t>
            </w:r>
          </w:p>
        </w:tc>
        <w:tc>
          <w:tcPr>
            <w:tcW w:w="2600" w:type="dxa"/>
            <w:vAlign w:val="bottom"/>
            <w:gridSpan w:val="2"/>
          </w:tcPr>
          <w:p>
            <w:pPr>
              <w:jc w:val="right"/>
              <w:ind w:right="680"/>
              <w:spacing w:after="0"/>
              <w:rPr>
                <w:sz w:val="20"/>
                <w:szCs w:val="20"/>
                <w:color w:val="auto"/>
              </w:rPr>
            </w:pPr>
            <w:r>
              <w:rPr>
                <w:rFonts w:ascii="Arial" w:cs="Arial" w:eastAsia="Arial" w:hAnsi="Arial"/>
                <w:sz w:val="18"/>
                <w:szCs w:val="18"/>
                <w:color w:val="auto"/>
              </w:rPr>
              <w:t>58,929</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Inventories</w:t>
            </w:r>
          </w:p>
        </w:tc>
        <w:tc>
          <w:tcPr>
            <w:tcW w:w="1600" w:type="dxa"/>
            <w:vAlign w:val="bottom"/>
            <w:gridSpan w:val="2"/>
          </w:tcPr>
          <w:p>
            <w:pPr>
              <w:jc w:val="right"/>
              <w:ind w:right="860"/>
              <w:spacing w:after="0"/>
              <w:rPr>
                <w:sz w:val="20"/>
                <w:szCs w:val="20"/>
                <w:color w:val="auto"/>
              </w:rPr>
            </w:pPr>
            <w:r>
              <w:rPr>
                <w:rFonts w:ascii="Arial" w:cs="Arial" w:eastAsia="Arial" w:hAnsi="Arial"/>
                <w:sz w:val="18"/>
                <w:szCs w:val="18"/>
                <w:color w:val="auto"/>
              </w:rPr>
              <w:t>61,541</w:t>
            </w:r>
          </w:p>
        </w:tc>
        <w:tc>
          <w:tcPr>
            <w:tcW w:w="2600" w:type="dxa"/>
            <w:vAlign w:val="bottom"/>
            <w:gridSpan w:val="2"/>
          </w:tcPr>
          <w:p>
            <w:pPr>
              <w:jc w:val="right"/>
              <w:ind w:right="680"/>
              <w:spacing w:after="0"/>
              <w:rPr>
                <w:sz w:val="20"/>
                <w:szCs w:val="20"/>
                <w:color w:val="auto"/>
              </w:rPr>
            </w:pPr>
            <w:r>
              <w:rPr>
                <w:rFonts w:ascii="Arial" w:cs="Arial" w:eastAsia="Arial" w:hAnsi="Arial"/>
                <w:sz w:val="18"/>
                <w:szCs w:val="18"/>
                <w:color w:val="auto"/>
              </w:rPr>
              <w:t>54,530</w:t>
            </w:r>
          </w:p>
        </w:tc>
      </w:tr>
      <w:tr>
        <w:trPr>
          <w:trHeight w:val="237"/>
        </w:trPr>
        <w:tc>
          <w:tcPr>
            <w:tcW w:w="722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740" w:type="dxa"/>
            <w:vAlign w:val="bottom"/>
          </w:tcPr>
          <w:p>
            <w:pPr>
              <w:jc w:val="right"/>
              <w:spacing w:after="0"/>
              <w:rPr>
                <w:sz w:val="20"/>
                <w:szCs w:val="20"/>
                <w:color w:val="auto"/>
              </w:rPr>
            </w:pPr>
            <w:r>
              <w:rPr>
                <w:rFonts w:ascii="Arial" w:cs="Arial" w:eastAsia="Arial" w:hAnsi="Arial"/>
                <w:sz w:val="18"/>
                <w:szCs w:val="18"/>
                <w:color w:val="auto"/>
              </w:rPr>
              <w:t>9,934</w:t>
            </w:r>
          </w:p>
        </w:tc>
        <w:tc>
          <w:tcPr>
            <w:tcW w:w="860" w:type="dxa"/>
            <w:vAlign w:val="bottom"/>
          </w:tcPr>
          <w:p>
            <w:pPr>
              <w:spacing w:after="0"/>
              <w:rPr>
                <w:sz w:val="20"/>
                <w:szCs w:val="20"/>
                <w:color w:val="auto"/>
              </w:rPr>
            </w:pPr>
          </w:p>
        </w:tc>
        <w:tc>
          <w:tcPr>
            <w:tcW w:w="2600" w:type="dxa"/>
            <w:vAlign w:val="bottom"/>
            <w:gridSpan w:val="2"/>
          </w:tcPr>
          <w:p>
            <w:pPr>
              <w:jc w:val="right"/>
              <w:ind w:right="680"/>
              <w:spacing w:after="0"/>
              <w:rPr>
                <w:sz w:val="20"/>
                <w:szCs w:val="20"/>
                <w:color w:val="auto"/>
              </w:rPr>
            </w:pPr>
            <w:r>
              <w:rPr>
                <w:rFonts w:ascii="Arial" w:cs="Arial" w:eastAsia="Arial" w:hAnsi="Arial"/>
                <w:sz w:val="18"/>
                <w:szCs w:val="18"/>
                <w:color w:val="auto"/>
              </w:rPr>
              <w:t>9,176</w:t>
            </w: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Total current assets</w:t>
            </w:r>
          </w:p>
        </w:tc>
        <w:tc>
          <w:tcPr>
            <w:tcW w:w="1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158,027</w:t>
            </w:r>
          </w:p>
        </w:tc>
        <w:tc>
          <w:tcPr>
            <w:tcW w:w="860" w:type="dxa"/>
            <w:vAlign w:val="bottom"/>
          </w:tcPr>
          <w:p>
            <w:pPr>
              <w:spacing w:after="0"/>
              <w:rPr>
                <w:sz w:val="20"/>
                <w:szCs w:val="20"/>
                <w:color w:val="auto"/>
              </w:rPr>
            </w:pP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125,674</w:t>
            </w:r>
          </w:p>
        </w:tc>
        <w:tc>
          <w:tcPr>
            <w:tcW w:w="680" w:type="dxa"/>
            <w:vAlign w:val="bottom"/>
          </w:tcPr>
          <w:p>
            <w:pPr>
              <w:spacing w:after="0"/>
              <w:rPr>
                <w:sz w:val="20"/>
                <w:szCs w:val="20"/>
                <w:color w:val="auto"/>
              </w:rPr>
            </w:pPr>
          </w:p>
        </w:tc>
      </w:tr>
      <w:tr>
        <w:trPr>
          <w:trHeight w:val="404"/>
        </w:trPr>
        <w:tc>
          <w:tcPr>
            <w:tcW w:w="722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740" w:type="dxa"/>
            <w:vAlign w:val="bottom"/>
          </w:tcPr>
          <w:p>
            <w:pPr>
              <w:jc w:val="right"/>
              <w:spacing w:after="0"/>
              <w:rPr>
                <w:sz w:val="20"/>
                <w:szCs w:val="20"/>
                <w:color w:val="auto"/>
              </w:rPr>
            </w:pPr>
            <w:r>
              <w:rPr>
                <w:rFonts w:ascii="Arial" w:cs="Arial" w:eastAsia="Arial" w:hAnsi="Arial"/>
                <w:sz w:val="18"/>
                <w:szCs w:val="18"/>
                <w:color w:val="auto"/>
              </w:rPr>
              <w:t>132,681</w:t>
            </w:r>
          </w:p>
        </w:tc>
        <w:tc>
          <w:tcPr>
            <w:tcW w:w="860" w:type="dxa"/>
            <w:vAlign w:val="bottom"/>
          </w:tcPr>
          <w:p>
            <w:pPr>
              <w:spacing w:after="0"/>
              <w:rPr>
                <w:sz w:val="24"/>
                <w:szCs w:val="24"/>
                <w:color w:val="auto"/>
              </w:rPr>
            </w:pPr>
          </w:p>
        </w:tc>
        <w:tc>
          <w:tcPr>
            <w:tcW w:w="2600" w:type="dxa"/>
            <w:vAlign w:val="bottom"/>
            <w:gridSpan w:val="2"/>
          </w:tcPr>
          <w:p>
            <w:pPr>
              <w:jc w:val="right"/>
              <w:ind w:right="680"/>
              <w:spacing w:after="0"/>
              <w:rPr>
                <w:sz w:val="20"/>
                <w:szCs w:val="20"/>
                <w:color w:val="auto"/>
              </w:rPr>
            </w:pPr>
            <w:r>
              <w:rPr>
                <w:rFonts w:ascii="Arial" w:cs="Arial" w:eastAsia="Arial" w:hAnsi="Arial"/>
                <w:sz w:val="18"/>
                <w:szCs w:val="18"/>
                <w:color w:val="auto"/>
              </w:rPr>
              <w:t>121,089</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Goodwill and intangible assets, net</w:t>
            </w:r>
          </w:p>
        </w:tc>
        <w:tc>
          <w:tcPr>
            <w:tcW w:w="1600" w:type="dxa"/>
            <w:vAlign w:val="bottom"/>
            <w:gridSpan w:val="2"/>
          </w:tcPr>
          <w:p>
            <w:pPr>
              <w:jc w:val="right"/>
              <w:ind w:right="860"/>
              <w:spacing w:after="0"/>
              <w:rPr>
                <w:sz w:val="20"/>
                <w:szCs w:val="20"/>
                <w:color w:val="auto"/>
              </w:rPr>
            </w:pPr>
            <w:r>
              <w:rPr>
                <w:rFonts w:ascii="Arial" w:cs="Arial" w:eastAsia="Arial" w:hAnsi="Arial"/>
                <w:sz w:val="18"/>
                <w:szCs w:val="18"/>
                <w:color w:val="auto"/>
              </w:rPr>
              <w:t>12,108</w:t>
            </w:r>
          </w:p>
        </w:tc>
        <w:tc>
          <w:tcPr>
            <w:tcW w:w="2600" w:type="dxa"/>
            <w:vAlign w:val="bottom"/>
            <w:gridSpan w:val="2"/>
          </w:tcPr>
          <w:p>
            <w:pPr>
              <w:jc w:val="right"/>
              <w:ind w:right="680"/>
              <w:spacing w:after="0"/>
              <w:rPr>
                <w:sz w:val="20"/>
                <w:szCs w:val="20"/>
                <w:color w:val="auto"/>
              </w:rPr>
            </w:pPr>
            <w:r>
              <w:rPr>
                <w:rFonts w:ascii="Arial" w:cs="Arial" w:eastAsia="Arial" w:hAnsi="Arial"/>
                <w:sz w:val="18"/>
                <w:szCs w:val="18"/>
                <w:color w:val="auto"/>
              </w:rPr>
              <w:t>9,524</w:t>
            </w:r>
          </w:p>
        </w:tc>
      </w:tr>
      <w:tr>
        <w:trPr>
          <w:trHeight w:val="237"/>
        </w:trPr>
        <w:tc>
          <w:tcPr>
            <w:tcW w:w="58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4,604</w:t>
            </w:r>
          </w:p>
        </w:tc>
        <w:tc>
          <w:tcPr>
            <w:tcW w:w="860" w:type="dxa"/>
            <w:vAlign w:val="bottom"/>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6,115</w:t>
            </w:r>
          </w:p>
        </w:tc>
        <w:tc>
          <w:tcPr>
            <w:tcW w:w="680" w:type="dxa"/>
            <w:vAlign w:val="bottom"/>
          </w:tcPr>
          <w:p>
            <w:pPr>
              <w:spacing w:after="0"/>
              <w:rPr>
                <w:sz w:val="20"/>
                <w:szCs w:val="20"/>
                <w:color w:val="auto"/>
              </w:rPr>
            </w:pPr>
          </w:p>
        </w:tc>
      </w:tr>
      <w:tr>
        <w:trPr>
          <w:trHeight w:val="216"/>
        </w:trPr>
        <w:tc>
          <w:tcPr>
            <w:tcW w:w="5820" w:type="dxa"/>
            <w:vAlign w:val="bottom"/>
          </w:tcPr>
          <w:p>
            <w:pPr>
              <w:spacing w:after="0" w:line="196" w:lineRule="exact"/>
              <w:rPr>
                <w:sz w:val="20"/>
                <w:szCs w:val="20"/>
                <w:color w:val="auto"/>
              </w:rPr>
            </w:pPr>
            <w:r>
              <w:rPr>
                <w:rFonts w:ascii="Arial" w:cs="Arial" w:eastAsia="Arial" w:hAnsi="Arial"/>
                <w:sz w:val="18"/>
                <w:szCs w:val="18"/>
                <w:color w:val="auto"/>
              </w:rPr>
              <w:t>Total assets</w:t>
            </w:r>
          </w:p>
        </w:tc>
        <w:tc>
          <w:tcPr>
            <w:tcW w:w="1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9"/>
              </w:rPr>
              <w:t>$ 307,420</w:t>
            </w:r>
          </w:p>
        </w:tc>
        <w:tc>
          <w:tcPr>
            <w:tcW w:w="860" w:type="dxa"/>
            <w:vAlign w:val="bottom"/>
          </w:tcPr>
          <w:p>
            <w:pPr>
              <w:spacing w:after="0"/>
              <w:rPr>
                <w:sz w:val="18"/>
                <w:szCs w:val="18"/>
                <w:color w:val="auto"/>
              </w:rPr>
            </w:pPr>
          </w:p>
        </w:tc>
        <w:tc>
          <w:tcPr>
            <w:tcW w:w="1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$ 262,402</w:t>
            </w:r>
          </w:p>
        </w:tc>
        <w:tc>
          <w:tcPr>
            <w:tcW w:w="680" w:type="dxa"/>
            <w:vAlign w:val="bottom"/>
          </w:tcPr>
          <w:p>
            <w:pPr>
              <w:spacing w:after="0"/>
              <w:rPr>
                <w:sz w:val="18"/>
                <w:szCs w:val="18"/>
                <w:color w:val="auto"/>
              </w:rPr>
            </w:pPr>
          </w:p>
        </w:tc>
      </w:tr>
      <w:tr>
        <w:trPr>
          <w:trHeight w:val="21"/>
        </w:trPr>
        <w:tc>
          <w:tcPr>
            <w:tcW w:w="58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1"/>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600" w:type="dxa"/>
            <w:vAlign w:val="bottom"/>
            <w:gridSpan w:val="2"/>
          </w:tcPr>
          <w:p>
            <w:pPr>
              <w:jc w:val="right"/>
              <w:ind w:right="860"/>
              <w:spacing w:after="0"/>
              <w:rPr>
                <w:sz w:val="20"/>
                <w:szCs w:val="20"/>
                <w:color w:val="auto"/>
              </w:rPr>
            </w:pPr>
            <w:r>
              <w:rPr>
                <w:rFonts w:ascii="Arial" w:cs="Arial" w:eastAsia="Arial" w:hAnsi="Arial"/>
                <w:sz w:val="18"/>
                <w:szCs w:val="18"/>
                <w:color w:val="auto"/>
              </w:rPr>
              <w:t>$ 48,540</w:t>
            </w:r>
          </w:p>
        </w:tc>
        <w:tc>
          <w:tcPr>
            <w:tcW w:w="2600" w:type="dxa"/>
            <w:vAlign w:val="bottom"/>
            <w:gridSpan w:val="2"/>
          </w:tcPr>
          <w:p>
            <w:pPr>
              <w:jc w:val="right"/>
              <w:ind w:right="680"/>
              <w:spacing w:after="0"/>
              <w:rPr>
                <w:sz w:val="20"/>
                <w:szCs w:val="20"/>
                <w:color w:val="auto"/>
              </w:rPr>
            </w:pPr>
            <w:r>
              <w:rPr>
                <w:rFonts w:ascii="Arial" w:cs="Arial" w:eastAsia="Arial" w:hAnsi="Arial"/>
                <w:sz w:val="18"/>
                <w:szCs w:val="18"/>
                <w:color w:val="auto"/>
              </w:rPr>
              <w:t>$ 40,687</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Accrued salaries, wages and benefits</w:t>
            </w:r>
          </w:p>
        </w:tc>
        <w:tc>
          <w:tcPr>
            <w:tcW w:w="1600" w:type="dxa"/>
            <w:vAlign w:val="bottom"/>
            <w:gridSpan w:val="2"/>
          </w:tcPr>
          <w:p>
            <w:pPr>
              <w:jc w:val="right"/>
              <w:ind w:right="860"/>
              <w:spacing w:after="0"/>
              <w:rPr>
                <w:sz w:val="20"/>
                <w:szCs w:val="20"/>
                <w:color w:val="auto"/>
              </w:rPr>
            </w:pPr>
            <w:r>
              <w:rPr>
                <w:rFonts w:ascii="Arial" w:cs="Arial" w:eastAsia="Arial" w:hAnsi="Arial"/>
                <w:sz w:val="18"/>
                <w:szCs w:val="18"/>
                <w:color w:val="auto"/>
              </w:rPr>
              <w:t>13,408</w:t>
            </w:r>
          </w:p>
        </w:tc>
        <w:tc>
          <w:tcPr>
            <w:tcW w:w="2600" w:type="dxa"/>
            <w:vAlign w:val="bottom"/>
            <w:gridSpan w:val="2"/>
          </w:tcPr>
          <w:p>
            <w:pPr>
              <w:jc w:val="right"/>
              <w:ind w:right="680"/>
              <w:spacing w:after="0"/>
              <w:rPr>
                <w:sz w:val="20"/>
                <w:szCs w:val="20"/>
                <w:color w:val="auto"/>
              </w:rPr>
            </w:pPr>
            <w:r>
              <w:rPr>
                <w:rFonts w:ascii="Arial" w:cs="Arial" w:eastAsia="Arial" w:hAnsi="Arial"/>
                <w:sz w:val="18"/>
                <w:szCs w:val="18"/>
                <w:color w:val="auto"/>
              </w:rPr>
              <w:t>11,761</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Current maturities of long-term debt</w:t>
            </w:r>
          </w:p>
        </w:tc>
        <w:tc>
          <w:tcPr>
            <w:tcW w:w="740" w:type="dxa"/>
            <w:vAlign w:val="bottom"/>
          </w:tcPr>
          <w:p>
            <w:pPr>
              <w:jc w:val="right"/>
              <w:spacing w:after="0"/>
              <w:rPr>
                <w:sz w:val="20"/>
                <w:szCs w:val="20"/>
                <w:color w:val="auto"/>
              </w:rPr>
            </w:pPr>
            <w:r>
              <w:rPr>
                <w:rFonts w:ascii="Arial" w:cs="Arial" w:eastAsia="Arial" w:hAnsi="Arial"/>
                <w:sz w:val="18"/>
                <w:szCs w:val="18"/>
                <w:color w:val="auto"/>
              </w:rPr>
              <w:t>4,000</w:t>
            </w:r>
          </w:p>
        </w:tc>
        <w:tc>
          <w:tcPr>
            <w:tcW w:w="860" w:type="dxa"/>
            <w:vAlign w:val="bottom"/>
          </w:tcPr>
          <w:p>
            <w:pPr>
              <w:spacing w:after="0"/>
              <w:rPr>
                <w:sz w:val="18"/>
                <w:szCs w:val="18"/>
                <w:color w:val="auto"/>
              </w:rPr>
            </w:pPr>
          </w:p>
        </w:tc>
        <w:tc>
          <w:tcPr>
            <w:tcW w:w="2600" w:type="dxa"/>
            <w:vAlign w:val="bottom"/>
            <w:gridSpan w:val="2"/>
          </w:tcPr>
          <w:p>
            <w:pPr>
              <w:jc w:val="right"/>
              <w:ind w:right="680"/>
              <w:spacing w:after="0"/>
              <w:rPr>
                <w:sz w:val="20"/>
                <w:szCs w:val="20"/>
                <w:color w:val="auto"/>
              </w:rPr>
            </w:pPr>
            <w:r>
              <w:rPr>
                <w:rFonts w:ascii="Arial" w:cs="Arial" w:eastAsia="Arial" w:hAnsi="Arial"/>
                <w:sz w:val="18"/>
                <w:szCs w:val="18"/>
                <w:color w:val="auto"/>
              </w:rPr>
              <w:t>10,477</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Income taxes payable</w:t>
            </w:r>
          </w:p>
        </w:tc>
        <w:tc>
          <w:tcPr>
            <w:tcW w:w="740" w:type="dxa"/>
            <w:vAlign w:val="bottom"/>
          </w:tcPr>
          <w:p>
            <w:pPr>
              <w:jc w:val="right"/>
              <w:spacing w:after="0"/>
              <w:rPr>
                <w:sz w:val="20"/>
                <w:szCs w:val="20"/>
                <w:color w:val="auto"/>
              </w:rPr>
            </w:pPr>
            <w:r>
              <w:rPr>
                <w:rFonts w:ascii="Arial" w:cs="Arial" w:eastAsia="Arial" w:hAnsi="Arial"/>
                <w:sz w:val="18"/>
                <w:szCs w:val="18"/>
                <w:color w:val="auto"/>
              </w:rPr>
              <w:t>3,300</w:t>
            </w:r>
          </w:p>
        </w:tc>
        <w:tc>
          <w:tcPr>
            <w:tcW w:w="860" w:type="dxa"/>
            <w:vAlign w:val="bottom"/>
          </w:tcPr>
          <w:p>
            <w:pPr>
              <w:spacing w:after="0"/>
              <w:rPr>
                <w:sz w:val="18"/>
                <w:szCs w:val="18"/>
                <w:color w:val="auto"/>
              </w:rPr>
            </w:pPr>
          </w:p>
        </w:tc>
        <w:tc>
          <w:tcPr>
            <w:tcW w:w="2600" w:type="dxa"/>
            <w:vAlign w:val="bottom"/>
            <w:gridSpan w:val="2"/>
          </w:tcPr>
          <w:p>
            <w:pPr>
              <w:jc w:val="right"/>
              <w:ind w:right="680"/>
              <w:spacing w:after="0"/>
              <w:rPr>
                <w:sz w:val="20"/>
                <w:szCs w:val="20"/>
                <w:color w:val="auto"/>
              </w:rPr>
            </w:pPr>
            <w:r>
              <w:rPr>
                <w:rFonts w:ascii="Arial" w:cs="Arial" w:eastAsia="Arial" w:hAnsi="Arial"/>
                <w:sz w:val="18"/>
                <w:szCs w:val="18"/>
                <w:color w:val="auto"/>
              </w:rPr>
              <w:t>1,340</w:t>
            </w:r>
          </w:p>
        </w:tc>
      </w:tr>
      <w:tr>
        <w:trPr>
          <w:trHeight w:val="237"/>
        </w:trPr>
        <w:tc>
          <w:tcPr>
            <w:tcW w:w="722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740" w:type="dxa"/>
            <w:vAlign w:val="bottom"/>
          </w:tcPr>
          <w:p>
            <w:pPr>
              <w:jc w:val="right"/>
              <w:spacing w:after="0"/>
              <w:rPr>
                <w:sz w:val="20"/>
                <w:szCs w:val="20"/>
                <w:color w:val="auto"/>
              </w:rPr>
            </w:pPr>
            <w:r>
              <w:rPr>
                <w:rFonts w:ascii="Arial" w:cs="Arial" w:eastAsia="Arial" w:hAnsi="Arial"/>
                <w:sz w:val="18"/>
                <w:szCs w:val="18"/>
                <w:color w:val="auto"/>
              </w:rPr>
              <w:t>6,088</w:t>
            </w:r>
          </w:p>
        </w:tc>
        <w:tc>
          <w:tcPr>
            <w:tcW w:w="860" w:type="dxa"/>
            <w:vAlign w:val="bottom"/>
          </w:tcPr>
          <w:p>
            <w:pPr>
              <w:spacing w:after="0"/>
              <w:rPr>
                <w:sz w:val="20"/>
                <w:szCs w:val="20"/>
                <w:color w:val="auto"/>
              </w:rPr>
            </w:pPr>
          </w:p>
        </w:tc>
        <w:tc>
          <w:tcPr>
            <w:tcW w:w="2600" w:type="dxa"/>
            <w:vAlign w:val="bottom"/>
            <w:gridSpan w:val="2"/>
          </w:tcPr>
          <w:p>
            <w:pPr>
              <w:jc w:val="right"/>
              <w:ind w:right="680"/>
              <w:spacing w:after="0"/>
              <w:rPr>
                <w:sz w:val="20"/>
                <w:szCs w:val="20"/>
                <w:color w:val="auto"/>
              </w:rPr>
            </w:pPr>
            <w:r>
              <w:rPr>
                <w:rFonts w:ascii="Arial" w:cs="Arial" w:eastAsia="Arial" w:hAnsi="Arial"/>
                <w:sz w:val="18"/>
                <w:szCs w:val="18"/>
                <w:color w:val="auto"/>
              </w:rPr>
              <w:t>5,119</w:t>
            </w: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75,336</w:t>
            </w:r>
          </w:p>
        </w:tc>
        <w:tc>
          <w:tcPr>
            <w:tcW w:w="860" w:type="dxa"/>
            <w:vAlign w:val="bottom"/>
          </w:tcPr>
          <w:p>
            <w:pPr>
              <w:spacing w:after="0"/>
              <w:rPr>
                <w:sz w:val="20"/>
                <w:szCs w:val="20"/>
                <w:color w:val="auto"/>
              </w:rPr>
            </w:pP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69,384</w:t>
            </w:r>
          </w:p>
        </w:tc>
        <w:tc>
          <w:tcPr>
            <w:tcW w:w="680" w:type="dxa"/>
            <w:vAlign w:val="bottom"/>
          </w:tcPr>
          <w:p>
            <w:pPr>
              <w:spacing w:after="0"/>
              <w:rPr>
                <w:sz w:val="20"/>
                <w:szCs w:val="20"/>
                <w:color w:val="auto"/>
              </w:rPr>
            </w:pPr>
          </w:p>
        </w:tc>
      </w:tr>
      <w:tr>
        <w:trPr>
          <w:trHeight w:val="404"/>
        </w:trPr>
        <w:tc>
          <w:tcPr>
            <w:tcW w:w="7220" w:type="dxa"/>
            <w:vAlign w:val="bottom"/>
            <w:gridSpan w:val="2"/>
          </w:tcPr>
          <w:p>
            <w:pPr>
              <w:spacing w:after="0"/>
              <w:rPr>
                <w:sz w:val="20"/>
                <w:szCs w:val="20"/>
                <w:color w:val="auto"/>
              </w:rPr>
            </w:pPr>
            <w:r>
              <w:rPr>
                <w:rFonts w:ascii="Arial" w:cs="Arial" w:eastAsia="Arial" w:hAnsi="Arial"/>
                <w:sz w:val="18"/>
                <w:szCs w:val="18"/>
                <w:color w:val="auto"/>
              </w:rPr>
              <w:t>Non-current deferred tax liabilities</w:t>
            </w:r>
          </w:p>
        </w:tc>
        <w:tc>
          <w:tcPr>
            <w:tcW w:w="740" w:type="dxa"/>
            <w:vAlign w:val="bottom"/>
          </w:tcPr>
          <w:p>
            <w:pPr>
              <w:jc w:val="right"/>
              <w:spacing w:after="0"/>
              <w:rPr>
                <w:sz w:val="20"/>
                <w:szCs w:val="20"/>
                <w:color w:val="auto"/>
              </w:rPr>
            </w:pPr>
            <w:r>
              <w:rPr>
                <w:rFonts w:ascii="Arial" w:cs="Arial" w:eastAsia="Arial" w:hAnsi="Arial"/>
                <w:sz w:val="18"/>
                <w:szCs w:val="18"/>
                <w:color w:val="auto"/>
              </w:rPr>
              <w:t>3,962</w:t>
            </w:r>
          </w:p>
        </w:tc>
        <w:tc>
          <w:tcPr>
            <w:tcW w:w="860" w:type="dxa"/>
            <w:vAlign w:val="bottom"/>
          </w:tcPr>
          <w:p>
            <w:pPr>
              <w:spacing w:after="0"/>
              <w:rPr>
                <w:sz w:val="24"/>
                <w:szCs w:val="24"/>
                <w:color w:val="auto"/>
              </w:rPr>
            </w:pPr>
          </w:p>
        </w:tc>
        <w:tc>
          <w:tcPr>
            <w:tcW w:w="2600" w:type="dxa"/>
            <w:vAlign w:val="bottom"/>
            <w:gridSpan w:val="2"/>
          </w:tcPr>
          <w:p>
            <w:pPr>
              <w:jc w:val="right"/>
              <w:ind w:right="680"/>
              <w:spacing w:after="0"/>
              <w:rPr>
                <w:sz w:val="20"/>
                <w:szCs w:val="20"/>
                <w:color w:val="auto"/>
              </w:rPr>
            </w:pPr>
            <w:r>
              <w:rPr>
                <w:rFonts w:ascii="Arial" w:cs="Arial" w:eastAsia="Arial" w:hAnsi="Arial"/>
                <w:sz w:val="18"/>
                <w:szCs w:val="18"/>
                <w:color w:val="auto"/>
              </w:rPr>
              <w:t>3,844</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Long-term debt, net of current portion</w:t>
            </w:r>
          </w:p>
        </w:tc>
        <w:tc>
          <w:tcPr>
            <w:tcW w:w="1600" w:type="dxa"/>
            <w:vAlign w:val="bottom"/>
            <w:gridSpan w:val="2"/>
          </w:tcPr>
          <w:p>
            <w:pPr>
              <w:jc w:val="right"/>
              <w:ind w:right="860"/>
              <w:spacing w:after="0"/>
              <w:rPr>
                <w:sz w:val="20"/>
                <w:szCs w:val="20"/>
                <w:color w:val="auto"/>
              </w:rPr>
            </w:pPr>
            <w:r>
              <w:rPr>
                <w:rFonts w:ascii="Arial" w:cs="Arial" w:eastAsia="Arial" w:hAnsi="Arial"/>
                <w:sz w:val="18"/>
                <w:szCs w:val="18"/>
                <w:color w:val="auto"/>
              </w:rPr>
              <w:t>53,500</w:t>
            </w:r>
          </w:p>
        </w:tc>
        <w:tc>
          <w:tcPr>
            <w:tcW w:w="2600" w:type="dxa"/>
            <w:vAlign w:val="bottom"/>
            <w:gridSpan w:val="2"/>
          </w:tcPr>
          <w:p>
            <w:pPr>
              <w:jc w:val="right"/>
              <w:ind w:right="680"/>
              <w:spacing w:after="0"/>
              <w:rPr>
                <w:sz w:val="20"/>
                <w:szCs w:val="20"/>
                <w:color w:val="auto"/>
              </w:rPr>
            </w:pPr>
            <w:r>
              <w:rPr>
                <w:rFonts w:ascii="Arial" w:cs="Arial" w:eastAsia="Arial" w:hAnsi="Arial"/>
                <w:sz w:val="18"/>
                <w:szCs w:val="18"/>
                <w:color w:val="auto"/>
              </w:rPr>
              <w:t>26,000</w:t>
            </w:r>
          </w:p>
        </w:tc>
      </w:tr>
      <w:tr>
        <w:trPr>
          <w:trHeight w:val="237"/>
        </w:trPr>
        <w:tc>
          <w:tcPr>
            <w:tcW w:w="722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1600" w:type="dxa"/>
            <w:vAlign w:val="bottom"/>
            <w:gridSpan w:val="2"/>
          </w:tcPr>
          <w:p>
            <w:pPr>
              <w:jc w:val="right"/>
              <w:ind w:right="860"/>
              <w:spacing w:after="0"/>
              <w:rPr>
                <w:sz w:val="20"/>
                <w:szCs w:val="20"/>
                <w:color w:val="auto"/>
              </w:rPr>
            </w:pPr>
            <w:r>
              <w:rPr>
                <w:rFonts w:ascii="Arial" w:cs="Arial" w:eastAsia="Arial" w:hAnsi="Arial"/>
                <w:sz w:val="18"/>
                <w:szCs w:val="18"/>
                <w:color w:val="auto"/>
              </w:rPr>
              <w:t>10,783</w:t>
            </w:r>
          </w:p>
        </w:tc>
        <w:tc>
          <w:tcPr>
            <w:tcW w:w="2600" w:type="dxa"/>
            <w:vAlign w:val="bottom"/>
            <w:gridSpan w:val="2"/>
          </w:tcPr>
          <w:p>
            <w:pPr>
              <w:jc w:val="right"/>
              <w:ind w:right="680"/>
              <w:spacing w:after="0"/>
              <w:rPr>
                <w:sz w:val="20"/>
                <w:szCs w:val="20"/>
                <w:color w:val="auto"/>
              </w:rPr>
            </w:pPr>
            <w:r>
              <w:rPr>
                <w:rFonts w:ascii="Arial" w:cs="Arial" w:eastAsia="Arial" w:hAnsi="Arial"/>
                <w:sz w:val="18"/>
                <w:szCs w:val="18"/>
                <w:color w:val="auto"/>
              </w:rPr>
              <w:t>10,414</w:t>
            </w: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Total liabilities</w:t>
            </w:r>
          </w:p>
        </w:tc>
        <w:tc>
          <w:tcPr>
            <w:tcW w:w="1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143,581</w:t>
            </w:r>
          </w:p>
        </w:tc>
        <w:tc>
          <w:tcPr>
            <w:tcW w:w="860" w:type="dxa"/>
            <w:vAlign w:val="bottom"/>
          </w:tcPr>
          <w:p>
            <w:pPr>
              <w:spacing w:after="0"/>
              <w:rPr>
                <w:sz w:val="20"/>
                <w:szCs w:val="20"/>
                <w:color w:val="auto"/>
              </w:rPr>
            </w:pP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109,642</w:t>
            </w:r>
          </w:p>
        </w:tc>
        <w:tc>
          <w:tcPr>
            <w:tcW w:w="680" w:type="dxa"/>
            <w:vAlign w:val="bottom"/>
          </w:tcPr>
          <w:p>
            <w:pPr>
              <w:spacing w:after="0"/>
              <w:rPr>
                <w:sz w:val="20"/>
                <w:szCs w:val="20"/>
                <w:color w:val="auto"/>
              </w:rPr>
            </w:pPr>
          </w:p>
        </w:tc>
      </w:tr>
      <w:tr>
        <w:trPr>
          <w:trHeight w:val="425"/>
        </w:trPr>
        <w:tc>
          <w:tcPr>
            <w:tcW w:w="58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163,839</w:t>
            </w:r>
          </w:p>
        </w:tc>
        <w:tc>
          <w:tcPr>
            <w:tcW w:w="860" w:type="dxa"/>
            <w:vAlign w:val="bottom"/>
          </w:tcPr>
          <w:p>
            <w:pPr>
              <w:spacing w:after="0"/>
              <w:rPr>
                <w:sz w:val="24"/>
                <w:szCs w:val="24"/>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152,760</w:t>
            </w:r>
          </w:p>
        </w:tc>
        <w:tc>
          <w:tcPr>
            <w:tcW w:w="680" w:type="dxa"/>
            <w:vAlign w:val="bottom"/>
          </w:tcPr>
          <w:p>
            <w:pPr>
              <w:spacing w:after="0"/>
              <w:rPr>
                <w:sz w:val="24"/>
                <w:szCs w:val="24"/>
                <w:color w:val="auto"/>
              </w:rPr>
            </w:pPr>
          </w:p>
        </w:tc>
      </w:tr>
      <w:tr>
        <w:trPr>
          <w:trHeight w:val="432"/>
        </w:trPr>
        <w:tc>
          <w:tcPr>
            <w:tcW w:w="722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$ 307,420</w:t>
            </w:r>
          </w:p>
        </w:tc>
        <w:tc>
          <w:tcPr>
            <w:tcW w:w="860" w:type="dxa"/>
            <w:vAlign w:val="bottom"/>
          </w:tcPr>
          <w:p>
            <w:pPr>
              <w:spacing w:after="0"/>
              <w:rPr>
                <w:sz w:val="24"/>
                <w:szCs w:val="24"/>
                <w:color w:val="auto"/>
              </w:rPr>
            </w:pPr>
          </w:p>
        </w:tc>
        <w:tc>
          <w:tcPr>
            <w:tcW w:w="2600" w:type="dxa"/>
            <w:vAlign w:val="bottom"/>
            <w:gridSpan w:val="2"/>
          </w:tcPr>
          <w:p>
            <w:pPr>
              <w:jc w:val="right"/>
              <w:ind w:right="680"/>
              <w:spacing w:after="0"/>
              <w:rPr>
                <w:sz w:val="20"/>
                <w:szCs w:val="20"/>
                <w:color w:val="auto"/>
              </w:rPr>
            </w:pPr>
            <w:r>
              <w:rPr>
                <w:rFonts w:ascii="Arial" w:cs="Arial" w:eastAsia="Arial" w:hAnsi="Arial"/>
                <w:sz w:val="18"/>
                <w:szCs w:val="18"/>
                <w:color w:val="auto"/>
              </w:rPr>
              <w:t>$ 262,402</w:t>
            </w:r>
          </w:p>
        </w:tc>
      </w:tr>
      <w:tr>
        <w:trPr>
          <w:trHeight w:val="21"/>
        </w:trPr>
        <w:tc>
          <w:tcPr>
            <w:tcW w:w="58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381"/>
        </w:trPr>
        <w:tc>
          <w:tcPr>
            <w:tcW w:w="582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to 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3440" w:type="dxa"/>
            <w:vAlign w:val="bottom"/>
            <w:gridSpan w:val="5"/>
          </w:tcPr>
          <w:p>
            <w:pPr>
              <w:jc w:val="right"/>
              <w:ind w:right="1100"/>
              <w:spacing w:after="0"/>
              <w:rPr>
                <w:sz w:val="20"/>
                <w:szCs w:val="20"/>
                <w:color w:val="auto"/>
              </w:rPr>
            </w:pPr>
            <w:r>
              <w:rPr>
                <w:rFonts w:ascii="Arial" w:cs="Arial" w:eastAsia="Arial" w:hAnsi="Arial"/>
                <w:sz w:val="18"/>
                <w:szCs w:val="18"/>
                <w:b w:val="1"/>
                <w:bCs w:val="1"/>
                <w:color w:val="auto"/>
              </w:rPr>
              <w:t>Three Months Ended</w:t>
            </w:r>
          </w:p>
        </w:tc>
        <w:tc>
          <w:tcPr>
            <w:tcW w:w="320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92"/>
              </w:rPr>
              <w:t>Three Months Ended</w:t>
            </w:r>
          </w:p>
        </w:tc>
      </w:tr>
      <w:tr>
        <w:trPr>
          <w:trHeight w:val="216"/>
        </w:trPr>
        <w:tc>
          <w:tcPr>
            <w:tcW w:w="4800" w:type="dxa"/>
            <w:vAlign w:val="bottom"/>
          </w:tcPr>
          <w:p>
            <w:pPr>
              <w:spacing w:after="0"/>
              <w:rPr>
                <w:sz w:val="18"/>
                <w:szCs w:val="18"/>
                <w:color w:val="auto"/>
              </w:rPr>
            </w:pPr>
          </w:p>
        </w:tc>
        <w:tc>
          <w:tcPr>
            <w:tcW w:w="3440" w:type="dxa"/>
            <w:vAlign w:val="bottom"/>
            <w:gridSpan w:val="5"/>
          </w:tcPr>
          <w:p>
            <w:pPr>
              <w:jc w:val="right"/>
              <w:ind w:right="1400"/>
              <w:spacing w:after="0"/>
              <w:rPr>
                <w:sz w:val="20"/>
                <w:szCs w:val="20"/>
                <w:color w:val="auto"/>
              </w:rPr>
            </w:pPr>
            <w:r>
              <w:rPr>
                <w:rFonts w:ascii="Arial" w:cs="Arial" w:eastAsia="Arial" w:hAnsi="Arial"/>
                <w:sz w:val="18"/>
                <w:szCs w:val="18"/>
                <w:b w:val="1"/>
                <w:bCs w:val="1"/>
                <w:color w:val="auto"/>
              </w:rPr>
              <w:t>June 30, 2014</w:t>
            </w:r>
          </w:p>
        </w:tc>
        <w:tc>
          <w:tcPr>
            <w:tcW w:w="2120" w:type="dxa"/>
            <w:vAlign w:val="bottom"/>
            <w:gridSpan w:val="3"/>
          </w:tcPr>
          <w:p>
            <w:pPr>
              <w:jc w:val="center"/>
              <w:ind w:left="950"/>
              <w:spacing w:after="0"/>
              <w:rPr>
                <w:sz w:val="20"/>
                <w:szCs w:val="20"/>
                <w:color w:val="auto"/>
              </w:rPr>
            </w:pPr>
            <w:r>
              <w:rPr>
                <w:rFonts w:ascii="Arial" w:cs="Arial" w:eastAsia="Arial" w:hAnsi="Arial"/>
                <w:sz w:val="18"/>
                <w:szCs w:val="18"/>
                <w:b w:val="1"/>
                <w:bCs w:val="1"/>
                <w:color w:val="auto"/>
                <w:w w:val="88"/>
              </w:rPr>
              <w:t>June 30, 2013</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172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9"/>
              </w:rPr>
              <w:t>In</w:t>
            </w:r>
          </w:p>
        </w:tc>
        <w:tc>
          <w:tcPr>
            <w:tcW w:w="17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Diluted</w:t>
            </w:r>
          </w:p>
        </w:tc>
        <w:tc>
          <w:tcPr>
            <w:tcW w:w="212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99"/>
              </w:rPr>
              <w:t>In</w:t>
            </w: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Diluted</w:t>
            </w:r>
          </w:p>
        </w:tc>
      </w:tr>
      <w:tr>
        <w:trPr>
          <w:trHeight w:val="216"/>
        </w:trPr>
        <w:tc>
          <w:tcPr>
            <w:tcW w:w="4800" w:type="dxa"/>
            <w:vAlign w:val="bottom"/>
          </w:tcPr>
          <w:p>
            <w:pPr>
              <w:spacing w:after="0"/>
              <w:rPr>
                <w:sz w:val="18"/>
                <w:szCs w:val="18"/>
                <w:color w:val="auto"/>
              </w:rPr>
            </w:pPr>
          </w:p>
        </w:tc>
        <w:tc>
          <w:tcPr>
            <w:tcW w:w="172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7"/>
              </w:rPr>
              <w:t>Thousands</w:t>
            </w:r>
          </w:p>
        </w:tc>
        <w:tc>
          <w:tcPr>
            <w:tcW w:w="17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Earnings</w:t>
            </w:r>
          </w:p>
        </w:tc>
        <w:tc>
          <w:tcPr>
            <w:tcW w:w="212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87"/>
              </w:rPr>
              <w:t>Thousands</w:t>
            </w: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Earnings</w:t>
            </w:r>
          </w:p>
        </w:tc>
      </w:tr>
      <w:tr>
        <w:trPr>
          <w:trHeight w:val="241"/>
        </w:trPr>
        <w:tc>
          <w:tcPr>
            <w:tcW w:w="48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Per Share</w:t>
            </w:r>
          </w:p>
        </w:tc>
        <w:tc>
          <w:tcPr>
            <w:tcW w:w="1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Per Share</w:t>
            </w:r>
          </w:p>
        </w:tc>
      </w:tr>
      <w:tr>
        <w:trPr>
          <w:trHeight w:val="202"/>
        </w:trPr>
        <w:tc>
          <w:tcPr>
            <w:tcW w:w="4800" w:type="dxa"/>
            <w:vAlign w:val="bottom"/>
          </w:tcPr>
          <w:p>
            <w:pPr>
              <w:spacing w:after="0" w:line="201" w:lineRule="exact"/>
              <w:rPr>
                <w:sz w:val="20"/>
                <w:szCs w:val="20"/>
                <w:color w:val="auto"/>
              </w:rPr>
            </w:pPr>
            <w:r>
              <w:rPr>
                <w:rFonts w:ascii="Arial" w:cs="Arial" w:eastAsia="Arial" w:hAnsi="Arial"/>
                <w:sz w:val="18"/>
                <w:szCs w:val="18"/>
                <w:color w:val="auto"/>
              </w:rPr>
              <w:t>Net income</w:t>
            </w:r>
          </w:p>
        </w:tc>
        <w:tc>
          <w:tcPr>
            <w:tcW w:w="13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$ 5,200</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$ 0.29</w:t>
            </w:r>
          </w:p>
        </w:tc>
        <w:tc>
          <w:tcPr>
            <w:tcW w:w="400" w:type="dxa"/>
            <w:vAlign w:val="bottom"/>
          </w:tcPr>
          <w:p>
            <w:pPr>
              <w:spacing w:after="0"/>
              <w:rPr>
                <w:sz w:val="17"/>
                <w:szCs w:val="17"/>
                <w:color w:val="auto"/>
              </w:rPr>
            </w:pPr>
          </w:p>
        </w:tc>
        <w:tc>
          <w:tcPr>
            <w:tcW w:w="14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$ 4,770</w:t>
            </w:r>
          </w:p>
        </w:tc>
        <w:tc>
          <w:tcPr>
            <w:tcW w:w="3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$ 0.28</w:t>
            </w:r>
          </w:p>
        </w:tc>
        <w:tc>
          <w:tcPr>
            <w:tcW w:w="20" w:type="dxa"/>
            <w:vAlign w:val="bottom"/>
          </w:tcPr>
          <w:p>
            <w:pPr>
              <w:spacing w:after="0"/>
              <w:rPr>
                <w:sz w:val="17"/>
                <w:szCs w:val="17"/>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After-tax acquisition and integration costs</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818</w:t>
            </w:r>
          </w:p>
        </w:tc>
        <w:tc>
          <w:tcPr>
            <w:tcW w:w="380" w:type="dxa"/>
            <w:vAlign w:val="bottom"/>
          </w:tcPr>
          <w:p>
            <w:pPr>
              <w:spacing w:after="0"/>
              <w:rPr>
                <w:sz w:val="18"/>
                <w:szCs w:val="18"/>
                <w:color w:val="auto"/>
              </w:rPr>
            </w:pPr>
          </w:p>
        </w:tc>
        <w:tc>
          <w:tcPr>
            <w:tcW w:w="1720" w:type="dxa"/>
            <w:vAlign w:val="bottom"/>
            <w:gridSpan w:val="2"/>
          </w:tcPr>
          <w:p>
            <w:pPr>
              <w:jc w:val="right"/>
              <w:ind w:right="400"/>
              <w:spacing w:after="0"/>
              <w:rPr>
                <w:sz w:val="20"/>
                <w:szCs w:val="20"/>
                <w:color w:val="auto"/>
              </w:rPr>
            </w:pPr>
            <w:r>
              <w:rPr>
                <w:rFonts w:ascii="Arial" w:cs="Arial" w:eastAsia="Arial" w:hAnsi="Arial"/>
                <w:sz w:val="18"/>
                <w:szCs w:val="18"/>
                <w:color w:val="auto"/>
              </w:rPr>
              <w:t>0.04</w:t>
            </w:r>
          </w:p>
        </w:tc>
        <w:tc>
          <w:tcPr>
            <w:tcW w:w="1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7"/>
        </w:trPr>
        <w:tc>
          <w:tcPr>
            <w:tcW w:w="4800" w:type="dxa"/>
            <w:vAlign w:val="bottom"/>
          </w:tcPr>
          <w:p>
            <w:pPr>
              <w:spacing w:after="0"/>
              <w:rPr>
                <w:sz w:val="20"/>
                <w:szCs w:val="20"/>
                <w:color w:val="auto"/>
              </w:rPr>
            </w:pPr>
            <w:r>
              <w:rPr>
                <w:rFonts w:ascii="Arial" w:cs="Arial" w:eastAsia="Arial" w:hAnsi="Arial"/>
                <w:sz w:val="18"/>
                <w:szCs w:val="18"/>
                <w:color w:val="auto"/>
              </w:rPr>
              <w:t>After-tax foreign exchange gain on inter-company loans</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380"/>
              <w:spacing w:after="0"/>
              <w:rPr>
                <w:sz w:val="20"/>
                <w:szCs w:val="20"/>
                <w:color w:val="auto"/>
              </w:rPr>
            </w:pPr>
            <w:r>
              <w:rPr>
                <w:rFonts w:ascii="Arial" w:cs="Arial" w:eastAsia="Arial" w:hAnsi="Arial"/>
                <w:sz w:val="18"/>
                <w:szCs w:val="18"/>
                <w:color w:val="auto"/>
              </w:rPr>
              <w:t>(138)</w:t>
            </w:r>
          </w:p>
        </w:tc>
        <w:tc>
          <w:tcPr>
            <w:tcW w:w="2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(0.01)</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Net income from normal operations</w:t>
            </w:r>
          </w:p>
        </w:tc>
        <w:tc>
          <w:tcPr>
            <w:tcW w:w="13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$ 6,018</w:t>
            </w:r>
          </w:p>
        </w:tc>
        <w:tc>
          <w:tcPr>
            <w:tcW w:w="38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$ 0.33</w:t>
            </w:r>
          </w:p>
        </w:tc>
        <w:tc>
          <w:tcPr>
            <w:tcW w:w="4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$ 4,632</w:t>
            </w:r>
          </w:p>
        </w:tc>
        <w:tc>
          <w:tcPr>
            <w:tcW w:w="3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$ 0.27</w:t>
            </w:r>
          </w:p>
        </w:tc>
        <w:tc>
          <w:tcPr>
            <w:tcW w:w="20" w:type="dxa"/>
            <w:vAlign w:val="bottom"/>
          </w:tcPr>
          <w:p>
            <w:pPr>
              <w:spacing w:after="0"/>
              <w:rPr>
                <w:sz w:val="18"/>
                <w:szCs w:val="18"/>
                <w:color w:val="auto"/>
              </w:rPr>
            </w:pPr>
          </w:p>
        </w:tc>
      </w:tr>
      <w:tr>
        <w:trPr>
          <w:trHeight w:val="21"/>
        </w:trPr>
        <w:tc>
          <w:tcPr>
            <w:tcW w:w="48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3440" w:type="dxa"/>
            <w:vAlign w:val="bottom"/>
            <w:gridSpan w:val="5"/>
          </w:tcPr>
          <w:p>
            <w:pPr>
              <w:jc w:val="right"/>
              <w:ind w:right="1200"/>
              <w:spacing w:after="0"/>
              <w:rPr>
                <w:sz w:val="20"/>
                <w:szCs w:val="20"/>
                <w:color w:val="auto"/>
              </w:rPr>
            </w:pPr>
            <w:r>
              <w:rPr>
                <w:rFonts w:ascii="Arial" w:cs="Arial" w:eastAsia="Arial" w:hAnsi="Arial"/>
                <w:sz w:val="18"/>
                <w:szCs w:val="18"/>
                <w:b w:val="1"/>
                <w:bCs w:val="1"/>
                <w:color w:val="auto"/>
              </w:rPr>
              <w:t>Six Months Ended</w:t>
            </w:r>
          </w:p>
        </w:tc>
        <w:tc>
          <w:tcPr>
            <w:tcW w:w="320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90"/>
              </w:rPr>
              <w:t>Six Months Ended</w:t>
            </w:r>
          </w:p>
        </w:tc>
      </w:tr>
      <w:tr>
        <w:trPr>
          <w:trHeight w:val="216"/>
        </w:trPr>
        <w:tc>
          <w:tcPr>
            <w:tcW w:w="4800" w:type="dxa"/>
            <w:vAlign w:val="bottom"/>
          </w:tcPr>
          <w:p>
            <w:pPr>
              <w:spacing w:after="0"/>
              <w:rPr>
                <w:sz w:val="18"/>
                <w:szCs w:val="18"/>
                <w:color w:val="auto"/>
              </w:rPr>
            </w:pPr>
          </w:p>
        </w:tc>
        <w:tc>
          <w:tcPr>
            <w:tcW w:w="3440" w:type="dxa"/>
            <w:vAlign w:val="bottom"/>
            <w:gridSpan w:val="5"/>
          </w:tcPr>
          <w:p>
            <w:pPr>
              <w:jc w:val="right"/>
              <w:ind w:right="1400"/>
              <w:spacing w:after="0"/>
              <w:rPr>
                <w:sz w:val="20"/>
                <w:szCs w:val="20"/>
                <w:color w:val="auto"/>
              </w:rPr>
            </w:pPr>
            <w:r>
              <w:rPr>
                <w:rFonts w:ascii="Arial" w:cs="Arial" w:eastAsia="Arial" w:hAnsi="Arial"/>
                <w:sz w:val="18"/>
                <w:szCs w:val="18"/>
                <w:b w:val="1"/>
                <w:bCs w:val="1"/>
                <w:color w:val="auto"/>
              </w:rPr>
              <w:t>June 30, 2014</w:t>
            </w:r>
          </w:p>
        </w:tc>
        <w:tc>
          <w:tcPr>
            <w:tcW w:w="2120" w:type="dxa"/>
            <w:vAlign w:val="bottom"/>
            <w:gridSpan w:val="3"/>
          </w:tcPr>
          <w:p>
            <w:pPr>
              <w:jc w:val="center"/>
              <w:ind w:left="950"/>
              <w:spacing w:after="0"/>
              <w:rPr>
                <w:sz w:val="20"/>
                <w:szCs w:val="20"/>
                <w:color w:val="auto"/>
              </w:rPr>
            </w:pPr>
            <w:r>
              <w:rPr>
                <w:rFonts w:ascii="Arial" w:cs="Arial" w:eastAsia="Arial" w:hAnsi="Arial"/>
                <w:sz w:val="18"/>
                <w:szCs w:val="18"/>
                <w:b w:val="1"/>
                <w:bCs w:val="1"/>
                <w:color w:val="auto"/>
                <w:w w:val="88"/>
              </w:rPr>
              <w:t>June 30, 2013</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172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9"/>
              </w:rPr>
              <w:t>In</w:t>
            </w:r>
          </w:p>
        </w:tc>
        <w:tc>
          <w:tcPr>
            <w:tcW w:w="17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Diluted</w:t>
            </w:r>
          </w:p>
        </w:tc>
        <w:tc>
          <w:tcPr>
            <w:tcW w:w="212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99"/>
              </w:rPr>
              <w:t>In</w:t>
            </w: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Diluted</w:t>
            </w:r>
          </w:p>
        </w:tc>
      </w:tr>
      <w:tr>
        <w:trPr>
          <w:trHeight w:val="216"/>
        </w:trPr>
        <w:tc>
          <w:tcPr>
            <w:tcW w:w="4800" w:type="dxa"/>
            <w:vAlign w:val="bottom"/>
          </w:tcPr>
          <w:p>
            <w:pPr>
              <w:spacing w:after="0"/>
              <w:rPr>
                <w:sz w:val="18"/>
                <w:szCs w:val="18"/>
                <w:color w:val="auto"/>
              </w:rPr>
            </w:pPr>
          </w:p>
        </w:tc>
        <w:tc>
          <w:tcPr>
            <w:tcW w:w="172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7"/>
              </w:rPr>
              <w:t>Thousands</w:t>
            </w: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Earnings</w:t>
            </w:r>
          </w:p>
        </w:tc>
        <w:tc>
          <w:tcPr>
            <w:tcW w:w="212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87"/>
              </w:rPr>
              <w:t>Thousands</w:t>
            </w: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Earnings</w:t>
            </w:r>
          </w:p>
        </w:tc>
      </w:tr>
      <w:tr>
        <w:trPr>
          <w:trHeight w:val="241"/>
        </w:trPr>
        <w:tc>
          <w:tcPr>
            <w:tcW w:w="48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Per Share</w:t>
            </w:r>
          </w:p>
        </w:tc>
        <w:tc>
          <w:tcPr>
            <w:tcW w:w="1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Per Share</w:t>
            </w: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Net income</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$ 10,438</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$ 0.58</w:t>
            </w:r>
          </w:p>
        </w:tc>
        <w:tc>
          <w:tcPr>
            <w:tcW w:w="40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$ 7,641</w:t>
            </w:r>
          </w:p>
        </w:tc>
        <w:tc>
          <w:tcPr>
            <w:tcW w:w="3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$ 0.45</w:t>
            </w:r>
          </w:p>
        </w:tc>
        <w:tc>
          <w:tcPr>
            <w:tcW w:w="20" w:type="dxa"/>
            <w:vAlign w:val="bottom"/>
          </w:tcPr>
          <w:p>
            <w:pPr>
              <w:spacing w:after="0"/>
              <w:rPr>
                <w:sz w:val="20"/>
                <w:szCs w:val="20"/>
                <w:color w:val="auto"/>
              </w:rPr>
            </w:pPr>
          </w:p>
        </w:tc>
      </w:tr>
      <w:tr>
        <w:trPr>
          <w:trHeight w:val="404"/>
        </w:trPr>
        <w:tc>
          <w:tcPr>
            <w:tcW w:w="4800" w:type="dxa"/>
            <w:vAlign w:val="bottom"/>
          </w:tcPr>
          <w:p>
            <w:pPr>
              <w:spacing w:after="0"/>
              <w:rPr>
                <w:sz w:val="20"/>
                <w:szCs w:val="20"/>
                <w:color w:val="auto"/>
              </w:rPr>
            </w:pPr>
            <w:r>
              <w:rPr>
                <w:rFonts w:ascii="Arial" w:cs="Arial" w:eastAsia="Arial" w:hAnsi="Arial"/>
                <w:sz w:val="18"/>
                <w:szCs w:val="18"/>
                <w:color w:val="auto"/>
              </w:rPr>
              <w:t>After-tax acquisition and integration costs</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1,132</w:t>
            </w:r>
          </w:p>
        </w:tc>
        <w:tc>
          <w:tcPr>
            <w:tcW w:w="380" w:type="dxa"/>
            <w:vAlign w:val="bottom"/>
          </w:tcPr>
          <w:p>
            <w:pPr>
              <w:spacing w:after="0"/>
              <w:rPr>
                <w:sz w:val="24"/>
                <w:szCs w:val="24"/>
                <w:color w:val="auto"/>
              </w:rPr>
            </w:pPr>
          </w:p>
        </w:tc>
        <w:tc>
          <w:tcPr>
            <w:tcW w:w="1720" w:type="dxa"/>
            <w:vAlign w:val="bottom"/>
            <w:gridSpan w:val="2"/>
          </w:tcPr>
          <w:p>
            <w:pPr>
              <w:jc w:val="right"/>
              <w:ind w:right="400"/>
              <w:spacing w:after="0"/>
              <w:rPr>
                <w:sz w:val="20"/>
                <w:szCs w:val="20"/>
                <w:color w:val="auto"/>
              </w:rPr>
            </w:pPr>
            <w:r>
              <w:rPr>
                <w:rFonts w:ascii="Arial" w:cs="Arial" w:eastAsia="Arial" w:hAnsi="Arial"/>
                <w:sz w:val="18"/>
                <w:szCs w:val="18"/>
                <w:color w:val="auto"/>
              </w:rPr>
              <w:t>0.06</w:t>
            </w:r>
          </w:p>
        </w:tc>
        <w:tc>
          <w:tcPr>
            <w:tcW w:w="1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After-tax foreign exchange loss on inter-company loans</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380"/>
              <w:spacing w:after="0"/>
              <w:rPr>
                <w:sz w:val="20"/>
                <w:szCs w:val="20"/>
                <w:color w:val="auto"/>
              </w:rPr>
            </w:pPr>
            <w:r>
              <w:rPr>
                <w:rFonts w:ascii="Arial" w:cs="Arial" w:eastAsia="Arial" w:hAnsi="Arial"/>
                <w:sz w:val="18"/>
                <w:szCs w:val="18"/>
                <w:color w:val="auto"/>
              </w:rPr>
              <w:t>212</w:t>
            </w: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0.01</w:t>
            </w:r>
          </w:p>
        </w:tc>
      </w:tr>
      <w:tr>
        <w:trPr>
          <w:trHeight w:val="237"/>
        </w:trPr>
        <w:tc>
          <w:tcPr>
            <w:tcW w:w="4800" w:type="dxa"/>
            <w:vAlign w:val="bottom"/>
          </w:tcPr>
          <w:p>
            <w:pPr>
              <w:spacing w:after="0"/>
              <w:rPr>
                <w:sz w:val="20"/>
                <w:szCs w:val="20"/>
                <w:color w:val="auto"/>
              </w:rPr>
            </w:pPr>
            <w:r>
              <w:rPr>
                <w:rFonts w:ascii="Arial" w:cs="Arial" w:eastAsia="Arial" w:hAnsi="Arial"/>
                <w:sz w:val="18"/>
                <w:szCs w:val="18"/>
                <w:color w:val="auto"/>
              </w:rPr>
              <w:t>After-tax restructuring and other non-recurring items</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380"/>
              <w:spacing w:after="0"/>
              <w:rPr>
                <w:sz w:val="20"/>
                <w:szCs w:val="20"/>
                <w:color w:val="auto"/>
              </w:rPr>
            </w:pPr>
            <w:r>
              <w:rPr>
                <w:rFonts w:ascii="Arial" w:cs="Arial" w:eastAsia="Arial" w:hAnsi="Arial"/>
                <w:sz w:val="18"/>
                <w:szCs w:val="18"/>
                <w:color w:val="auto"/>
              </w:rPr>
              <w:t>399</w:t>
            </w:r>
          </w:p>
        </w:tc>
        <w:tc>
          <w:tcPr>
            <w:tcW w:w="2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0.02</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Net income from normal operations</w:t>
            </w:r>
          </w:p>
        </w:tc>
        <w:tc>
          <w:tcPr>
            <w:tcW w:w="13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$ 11,570</w:t>
            </w:r>
          </w:p>
        </w:tc>
        <w:tc>
          <w:tcPr>
            <w:tcW w:w="38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$ 0.64</w:t>
            </w:r>
          </w:p>
        </w:tc>
        <w:tc>
          <w:tcPr>
            <w:tcW w:w="4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$ 8,252</w:t>
            </w:r>
          </w:p>
        </w:tc>
        <w:tc>
          <w:tcPr>
            <w:tcW w:w="3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$ 0.48</w:t>
            </w:r>
          </w:p>
        </w:tc>
        <w:tc>
          <w:tcPr>
            <w:tcW w:w="20" w:type="dxa"/>
            <w:vAlign w:val="bottom"/>
          </w:tcPr>
          <w:p>
            <w:pPr>
              <w:spacing w:after="0"/>
              <w:rPr>
                <w:sz w:val="18"/>
                <w:szCs w:val="18"/>
                <w:color w:val="auto"/>
              </w:rPr>
            </w:pPr>
          </w:p>
        </w:tc>
      </w:tr>
      <w:tr>
        <w:trPr>
          <w:trHeight w:val="21"/>
        </w:trPr>
        <w:tc>
          <w:tcPr>
            <w:tcW w:w="48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Company’s management evaluates operating performance excluding unusual and/or nonrecurring items. The Company believes excluding such items provides a more effective and comparable measure of performance and a clearer view of underlying trends. Since net income excluding these items is not a measure calculated in accordance with GAAP, this should not be considered as a substitute for other GAAP measures, including net income, as an indicator of performance. Accordingly, net income/loss excluding the above items is reconciled to net income/loss on a GAAP basis.</w:t>
      </w:r>
    </w:p>
    <w:sectPr>
      <w:pgSz w:w="11900" w:h="16838" w:orient="portrait"/>
      <w:cols w:equalWidth="0" w:num="1">
        <w:col w:w="11420"/>
      </w:cols>
      <w:pgMar w:left="240" w:top="99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2019-12-06T09:35:30Z</dcterms:created>
  <dcterms:modified xsi:type="dcterms:W3CDTF">2019-12-06T09:35:30Z</dcterms:modified>
</cp:coreProperties>
</file>