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left="1700" w:right="25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May 17, 2012.</w:t>
      </w:r>
    </w:p>
    <w:p>
      <w:pPr>
        <w:spacing w:after="0" w:line="167" w:lineRule="exact"/>
        <w:rPr>
          <w:sz w:val="20"/>
          <w:szCs w:val="20"/>
          <w:color w:val="auto"/>
        </w:rPr>
      </w:pPr>
    </w:p>
    <w:tbl>
      <w:tblPr>
        <w:tblLayout w:type="fixed"/>
        <w:tblInd w:w="1700" w:type="dxa"/>
        <w:tblCellMar>
          <w:top w:w="0" w:type="dxa"/>
          <w:left w:w="0" w:type="dxa"/>
          <w:bottom w:w="0" w:type="dxa"/>
          <w:right w:w="0" w:type="dxa"/>
        </w:tblCellMar>
      </w:tblPr>
      <w:tr>
        <w:trPr>
          <w:trHeight w:val="243"/>
        </w:trPr>
        <w:tc>
          <w:tcPr>
            <w:tcW w:w="3240" w:type="dxa"/>
            <w:vAlign w:val="bottom"/>
            <w:tcBorders>
              <w:right w:val="single" w:sz="8" w:color="B2B2B2"/>
            </w:tcBorders>
          </w:tcPr>
          <w:p>
            <w:pPr>
              <w:spacing w:after="0"/>
              <w:rPr>
                <w:sz w:val="20"/>
                <w:szCs w:val="20"/>
                <w:color w:val="auto"/>
              </w:rPr>
            </w:pPr>
            <w:r>
              <w:rPr>
                <w:rFonts w:ascii="Arial" w:cs="Arial" w:eastAsia="Arial" w:hAnsi="Arial"/>
                <w:sz w:val="18"/>
                <w:szCs w:val="18"/>
                <w:b w:val="1"/>
                <w:bCs w:val="1"/>
                <w:color w:val="auto"/>
              </w:rPr>
              <w:t>NN, INC.</w:t>
            </w:r>
          </w:p>
        </w:tc>
        <w:tc>
          <w:tcPr>
            <w:tcW w:w="1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5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Meeting Information</w:t>
            </w:r>
          </w:p>
        </w:tc>
        <w:tc>
          <w:tcPr>
            <w:tcW w:w="0" w:type="dxa"/>
            <w:vAlign w:val="bottom"/>
          </w:tcPr>
          <w:p>
            <w:pPr>
              <w:spacing w:after="0"/>
              <w:rPr>
                <w:sz w:val="1"/>
                <w:szCs w:val="1"/>
                <w:color w:val="auto"/>
              </w:rPr>
            </w:pPr>
          </w:p>
        </w:tc>
      </w:tr>
      <w:tr>
        <w:trPr>
          <w:trHeight w:val="20"/>
        </w:trPr>
        <w:tc>
          <w:tcPr>
            <w:tcW w:w="3240" w:type="dxa"/>
            <w:vAlign w:val="bottom"/>
            <w:tcBorders>
              <w:right w:val="single" w:sz="8" w:color="B2B2B2"/>
            </w:tcBorders>
          </w:tcPr>
          <w:p>
            <w:pPr>
              <w:spacing w:after="0" w:line="20" w:lineRule="exact"/>
              <w:rPr>
                <w:sz w:val="1"/>
                <w:szCs w:val="1"/>
                <w:color w:val="auto"/>
              </w:rPr>
            </w:pPr>
          </w:p>
        </w:tc>
        <w:tc>
          <w:tcPr>
            <w:tcW w:w="14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Meeting Type:</w:t>
            </w:r>
          </w:p>
        </w:tc>
        <w:tc>
          <w:tcPr>
            <w:tcW w:w="6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240" w:type="dxa"/>
            <w:vAlign w:val="bottom"/>
            <w:tcBorders>
              <w:right w:val="single" w:sz="8" w:color="B2B2B2"/>
            </w:tcBorders>
          </w:tcPr>
          <w:p>
            <w:pPr>
              <w:spacing w:after="0"/>
              <w:rPr>
                <w:sz w:val="24"/>
                <w:szCs w:val="24"/>
                <w:color w:val="auto"/>
              </w:rPr>
            </w:pPr>
          </w:p>
        </w:tc>
        <w:tc>
          <w:tcPr>
            <w:tcW w:w="1480" w:type="dxa"/>
            <w:vAlign w:val="bottom"/>
            <w:vMerge w:val="continue"/>
          </w:tcPr>
          <w:p>
            <w:pPr>
              <w:spacing w:after="0"/>
              <w:rPr>
                <w:sz w:val="24"/>
                <w:szCs w:val="24"/>
                <w:color w:val="auto"/>
              </w:rPr>
            </w:pPr>
          </w:p>
        </w:tc>
        <w:tc>
          <w:tcPr>
            <w:tcW w:w="420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Annual Meeting</w:t>
            </w:r>
          </w:p>
        </w:tc>
        <w:tc>
          <w:tcPr>
            <w:tcW w:w="0" w:type="dxa"/>
            <w:vAlign w:val="bottom"/>
          </w:tcPr>
          <w:p>
            <w:pPr>
              <w:spacing w:after="0"/>
              <w:rPr>
                <w:sz w:val="1"/>
                <w:szCs w:val="1"/>
                <w:color w:val="auto"/>
              </w:rPr>
            </w:pPr>
          </w:p>
        </w:tc>
      </w:tr>
      <w:tr>
        <w:trPr>
          <w:trHeight w:val="217"/>
        </w:trPr>
        <w:tc>
          <w:tcPr>
            <w:tcW w:w="3240" w:type="dxa"/>
            <w:vAlign w:val="bottom"/>
            <w:tcBorders>
              <w:right w:val="single" w:sz="8" w:color="B2B2B2"/>
            </w:tcBorders>
          </w:tcPr>
          <w:p>
            <w:pPr>
              <w:spacing w:after="0"/>
              <w:rPr>
                <w:sz w:val="18"/>
                <w:szCs w:val="18"/>
                <w:color w:val="auto"/>
              </w:rPr>
            </w:pPr>
          </w:p>
        </w:tc>
        <w:tc>
          <w:tcPr>
            <w:tcW w:w="56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March 26, 2012</w:t>
            </w:r>
          </w:p>
        </w:tc>
        <w:tc>
          <w:tcPr>
            <w:tcW w:w="0" w:type="dxa"/>
            <w:vAlign w:val="bottom"/>
          </w:tcPr>
          <w:p>
            <w:pPr>
              <w:spacing w:after="0"/>
              <w:rPr>
                <w:sz w:val="1"/>
                <w:szCs w:val="1"/>
                <w:color w:val="auto"/>
              </w:rPr>
            </w:pPr>
          </w:p>
        </w:tc>
      </w:tr>
      <w:tr>
        <w:trPr>
          <w:trHeight w:val="216"/>
        </w:trPr>
        <w:tc>
          <w:tcPr>
            <w:tcW w:w="3240" w:type="dxa"/>
            <w:vAlign w:val="bottom"/>
            <w:tcBorders>
              <w:right w:val="single" w:sz="8" w:color="B2B2B2"/>
            </w:tcBorders>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17, 2012</w:t>
            </w:r>
          </w:p>
        </w:tc>
        <w:tc>
          <w:tcPr>
            <w:tcW w:w="35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 EDT</w:t>
            </w:r>
          </w:p>
        </w:tc>
        <w:tc>
          <w:tcPr>
            <w:tcW w:w="0" w:type="dxa"/>
            <w:vAlign w:val="bottom"/>
          </w:tcPr>
          <w:p>
            <w:pPr>
              <w:spacing w:after="0"/>
              <w:rPr>
                <w:sz w:val="1"/>
                <w:szCs w:val="1"/>
                <w:color w:val="auto"/>
              </w:rPr>
            </w:pPr>
          </w:p>
        </w:tc>
      </w:tr>
      <w:tr>
        <w:trPr>
          <w:trHeight w:val="222"/>
        </w:trPr>
        <w:tc>
          <w:tcPr>
            <w:tcW w:w="3240" w:type="dxa"/>
            <w:vAlign w:val="bottom"/>
            <w:tcBorders>
              <w:right w:val="single" w:sz="8" w:color="B2B2B2"/>
            </w:tcBorders>
          </w:tcPr>
          <w:p>
            <w:pPr>
              <w:spacing w:after="0"/>
              <w:rPr>
                <w:sz w:val="19"/>
                <w:szCs w:val="19"/>
                <w:color w:val="auto"/>
              </w:rPr>
            </w:pPr>
          </w:p>
        </w:tc>
        <w:tc>
          <w:tcPr>
            <w:tcW w:w="568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RENAISSANCE CHARLESTON HOTEL</w:t>
            </w:r>
          </w:p>
        </w:tc>
        <w:tc>
          <w:tcPr>
            <w:tcW w:w="0" w:type="dxa"/>
            <w:vAlign w:val="bottom"/>
          </w:tcPr>
          <w:p>
            <w:pPr>
              <w:spacing w:after="0"/>
              <w:rPr>
                <w:sz w:val="1"/>
                <w:szCs w:val="1"/>
                <w:color w:val="auto"/>
              </w:rPr>
            </w:pPr>
          </w:p>
        </w:tc>
      </w:tr>
      <w:tr>
        <w:trPr>
          <w:trHeight w:val="216"/>
        </w:trPr>
        <w:tc>
          <w:tcPr>
            <w:tcW w:w="3240" w:type="dxa"/>
            <w:vAlign w:val="bottom"/>
            <w:tcBorders>
              <w:right w:val="single" w:sz="8" w:color="B2B2B2"/>
            </w:tcBorders>
          </w:tcPr>
          <w:p>
            <w:pPr>
              <w:spacing w:after="0"/>
              <w:rPr>
                <w:sz w:val="18"/>
                <w:szCs w:val="18"/>
                <w:color w:val="auto"/>
              </w:rPr>
            </w:pPr>
          </w:p>
        </w:tc>
        <w:tc>
          <w:tcPr>
            <w:tcW w:w="5680" w:type="dxa"/>
            <w:vAlign w:val="bottom"/>
            <w:tcBorders>
              <w:right w:val="single" w:sz="8" w:color="auto"/>
            </w:tcBorders>
            <w:gridSpan w:val="4"/>
          </w:tcPr>
          <w:p>
            <w:pPr>
              <w:ind w:left="1080"/>
              <w:spacing w:after="0"/>
              <w:rPr>
                <w:sz w:val="20"/>
                <w:szCs w:val="20"/>
                <w:color w:val="auto"/>
              </w:rPr>
            </w:pPr>
            <w:r>
              <w:rPr>
                <w:rFonts w:ascii="Arial" w:cs="Arial" w:eastAsia="Arial" w:hAnsi="Arial"/>
                <w:sz w:val="18"/>
                <w:szCs w:val="18"/>
                <w:color w:val="auto"/>
              </w:rPr>
              <w:t>68 WENTWORTH STREET</w:t>
            </w:r>
          </w:p>
        </w:tc>
        <w:tc>
          <w:tcPr>
            <w:tcW w:w="0" w:type="dxa"/>
            <w:vAlign w:val="bottom"/>
          </w:tcPr>
          <w:p>
            <w:pPr>
              <w:spacing w:after="0"/>
              <w:rPr>
                <w:sz w:val="1"/>
                <w:szCs w:val="1"/>
                <w:color w:val="auto"/>
              </w:rPr>
            </w:pPr>
          </w:p>
        </w:tc>
      </w:tr>
      <w:tr>
        <w:trPr>
          <w:trHeight w:val="222"/>
        </w:trPr>
        <w:tc>
          <w:tcPr>
            <w:tcW w:w="3240" w:type="dxa"/>
            <w:vAlign w:val="bottom"/>
            <w:tcBorders>
              <w:right w:val="single" w:sz="8" w:color="B2B2B2"/>
            </w:tcBorders>
          </w:tcPr>
          <w:p>
            <w:pPr>
              <w:spacing w:after="0"/>
              <w:rPr>
                <w:sz w:val="19"/>
                <w:szCs w:val="19"/>
                <w:color w:val="auto"/>
              </w:rPr>
            </w:pPr>
          </w:p>
        </w:tc>
        <w:tc>
          <w:tcPr>
            <w:tcW w:w="5680" w:type="dxa"/>
            <w:vAlign w:val="bottom"/>
            <w:tcBorders>
              <w:right w:val="single" w:sz="8" w:color="auto"/>
            </w:tcBorders>
            <w:gridSpan w:val="4"/>
          </w:tcPr>
          <w:p>
            <w:pPr>
              <w:ind w:left="1080"/>
              <w:spacing w:after="0"/>
              <w:rPr>
                <w:sz w:val="20"/>
                <w:szCs w:val="20"/>
                <w:color w:val="auto"/>
              </w:rPr>
            </w:pPr>
            <w:r>
              <w:rPr>
                <w:rFonts w:ascii="Arial" w:cs="Arial" w:eastAsia="Arial" w:hAnsi="Arial"/>
                <w:sz w:val="18"/>
                <w:szCs w:val="18"/>
                <w:color w:val="auto"/>
              </w:rPr>
              <w:t>CHARLESTON, SC 29401</w:t>
            </w:r>
          </w:p>
        </w:tc>
        <w:tc>
          <w:tcPr>
            <w:tcW w:w="0" w:type="dxa"/>
            <w:vAlign w:val="bottom"/>
          </w:tcPr>
          <w:p>
            <w:pPr>
              <w:spacing w:after="0"/>
              <w:rPr>
                <w:sz w:val="1"/>
                <w:szCs w:val="1"/>
                <w:color w:val="auto"/>
              </w:rPr>
            </w:pPr>
          </w:p>
        </w:tc>
      </w:tr>
      <w:tr>
        <w:trPr>
          <w:trHeight w:val="185"/>
        </w:trPr>
        <w:tc>
          <w:tcPr>
            <w:tcW w:w="3240" w:type="dxa"/>
            <w:vAlign w:val="bottom"/>
            <w:tcBorders>
              <w:right w:val="single" w:sz="8" w:color="B2B2B2"/>
            </w:tcBorders>
          </w:tcPr>
          <w:p>
            <w:pPr>
              <w:spacing w:after="0"/>
              <w:rPr>
                <w:sz w:val="16"/>
                <w:szCs w:val="16"/>
                <w:color w:val="auto"/>
              </w:rPr>
            </w:pPr>
          </w:p>
        </w:tc>
        <w:tc>
          <w:tcPr>
            <w:tcW w:w="1480" w:type="dxa"/>
            <w:vAlign w:val="bottom"/>
            <w:tcBorders>
              <w:bottom w:val="single" w:sz="8" w:color="B2B2B2"/>
            </w:tcBorders>
          </w:tcPr>
          <w:p>
            <w:pPr>
              <w:spacing w:after="0"/>
              <w:rPr>
                <w:sz w:val="16"/>
                <w:szCs w:val="16"/>
                <w:color w:val="auto"/>
              </w:rPr>
            </w:pPr>
          </w:p>
        </w:tc>
        <w:tc>
          <w:tcPr>
            <w:tcW w:w="620" w:type="dxa"/>
            <w:vAlign w:val="bottom"/>
            <w:tcBorders>
              <w:bottom w:val="single" w:sz="8" w:color="B2B2B2"/>
            </w:tcBorders>
          </w:tcPr>
          <w:p>
            <w:pPr>
              <w:spacing w:after="0"/>
              <w:rPr>
                <w:sz w:val="16"/>
                <w:szCs w:val="16"/>
                <w:color w:val="auto"/>
              </w:rPr>
            </w:pPr>
          </w:p>
        </w:tc>
        <w:tc>
          <w:tcPr>
            <w:tcW w:w="1560" w:type="dxa"/>
            <w:vAlign w:val="bottom"/>
            <w:tcBorders>
              <w:bottom w:val="single" w:sz="8" w:color="B2B2B2"/>
            </w:tcBorders>
          </w:tcPr>
          <w:p>
            <w:pPr>
              <w:spacing w:after="0"/>
              <w:rPr>
                <w:sz w:val="16"/>
                <w:szCs w:val="16"/>
                <w:color w:val="auto"/>
              </w:rPr>
            </w:pPr>
          </w:p>
        </w:tc>
        <w:tc>
          <w:tcPr>
            <w:tcW w:w="2020" w:type="dxa"/>
            <w:vAlign w:val="bottom"/>
            <w:tcBorders>
              <w:bottom w:val="single" w:sz="8" w:color="B2B2B2"/>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ectPr>
          <w:pgSz w:w="11900" w:h="16838" w:orient="portrait"/>
          <w:cols w:equalWidth="0" w:num="1">
            <w:col w:w="10620"/>
          </w:cols>
          <w:pgMar w:left="1060" w:top="274" w:right="2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NN,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2000 WATERS EDGE DRIVE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BUILDING C, STE. 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193040</wp:posOffset>
            </wp:positionV>
            <wp:extent cx="85725" cy="840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40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6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4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88900</wp:posOffset>
            </wp:positionV>
            <wp:extent cx="3610610" cy="351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0610" cy="351790"/>
                    </a:xfrm>
                    <a:prstGeom prst="rect">
                      <a:avLst/>
                    </a:prstGeom>
                    <a:noFill/>
                  </pic:spPr>
                </pic:pic>
              </a:graphicData>
            </a:graphic>
          </wp:anchor>
        </w:drawing>
      </w:r>
    </w:p>
    <w:p>
      <w:pPr>
        <w:spacing w:after="0" w:line="160" w:lineRule="exact"/>
        <w:rPr>
          <w:sz w:val="20"/>
          <w:szCs w:val="20"/>
          <w:color w:val="auto"/>
        </w:rPr>
      </w:pPr>
    </w:p>
    <w:p>
      <w:pPr>
        <w:ind w:right="108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4420" w:space="720"/>
            <w:col w:w="5480"/>
          </w:cols>
          <w:pgMar w:left="1060" w:top="274" w:right="219" w:bottom="1440" w:gutter="0" w:footer="0" w:header="0"/>
          <w:type w:val="continuous"/>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How to Access the Proxy Materials</w:t>
      </w:r>
    </w:p>
    <w:p>
      <w:pPr>
        <w:sectPr>
          <w:pgSz w:w="11900" w:h="16838" w:orient="portrait"/>
          <w:cols w:equalWidth="0" w:num="1">
            <w:col w:w="10360"/>
          </w:cols>
          <w:pgMar w:left="1140" w:top="274" w:right="39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-130175</wp:posOffset>
            </wp:positionV>
            <wp:extent cx="6980555" cy="2435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0555" cy="2435225"/>
                    </a:xfrm>
                    <a:prstGeom prst="rect">
                      <a:avLst/>
                    </a:prstGeom>
                    <a:noFill/>
                  </pic:spPr>
                </pic:pic>
              </a:graphicData>
            </a:graphic>
          </wp:anchor>
        </w:drawing>
      </w:r>
    </w:p>
    <w:p>
      <w:pPr>
        <w:spacing w:after="0" w:line="1"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1. NOTICE AND PROXY STATEMENT</w:t>
      </w:r>
      <w:r>
        <w:rPr>
          <w:sz w:val="20"/>
          <w:szCs w:val="20"/>
          <w:color w:val="auto"/>
        </w:rPr>
        <w:tab/>
      </w:r>
      <w:r>
        <w:rPr>
          <w:rFonts w:ascii="Arial" w:cs="Arial" w:eastAsia="Arial" w:hAnsi="Arial"/>
          <w:sz w:val="16"/>
          <w:szCs w:val="16"/>
          <w:color w:val="auto"/>
        </w:rPr>
        <w:t>2. ANNUAL REPORT</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3. FORM OF PROXY</w:t>
      </w:r>
    </w:p>
    <w:p>
      <w:pPr>
        <w:spacing w:after="0" w:line="107" w:lineRule="exact"/>
        <w:rPr>
          <w:sz w:val="20"/>
          <w:szCs w:val="20"/>
          <w:color w:val="auto"/>
        </w:rPr>
      </w:pPr>
    </w:p>
    <w:p>
      <w:pPr>
        <w:sectPr>
          <w:pgSz w:w="11900" w:h="16838" w:orient="portrait"/>
          <w:cols w:equalWidth="0" w:num="2">
            <w:col w:w="5080" w:space="520"/>
            <w:col w:w="4760"/>
          </w:cols>
          <w:pgMar w:left="1140" w:top="274" w:right="3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How to View Online:</w:t>
      </w:r>
    </w:p>
    <w:p>
      <w:pPr>
        <w:sectPr>
          <w:pgSz w:w="11900" w:h="16838" w:orient="portrait"/>
          <w:cols w:equalWidth="0" w:num="1">
            <w:col w:w="10360"/>
          </w:cols>
          <w:pgMar w:left="1140" w:top="274" w:right="399" w:bottom="1440" w:gutter="0" w:footer="0" w:header="0"/>
          <w:type w:val="continuous"/>
        </w:sectPr>
      </w:pPr>
    </w:p>
    <w:p>
      <w:pPr>
        <w:spacing w:after="0" w:line="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86510" cy="137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6510" cy="137160"/>
                    </a:xfrm>
                    <a:prstGeom prst="rect">
                      <a:avLst/>
                    </a:prstGeom>
                    <a:noFill/>
                    <a:ln>
                      <a:noFill/>
                    </a:ln>
                  </pic:spPr>
                </pic:pic>
              </a:graphicData>
            </a:graphic>
          </wp:inline>
        </w:drawing>
      </w:r>
      <w:r>
        <w:rPr>
          <w:rFonts w:ascii="Arial" w:cs="Arial" w:eastAsia="Arial" w:hAnsi="Arial"/>
          <w:sz w:val="18"/>
          <w:szCs w:val="18"/>
          <w:i w:val="1"/>
          <w:iCs w:val="1"/>
          <w:color w:val="auto"/>
        </w:rPr>
        <w:t xml:space="preserve"> www.proxyvote.com.</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(located on the following page) and visit:</w:t>
      </w:r>
    </w:p>
    <w:p>
      <w:pPr>
        <w:spacing w:after="0" w:line="322" w:lineRule="exact"/>
        <w:rPr>
          <w:sz w:val="20"/>
          <w:szCs w:val="20"/>
          <w:color w:val="auto"/>
        </w:rPr>
      </w:pPr>
    </w:p>
    <w:p>
      <w:pPr>
        <w:sectPr>
          <w:pgSz w:w="11900" w:h="16838" w:orient="portrait"/>
          <w:cols w:equalWidth="0" w:num="2">
            <w:col w:w="6880" w:space="120"/>
            <w:col w:w="3360"/>
          </w:cols>
          <w:pgMar w:left="1140" w:top="274"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ind w:left="1300"/>
        <w:spacing w:after="0"/>
        <w:tabs>
          <w:tab w:leader="none" w:pos="31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9" w:lineRule="exact"/>
        <w:rPr>
          <w:sz w:val="20"/>
          <w:szCs w:val="20"/>
          <w:color w:val="auto"/>
        </w:rPr>
      </w:pPr>
    </w:p>
    <w:p>
      <w:pPr>
        <w:ind w:left="1480" w:hanging="184"/>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r>
        <w:rPr>
          <w:rFonts w:ascii="Arial" w:cs="Arial" w:eastAsia="Arial" w:hAnsi="Arial"/>
          <w:sz w:val="16"/>
          <w:szCs w:val="16"/>
          <w:color w:val="auto"/>
        </w:rPr>
        <w:t>1-800-579-1639</w:t>
      </w:r>
    </w:p>
    <w:p>
      <w:pPr>
        <w:spacing w:after="0" w:line="9" w:lineRule="exact"/>
        <w:rPr>
          <w:rFonts w:ascii="Arial" w:cs="Arial" w:eastAsia="Arial" w:hAnsi="Arial"/>
          <w:sz w:val="18"/>
          <w:szCs w:val="18"/>
          <w:color w:val="auto"/>
        </w:rPr>
      </w:pPr>
    </w:p>
    <w:p>
      <w:pPr>
        <w:ind w:left="1480" w:hanging="184"/>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11"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286510"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651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8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3, 2012 to facilitate timely delivery.</w:t>
      </w:r>
    </w:p>
    <w:p>
      <w:pPr>
        <w:spacing w:after="0" w:line="200" w:lineRule="exact"/>
        <w:rPr>
          <w:sz w:val="20"/>
          <w:szCs w:val="20"/>
          <w:color w:val="auto"/>
        </w:rPr>
      </w:pP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How To Vote —</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109855</wp:posOffset>
            </wp:positionV>
            <wp:extent cx="7254875" cy="1149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1149350"/>
                    </a:xfrm>
                    <a:prstGeom prst="rect">
                      <a:avLst/>
                    </a:prstGeom>
                    <a:noFill/>
                  </pic:spPr>
                </pic:pic>
              </a:graphicData>
            </a:graphic>
          </wp:anchor>
        </w:drawing>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To obtain directions to attend the meeting and vote in person, please call 423-743-9151. At the meeting, you will need to request a</w:t>
      </w:r>
      <w:r>
        <w:rPr>
          <w:rFonts w:ascii="Arial" w:cs="Arial" w:eastAsia="Arial" w:hAnsi="Arial"/>
          <w:sz w:val="18"/>
          <w:szCs w:val="18"/>
          <w:b w:val="1"/>
          <w:bCs w:val="1"/>
          <w:color w:val="auto"/>
        </w:rPr>
        <w:t xml:space="preserve"> </w:t>
      </w:r>
      <w:r>
        <w:rPr>
          <w:rFonts w:ascii="Arial" w:cs="Arial" w:eastAsia="Arial" w:hAnsi="Arial"/>
          <w:sz w:val="18"/>
          <w:szCs w:val="18"/>
          <w:color w:val="auto"/>
        </w:rPr>
        <w:t>ballot to vote these shares.</w:t>
      </w:r>
    </w:p>
    <w:p>
      <w:pPr>
        <w:spacing w:after="0" w:line="174" w:lineRule="exact"/>
        <w:rPr>
          <w:sz w:val="20"/>
          <w:szCs w:val="20"/>
          <w:color w:val="auto"/>
        </w:rPr>
      </w:pPr>
    </w:p>
    <w:p>
      <w:pPr>
        <w:ind w:left="2160" w:right="600" w:hanging="2156"/>
        <w:spacing w:after="0" w:line="338"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and follow the instructions.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360"/>
          </w:cols>
          <w:pgMar w:left="1140" w:top="274" w:right="399" w:bottom="1440" w:gutter="0" w:footer="0" w:header="0"/>
          <w:type w:val="continuous"/>
        </w:sectPr>
      </w:pPr>
    </w:p>
    <w:bookmarkStart w:id="4" w:name="page5"/>
    <w:bookmarkEnd w:id="4"/>
    <w:p>
      <w:pPr>
        <w:ind w:lef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183515</wp:posOffset>
            </wp:positionV>
            <wp:extent cx="183515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5150" cy="214630"/>
                    </a:xfrm>
                    <a:prstGeom prst="rect">
                      <a:avLst/>
                    </a:prstGeom>
                    <a:noFill/>
                  </pic:spPr>
                </pic:pic>
              </a:graphicData>
            </a:graphic>
          </wp:anchor>
        </w:drawing>
        <w:t>Voting Items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6569075</wp:posOffset>
            </wp:positionH>
            <wp:positionV relativeFrom="paragraph">
              <wp:posOffset>-130175</wp:posOffset>
            </wp:positionV>
            <wp:extent cx="41148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48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following:</w:t>
      </w:r>
    </w:p>
    <w:p>
      <w:pPr>
        <w:spacing w:after="0" w:line="84" w:lineRule="exact"/>
        <w:rPr>
          <w:sz w:val="20"/>
          <w:szCs w:val="20"/>
          <w:color w:val="auto"/>
        </w:rPr>
      </w:pPr>
    </w:p>
    <w:p>
      <w:pPr>
        <w:ind w:left="400" w:hanging="400"/>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9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09" w:lineRule="exact"/>
        <w:rPr>
          <w:rFonts w:ascii="Arial" w:cs="Arial" w:eastAsia="Arial" w:hAnsi="Arial"/>
          <w:sz w:val="18"/>
          <w:szCs w:val="18"/>
          <w:color w:val="auto"/>
        </w:rPr>
      </w:pPr>
    </w:p>
    <w:p>
      <w:pPr>
        <w:ind w:left="800" w:hanging="368"/>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Roderick R. Baty</w:t>
      </w:r>
    </w:p>
    <w:p>
      <w:pPr>
        <w:spacing w:after="0" w:line="15" w:lineRule="exact"/>
        <w:rPr>
          <w:rFonts w:ascii="Arial" w:cs="Arial" w:eastAsia="Arial" w:hAnsi="Arial"/>
          <w:sz w:val="18"/>
          <w:szCs w:val="18"/>
          <w:color w:val="auto"/>
        </w:rPr>
      </w:pPr>
    </w:p>
    <w:p>
      <w:pPr>
        <w:ind w:left="800" w:hanging="368"/>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David L. Pugh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231" w:lineRule="exact"/>
        <w:rPr>
          <w:sz w:val="20"/>
          <w:szCs w:val="20"/>
          <w:color w:val="auto"/>
        </w:rPr>
      </w:pPr>
    </w:p>
    <w:p>
      <w:pPr>
        <w:ind w:left="400" w:hanging="400"/>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advisory resolution on executive compensation.</w:t>
      </w:r>
    </w:p>
    <w:p>
      <w:pPr>
        <w:spacing w:after="0" w:line="225" w:lineRule="exact"/>
        <w:rPr>
          <w:rFonts w:ascii="Arial" w:cs="Arial" w:eastAsia="Arial" w:hAnsi="Arial"/>
          <w:sz w:val="18"/>
          <w:szCs w:val="18"/>
          <w:color w:val="auto"/>
        </w:rPr>
      </w:pPr>
    </w:p>
    <w:p>
      <w:pPr>
        <w:ind w:left="400" w:hanging="400"/>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ratification of the selection of PRICEWATERHOUSECOOPERS LLP as registered independent public accounting firm.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1198245</wp:posOffset>
            </wp:positionV>
            <wp:extent cx="85725" cy="840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40740"/>
                    </a:xfrm>
                    <a:prstGeom prst="rect">
                      <a:avLst/>
                    </a:prstGeom>
                    <a:noFill/>
                  </pic:spPr>
                </pic:pic>
              </a:graphicData>
            </a:graphic>
          </wp:anchor>
        </w:drawing>
      </w:r>
    </w:p>
    <w:p>
      <w:pPr>
        <w:sectPr>
          <w:pgSz w:w="11900" w:h="16838" w:orient="portrait"/>
          <w:cols w:equalWidth="0" w:num="1">
            <w:col w:w="9779"/>
          </w:cols>
          <w:pgMar w:left="680" w:top="328"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6983730</wp:posOffset>
            </wp:positionH>
            <wp:positionV relativeFrom="page">
              <wp:posOffset>183515</wp:posOffset>
            </wp:positionV>
            <wp:extent cx="291465"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1465" cy="26606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1752600</wp:posOffset>
            </wp:positionV>
            <wp:extent cx="66808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80835" cy="260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1786890</wp:posOffset>
            </wp:positionV>
            <wp:extent cx="6680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2910205</wp:posOffset>
            </wp:positionV>
            <wp:extent cx="85725" cy="840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85725" cy="840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2"/>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2019-12-11T06:49:30Z</dcterms:created>
  <dcterms:modified xsi:type="dcterms:W3CDTF">2019-12-11T06:49:30Z</dcterms:modified>
</cp:coreProperties>
</file>