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b w:val="1"/>
          <w:bCs w:val="1"/>
          <w:color w:val="auto"/>
        </w:rPr>
        <w:t>FORM 10-Q/A</w:t>
      </w:r>
    </w:p>
    <w:p>
      <w:pPr>
        <w:spacing w:after="0" w:line="173" w:lineRule="exact"/>
        <w:rPr>
          <w:sz w:val="24"/>
          <w:szCs w:val="24"/>
          <w:color w:val="auto"/>
        </w:rPr>
      </w:pPr>
    </w:p>
    <w:p>
      <w:pPr>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QUARTERLY REPORT PURSUANT TO SECTION 13 OR 15(d) OF THE SECURITIES EXCHANGE ACT OF 1934</w:t>
      </w:r>
    </w:p>
    <w:p>
      <w:pPr>
        <w:spacing w:after="0" w:line="160"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 xml:space="preserve">For the quarterly period ended </w:t>
      </w:r>
      <w:r>
        <w:rPr>
          <w:rFonts w:ascii="Courier New" w:cs="Courier New" w:eastAsia="Courier New" w:hAnsi="Courier New"/>
          <w:sz w:val="14"/>
          <w:szCs w:val="14"/>
          <w:b w:val="1"/>
          <w:bCs w:val="1"/>
          <w:u w:val="single" w:color="auto"/>
          <w:color w:val="auto"/>
        </w:rPr>
        <w:t>June 30, 2003</w:t>
      </w:r>
    </w:p>
    <w:p>
      <w:pPr>
        <w:spacing w:after="0" w:line="338"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440" w:right="3259" w:hanging="432"/>
        <w:spacing w:after="0" w:line="255" w:lineRule="auto"/>
        <w:tabs>
          <w:tab w:leader="none" w:pos="18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338"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 xml:space="preserve">Commission File Number </w:t>
      </w:r>
      <w:r>
        <w:rPr>
          <w:rFonts w:ascii="Courier New" w:cs="Courier New" w:eastAsia="Courier New" w:hAnsi="Courier New"/>
          <w:sz w:val="14"/>
          <w:szCs w:val="14"/>
          <w:u w:val="single" w:color="auto"/>
          <w:color w:val="auto"/>
        </w:rPr>
        <w:t>0-23486</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b w:val="1"/>
          <w:bCs w:val="1"/>
          <w:color w:val="auto"/>
        </w:rPr>
        <w:t>NN,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0" w:gutter="0" w:footer="0" w:header="0"/>
        </w:sectPr>
      </w:pPr>
    </w:p>
    <w:p>
      <w:pPr>
        <w:spacing w:after="0" w:line="338"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b w:val="1"/>
          <w:bCs w:val="1"/>
          <w:color w:val="auto"/>
        </w:rPr>
        <w:t>Delaware</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b w:val="1"/>
          <w:bCs w:val="1"/>
          <w:color w:val="auto"/>
        </w:rPr>
        <w:t>62-1096725</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3" w:lineRule="exact"/>
        <w:rPr>
          <w:sz w:val="24"/>
          <w:szCs w:val="24"/>
          <w:color w:val="auto"/>
        </w:rPr>
      </w:pPr>
    </w:p>
    <w:p>
      <w:pPr>
        <w:sectPr>
          <w:pgSz w:w="11900" w:h="16838" w:orient="portrait"/>
          <w:cols w:equalWidth="0" w:num="2">
            <w:col w:w="4020" w:space="720"/>
            <w:col w:w="5499"/>
          </w:cols>
          <w:pgMar w:left="220" w:top="395" w:right="1440" w:bottom="0" w:gutter="0" w:footer="0" w:header="0"/>
          <w:type w:val="continuous"/>
        </w:sectPr>
      </w:pPr>
    </w:p>
    <w:p>
      <w:pPr>
        <w:ind w:left="2500"/>
        <w:spacing w:after="0"/>
        <w:rPr>
          <w:sz w:val="20"/>
          <w:szCs w:val="20"/>
          <w:color w:val="auto"/>
        </w:rPr>
      </w:pPr>
      <w:r>
        <w:rPr>
          <w:rFonts w:ascii="Courier New" w:cs="Courier New" w:eastAsia="Courier New" w:hAnsi="Courier New"/>
          <w:sz w:val="14"/>
          <w:szCs w:val="14"/>
          <w:b w:val="1"/>
          <w:bCs w:val="1"/>
          <w:color w:val="auto"/>
        </w:rPr>
        <w:t>2000 Waters Edge Drive</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b w:val="1"/>
          <w:bCs w:val="1"/>
          <w:color w:val="auto"/>
        </w:rPr>
        <w:t>Building C, Suite 12</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b w:val="1"/>
          <w:bCs w:val="1"/>
          <w:color w:val="auto"/>
        </w:rPr>
        <w:t>Johnson City, Tennessee 37604</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(Address of principal executive offices, including zip code)</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100" w:type="dxa"/>
            <w:vAlign w:val="bottom"/>
            <w:gridSpan w:val="3"/>
          </w:tcPr>
          <w:p>
            <w:pPr>
              <w:ind w:left="1860"/>
              <w:spacing w:after="0"/>
              <w:rPr>
                <w:sz w:val="20"/>
                <w:szCs w:val="20"/>
                <w:color w:val="auto"/>
              </w:rPr>
            </w:pPr>
            <w:r>
              <w:rPr>
                <w:rFonts w:ascii="Courier New" w:cs="Courier New" w:eastAsia="Courier New" w:hAnsi="Courier New"/>
                <w:sz w:val="14"/>
                <w:szCs w:val="14"/>
                <w:b w:val="1"/>
                <w:bCs w:val="1"/>
                <w:color w:val="auto"/>
              </w:rPr>
              <w:t>(423) 743-9151</w:t>
            </w:r>
          </w:p>
        </w:tc>
        <w:tc>
          <w:tcPr>
            <w:tcW w:w="280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(Registrant's telephone</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number, including area code)</w:t>
            </w:r>
          </w:p>
        </w:tc>
      </w:tr>
      <w:tr>
        <w:trPr>
          <w:trHeight w:val="49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Indicate by</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check mark whether the</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registrant (1) has filed all reports required</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 be filed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by Section 13 or 15(d)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Exchange Act of 1934 during</w:t>
            </w:r>
          </w:p>
        </w:tc>
      </w:tr>
      <w:tr>
        <w:trPr>
          <w:trHeight w:val="166"/>
        </w:trPr>
        <w:tc>
          <w:tcPr>
            <w:tcW w:w="6900" w:type="dxa"/>
            <w:vAlign w:val="bottom"/>
            <w:gridSpan w:val="5"/>
          </w:tcPr>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required to</w:t>
            </w:r>
          </w:p>
        </w:tc>
        <w:tc>
          <w:tcPr>
            <w:tcW w:w="59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file such reports), and (2) has been subject to such filing</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requirements for the past 90 days.</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Yes |X|</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No | |</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Indicate by</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check mark whether the</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registrant is an accelerated filer (as</w:t>
            </w:r>
          </w:p>
        </w:tc>
      </w:tr>
      <w:tr>
        <w:trPr>
          <w:trHeight w:val="166"/>
        </w:trPr>
        <w:tc>
          <w:tcPr>
            <w:tcW w:w="3240" w:type="dxa"/>
            <w:vAlign w:val="bottom"/>
            <w:gridSpan w:val="3"/>
          </w:tcPr>
          <w:p>
            <w:pPr>
              <w:spacing w:after="0"/>
              <w:rPr>
                <w:sz w:val="20"/>
                <w:szCs w:val="20"/>
                <w:color w:val="auto"/>
              </w:rPr>
            </w:pPr>
            <w:r>
              <w:rPr>
                <w:rFonts w:ascii="Courier New" w:cs="Courier New" w:eastAsia="Courier New" w:hAnsi="Courier New"/>
                <w:sz w:val="14"/>
                <w:szCs w:val="14"/>
                <w:color w:val="auto"/>
              </w:rPr>
              <w:t>defined in Rule 12b-2 of the Exchange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Act).</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Yes |X|   No |_|</w:t>
            </w:r>
          </w:p>
        </w:tc>
      </w:tr>
    </w:tbl>
    <w:p>
      <w:pPr>
        <w:spacing w:after="0" w:line="170" w:lineRule="exact"/>
        <w:rPr>
          <w:sz w:val="24"/>
          <w:szCs w:val="24"/>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As of August 13, 2003 there were 16,652,407 shares of the registrant's common stock, par value $0.01 per share, outstanding.</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b w:val="1"/>
          <w:bCs w:val="1"/>
          <w:color w:val="auto"/>
        </w:rPr>
        <w:t>NN, Inc.</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b w:val="1"/>
          <w:bCs w:val="1"/>
          <w:color w:val="auto"/>
        </w:rPr>
        <w:t>INDEX</w:t>
      </w:r>
    </w:p>
    <w:p>
      <w:pPr>
        <w:sectPr>
          <w:pgSz w:w="11900" w:h="16838" w:orient="portrait"/>
          <w:cols w:equalWidth="0" w:num="1">
            <w:col w:w="10239"/>
          </w:cols>
          <w:pgMar w:left="220" w:top="395" w:right="1440" w:bottom="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Explanatory Statement</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Page No.</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b w:val="1"/>
          <w:bCs w:val="1"/>
          <w:color w:val="auto"/>
        </w:rPr>
        <w:t>2</w:t>
      </w:r>
    </w:p>
    <w:p>
      <w:pPr>
        <w:spacing w:after="0" w:line="173" w:lineRule="exact"/>
        <w:rPr>
          <w:sz w:val="24"/>
          <w:szCs w:val="24"/>
          <w:color w:val="auto"/>
        </w:rPr>
      </w:pPr>
    </w:p>
    <w:p>
      <w:pPr>
        <w:sectPr>
          <w:pgSz w:w="11900" w:h="16838" w:orient="portrait"/>
          <w:cols w:equalWidth="0" w:num="2">
            <w:col w:w="7820" w:space="720"/>
            <w:col w:w="1699"/>
          </w:cols>
          <w:pgMar w:left="220" w:top="395" w:right="1440" w:bottom="0" w:gutter="0" w:footer="0" w:header="0"/>
          <w:type w:val="continuous"/>
        </w:sectPr>
      </w:pPr>
    </w:p>
    <w:p>
      <w:pPr>
        <w:spacing w:after="0"/>
        <w:rPr>
          <w:sz w:val="20"/>
          <w:szCs w:val="20"/>
          <w:color w:val="auto"/>
        </w:rPr>
      </w:pPr>
      <w:r>
        <w:rPr>
          <w:rFonts w:ascii="Courier New" w:cs="Courier New" w:eastAsia="Courier New" w:hAnsi="Courier New"/>
          <w:sz w:val="14"/>
          <w:szCs w:val="14"/>
          <w:b w:val="1"/>
          <w:bCs w:val="1"/>
          <w:color w:val="auto"/>
        </w:rPr>
        <w:t>Part I. Financial Information</w:t>
      </w:r>
    </w:p>
    <w:p>
      <w:pPr>
        <w:sectPr>
          <w:pgSz w:w="11900" w:h="16838" w:orient="portrait"/>
          <w:cols w:equalWidth="0" w:num="1">
            <w:col w:w="10239"/>
          </w:cols>
          <w:pgMar w:left="220" w:top="395" w:right="1440" w:bottom="0" w:gutter="0" w:footer="0" w:header="0"/>
          <w:type w:val="continuous"/>
        </w:sectPr>
      </w:pP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340" w:type="dxa"/>
            <w:vAlign w:val="bottom"/>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Consolidated Statements of Income and Comprehensive Income for the</w:t>
            </w:r>
          </w:p>
        </w:tc>
        <w:tc>
          <w:tcPr>
            <w:tcW w:w="34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7800" w:type="dxa"/>
            <w:vAlign w:val="bottom"/>
          </w:tcPr>
          <w:p>
            <w:pPr>
              <w:ind w:left="300"/>
              <w:spacing w:after="0"/>
              <w:rPr>
                <w:sz w:val="20"/>
                <w:szCs w:val="20"/>
                <w:color w:val="auto"/>
              </w:rPr>
            </w:pPr>
            <w:r>
              <w:rPr>
                <w:rFonts w:ascii="Courier New" w:cs="Courier New" w:eastAsia="Courier New" w:hAnsi="Courier New"/>
                <w:sz w:val="14"/>
                <w:szCs w:val="14"/>
                <w:color w:val="auto"/>
              </w:rPr>
              <w:t>three months ended June 30, 2003 and June 30, 2002 and sixmonths</w:t>
            </w:r>
          </w:p>
        </w:tc>
        <w:tc>
          <w:tcPr>
            <w:tcW w:w="3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7800" w:type="dxa"/>
            <w:vAlign w:val="bottom"/>
          </w:tcPr>
          <w:p>
            <w:pPr>
              <w:ind w:left="300"/>
              <w:spacing w:after="0"/>
              <w:rPr>
                <w:sz w:val="20"/>
                <w:szCs w:val="20"/>
                <w:color w:val="auto"/>
              </w:rPr>
            </w:pPr>
            <w:r>
              <w:rPr>
                <w:rFonts w:ascii="Courier New" w:cs="Courier New" w:eastAsia="Courier New" w:hAnsi="Courier New"/>
                <w:sz w:val="14"/>
                <w:szCs w:val="14"/>
                <w:color w:val="auto"/>
              </w:rPr>
              <w:t>ended June 30, 2003 and 2002 (unaudited) (restated)</w:t>
            </w:r>
          </w:p>
        </w:tc>
        <w:tc>
          <w:tcPr>
            <w:tcW w:w="34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7800" w:type="dxa"/>
            <w:vAlign w:val="bottom"/>
          </w:tcPr>
          <w:p>
            <w:pPr>
              <w:ind w:left="480"/>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Condensed Consolidated Balance Sheets at June 30, 2003 and December 31, 2002 (unaudited)</w:t>
            </w:r>
          </w:p>
        </w:tc>
        <w:tc>
          <w:tcPr>
            <w:tcW w:w="34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7800" w:type="dxa"/>
            <w:vAlign w:val="bottom"/>
          </w:tcPr>
          <w:p>
            <w:pPr>
              <w:ind w:left="300"/>
              <w:spacing w:after="0"/>
              <w:rPr>
                <w:sz w:val="20"/>
                <w:szCs w:val="20"/>
                <w:color w:val="auto"/>
              </w:rPr>
            </w:pPr>
            <w:r>
              <w:rPr>
                <w:rFonts w:ascii="Courier New" w:cs="Courier New" w:eastAsia="Courier New" w:hAnsi="Courier New"/>
                <w:sz w:val="14"/>
                <w:szCs w:val="14"/>
                <w:color w:val="auto"/>
              </w:rPr>
              <w:t>(restated)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740" w:type="dxa"/>
            <w:vAlign w:val="bottom"/>
          </w:tcPr>
          <w:p>
            <w:pPr>
              <w:spacing w:after="0"/>
              <w:rPr>
                <w:sz w:val="24"/>
                <w:szCs w:val="24"/>
                <w:color w:val="auto"/>
              </w:rPr>
            </w:pP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Consolidated Statements of Changes in Stockholders' Equity for the six</w:t>
            </w:r>
          </w:p>
        </w:tc>
        <w:tc>
          <w:tcPr>
            <w:tcW w:w="34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7800" w:type="dxa"/>
            <w:vAlign w:val="bottom"/>
          </w:tcPr>
          <w:p>
            <w:pPr>
              <w:ind w:left="300"/>
              <w:spacing w:after="0"/>
              <w:rPr>
                <w:sz w:val="20"/>
                <w:szCs w:val="20"/>
                <w:color w:val="auto"/>
              </w:rPr>
            </w:pPr>
            <w:r>
              <w:rPr>
                <w:rFonts w:ascii="Courier New" w:cs="Courier New" w:eastAsia="Courier New" w:hAnsi="Courier New"/>
                <w:sz w:val="14"/>
                <w:szCs w:val="14"/>
                <w:color w:val="auto"/>
              </w:rPr>
              <w:t>months ended June 30, 2003 and 2002 (unaudited) (restated)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740" w:type="dxa"/>
            <w:vAlign w:val="bottom"/>
          </w:tcPr>
          <w:p>
            <w:pPr>
              <w:spacing w:after="0"/>
              <w:rPr>
                <w:sz w:val="24"/>
                <w:szCs w:val="24"/>
                <w:color w:val="auto"/>
              </w:rPr>
            </w:pP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Consolidated Statements of Cash Flows for the six months ended</w:t>
            </w:r>
          </w:p>
        </w:tc>
        <w:tc>
          <w:tcPr>
            <w:tcW w:w="34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7800" w:type="dxa"/>
            <w:vAlign w:val="bottom"/>
          </w:tcPr>
          <w:p>
            <w:pPr>
              <w:ind w:left="300"/>
              <w:spacing w:after="0"/>
              <w:rPr>
                <w:sz w:val="20"/>
                <w:szCs w:val="20"/>
                <w:color w:val="auto"/>
              </w:rPr>
            </w:pPr>
            <w:r>
              <w:rPr>
                <w:rFonts w:ascii="Courier New" w:cs="Courier New" w:eastAsia="Courier New" w:hAnsi="Courier New"/>
                <w:sz w:val="14"/>
                <w:szCs w:val="14"/>
                <w:color w:val="auto"/>
              </w:rPr>
              <w:t>June 30, 2003 (restated) and 2002 (unaudited)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1"/>
        </w:trPr>
        <w:tc>
          <w:tcPr>
            <w:tcW w:w="740" w:type="dxa"/>
            <w:vAlign w:val="bottom"/>
          </w:tcPr>
          <w:p>
            <w:pPr>
              <w:spacing w:after="0"/>
              <w:rPr>
                <w:sz w:val="24"/>
                <w:szCs w:val="24"/>
                <w:color w:val="auto"/>
              </w:rPr>
            </w:pP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Notes to Consolidated Financial Statements (unaudited)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340" w:type="dxa"/>
            <w:vAlign w:val="bottom"/>
          </w:tcPr>
          <w:p>
            <w:pPr>
              <w:spacing w:after="0"/>
              <w:rPr>
                <w:sz w:val="24"/>
                <w:szCs w:val="24"/>
                <w:color w:val="auto"/>
              </w:rPr>
            </w:pPr>
          </w:p>
        </w:tc>
      </w:tr>
      <w:tr>
        <w:trPr>
          <w:trHeight w:val="166"/>
        </w:trPr>
        <w:tc>
          <w:tcPr>
            <w:tcW w:w="740" w:type="dxa"/>
            <w:vAlign w:val="bottom"/>
          </w:tcPr>
          <w:p>
            <w:pPr>
              <w:spacing w:after="0"/>
              <w:rPr>
                <w:sz w:val="14"/>
                <w:szCs w:val="14"/>
                <w:color w:val="auto"/>
              </w:rPr>
            </w:pPr>
          </w:p>
        </w:tc>
        <w:tc>
          <w:tcPr>
            <w:tcW w:w="7800" w:type="dxa"/>
            <w:vAlign w:val="bottom"/>
          </w:tcPr>
          <w:p>
            <w:pPr>
              <w:ind w:left="300"/>
              <w:spacing w:after="0"/>
              <w:rPr>
                <w:sz w:val="20"/>
                <w:szCs w:val="20"/>
                <w:color w:val="auto"/>
              </w:rPr>
            </w:pPr>
            <w:r>
              <w:rPr>
                <w:rFonts w:ascii="Courier New" w:cs="Courier New" w:eastAsia="Courier New" w:hAnsi="Courier New"/>
                <w:sz w:val="14"/>
                <w:szCs w:val="14"/>
                <w:color w:val="auto"/>
              </w:rPr>
              <w:t>Condition and Results of 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Controls and Procedures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b w:val="1"/>
                <w:bCs w:val="1"/>
                <w:color w:val="auto"/>
              </w:rPr>
              <w:t>Part II.</w:t>
            </w:r>
          </w:p>
        </w:tc>
        <w:tc>
          <w:tcPr>
            <w:tcW w:w="7800" w:type="dxa"/>
            <w:vAlign w:val="bottom"/>
          </w:tcPr>
          <w:p>
            <w:pPr>
              <w:ind w:left="40"/>
              <w:spacing w:after="0"/>
              <w:rPr>
                <w:sz w:val="20"/>
                <w:szCs w:val="20"/>
                <w:color w:val="auto"/>
              </w:rPr>
            </w:pPr>
            <w:r>
              <w:rPr>
                <w:rFonts w:ascii="Courier New" w:cs="Courier New" w:eastAsia="Courier New" w:hAnsi="Courier New"/>
                <w:sz w:val="14"/>
                <w:szCs w:val="14"/>
                <w:b w:val="1"/>
                <w:bCs w:val="1"/>
                <w:color w:val="auto"/>
              </w:rPr>
              <w:t>Other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7800" w:type="dxa"/>
            <w:vAlign w:val="bottom"/>
          </w:tcPr>
          <w:p>
            <w:pPr>
              <w:ind w:left="40"/>
              <w:spacing w:after="0"/>
              <w:rPr>
                <w:sz w:val="20"/>
                <w:szCs w:val="20"/>
                <w:color w:val="auto"/>
              </w:rPr>
            </w:pPr>
            <w:r>
              <w:rPr>
                <w:rFonts w:ascii="Courier New" w:cs="Courier New" w:eastAsia="Courier New" w:hAnsi="Courier New"/>
                <w:sz w:val="14"/>
                <w:szCs w:val="14"/>
                <w:color w:val="auto"/>
              </w:rPr>
              <w:t>Changes in Securities and Use of Proceeds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ectPr>
          <w:pgSz w:w="11900" w:h="16838" w:orient="portrait"/>
          <w:cols w:equalWidth="0" w:num="1">
            <w:col w:w="10239"/>
          </w:cols>
          <w:pgMar w:left="220" w:top="395" w:right="1440" w:bottom="0" w:gutter="0" w:footer="0" w:header="0"/>
          <w:type w:val="continuous"/>
        </w:sectPr>
      </w:pPr>
    </w:p>
    <w:bookmarkStart w:id="1" w:name="page2"/>
    <w:bookmarkEnd w:id="1"/>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6240" w:type="dxa"/>
            <w:vAlign w:val="bottom"/>
          </w:tcPr>
          <w:p>
            <w:pPr>
              <w:ind w:left="80"/>
              <w:spacing w:after="0"/>
              <w:rPr>
                <w:sz w:val="20"/>
                <w:szCs w:val="20"/>
                <w:color w:val="auto"/>
              </w:rPr>
            </w:pPr>
            <w:r>
              <w:rPr>
                <w:rFonts w:ascii="Courier New" w:cs="Courier New" w:eastAsia="Courier New" w:hAnsi="Courier New"/>
                <w:sz w:val="14"/>
                <w:szCs w:val="14"/>
                <w:color w:val="auto"/>
              </w:rPr>
              <w:t>Defaults Upon Senior Securities</w:t>
            </w:r>
          </w:p>
        </w:tc>
        <w:tc>
          <w:tcPr>
            <w:tcW w:w="452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32</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6240" w:type="dxa"/>
            <w:vAlign w:val="bottom"/>
          </w:tcPr>
          <w:p>
            <w:pPr>
              <w:ind w:left="8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452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32</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6240" w:type="dxa"/>
            <w:vAlign w:val="bottom"/>
          </w:tcPr>
          <w:p>
            <w:pPr>
              <w:ind w:left="80"/>
              <w:spacing w:after="0"/>
              <w:rPr>
                <w:sz w:val="20"/>
                <w:szCs w:val="20"/>
                <w:color w:val="auto"/>
              </w:rPr>
            </w:pPr>
            <w:r>
              <w:rPr>
                <w:rFonts w:ascii="Courier New" w:cs="Courier New" w:eastAsia="Courier New" w:hAnsi="Courier New"/>
                <w:sz w:val="14"/>
                <w:szCs w:val="14"/>
                <w:color w:val="auto"/>
              </w:rPr>
              <w:t>Other Information</w:t>
            </w:r>
          </w:p>
        </w:tc>
        <w:tc>
          <w:tcPr>
            <w:tcW w:w="452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32</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6240" w:type="dxa"/>
            <w:vAlign w:val="bottom"/>
          </w:tcPr>
          <w:p>
            <w:pPr>
              <w:ind w:left="80"/>
              <w:spacing w:after="0"/>
              <w:rPr>
                <w:sz w:val="20"/>
                <w:szCs w:val="20"/>
                <w:color w:val="auto"/>
              </w:rPr>
            </w:pPr>
            <w:r>
              <w:rPr>
                <w:rFonts w:ascii="Courier New" w:cs="Courier New" w:eastAsia="Courier New" w:hAnsi="Courier New"/>
                <w:sz w:val="14"/>
                <w:szCs w:val="14"/>
                <w:color w:val="auto"/>
              </w:rPr>
              <w:t>Exhibits and Reports on Form 8-K</w:t>
            </w:r>
          </w:p>
        </w:tc>
        <w:tc>
          <w:tcPr>
            <w:tcW w:w="452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32</w:t>
            </w:r>
          </w:p>
        </w:tc>
      </w:tr>
      <w:tr>
        <w:trPr>
          <w:trHeight w:val="331"/>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452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35</w:t>
            </w:r>
          </w:p>
        </w:tc>
      </w:tr>
      <w:tr>
        <w:trPr>
          <w:trHeight w:val="828"/>
        </w:trPr>
        <w:tc>
          <w:tcPr>
            <w:tcW w:w="700" w:type="dxa"/>
            <w:vAlign w:val="bottom"/>
          </w:tcPr>
          <w:p>
            <w:pPr>
              <w:spacing w:after="0"/>
              <w:rPr>
                <w:sz w:val="24"/>
                <w:szCs w:val="24"/>
                <w:color w:val="auto"/>
              </w:rPr>
            </w:pPr>
          </w:p>
        </w:tc>
        <w:tc>
          <w:tcPr>
            <w:tcW w:w="6240" w:type="dxa"/>
            <w:vAlign w:val="bottom"/>
          </w:tcPr>
          <w:p>
            <w:pPr>
              <w:ind w:left="2660"/>
              <w:spacing w:after="0"/>
              <w:rPr>
                <w:sz w:val="20"/>
                <w:szCs w:val="20"/>
                <w:color w:val="auto"/>
              </w:rPr>
            </w:pPr>
            <w:r>
              <w:rPr>
                <w:rFonts w:ascii="Courier New" w:cs="Courier New" w:eastAsia="Courier New" w:hAnsi="Courier New"/>
                <w:sz w:val="14"/>
                <w:szCs w:val="14"/>
                <w:color w:val="auto"/>
              </w:rPr>
              <w:t>1</w:t>
            </w:r>
          </w:p>
        </w:tc>
        <w:tc>
          <w:tcPr>
            <w:tcW w:w="4520" w:type="dxa"/>
            <w:vAlign w:val="bottom"/>
          </w:tcPr>
          <w:p>
            <w:pPr>
              <w:spacing w:after="0"/>
              <w:rPr>
                <w:sz w:val="24"/>
                <w:szCs w:val="24"/>
                <w:color w:val="auto"/>
              </w:rPr>
            </w:pPr>
          </w:p>
        </w:tc>
      </w:tr>
      <w:tr>
        <w:trPr>
          <w:trHeight w:val="313"/>
        </w:trPr>
        <w:tc>
          <w:tcPr>
            <w:tcW w:w="70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-26035</wp:posOffset>
            </wp:positionV>
            <wp:extent cx="3238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b w:val="1"/>
          <w:bCs w:val="1"/>
          <w:color w:val="auto"/>
        </w:rPr>
        <w:t>Explanatory Statement</w:t>
      </w:r>
    </w:p>
    <w:p>
      <w:pPr>
        <w:spacing w:after="0" w:line="173" w:lineRule="exact"/>
        <w:rPr>
          <w:sz w:val="20"/>
          <w:szCs w:val="20"/>
          <w:color w:val="auto"/>
        </w:rPr>
      </w:pPr>
    </w:p>
    <w:p>
      <w:pPr>
        <w:ind w:right="4740"/>
        <w:spacing w:after="0" w:line="250" w:lineRule="auto"/>
        <w:rPr>
          <w:sz w:val="20"/>
          <w:szCs w:val="20"/>
          <w:color w:val="auto"/>
        </w:rPr>
      </w:pPr>
      <w:r>
        <w:rPr>
          <w:rFonts w:ascii="Courier New" w:cs="Courier New" w:eastAsia="Courier New" w:hAnsi="Courier New"/>
          <w:sz w:val="14"/>
          <w:szCs w:val="14"/>
          <w:color w:val="auto"/>
        </w:rPr>
        <w:t>This Amendment on Form 10-Q/A amends the Registrant's Quarterly Report on Form 10-Q for the three and six month periods ended June 30, 2003 and 2002, and</w:t>
      </w:r>
    </w:p>
    <w:p>
      <w:pPr>
        <w:spacing w:after="0" w:line="1"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is being filed solely to amend the financial reporting of certain transactions related to the formation of NN Euroball, ApS ("Euroball") on July 31, 2000, and the subsequent purchase on December 20, 2002 of the 23% interest in Euroball held by FAG Kugelfischer George Schaefer AG, which was subsequently acquired by INA - Schaeffler KG (collectively, "INA/FAG") and on May 2, 2003 of the 23% interest in Euroball held by AB SKF ("SKF"). These restatements had no material effect on the Company's reported net sales, gross profit, income from operations or cash flows for the three month and six month periods ended June 30, 2003 and June 30, 2002.</w:t>
      </w:r>
    </w:p>
    <w:p>
      <w:pPr>
        <w:spacing w:after="0" w:line="329"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We have revised the valuation of the original purchase price associated with the formation of Euroball in July 2000. This revision resulted in a reduction of goodwill of approximately 4.1 million Euro ($3.8 million). Further, we have increased stockholders' equity by approximately 10.0 million Euro ($9.3 million) to reflect the amount by which the Company's proportionate interest in Euroball exceeded the book value of the net assets exchanged by the Company. As a result of these two adjustments, minority interest in consolidated subsidiaries has been reduced by approximately $7.4 million at December 31, 2002, goodwill has been reduced $4.7 million and $4.3 million at June 30, 2003 and December 31, 2002, respectively, and paid-in-capital increased $9.3 million at June 30, 2003 and December 31, 2002, respectively, from amounts previously reported. Comprehensive income has also been restated for foreign currency translation effects of these adjustments.</w:t>
      </w:r>
    </w:p>
    <w:p>
      <w:pPr>
        <w:spacing w:after="0" w:line="16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In the previously issued December 31, 2002 and June 30, 2003 Consolidated Financial Statements, when the Company acquired the 23% interest in Euroball held by INA/FAG in December 2002 and the 23% interest in Euroball held by SKF in May 2003, the excess of minority interest in consolidated subsidiaries in Euroball over the purchase price was recorded as a non-taxable gain in the amount of approximately $5.9 million and $6.6 million, respectively. As restated in the accompanying Consolidated Financial Statements, the non-taxable gains have been excluded and the excess of the purchase price over the fair value of INA/FAG's 23% interest and SKF's 23% interest in the net assets of Euroball was allocated to goodwill. The resulting impact to the Consolidated Financial Statements is an increase to goodwill of approximately $1.5 million and $3.7 million, a decrease in retained earnings of approximately $5.9 million and $12.5 million as of December 31, 2002 and June 30, 2003, respectively, and reversal of the $6.6 million gain previously recorded in the Consolidated Financial Statements of Income and Comprehensive Income for the three and six months ended June 30, 2003.</w:t>
      </w:r>
    </w:p>
    <w:p>
      <w:pPr>
        <w:spacing w:after="0" w:line="328" w:lineRule="exact"/>
        <w:rPr>
          <w:sz w:val="20"/>
          <w:szCs w:val="20"/>
          <w:color w:val="auto"/>
        </w:rPr>
      </w:pPr>
    </w:p>
    <w:p>
      <w:pPr>
        <w:ind w:right="4820"/>
        <w:spacing w:after="0" w:line="252" w:lineRule="auto"/>
        <w:rPr>
          <w:sz w:val="20"/>
          <w:szCs w:val="20"/>
          <w:color w:val="auto"/>
        </w:rPr>
      </w:pPr>
      <w:r>
        <w:rPr>
          <w:rFonts w:ascii="Courier New" w:cs="Courier New" w:eastAsia="Courier New" w:hAnsi="Courier New"/>
          <w:sz w:val="14"/>
          <w:szCs w:val="14"/>
          <w:color w:val="auto"/>
        </w:rPr>
        <w:t>Additionally, the Company has reclassified minority interest in consolidated subsidiaries from a component of total liabilities to a separate line item in the Condensed Consolidated Balance Sheets at June 30, 2003 and December 31, 2002.</w:t>
      </w:r>
    </w:p>
    <w:p>
      <w:pPr>
        <w:spacing w:after="0" w:line="162"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Items amended include Item 1 and Item 2. In addition, in connection with the filing of this Amendment and pursuant to the rules of the Securities and Exchange Commission, the Registrant is including with this Amendment certain currently dated certifications. Other than those described in Note 1 to the Consolidated Financial Statements, no other material changes have been made to this Quarterly Report on Form 10-Q/A. This Form 10-Q/A does not modify or update the disclosure contained in the Quarterly Report in any way other than as required to reflect the amendments discussed above.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b w:val="1"/>
          <w:bCs w:val="1"/>
          <w:color w:val="auto"/>
        </w:rPr>
        <w:t>PART I. FINANCIAL INFORMATION</w:t>
      </w:r>
    </w:p>
    <w:p>
      <w:pPr>
        <w:spacing w:after="0" w:line="173"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b w:val="1"/>
          <w:bCs w:val="1"/>
          <w:color w:val="auto"/>
        </w:rPr>
        <w:t>NN, Inc.</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b w:val="1"/>
          <w:bCs w:val="1"/>
          <w:color w:val="auto"/>
        </w:rPr>
        <w:t>Consolidated Statements of Income and Comprehensive Income</w:t>
      </w:r>
    </w:p>
    <w:p>
      <w:pPr>
        <w:spacing w:after="0" w:line="7"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b w:val="1"/>
          <w:bCs w:val="1"/>
          <w:color w:val="auto"/>
        </w:rPr>
        <w:t>(Unaudited)</w:t>
      </w:r>
    </w:p>
    <w:p>
      <w:pPr>
        <w:sectPr>
          <w:pgSz w:w="11900" w:h="16855" w:orient="portrait"/>
          <w:cols w:equalWidth="0" w:num="1">
            <w:col w:w="11460"/>
          </w:cols>
          <w:pgMar w:left="220" w:top="307" w:right="219" w:bottom="0" w:gutter="0" w:footer="0" w:header="0"/>
        </w:sectPr>
      </w:pPr>
    </w:p>
    <w:p>
      <w:pPr>
        <w:spacing w:after="0" w:line="173" w:lineRule="exact"/>
        <w:rPr>
          <w:sz w:val="20"/>
          <w:szCs w:val="20"/>
          <w:color w:val="auto"/>
        </w:rPr>
      </w:pPr>
    </w:p>
    <w:p>
      <w:pPr>
        <w:jc w:val="center"/>
        <w:ind w:left="4600"/>
        <w:spacing w:after="0"/>
        <w:rPr>
          <w:sz w:val="20"/>
          <w:szCs w:val="20"/>
          <w:color w:val="auto"/>
        </w:rPr>
      </w:pPr>
      <w:r>
        <w:rPr>
          <w:rFonts w:ascii="Courier New" w:cs="Courier New" w:eastAsia="Courier New" w:hAnsi="Courier New"/>
          <w:sz w:val="14"/>
          <w:szCs w:val="14"/>
          <w:b w:val="1"/>
          <w:bCs w:val="1"/>
          <w:color w:val="auto"/>
        </w:rPr>
        <w:t>Three Months Ended</w:t>
      </w:r>
    </w:p>
    <w:p>
      <w:pPr>
        <w:spacing w:after="0" w:line="7" w:lineRule="exact"/>
        <w:rPr>
          <w:sz w:val="20"/>
          <w:szCs w:val="20"/>
          <w:color w:val="auto"/>
        </w:rPr>
      </w:pPr>
    </w:p>
    <w:p>
      <w:pPr>
        <w:jc w:val="center"/>
        <w:ind w:left="4600"/>
        <w:spacing w:after="0"/>
        <w:rPr>
          <w:sz w:val="20"/>
          <w:szCs w:val="20"/>
          <w:color w:val="auto"/>
        </w:rPr>
      </w:pPr>
      <w:r>
        <w:rPr>
          <w:rFonts w:ascii="Courier New" w:cs="Courier New" w:eastAsia="Courier New" w:hAnsi="Courier New"/>
          <w:sz w:val="14"/>
          <w:szCs w:val="14"/>
          <w:b w:val="1"/>
          <w:bCs w:val="1"/>
          <w:color w:val="auto"/>
        </w:rPr>
        <w:t>June 30,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4"/>
          <w:szCs w:val="14"/>
          <w:b w:val="1"/>
          <w:bCs w:val="1"/>
          <w:color w:val="auto"/>
        </w:rPr>
        <w:t>Six Months Ended</w:t>
      </w:r>
    </w:p>
    <w:p>
      <w:pPr>
        <w:spacing w:after="0" w:line="7"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4"/>
          <w:szCs w:val="14"/>
          <w:b w:val="1"/>
          <w:bCs w:val="1"/>
          <w:color w:val="auto"/>
        </w:rPr>
        <w:t>June 30,</w:t>
      </w:r>
    </w:p>
    <w:p>
      <w:pPr>
        <w:spacing w:after="0" w:line="173" w:lineRule="exact"/>
        <w:rPr>
          <w:sz w:val="20"/>
          <w:szCs w:val="20"/>
          <w:color w:val="auto"/>
        </w:rPr>
      </w:pPr>
    </w:p>
    <w:p>
      <w:pPr>
        <w:sectPr>
          <w:pgSz w:w="11900" w:h="16855" w:orient="portrait"/>
          <w:cols w:equalWidth="0" w:num="2">
            <w:col w:w="7480" w:space="720"/>
            <w:col w:w="3260"/>
          </w:cols>
          <w:pgMar w:left="220" w:top="307" w:right="219" w:bottom="0" w:gutter="0" w:footer="0" w:header="0"/>
          <w:type w:val="continuous"/>
        </w:sectPr>
      </w:pPr>
    </w:p>
    <w:p>
      <w:pPr>
        <w:spacing w:after="0"/>
        <w:tabs>
          <w:tab w:leader="none" w:pos="4900" w:val="left"/>
        </w:tabs>
        <w:rPr>
          <w:sz w:val="20"/>
          <w:szCs w:val="20"/>
          <w:color w:val="auto"/>
        </w:rPr>
      </w:pPr>
      <w:r>
        <w:rPr>
          <w:rFonts w:ascii="Courier New" w:cs="Courier New" w:eastAsia="Courier New" w:hAnsi="Courier New"/>
          <w:sz w:val="14"/>
          <w:szCs w:val="14"/>
          <w:b w:val="1"/>
          <w:bCs w:val="1"/>
          <w:color w:val="auto"/>
        </w:rPr>
        <w:t>Thousands of Dollars, Except Per Share Data</w:t>
      </w:r>
      <w:r>
        <w:rPr>
          <w:sz w:val="20"/>
          <w:szCs w:val="20"/>
          <w:color w:val="auto"/>
        </w:rPr>
        <w:tab/>
      </w:r>
      <w:r>
        <w:rPr>
          <w:rFonts w:ascii="Courier New" w:cs="Courier New" w:eastAsia="Courier New" w:hAnsi="Courier New"/>
          <w:sz w:val="14"/>
          <w:szCs w:val="14"/>
          <w:b w:val="1"/>
          <w:bCs w:val="1"/>
          <w:color w:val="auto"/>
        </w:rPr>
        <w:t>Restated</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b w:val="1"/>
          <w:bCs w:val="1"/>
          <w:color w:val="auto"/>
        </w:rPr>
        <w:t>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 --------------</w:t>
      </w:r>
    </w:p>
    <w:p>
      <w:pPr>
        <w:spacing w:after="0" w:line="7"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Net sales</w:t>
      </w:r>
      <w:r>
        <w:rPr>
          <w:sz w:val="20"/>
          <w:szCs w:val="20"/>
          <w:color w:val="auto"/>
        </w:rPr>
        <w:tab/>
      </w:r>
      <w:r>
        <w:rPr>
          <w:rFonts w:ascii="Courier New" w:cs="Courier New" w:eastAsia="Courier New" w:hAnsi="Courier New"/>
          <w:sz w:val="14"/>
          <w:szCs w:val="14"/>
          <w:color w:val="auto"/>
        </w:rPr>
        <w:t>$ 64,194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b w:val="1"/>
          <w:bCs w:val="1"/>
          <w:color w:val="auto"/>
        </w:rPr>
        <w:t>Restated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b w:val="1"/>
          <w:bCs w:val="1"/>
          <w:color w:val="auto"/>
        </w:rPr>
        <w:t>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$ 49,186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b w:val="1"/>
          <w:bCs w:val="1"/>
          <w:color w:val="auto"/>
        </w:rPr>
        <w:t>Restated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b w:val="1"/>
          <w:bCs w:val="1"/>
          <w:color w:val="auto"/>
        </w:rPr>
        <w:t>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$ 121,803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b w:val="1"/>
          <w:bCs w:val="1"/>
          <w:color w:val="auto"/>
        </w:rPr>
        <w:t>Restated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b w:val="1"/>
          <w:bCs w:val="1"/>
          <w:color w:val="auto"/>
        </w:rPr>
        <w:t>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$ 96,386</w:t>
      </w:r>
    </w:p>
    <w:p>
      <w:pPr>
        <w:sectPr>
          <w:pgSz w:w="11900" w:h="16855" w:orient="portrait"/>
          <w:cols w:equalWidth="0" w:num="4">
            <w:col w:w="6120" w:space="340"/>
            <w:col w:w="1120" w:space="360"/>
            <w:col w:w="1120" w:space="340"/>
            <w:col w:w="2060"/>
          </w:cols>
          <w:pgMar w:left="220" w:top="307" w:right="219" w:bottom="0" w:gutter="0" w:footer="0" w:header="0"/>
          <w:type w:val="continuous"/>
        </w:sectPr>
      </w:pPr>
    </w:p>
    <w:bookmarkStart w:id="2" w:name="page3"/>
    <w:bookmarkEnd w:id="2"/>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49,721</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36,139</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92,464</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71,670</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Gross profit</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14,473</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13,047</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29,339</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24,716</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98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5,771</w:t>
            </w:r>
          </w:p>
        </w:tc>
        <w:tc>
          <w:tcPr>
            <w:tcW w:w="70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4,777</w:t>
            </w:r>
          </w:p>
        </w:tc>
        <w:tc>
          <w:tcPr>
            <w:tcW w:w="7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10,403</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9,317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3,482</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2,767</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Restructuring and impairment costs</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2,723</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2,723</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2,497</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5,503</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9,653</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9,701</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98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759</w:t>
            </w:r>
          </w:p>
        </w:tc>
        <w:tc>
          <w:tcPr>
            <w:tcW w:w="70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w:t>
            </w:r>
          </w:p>
        </w:tc>
        <w:tc>
          <w:tcPr>
            <w:tcW w:w="7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1,343</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389</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1,349</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5,035</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9,057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1,840</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3,345</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787</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1,454</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697</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2,408</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4,340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4,258</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w:t>
            </w:r>
          </w:p>
        </w:tc>
        <w:tc>
          <w:tcPr>
            <w:tcW w:w="9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2,370</w:t>
            </w:r>
          </w:p>
        </w:tc>
        <w:tc>
          <w:tcPr>
            <w:tcW w:w="7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2,574</w:t>
            </w:r>
          </w:p>
        </w:tc>
        <w:tc>
          <w:tcPr>
            <w:tcW w:w="7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4,169</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2,380</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17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$ 3,067</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$ 4,982</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$ 8,509</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$ 6,638</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Basic income per common share: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98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16,015</w:t>
            </w:r>
          </w:p>
        </w:tc>
        <w:tc>
          <w:tcPr>
            <w:tcW w:w="70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15,359</w:t>
            </w:r>
          </w:p>
        </w:tc>
        <w:tc>
          <w:tcPr>
            <w:tcW w:w="7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15,561</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15,336</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Diluted income per common share: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0.27</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98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16,465</w:t>
            </w:r>
          </w:p>
        </w:tc>
        <w:tc>
          <w:tcPr>
            <w:tcW w:w="70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15,868</w:t>
            </w:r>
          </w:p>
        </w:tc>
        <w:tc>
          <w:tcPr>
            <w:tcW w:w="7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15,892</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15,798</w:t>
            </w:r>
          </w:p>
        </w:tc>
      </w:tr>
      <w:tr>
        <w:trPr>
          <w:trHeight w:val="166"/>
        </w:trPr>
        <w:tc>
          <w:tcPr>
            <w:tcW w:w="436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b w:val="1"/>
          <w:bCs w:val="1"/>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b w:val="1"/>
          <w:bCs w:val="1"/>
          <w:color w:val="auto"/>
        </w:rPr>
        <w:t>NN, Inc.</w:t>
      </w:r>
    </w:p>
    <w:p>
      <w:pPr>
        <w:spacing w:after="0" w:line="7"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4"/>
          <w:szCs w:val="14"/>
          <w:b w:val="1"/>
          <w:bCs w:val="1"/>
          <w:color w:val="auto"/>
        </w:rPr>
        <w:t>Condensed Consolidated Balance Sheets</w:t>
      </w:r>
    </w:p>
    <w:p>
      <w:pPr>
        <w:spacing w:after="0" w:line="7"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4"/>
          <w:szCs w:val="14"/>
          <w:b w:val="1"/>
          <w:bCs w:val="1"/>
          <w:color w:val="auto"/>
        </w:rPr>
        <w:t>(Unaudited)</w:t>
      </w:r>
    </w:p>
    <w:p>
      <w:pPr>
        <w:spacing w:after="0" w:line="338" w:lineRule="exact"/>
        <w:rPr>
          <w:sz w:val="20"/>
          <w:szCs w:val="20"/>
          <w:color w:val="auto"/>
        </w:rPr>
      </w:pPr>
    </w:p>
    <w:p>
      <w:pPr>
        <w:ind w:left="6220"/>
        <w:spacing w:after="0"/>
        <w:tabs>
          <w:tab w:leader="none" w:pos="8000" w:val="left"/>
        </w:tabs>
        <w:rPr>
          <w:sz w:val="20"/>
          <w:szCs w:val="20"/>
          <w:color w:val="auto"/>
        </w:rPr>
      </w:pPr>
      <w:r>
        <w:rPr>
          <w:rFonts w:ascii="Courier New" w:cs="Courier New" w:eastAsia="Courier New" w:hAnsi="Courier New"/>
          <w:sz w:val="14"/>
          <w:szCs w:val="14"/>
          <w:b w:val="1"/>
          <w:bCs w:val="1"/>
          <w:color w:val="auto"/>
        </w:rPr>
        <w:t>Restated</w:t>
      </w:r>
      <w:r>
        <w:rPr>
          <w:sz w:val="20"/>
          <w:szCs w:val="20"/>
          <w:color w:val="auto"/>
        </w:rPr>
        <w:tab/>
      </w:r>
      <w:r>
        <w:rPr>
          <w:rFonts w:ascii="Courier New" w:cs="Courier New" w:eastAsia="Courier New" w:hAnsi="Courier New"/>
          <w:sz w:val="14"/>
          <w:szCs w:val="14"/>
          <w:b w:val="1"/>
          <w:bCs w:val="1"/>
          <w:color w:val="auto"/>
        </w:rPr>
        <w:t>Restated</w:t>
      </w:r>
    </w:p>
    <w:p>
      <w:pPr>
        <w:spacing w:after="0" w:line="7" w:lineRule="exact"/>
        <w:rPr>
          <w:sz w:val="20"/>
          <w:szCs w:val="20"/>
          <w:color w:val="auto"/>
        </w:rPr>
      </w:pPr>
    </w:p>
    <w:p>
      <w:pPr>
        <w:ind w:left="6220"/>
        <w:spacing w:after="0"/>
        <w:tabs>
          <w:tab w:leader="none" w:pos="7920" w:val="left"/>
        </w:tabs>
        <w:rPr>
          <w:sz w:val="20"/>
          <w:szCs w:val="20"/>
          <w:color w:val="auto"/>
        </w:rPr>
      </w:pPr>
      <w:r>
        <w:rPr>
          <w:rFonts w:ascii="Courier New" w:cs="Courier New" w:eastAsia="Courier New" w:hAnsi="Courier New"/>
          <w:sz w:val="14"/>
          <w:szCs w:val="14"/>
          <w:b w:val="1"/>
          <w:bCs w:val="1"/>
          <w:color w:val="auto"/>
        </w:rPr>
        <w:t>June 30,</w:t>
      </w:r>
      <w:r>
        <w:rPr>
          <w:sz w:val="20"/>
          <w:szCs w:val="20"/>
          <w:color w:val="auto"/>
        </w:rPr>
        <w:tab/>
      </w:r>
      <w:r>
        <w:rPr>
          <w:rFonts w:ascii="Courier New" w:cs="Courier New" w:eastAsia="Courier New" w:hAnsi="Courier New"/>
          <w:sz w:val="14"/>
          <w:szCs w:val="14"/>
          <w:b w:val="1"/>
          <w:bCs w:val="1"/>
          <w:color w:val="auto"/>
        </w:rPr>
        <w:t>December 31,</w:t>
      </w:r>
    </w:p>
    <w:p>
      <w:pPr>
        <w:spacing w:after="0" w:line="7" w:lineRule="exact"/>
        <w:rPr>
          <w:sz w:val="20"/>
          <w:szCs w:val="20"/>
          <w:color w:val="auto"/>
        </w:rPr>
      </w:pPr>
    </w:p>
    <w:p>
      <w:pPr>
        <w:spacing w:after="0"/>
        <w:tabs>
          <w:tab w:leader="none" w:pos="6360" w:val="left"/>
          <w:tab w:leader="none" w:pos="8260" w:val="left"/>
        </w:tabs>
        <w:rPr>
          <w:sz w:val="20"/>
          <w:szCs w:val="20"/>
          <w:color w:val="auto"/>
        </w:rPr>
      </w:pPr>
      <w:r>
        <w:rPr>
          <w:rFonts w:ascii="Courier New" w:cs="Courier New" w:eastAsia="Courier New" w:hAnsi="Courier New"/>
          <w:sz w:val="14"/>
          <w:szCs w:val="14"/>
          <w:b w:val="1"/>
          <w:bCs w:val="1"/>
          <w:color w:val="auto"/>
        </w:rPr>
        <w:t>Thousands of Dollars</w:t>
      </w:r>
      <w:r>
        <w:rPr>
          <w:sz w:val="20"/>
          <w:szCs w:val="20"/>
          <w:color w:val="auto"/>
        </w:rPr>
        <w:tab/>
      </w: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2002</w:t>
      </w:r>
    </w:p>
    <w:p>
      <w:pPr>
        <w:spacing w:after="0" w:line="7"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 -------------- ------ -------------</w:t>
      </w:r>
    </w:p>
    <w:p>
      <w:pPr>
        <w:spacing w:after="0" w:line="7" w:lineRule="exact"/>
        <w:rPr>
          <w:rFonts w:ascii="Courier New" w:cs="Courier New" w:eastAsia="Courier New" w:hAnsi="Courier New"/>
          <w:sz w:val="14"/>
          <w:szCs w:val="14"/>
          <w:b w:val="1"/>
          <w:bCs w:val="1"/>
          <w:color w:val="auto"/>
        </w:rPr>
      </w:pPr>
    </w:p>
    <w:p>
      <w:pPr>
        <w:spacing w:after="0"/>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Assets</w:t>
      </w:r>
    </w:p>
    <w:p>
      <w:pPr>
        <w:spacing w:after="0" w:line="7" w:lineRule="exact"/>
        <w:rPr>
          <w:rFonts w:ascii="Courier New" w:cs="Courier New" w:eastAsia="Courier New" w:hAnsi="Courier New"/>
          <w:sz w:val="14"/>
          <w:szCs w:val="14"/>
          <w:b w:val="1"/>
          <w:bCs w:val="1"/>
          <w:color w:val="auto"/>
        </w:rPr>
      </w:pPr>
    </w:p>
    <w:p>
      <w:pPr>
        <w:spacing w:after="0"/>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$ 4,641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$ 5,144</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44,542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28,965</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33,825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23,402</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6,779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3,901</w:t>
            </w:r>
          </w:p>
        </w:tc>
      </w:tr>
      <w:tr>
        <w:trPr>
          <w:trHeight w:val="166"/>
        </w:trPr>
        <w:tc>
          <w:tcPr>
            <w:tcW w:w="5040" w:type="dxa"/>
            <w:vAlign w:val="bottom"/>
          </w:tcPr>
          <w:p>
            <w:pPr>
              <w:spacing w:after="0"/>
              <w:rPr>
                <w:sz w:val="14"/>
                <w:szCs w:val="14"/>
                <w:color w:val="auto"/>
              </w:rPr>
            </w:pPr>
          </w:p>
        </w:tc>
        <w:tc>
          <w:tcPr>
            <w:tcW w:w="2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89,787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61,412</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105,007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88,199</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Assets held for sale</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Goodwill, net</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52,653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39,374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4,016</w:t>
            </w:r>
          </w:p>
        </w:tc>
      </w:tr>
      <w:tr>
        <w:trPr>
          <w:trHeight w:val="166"/>
        </w:trPr>
        <w:tc>
          <w:tcPr>
            <w:tcW w:w="5040" w:type="dxa"/>
            <w:vAlign w:val="bottom"/>
          </w:tcPr>
          <w:p>
            <w:pPr>
              <w:spacing w:after="0"/>
              <w:rPr>
                <w:sz w:val="14"/>
                <w:szCs w:val="14"/>
                <w:color w:val="auto"/>
              </w:rPr>
            </w:pPr>
          </w:p>
        </w:tc>
        <w:tc>
          <w:tcPr>
            <w:tcW w:w="2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$ 253,854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$ 195,215</w:t>
            </w:r>
          </w:p>
        </w:tc>
      </w:tr>
      <w:tr>
        <w:trPr>
          <w:trHeight w:val="166"/>
        </w:trPr>
        <w:tc>
          <w:tcPr>
            <w:tcW w:w="5040" w:type="dxa"/>
            <w:vAlign w:val="bottom"/>
          </w:tcPr>
          <w:p>
            <w:pPr>
              <w:spacing w:after="0"/>
              <w:rPr>
                <w:sz w:val="14"/>
                <w:szCs w:val="14"/>
                <w:color w:val="auto"/>
              </w:rPr>
            </w:pPr>
          </w:p>
        </w:tc>
        <w:tc>
          <w:tcPr>
            <w:tcW w:w="2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b w:val="1"/>
                <w:bCs w:val="1"/>
                <w:color w:val="auto"/>
              </w:rPr>
              <w:t>Liabilities and Stockholders' Equity</w:t>
            </w:r>
          </w:p>
        </w:tc>
        <w:tc>
          <w:tcPr>
            <w:tcW w:w="2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$33,826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$ 22,983</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Bank overdraft</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2,813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Accrued salaries and wages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11,608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6,354</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Current maturities of long-term debt</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9,066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7,000</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Other current liabilities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4,399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3,240</w:t>
            </w:r>
          </w:p>
        </w:tc>
      </w:tr>
      <w:tr>
        <w:trPr>
          <w:trHeight w:val="166"/>
        </w:trPr>
        <w:tc>
          <w:tcPr>
            <w:tcW w:w="5040" w:type="dxa"/>
            <w:vAlign w:val="bottom"/>
          </w:tcPr>
          <w:p>
            <w:pPr>
              <w:spacing w:after="0"/>
              <w:rPr>
                <w:sz w:val="14"/>
                <w:szCs w:val="14"/>
                <w:color w:val="auto"/>
              </w:rPr>
            </w:pPr>
          </w:p>
        </w:tc>
        <w:tc>
          <w:tcPr>
            <w:tcW w:w="2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62,731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40,234</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Non-current deferred tax liability</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9,688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75,344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46,135</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Accrued pension and other</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10,130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9,319</w:t>
            </w:r>
          </w:p>
        </w:tc>
      </w:tr>
      <w:tr>
        <w:trPr>
          <w:trHeight w:val="166"/>
        </w:trPr>
        <w:tc>
          <w:tcPr>
            <w:tcW w:w="5040" w:type="dxa"/>
            <w:vAlign w:val="bottom"/>
          </w:tcPr>
          <w:p>
            <w:pPr>
              <w:spacing w:after="0"/>
              <w:rPr>
                <w:sz w:val="14"/>
                <w:szCs w:val="14"/>
                <w:color w:val="auto"/>
              </w:rPr>
            </w:pPr>
          </w:p>
        </w:tc>
        <w:tc>
          <w:tcPr>
            <w:tcW w:w="2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157,893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105,022</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12,285</w:t>
            </w:r>
          </w:p>
        </w:tc>
      </w:tr>
      <w:tr>
        <w:trPr>
          <w:trHeight w:val="166"/>
        </w:trPr>
        <w:tc>
          <w:tcPr>
            <w:tcW w:w="5040" w:type="dxa"/>
            <w:vAlign w:val="bottom"/>
          </w:tcPr>
          <w:p>
            <w:pPr>
              <w:spacing w:after="0"/>
              <w:rPr>
                <w:sz w:val="14"/>
                <w:szCs w:val="14"/>
                <w:color w:val="auto"/>
              </w:rPr>
            </w:pPr>
          </w:p>
        </w:tc>
        <w:tc>
          <w:tcPr>
            <w:tcW w:w="2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95,961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77,908</w:t>
            </w:r>
          </w:p>
        </w:tc>
      </w:tr>
      <w:tr>
        <w:trPr>
          <w:trHeight w:val="166"/>
        </w:trPr>
        <w:tc>
          <w:tcPr>
            <w:tcW w:w="5040" w:type="dxa"/>
            <w:vAlign w:val="bottom"/>
          </w:tcPr>
          <w:p>
            <w:pPr>
              <w:spacing w:after="0"/>
              <w:rPr>
                <w:sz w:val="14"/>
                <w:szCs w:val="14"/>
                <w:color w:val="auto"/>
              </w:rPr>
            </w:pPr>
          </w:p>
        </w:tc>
        <w:tc>
          <w:tcPr>
            <w:tcW w:w="2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$253,854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$195,215</w:t>
            </w:r>
          </w:p>
        </w:tc>
      </w:tr>
    </w:tbl>
    <w:p>
      <w:pPr>
        <w:sectPr>
          <w:pgSz w:w="11900" w:h="16880" w:orient="portrait"/>
          <w:cols w:equalWidth="0" w:num="1">
            <w:col w:w="10340"/>
          </w:cols>
          <w:pgMar w:left="220" w:top="141" w:right="1339" w:bottom="0" w:gutter="0" w:footer="0" w:header="0"/>
        </w:sectPr>
      </w:pPr>
    </w:p>
    <w:bookmarkStart w:id="3" w:name="page4"/>
    <w:bookmarkEnd w:id="3"/>
    <w:p>
      <w:pPr>
        <w:spacing w:after="0" w:line="19" w:lineRule="exact"/>
        <w:rPr>
          <w:sz w:val="20"/>
          <w:szCs w:val="20"/>
          <w:color w:val="auto"/>
        </w:rPr>
      </w:pPr>
    </w:p>
    <w:p>
      <w:pPr>
        <w:ind w:left="6120"/>
        <w:spacing w:after="0"/>
        <w:tabs>
          <w:tab w:leader="none" w:pos="80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b w:val="1"/>
          <w:bCs w:val="1"/>
          <w:color w:val="auto"/>
        </w:rPr>
        <w:t>See accompanying notes.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b w:val="1"/>
          <w:bCs w:val="1"/>
          <w:color w:val="auto"/>
        </w:rPr>
        <w:t>NN, Inc.</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b w:val="1"/>
          <w:bCs w:val="1"/>
          <w:color w:val="auto"/>
        </w:rPr>
        <w:t>Consolidated Statements of Changes in Stockholders' Equity</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b w:val="1"/>
          <w:bCs w:val="1"/>
          <w:color w:val="auto"/>
        </w:rPr>
        <w:t>(Unaudited) (Restated)</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b w:val="1"/>
          <w:bCs w:val="1"/>
          <w:color w:val="auto"/>
        </w:rPr>
        <w:t>Common Stock</w:t>
      </w:r>
    </w:p>
    <w:p>
      <w:pPr>
        <w:spacing w:after="0" w:line="7" w:lineRule="exact"/>
        <w:rPr>
          <w:sz w:val="20"/>
          <w:szCs w:val="20"/>
          <w:color w:val="auto"/>
        </w:rPr>
      </w:pPr>
    </w:p>
    <w:p>
      <w:pPr>
        <w:ind w:left="8880"/>
        <w:spacing w:after="0"/>
        <w:rPr>
          <w:sz w:val="20"/>
          <w:szCs w:val="20"/>
          <w:color w:val="auto"/>
        </w:rPr>
      </w:pPr>
      <w:r>
        <w:rPr>
          <w:rFonts w:ascii="Courier New" w:cs="Courier New" w:eastAsia="Courier New" w:hAnsi="Courier New"/>
          <w:sz w:val="14"/>
          <w:szCs w:val="14"/>
          <w:b w:val="1"/>
          <w:bCs w:val="1"/>
          <w:color w:val="auto"/>
        </w:rPr>
        <w:t>Accumulated</w:t>
      </w:r>
    </w:p>
    <w:p>
      <w:pPr>
        <w:spacing w:after="0" w:line="7" w:lineRule="exact"/>
        <w:rPr>
          <w:sz w:val="20"/>
          <w:szCs w:val="20"/>
          <w:color w:val="auto"/>
        </w:rPr>
      </w:pPr>
    </w:p>
    <w:p>
      <w:pPr>
        <w:spacing w:after="0"/>
        <w:tabs>
          <w:tab w:leader="none" w:pos="6200" w:val="left"/>
          <w:tab w:leader="none" w:pos="9120" w:val="left"/>
        </w:tabs>
        <w:rPr>
          <w:sz w:val="20"/>
          <w:szCs w:val="20"/>
          <w:color w:val="auto"/>
        </w:rPr>
      </w:pPr>
      <w:r>
        <w:rPr>
          <w:rFonts w:ascii="Courier New" w:cs="Courier New" w:eastAsia="Courier New" w:hAnsi="Courier New"/>
          <w:sz w:val="14"/>
          <w:szCs w:val="14"/>
          <w:b w:val="1"/>
          <w:bCs w:val="1"/>
          <w:color w:val="auto"/>
        </w:rPr>
        <w:t>Thousands of Dollars and Shares</w:t>
      </w:r>
      <w:r>
        <w:rPr>
          <w:sz w:val="20"/>
          <w:szCs w:val="20"/>
          <w:color w:val="auto"/>
        </w:rPr>
        <w:tab/>
      </w:r>
      <w:r>
        <w:rPr>
          <w:rFonts w:ascii="Courier New" w:cs="Courier New" w:eastAsia="Courier New" w:hAnsi="Courier New"/>
          <w:sz w:val="14"/>
          <w:szCs w:val="14"/>
          <w:b w:val="1"/>
          <w:bCs w:val="1"/>
          <w:color w:val="auto"/>
        </w:rPr>
        <w:t>Additional</w:t>
      </w:r>
      <w:r>
        <w:rPr>
          <w:sz w:val="20"/>
          <w:szCs w:val="20"/>
          <w:color w:val="auto"/>
        </w:rPr>
        <w:tab/>
      </w:r>
      <w:r>
        <w:rPr>
          <w:rFonts w:ascii="Courier New" w:cs="Courier New" w:eastAsia="Courier New" w:hAnsi="Courier New"/>
          <w:sz w:val="14"/>
          <w:szCs w:val="14"/>
          <w:b w:val="1"/>
          <w:bCs w:val="1"/>
          <w:color w:val="auto"/>
        </w:rPr>
        <w:t>Other</w:t>
      </w:r>
    </w:p>
    <w:p>
      <w:pPr>
        <w:spacing w:after="0" w:line="7" w:lineRule="exact"/>
        <w:rPr>
          <w:sz w:val="20"/>
          <w:szCs w:val="20"/>
          <w:color w:val="auto"/>
        </w:rPr>
      </w:pPr>
    </w:p>
    <w:p>
      <w:pPr>
        <w:ind w:left="3540"/>
        <w:spacing w:after="0"/>
        <w:tabs>
          <w:tab w:leader="none" w:pos="5240" w:val="left"/>
          <w:tab w:leader="none" w:pos="6360" w:val="left"/>
          <w:tab w:leader="none" w:pos="7560" w:val="left"/>
          <w:tab w:leader="none" w:pos="8780" w:val="left"/>
        </w:tabs>
        <w:rPr>
          <w:sz w:val="20"/>
          <w:szCs w:val="20"/>
          <w:color w:val="auto"/>
        </w:rPr>
      </w:pPr>
      <w:r>
        <w:rPr>
          <w:rFonts w:ascii="Courier New" w:cs="Courier New" w:eastAsia="Courier New" w:hAnsi="Courier New"/>
          <w:sz w:val="14"/>
          <w:szCs w:val="14"/>
          <w:b w:val="1"/>
          <w:bCs w:val="1"/>
          <w:color w:val="auto"/>
        </w:rPr>
        <w:t>Number Of</w:t>
      </w:r>
      <w:r>
        <w:rPr>
          <w:sz w:val="20"/>
          <w:szCs w:val="20"/>
          <w:color w:val="auto"/>
        </w:rPr>
        <w:tab/>
      </w:r>
      <w:r>
        <w:rPr>
          <w:rFonts w:ascii="Courier New" w:cs="Courier New" w:eastAsia="Courier New" w:hAnsi="Courier New"/>
          <w:sz w:val="14"/>
          <w:szCs w:val="14"/>
          <w:b w:val="1"/>
          <w:bCs w:val="1"/>
          <w:color w:val="auto"/>
        </w:rPr>
        <w:t>Par</w:t>
      </w:r>
      <w:r>
        <w:rPr>
          <w:sz w:val="20"/>
          <w:szCs w:val="20"/>
          <w:color w:val="auto"/>
        </w:rPr>
        <w:tab/>
      </w:r>
      <w:r>
        <w:rPr>
          <w:rFonts w:ascii="Courier New" w:cs="Courier New" w:eastAsia="Courier New" w:hAnsi="Courier New"/>
          <w:sz w:val="14"/>
          <w:szCs w:val="14"/>
          <w:b w:val="1"/>
          <w:bCs w:val="1"/>
          <w:color w:val="auto"/>
        </w:rPr>
        <w:t>paid in</w:t>
      </w:r>
      <w:r>
        <w:rPr>
          <w:sz w:val="20"/>
          <w:szCs w:val="20"/>
          <w:color w:val="auto"/>
        </w:rPr>
        <w:tab/>
      </w:r>
      <w:r>
        <w:rPr>
          <w:rFonts w:ascii="Courier New" w:cs="Courier New" w:eastAsia="Courier New" w:hAnsi="Courier New"/>
          <w:sz w:val="14"/>
          <w:szCs w:val="14"/>
          <w:b w:val="1"/>
          <w:bCs w:val="1"/>
          <w:color w:val="auto"/>
        </w:rPr>
        <w:t>Retained</w:t>
      </w:r>
      <w:r>
        <w:rPr>
          <w:sz w:val="20"/>
          <w:szCs w:val="20"/>
          <w:color w:val="auto"/>
        </w:rPr>
        <w:tab/>
      </w:r>
      <w:r>
        <w:rPr>
          <w:rFonts w:ascii="Courier New" w:cs="Courier New" w:eastAsia="Courier New" w:hAnsi="Courier New"/>
          <w:sz w:val="14"/>
          <w:szCs w:val="14"/>
          <w:b w:val="1"/>
          <w:bCs w:val="1"/>
          <w:color w:val="auto"/>
        </w:rPr>
        <w:t>Comprehensive</w:t>
      </w:r>
    </w:p>
    <w:p>
      <w:pPr>
        <w:spacing w:after="0" w:line="7" w:lineRule="exact"/>
        <w:rPr>
          <w:sz w:val="20"/>
          <w:szCs w:val="20"/>
          <w:color w:val="auto"/>
        </w:rPr>
      </w:pPr>
    </w:p>
    <w:p>
      <w:pPr>
        <w:ind w:left="3720"/>
        <w:spacing w:after="0"/>
        <w:tabs>
          <w:tab w:leader="none" w:pos="5160" w:val="left"/>
          <w:tab w:leader="none" w:pos="6360" w:val="left"/>
          <w:tab w:leader="none" w:pos="7560" w:val="left"/>
          <w:tab w:leader="none" w:pos="8780" w:val="left"/>
          <w:tab w:leader="none" w:pos="10420" w:val="left"/>
        </w:tabs>
        <w:rPr>
          <w:sz w:val="20"/>
          <w:szCs w:val="20"/>
          <w:color w:val="auto"/>
        </w:rPr>
      </w:pPr>
      <w:r>
        <w:rPr>
          <w:rFonts w:ascii="Courier New" w:cs="Courier New" w:eastAsia="Courier New" w:hAnsi="Courier New"/>
          <w:sz w:val="14"/>
          <w:szCs w:val="14"/>
          <w:b w:val="1"/>
          <w:bCs w:val="1"/>
          <w:color w:val="auto"/>
        </w:rPr>
        <w:t>Shares</w:t>
      </w:r>
      <w:r>
        <w:rPr>
          <w:sz w:val="20"/>
          <w:szCs w:val="20"/>
          <w:color w:val="auto"/>
        </w:rPr>
        <w:tab/>
      </w:r>
      <w:r>
        <w:rPr>
          <w:rFonts w:ascii="Courier New" w:cs="Courier New" w:eastAsia="Courier New" w:hAnsi="Courier New"/>
          <w:sz w:val="14"/>
          <w:szCs w:val="14"/>
          <w:b w:val="1"/>
          <w:bCs w:val="1"/>
          <w:color w:val="auto"/>
        </w:rPr>
        <w:t>value</w:t>
      </w:r>
      <w:r>
        <w:rPr>
          <w:sz w:val="20"/>
          <w:szCs w:val="20"/>
          <w:color w:val="auto"/>
        </w:rPr>
        <w:tab/>
      </w:r>
      <w:r>
        <w:rPr>
          <w:rFonts w:ascii="Courier New" w:cs="Courier New" w:eastAsia="Courier New" w:hAnsi="Courier New"/>
          <w:sz w:val="14"/>
          <w:szCs w:val="14"/>
          <w:b w:val="1"/>
          <w:bCs w:val="1"/>
          <w:color w:val="auto"/>
        </w:rPr>
        <w:t>capital</w:t>
      </w:r>
      <w:r>
        <w:rPr>
          <w:sz w:val="20"/>
          <w:szCs w:val="20"/>
          <w:color w:val="auto"/>
        </w:rPr>
        <w:tab/>
      </w:r>
      <w:r>
        <w:rPr>
          <w:rFonts w:ascii="Courier New" w:cs="Courier New" w:eastAsia="Courier New" w:hAnsi="Courier New"/>
          <w:sz w:val="14"/>
          <w:szCs w:val="14"/>
          <w:b w:val="1"/>
          <w:bCs w:val="1"/>
          <w:color w:val="auto"/>
        </w:rPr>
        <w:t>Earnings</w:t>
      </w:r>
      <w:r>
        <w:rPr>
          <w:sz w:val="20"/>
          <w:szCs w:val="20"/>
          <w:color w:val="auto"/>
        </w:rPr>
        <w:tab/>
      </w:r>
      <w:r>
        <w:rPr>
          <w:rFonts w:ascii="Courier New" w:cs="Courier New" w:eastAsia="Courier New" w:hAnsi="Courier New"/>
          <w:sz w:val="14"/>
          <w:szCs w:val="14"/>
          <w:b w:val="1"/>
          <w:bCs w:val="1"/>
          <w:color w:val="auto"/>
        </w:rPr>
        <w:t>Income (Loss)</w:t>
      </w:r>
      <w:r>
        <w:rPr>
          <w:sz w:val="20"/>
          <w:szCs w:val="20"/>
          <w:color w:val="auto"/>
        </w:rPr>
        <w:tab/>
      </w:r>
      <w:r>
        <w:rPr>
          <w:rFonts w:ascii="Courier New" w:cs="Courier New" w:eastAsia="Courier New" w:hAnsi="Courier New"/>
          <w:sz w:val="14"/>
          <w:szCs w:val="14"/>
          <w:b w:val="1"/>
          <w:bCs w:val="1"/>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January 1, 2002, Restated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15,317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$ 40,111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$ 36,139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(5,422)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$ 70,982</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Shares issued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4,258</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4,258</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Dividends declared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(2,457)</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(2,457)</w:t>
            </w:r>
          </w:p>
        </w:tc>
      </w:tr>
      <w:tr>
        <w:trPr>
          <w:trHeight w:val="166"/>
        </w:trPr>
        <w:tc>
          <w:tcPr>
            <w:tcW w:w="320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2,380</w:t>
            </w:r>
          </w:p>
        </w:tc>
      </w:tr>
      <w:tr>
        <w:trPr>
          <w:trHeight w:val="166"/>
        </w:trPr>
        <w:tc>
          <w:tcPr>
            <w:tcW w:w="320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June 30, 2002, Restated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15,367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$ 40,440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$ 37,940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(3,042)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$ 75,492</w:t>
            </w:r>
          </w:p>
        </w:tc>
      </w:tr>
      <w:tr>
        <w:trPr>
          <w:trHeight w:val="166"/>
        </w:trPr>
        <w:tc>
          <w:tcPr>
            <w:tcW w:w="320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January 1, 2003, Restated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15,370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$ 40,457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$ 38,984</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(1,687)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$ 77,908</w:t>
            </w: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Shares issued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12,106</w:t>
            </w: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4,340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4,340</w:t>
            </w: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(2,562)</w:t>
            </w: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4,169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4,169</w:t>
            </w:r>
          </w:p>
        </w:tc>
      </w:tr>
      <w:tr>
        <w:trPr>
          <w:trHeight w:val="166"/>
        </w:trPr>
        <w:tc>
          <w:tcPr>
            <w:tcW w:w="320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June 30, 2003, Restated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16,650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$ 52,550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$ 40,762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$ 2,482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$ 95,961</w:t>
            </w:r>
          </w:p>
        </w:tc>
      </w:tr>
      <w:tr>
        <w:trPr>
          <w:trHeight w:val="166"/>
        </w:trPr>
        <w:tc>
          <w:tcPr>
            <w:tcW w:w="320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b w:val="1"/>
          <w:bCs w:val="1"/>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967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ind w:left="3100"/>
              <w:spacing w:after="0"/>
              <w:rPr>
                <w:sz w:val="20"/>
                <w:szCs w:val="20"/>
                <w:color w:val="auto"/>
              </w:rPr>
            </w:pPr>
            <w:r>
              <w:rPr>
                <w:rFonts w:ascii="Courier New" w:cs="Courier New" w:eastAsia="Courier New" w:hAnsi="Courier New"/>
                <w:sz w:val="14"/>
                <w:szCs w:val="14"/>
                <w:b w:val="1"/>
                <w:bCs w:val="1"/>
                <w:color w:val="auto"/>
              </w:rPr>
              <w:t>NN, Inc.</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240" w:type="dxa"/>
            <w:vAlign w:val="bottom"/>
          </w:tcPr>
          <w:p>
            <w:pPr>
              <w:ind w:left="1900"/>
              <w:spacing w:after="0"/>
              <w:rPr>
                <w:sz w:val="20"/>
                <w:szCs w:val="20"/>
                <w:color w:val="auto"/>
              </w:rPr>
            </w:pPr>
            <w:r>
              <w:rPr>
                <w:rFonts w:ascii="Courier New" w:cs="Courier New" w:eastAsia="Courier New" w:hAnsi="Courier New"/>
                <w:sz w:val="14"/>
                <w:szCs w:val="14"/>
                <w:b w:val="1"/>
                <w:bCs w:val="1"/>
                <w:color w:val="auto"/>
              </w:rPr>
              <w:t>Consolidated Statements of Cash Flows</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240" w:type="dxa"/>
            <w:vAlign w:val="bottom"/>
          </w:tcPr>
          <w:p>
            <w:pPr>
              <w:ind w:left="3020"/>
              <w:spacing w:after="0"/>
              <w:rPr>
                <w:sz w:val="20"/>
                <w:szCs w:val="20"/>
                <w:color w:val="auto"/>
              </w:rPr>
            </w:pPr>
            <w:r>
              <w:rPr>
                <w:rFonts w:ascii="Courier New" w:cs="Courier New" w:eastAsia="Courier New" w:hAnsi="Courier New"/>
                <w:sz w:val="14"/>
                <w:szCs w:val="14"/>
                <w:b w:val="1"/>
                <w:bCs w:val="1"/>
                <w:color w:val="auto"/>
              </w:rPr>
              <w:t>(Unaudited)</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97"/>
        </w:trPr>
        <w:tc>
          <w:tcPr>
            <w:tcW w:w="7240" w:type="dxa"/>
            <w:vAlign w:val="bottom"/>
          </w:tcPr>
          <w:p>
            <w:pPr>
              <w:spacing w:after="0"/>
              <w:rPr>
                <w:sz w:val="24"/>
                <w:szCs w:val="24"/>
                <w:color w:val="auto"/>
              </w:rPr>
            </w:pPr>
          </w:p>
        </w:tc>
        <w:tc>
          <w:tcPr>
            <w:tcW w:w="2420" w:type="dxa"/>
            <w:vAlign w:val="bottom"/>
            <w:gridSpan w:val="2"/>
          </w:tcPr>
          <w:p>
            <w:pPr>
              <w:jc w:val="right"/>
              <w:ind w:right="628"/>
              <w:spacing w:after="0"/>
              <w:rPr>
                <w:sz w:val="20"/>
                <w:szCs w:val="20"/>
                <w:color w:val="auto"/>
              </w:rPr>
            </w:pPr>
            <w:r>
              <w:rPr>
                <w:rFonts w:ascii="Courier New" w:cs="Courier New" w:eastAsia="Courier New" w:hAnsi="Courier New"/>
                <w:sz w:val="14"/>
                <w:szCs w:val="14"/>
                <w:b w:val="1"/>
                <w:bCs w:val="1"/>
                <w:color w:val="auto"/>
              </w:rPr>
              <w:t>Six Months Ended</w:t>
            </w:r>
          </w:p>
        </w:tc>
      </w:tr>
      <w:tr>
        <w:trPr>
          <w:trHeight w:val="166"/>
        </w:trPr>
        <w:tc>
          <w:tcPr>
            <w:tcW w:w="7240" w:type="dxa"/>
            <w:vAlign w:val="bottom"/>
          </w:tcPr>
          <w:p>
            <w:pPr>
              <w:spacing w:after="0"/>
              <w:rPr>
                <w:sz w:val="14"/>
                <w:szCs w:val="14"/>
                <w:color w:val="auto"/>
              </w:rPr>
            </w:pPr>
          </w:p>
        </w:tc>
        <w:tc>
          <w:tcPr>
            <w:tcW w:w="2420" w:type="dxa"/>
            <w:vAlign w:val="bottom"/>
            <w:gridSpan w:val="2"/>
          </w:tcPr>
          <w:p>
            <w:pPr>
              <w:jc w:val="right"/>
              <w:ind w:right="968"/>
              <w:spacing w:after="0"/>
              <w:rPr>
                <w:sz w:val="20"/>
                <w:szCs w:val="20"/>
                <w:color w:val="auto"/>
              </w:rPr>
            </w:pPr>
            <w:r>
              <w:rPr>
                <w:rFonts w:ascii="Courier New" w:cs="Courier New" w:eastAsia="Courier New" w:hAnsi="Courier New"/>
                <w:sz w:val="14"/>
                <w:szCs w:val="14"/>
                <w:b w:val="1"/>
                <w:bCs w:val="1"/>
                <w:color w:val="auto"/>
              </w:rPr>
              <w:t>June 30,</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b w:val="1"/>
                <w:bCs w:val="1"/>
                <w:color w:val="auto"/>
              </w:rPr>
              <w:t>Thousands of Dollars</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b w:val="1"/>
                <w:bCs w:val="1"/>
                <w:color w:val="auto"/>
              </w:rPr>
              <w:t>Restated</w:t>
            </w:r>
          </w:p>
        </w:tc>
        <w:tc>
          <w:tcPr>
            <w:tcW w:w="1220" w:type="dxa"/>
            <w:vAlign w:val="bottom"/>
          </w:tcPr>
          <w:p>
            <w:pPr>
              <w:spacing w:after="0"/>
              <w:rPr>
                <w:sz w:val="14"/>
                <w:szCs w:val="14"/>
                <w:color w:val="auto"/>
              </w:rPr>
            </w:pPr>
          </w:p>
        </w:tc>
      </w:tr>
      <w:tr>
        <w:trPr>
          <w:trHeight w:val="166"/>
        </w:trPr>
        <w:tc>
          <w:tcPr>
            <w:tcW w:w="724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b w:val="1"/>
                <w:bCs w:val="1"/>
                <w:color w:val="auto"/>
              </w:rPr>
              <w:t>2003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b w:val="1"/>
                <w:bCs w:val="1"/>
                <w:color w:val="auto"/>
              </w:rPr>
              <w:t>2002</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b w:val="1"/>
                <w:bCs w:val="1"/>
                <w:color w:val="auto"/>
              </w:rPr>
              <w:t>- ----------------------------------------------------------------------------------</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b w:val="1"/>
                <w:bCs w:val="1"/>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b w:val="1"/>
                <w:bCs w:val="1"/>
                <w:color w:val="auto"/>
              </w:rPr>
              <w:t>Operating Activities:</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2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$ 4,340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$ 4,258</w:t>
            </w:r>
          </w:p>
        </w:tc>
      </w:tr>
      <w:tr>
        <w:trPr>
          <w:trHeight w:val="166"/>
        </w:trPr>
        <w:tc>
          <w:tcPr>
            <w:tcW w:w="724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 provided (used) by operating</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240" w:type="dxa"/>
            <w:vAlign w:val="bottom"/>
          </w:tcPr>
          <w:p>
            <w:pPr>
              <w:ind w:left="520"/>
              <w:spacing w:after="0"/>
              <w:rPr>
                <w:sz w:val="20"/>
                <w:szCs w:val="20"/>
                <w:color w:val="auto"/>
              </w:rPr>
            </w:pPr>
            <w:r>
              <w:rPr>
                <w:rFonts w:ascii="Courier New" w:cs="Courier New" w:eastAsia="Courier New" w:hAnsi="Courier New"/>
                <w:sz w:val="14"/>
                <w:szCs w:val="14"/>
                <w:color w:val="auto"/>
              </w:rPr>
              <w:t>activities:</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24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5,620</w:t>
            </w:r>
          </w:p>
        </w:tc>
      </w:tr>
      <w:tr>
        <w:trPr>
          <w:trHeight w:val="166"/>
        </w:trPr>
        <w:tc>
          <w:tcPr>
            <w:tcW w:w="7240" w:type="dxa"/>
            <w:vAlign w:val="bottom"/>
          </w:tcPr>
          <w:p>
            <w:pPr>
              <w:ind w:left="360"/>
              <w:spacing w:after="0"/>
              <w:rPr>
                <w:sz w:val="20"/>
                <w:szCs w:val="20"/>
                <w:color w:val="auto"/>
              </w:rPr>
            </w:pPr>
            <w:r>
              <w:rPr>
                <w:rFonts w:ascii="Courier New" w:cs="Courier New" w:eastAsia="Courier New" w:hAnsi="Courier New"/>
                <w:sz w:val="14"/>
                <w:szCs w:val="14"/>
                <w:color w:val="auto"/>
              </w:rPr>
              <w:t>(Gain) loss on disposals of property, plant and equipment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6"/>
        </w:trPr>
        <w:tc>
          <w:tcPr>
            <w:tcW w:w="7240" w:type="dxa"/>
            <w:vAlign w:val="bottom"/>
          </w:tcPr>
          <w:p>
            <w:pPr>
              <w:ind w:left="360"/>
              <w:spacing w:after="0"/>
              <w:rPr>
                <w:sz w:val="20"/>
                <w:szCs w:val="20"/>
                <w:color w:val="auto"/>
              </w:rPr>
            </w:pPr>
            <w:r>
              <w:rPr>
                <w:rFonts w:ascii="Courier New" w:cs="Courier New" w:eastAsia="Courier New" w:hAnsi="Courier New"/>
                <w:sz w:val="14"/>
                <w:szCs w:val="14"/>
                <w:color w:val="auto"/>
              </w:rPr>
              <w:t>Minority interest in consolidated subsidiary</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1,454</w:t>
            </w:r>
          </w:p>
        </w:tc>
      </w:tr>
      <w:tr>
        <w:trPr>
          <w:trHeight w:val="166"/>
        </w:trPr>
        <w:tc>
          <w:tcPr>
            <w:tcW w:w="7240" w:type="dxa"/>
            <w:vAlign w:val="bottom"/>
          </w:tcPr>
          <w:p>
            <w:pPr>
              <w:ind w:left="360"/>
              <w:spacing w:after="0"/>
              <w:rPr>
                <w:sz w:val="20"/>
                <w:szCs w:val="20"/>
                <w:color w:val="auto"/>
              </w:rPr>
            </w:pPr>
            <w:r>
              <w:rPr>
                <w:rFonts w:ascii="Courier New" w:cs="Courier New" w:eastAsia="Courier New" w:hAnsi="Courier New"/>
                <w:sz w:val="14"/>
                <w:szCs w:val="14"/>
                <w:color w:val="auto"/>
              </w:rPr>
              <w:t>Restructuring and impairment costs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3,047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r>
      <w:tr>
        <w:trPr>
          <w:trHeight w:val="166"/>
        </w:trPr>
        <w:tc>
          <w:tcPr>
            <w:tcW w:w="724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24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(14,043)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(5,959)</w:t>
            </w:r>
          </w:p>
        </w:tc>
      </w:tr>
      <w:tr>
        <w:trPr>
          <w:trHeight w:val="166"/>
        </w:trPr>
        <w:tc>
          <w:tcPr>
            <w:tcW w:w="724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(3,717)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2,714</w:t>
            </w:r>
          </w:p>
        </w:tc>
      </w:tr>
      <w:tr>
        <w:trPr>
          <w:trHeight w:val="166"/>
        </w:trPr>
        <w:tc>
          <w:tcPr>
            <w:tcW w:w="724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w:t>
            </w:r>
          </w:p>
        </w:tc>
      </w:tr>
      <w:tr>
        <w:trPr>
          <w:trHeight w:val="166"/>
        </w:trPr>
        <w:tc>
          <w:tcPr>
            <w:tcW w:w="724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166"/>
        </w:trPr>
        <w:tc>
          <w:tcPr>
            <w:tcW w:w="724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11,030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3,153</w:t>
            </w:r>
          </w:p>
        </w:tc>
      </w:tr>
      <w:tr>
        <w:trPr>
          <w:trHeight w:val="166"/>
        </w:trPr>
        <w:tc>
          <w:tcPr>
            <w:tcW w:w="7240" w:type="dxa"/>
            <w:vAlign w:val="bottom"/>
          </w:tcPr>
          <w:p>
            <w:pPr>
              <w:ind w:left="520"/>
              <w:spacing w:after="0"/>
              <w:rPr>
                <w:sz w:val="20"/>
                <w:szCs w:val="20"/>
                <w:color w:val="auto"/>
              </w:rPr>
            </w:pPr>
            <w:r>
              <w:rPr>
                <w:rFonts w:ascii="Courier New" w:cs="Courier New" w:eastAsia="Courier New" w:hAnsi="Courier New"/>
                <w:sz w:val="14"/>
                <w:szCs w:val="14"/>
                <w:color w:val="auto"/>
              </w:rPr>
              <w:t>Income taxes payable</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1,044</w:t>
            </w:r>
          </w:p>
        </w:tc>
      </w:tr>
      <w:tr>
        <w:trPr>
          <w:trHeight w:val="166"/>
        </w:trPr>
        <w:tc>
          <w:tcPr>
            <w:tcW w:w="724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2,974</w:t>
            </w:r>
          </w:p>
        </w:tc>
      </w:tr>
      <w:tr>
        <w:trPr>
          <w:trHeight w:val="166"/>
        </w:trPr>
        <w:tc>
          <w:tcPr>
            <w:tcW w:w="8440" w:type="dxa"/>
            <w:vAlign w:val="bottom"/>
            <w:gridSpan w:val="2"/>
          </w:tcPr>
          <w:p>
            <w:pPr>
              <w:ind w:left="71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15,018</w:t>
            </w:r>
          </w:p>
        </w:tc>
      </w:tr>
      <w:tr>
        <w:trPr>
          <w:trHeight w:val="166"/>
        </w:trPr>
        <w:tc>
          <w:tcPr>
            <w:tcW w:w="8440" w:type="dxa"/>
            <w:vAlign w:val="bottom"/>
            <w:gridSpan w:val="2"/>
          </w:tcPr>
          <w:p>
            <w:pPr>
              <w:ind w:left="71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tcPr>
          <w:p>
            <w:pPr>
              <w:spacing w:after="0"/>
              <w:rPr>
                <w:sz w:val="20"/>
                <w:szCs w:val="20"/>
                <w:color w:val="auto"/>
              </w:rPr>
            </w:pPr>
            <w:r>
              <w:rPr>
                <w:rFonts w:ascii="Courier New" w:cs="Courier New" w:eastAsia="Courier New" w:hAnsi="Courier New"/>
                <w:sz w:val="14"/>
                <w:szCs w:val="14"/>
                <w:b w:val="1"/>
                <w:bCs w:val="1"/>
                <w:color w:val="auto"/>
              </w:rPr>
              <w:t>Investing Activities:</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Veenendaal, The Netherlands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(17,777)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Purchase of minority interest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(15,583)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property, plant, and equipment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Proceeds from disposals of property, plant and equipment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8440" w:type="dxa"/>
            <w:vAlign w:val="bottom"/>
            <w:gridSpan w:val="2"/>
          </w:tcPr>
          <w:p>
            <w:pPr>
              <w:ind w:left="71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Net cash used by investing activities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(37,693)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(1,819)</w:t>
            </w:r>
          </w:p>
        </w:tc>
      </w:tr>
      <w:tr>
        <w:trPr>
          <w:trHeight w:val="166"/>
        </w:trPr>
        <w:tc>
          <w:tcPr>
            <w:tcW w:w="8440" w:type="dxa"/>
            <w:vAlign w:val="bottom"/>
            <w:gridSpan w:val="2"/>
          </w:tcPr>
          <w:p>
            <w:pPr>
              <w:ind w:left="71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tcPr>
          <w:p>
            <w:pPr>
              <w:spacing w:after="0"/>
              <w:rPr>
                <w:sz w:val="20"/>
                <w:szCs w:val="20"/>
                <w:color w:val="auto"/>
              </w:rPr>
            </w:pPr>
            <w:r>
              <w:rPr>
                <w:rFonts w:ascii="Courier New" w:cs="Courier New" w:eastAsia="Courier New" w:hAnsi="Courier New"/>
                <w:sz w:val="14"/>
                <w:szCs w:val="14"/>
                <w:b w:val="1"/>
                <w:bCs w:val="1"/>
                <w:color w:val="auto"/>
              </w:rPr>
              <w:t>Financing Activities:</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Proceeds from long-term debt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89,560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Bank overdraft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Repayment of long-term debt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(59,408)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(10,683)</w:t>
            </w: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Repayment of short-term debt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Proceeds from issuance of stock</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5,168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w:t>
            </w:r>
          </w:p>
        </w:tc>
      </w:tr>
      <w:tr>
        <w:trPr>
          <w:trHeight w:val="166"/>
        </w:trPr>
        <w:tc>
          <w:tcPr>
            <w:tcW w:w="7240" w:type="dxa"/>
            <w:vAlign w:val="bottom"/>
          </w:tcPr>
          <w:p>
            <w:pPr>
              <w:ind w:left="100"/>
              <w:spacing w:after="0"/>
              <w:rPr>
                <w:sz w:val="20"/>
                <w:szCs w:val="20"/>
                <w:color w:val="auto"/>
              </w:rPr>
            </w:pPr>
            <w:r>
              <w:rPr>
                <w:rFonts w:ascii="Courier New" w:cs="Courier New" w:eastAsia="Courier New" w:hAnsi="Courier New"/>
                <w:sz w:val="14"/>
                <w:szCs w:val="14"/>
                <w:color w:val="auto"/>
              </w:rPr>
              <w:t>Dividends paid</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(2,457)</w:t>
            </w:r>
          </w:p>
        </w:tc>
      </w:tr>
    </w:tbl>
    <w:p>
      <w:pPr>
        <w:sectPr>
          <w:pgSz w:w="11900" w:h="16858" w:orient="portrait"/>
          <w:cols w:equalWidth="0" w:num="1">
            <w:col w:w="11540"/>
          </w:cols>
          <w:pgMar w:left="220" w:top="141" w:right="1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33,121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(12,894)</w:t>
            </w:r>
          </w:p>
        </w:tc>
      </w:tr>
      <w:tr>
        <w:trPr>
          <w:trHeight w:val="166"/>
        </w:trPr>
        <w:tc>
          <w:tcPr>
            <w:tcW w:w="6560" w:type="dxa"/>
            <w:vAlign w:val="bottom"/>
          </w:tcPr>
          <w:p>
            <w:pPr>
              <w:spacing w:after="0"/>
              <w:rPr>
                <w:sz w:val="14"/>
                <w:szCs w:val="14"/>
                <w:color w:val="auto"/>
              </w:rPr>
            </w:pP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w:t>
            </w:r>
          </w:p>
        </w:tc>
      </w:tr>
      <w:tr>
        <w:trPr>
          <w:trHeight w:val="331"/>
        </w:trPr>
        <w:tc>
          <w:tcPr>
            <w:tcW w:w="6560" w:type="dxa"/>
            <w:vAlign w:val="bottom"/>
          </w:tcPr>
          <w:p>
            <w:pPr>
              <w:spacing w:after="0"/>
              <w:rPr>
                <w:sz w:val="20"/>
                <w:szCs w:val="20"/>
                <w:color w:val="auto"/>
              </w:rPr>
            </w:pPr>
            <w:r>
              <w:rPr>
                <w:rFonts w:ascii="Courier New" w:cs="Courier New" w:eastAsia="Courier New" w:hAnsi="Courier New"/>
                <w:sz w:val="14"/>
                <w:szCs w:val="14"/>
                <w:b w:val="1"/>
                <w:bCs w:val="1"/>
                <w:color w:val="auto"/>
              </w:rPr>
              <w:t>Net Change in Cash and Cash Equivalents</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b w:val="1"/>
                <w:bCs w:val="1"/>
                <w:color w:val="auto"/>
              </w:rPr>
              <w:t>Cash and Cash Equivalents at Beginning of Period</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5,144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3,024</w:t>
            </w:r>
          </w:p>
        </w:tc>
      </w:tr>
      <w:tr>
        <w:trPr>
          <w:trHeight w:val="166"/>
        </w:trPr>
        <w:tc>
          <w:tcPr>
            <w:tcW w:w="6560" w:type="dxa"/>
            <w:vAlign w:val="bottom"/>
          </w:tcPr>
          <w:p>
            <w:pPr>
              <w:spacing w:after="0"/>
              <w:rPr>
                <w:sz w:val="14"/>
                <w:szCs w:val="14"/>
                <w:color w:val="auto"/>
              </w:rPr>
            </w:pP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b w:val="1"/>
                <w:bCs w:val="1"/>
                <w:color w:val="auto"/>
              </w:rPr>
              <w:t>Cash and Cash Equivalents at End of Period</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$ 4,641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$ 3,710</w:t>
            </w:r>
          </w:p>
        </w:tc>
      </w:tr>
      <w:tr>
        <w:trPr>
          <w:trHeight w:val="166"/>
        </w:trPr>
        <w:tc>
          <w:tcPr>
            <w:tcW w:w="6560" w:type="dxa"/>
            <w:vAlign w:val="bottom"/>
          </w:tcPr>
          <w:p>
            <w:pPr>
              <w:spacing w:after="0"/>
              <w:rPr>
                <w:sz w:val="14"/>
                <w:szCs w:val="14"/>
                <w:color w:val="auto"/>
              </w:rPr>
            </w:pP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560" w:type="dxa"/>
            <w:vAlign w:val="bottom"/>
          </w:tcPr>
          <w:p>
            <w:pPr>
              <w:ind w:left="780"/>
              <w:spacing w:after="0"/>
              <w:rPr>
                <w:sz w:val="20"/>
                <w:szCs w:val="20"/>
                <w:color w:val="auto"/>
              </w:rPr>
            </w:pPr>
            <w:r>
              <w:rPr>
                <w:rFonts w:ascii="Courier New" w:cs="Courier New" w:eastAsia="Courier New" w:hAnsi="Courier New"/>
                <w:sz w:val="14"/>
                <w:szCs w:val="14"/>
                <w:color w:val="auto"/>
              </w:rPr>
              <w:t>Stock issued related to acquisition of Veenendaal</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$ 6,937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r>
      <w:tr>
        <w:trPr>
          <w:trHeight w:val="166"/>
        </w:trPr>
        <w:tc>
          <w:tcPr>
            <w:tcW w:w="6560" w:type="dxa"/>
            <w:vAlign w:val="bottom"/>
          </w:tcPr>
          <w:p>
            <w:pPr>
              <w:spacing w:after="0"/>
              <w:rPr>
                <w:sz w:val="14"/>
                <w:szCs w:val="14"/>
                <w:color w:val="auto"/>
              </w:rPr>
            </w:pP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b w:val="1"/>
          <w:bCs w:val="1"/>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9678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b w:val="1"/>
          <w:bCs w:val="1"/>
          <w:color w:val="auto"/>
        </w:rPr>
        <w:t>NN,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b w:val="1"/>
          <w:bCs w:val="1"/>
          <w:color w:val="auto"/>
        </w:rPr>
        <w:t>(unaudited)</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1.</w:t>
        <w:tab/>
        <w:t>Restatement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restated its Consolidated Financial Statements for the three and six month periods ended June 30, 2003 and 2002 solely to amend the financial reporting of certain transactions related to the formation of Euroball on July 31, 2000 and the subsequent purchases of the minority interests held by INA/FAG and SKF on December 20, 2002 and May 2, 2003, respectively. These restatements had no material effect on the Company's reported net sales, gross profit, income from operations, or cash flows for the three and six month periods ended June 30, 2003 and June 30, 2002.</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revised the valuation of the original purchase price associated with the formation of Euroball in July 2000. This revision resulted in a reduction of goodwill of approximately 4,108 Euro ($3,792). Further, we have increased stockholders' equity by approximately 10,044 Euro ($9,270) to reflect the amount by which the Company's proportionate interest in Euroball exceeded the book value of the net assets exchanged by the Company. As a result of these two adjustments, minority interest in consolidated subsidiaries has been reduced by approximately $7,421 at December 31, 2002, goodwill has been reduced $4,695 and $4,308 at June 30, 2003 and December 31, 2002, respectively, and paid-in-capital increased $9,270 at June 30, 2003 and December 31, 2002, respectively, from amounts previously reported. Comprehensive income has also been restated for foreign currency translation effects of these adjustments.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the previously issued December 31, 2002 and June 30, 2003 Consolidated Financial Statements, when the Company acquired the 23% interest in Euroball held by INA/FAG in December 2002 and the 23% interest in Euroball held by SKF in May 2003, the excess of minority interest in consolidated subsidiaries in Euroball over the purchase price was recorded as a non-taxable gain in the amount of approximately $5,904 and $6,600, respectively. As restated in the accompanying Consolidated Financial Statements, the non-taxable gains have been excluded and the excess of the purchase price over the fair value of INA/FAG's 23% and SKF's 23% interest in the net assets of Euroball was allocated to goodwill. The resulting impact to the Consolidated Financial Statements is an increase to goodwill of approximately $1,517 and $3,667, a decrease in retained earnings of approximately $5,904 and $12,504 as of December 31, 2002 and June 30, 2003, respectively, and reversal of the $6,600 gain previously recorded in the Consolidated Financial Statements of Income and Comprehensive Income for the three and six months ended June 30, 2003.</w:t>
      </w:r>
    </w:p>
    <w:p>
      <w:pPr>
        <w:spacing w:after="0" w:line="17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Additionally, the Company has reclassified minority interest in consolidated subsidiaries from a component of total liabilities to a separate line item in the Condensed Consolidated Balance Sheets at June 30, 2003 and December 31, 2002.</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b w:val="1"/>
          <w:bCs w:val="1"/>
          <w:color w:val="auto"/>
        </w:rPr>
        <w:t>Effect on selected Consolidated Financial Statement Data at June 30, 2003 and June 30, 2002 and for the three and six month periods then ended.</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b w:val="1"/>
          <w:bCs w:val="1"/>
          <w:color w:val="auto"/>
        </w:rPr>
        <w:t>Selected Consolidated Balance Sheet Data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b w:val="1"/>
          <w:bCs w:val="1"/>
          <w:color w:val="auto"/>
        </w:rPr>
        <w:t>June 30, 2003</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 Previously</w:t>
            </w:r>
          </w:p>
        </w:tc>
        <w:tc>
          <w:tcPr>
            <w:tcW w:w="15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2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Reported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As Restated</w:t>
            </w:r>
          </w:p>
        </w:tc>
      </w:tr>
      <w:tr>
        <w:trPr>
          <w:trHeight w:val="166"/>
        </w:trPr>
        <w:tc>
          <w:tcPr>
            <w:tcW w:w="4400" w:type="dxa"/>
            <w:vAlign w:val="bottom"/>
          </w:tcPr>
          <w:p>
            <w:pPr>
              <w:spacing w:after="0"/>
              <w:rPr>
                <w:sz w:val="14"/>
                <w:szCs w:val="14"/>
                <w:color w:val="auto"/>
              </w:rPr>
            </w:pPr>
          </w:p>
        </w:tc>
        <w:tc>
          <w:tcPr>
            <w:tcW w:w="2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$ 53,681</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$ 52,653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254,882</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253,854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43,280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52,550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53,266</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40,762</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276</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2,482</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96,989</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95,961</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254,882</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253,854</w:t>
            </w:r>
          </w:p>
        </w:tc>
      </w:tr>
    </w:tbl>
    <w:p>
      <w:pPr>
        <w:sectPr>
          <w:pgSz w:w="11900" w:h="16838" w:orient="portrait"/>
          <w:cols w:equalWidth="0" w:num="1">
            <w:col w:w="10239"/>
          </w:cols>
          <w:pgMar w:left="220" w:top="141" w:right="1440" w:bottom="0" w:gutter="0" w:footer="0" w:header="0"/>
        </w:sectPr>
      </w:pPr>
    </w:p>
    <w:bookmarkStart w:id="5" w:name="page6"/>
    <w:bookmarkEnd w:id="5"/>
    <w:p>
      <w:pPr>
        <w:spacing w:after="0" w:line="25"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4"/>
          <w:szCs w:val="14"/>
          <w:b w:val="1"/>
          <w:bCs w:val="1"/>
          <w:color w:val="auto"/>
        </w:rPr>
        <w:t>Selected Consolidated Balance Sheet Data</w:t>
      </w:r>
    </w:p>
    <w:p>
      <w:pPr>
        <w:spacing w:after="0" w:line="7"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4"/>
          <w:szCs w:val="14"/>
          <w:b w:val="1"/>
          <w:bCs w:val="1"/>
          <w:color w:val="auto"/>
        </w:rPr>
        <w:t>December 31, 2002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ind w:left="3620"/>
              <w:spacing w:after="0"/>
              <w:rPr>
                <w:sz w:val="20"/>
                <w:szCs w:val="20"/>
                <w:color w:val="auto"/>
              </w:rPr>
            </w:pPr>
            <w:r>
              <w:rPr>
                <w:rFonts w:ascii="Courier New" w:cs="Courier New" w:eastAsia="Courier New" w:hAnsi="Courier New"/>
                <w:sz w:val="14"/>
                <w:szCs w:val="14"/>
                <w:b w:val="1"/>
                <w:bCs w:val="1"/>
                <w:color w:val="auto"/>
              </w:rPr>
              <w:t>(In thousands)</w:t>
            </w: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331"/>
        </w:trPr>
        <w:tc>
          <w:tcPr>
            <w:tcW w:w="5040" w:type="dxa"/>
            <w:vAlign w:val="bottom"/>
          </w:tcPr>
          <w:p>
            <w:pPr>
              <w:spacing w:after="0"/>
              <w:rPr>
                <w:sz w:val="24"/>
                <w:szCs w:val="24"/>
                <w:color w:val="auto"/>
              </w:rPr>
            </w:pP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As Previously</w:t>
            </w: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66"/>
        </w:trPr>
        <w:tc>
          <w:tcPr>
            <w:tcW w:w="5040" w:type="dxa"/>
            <w:vAlign w:val="bottom"/>
          </w:tcPr>
          <w:p>
            <w:pPr>
              <w:spacing w:after="0"/>
              <w:rPr>
                <w:sz w:val="14"/>
                <w:szCs w:val="14"/>
                <w:color w:val="auto"/>
              </w:rPr>
            </w:pP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Reported</w:t>
            </w:r>
          </w:p>
        </w:tc>
        <w:tc>
          <w:tcPr>
            <w:tcW w:w="4480" w:type="dxa"/>
            <w:vAlign w:val="bottom"/>
            <w:gridSpan w:val="2"/>
          </w:tcPr>
          <w:p>
            <w:pPr>
              <w:jc w:val="right"/>
              <w:ind w:right="3108"/>
              <w:spacing w:after="0"/>
              <w:rPr>
                <w:sz w:val="20"/>
                <w:szCs w:val="20"/>
                <w:color w:val="auto"/>
              </w:rPr>
            </w:pPr>
            <w:r>
              <w:rPr>
                <w:rFonts w:ascii="Courier New" w:cs="Courier New" w:eastAsia="Courier New" w:hAnsi="Courier New"/>
                <w:sz w:val="14"/>
                <w:szCs w:val="14"/>
                <w:color w:val="auto"/>
              </w:rPr>
              <w:t>As Restated</w:t>
            </w:r>
          </w:p>
        </w:tc>
      </w:tr>
      <w:tr>
        <w:trPr>
          <w:trHeight w:val="166"/>
        </w:trPr>
        <w:tc>
          <w:tcPr>
            <w:tcW w:w="50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80" w:type="dxa"/>
            <w:vAlign w:val="bottom"/>
            <w:gridSpan w:val="2"/>
          </w:tcPr>
          <w:p>
            <w:pPr>
              <w:jc w:val="right"/>
              <w:ind w:right="284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$ 42,166</w:t>
            </w:r>
          </w:p>
        </w:tc>
        <w:tc>
          <w:tcPr>
            <w:tcW w:w="448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$ 39,374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198,007</w:t>
            </w:r>
          </w:p>
        </w:tc>
        <w:tc>
          <w:tcPr>
            <w:tcW w:w="448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195,215</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124,728</w:t>
            </w:r>
          </w:p>
        </w:tc>
        <w:tc>
          <w:tcPr>
            <w:tcW w:w="448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105,022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19,706</w:t>
            </w:r>
          </w:p>
        </w:tc>
        <w:tc>
          <w:tcPr>
            <w:tcW w:w="448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12,285</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31,187</w:t>
            </w:r>
          </w:p>
        </w:tc>
        <w:tc>
          <w:tcPr>
            <w:tcW w:w="448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40,457</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44,888</w:t>
            </w:r>
          </w:p>
        </w:tc>
        <w:tc>
          <w:tcPr>
            <w:tcW w:w="448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38,984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loss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(2,950)</w:t>
            </w:r>
          </w:p>
        </w:tc>
        <w:tc>
          <w:tcPr>
            <w:tcW w:w="448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(1,687)</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73,279</w:t>
            </w:r>
          </w:p>
        </w:tc>
        <w:tc>
          <w:tcPr>
            <w:tcW w:w="448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77,908</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198,007</w:t>
            </w:r>
          </w:p>
        </w:tc>
        <w:tc>
          <w:tcPr>
            <w:tcW w:w="448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195,215</w:t>
            </w:r>
          </w:p>
        </w:tc>
      </w:tr>
      <w:tr>
        <w:trPr>
          <w:trHeight w:val="331"/>
        </w:trPr>
        <w:tc>
          <w:tcPr>
            <w:tcW w:w="820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Selected Consolidated Statement of Income and Comprehensive Income Data</w:t>
            </w:r>
          </w:p>
        </w:tc>
        <w:tc>
          <w:tcPr>
            <w:tcW w:w="3260" w:type="dxa"/>
            <w:vAlign w:val="bottom"/>
          </w:tcPr>
          <w:p>
            <w:pPr>
              <w:spacing w:after="0"/>
              <w:rPr>
                <w:sz w:val="24"/>
                <w:szCs w:val="24"/>
                <w:color w:val="auto"/>
              </w:rPr>
            </w:pPr>
          </w:p>
        </w:tc>
      </w:tr>
      <w:tr>
        <w:trPr>
          <w:trHeight w:val="166"/>
        </w:trPr>
        <w:tc>
          <w:tcPr>
            <w:tcW w:w="6980" w:type="dxa"/>
            <w:vAlign w:val="bottom"/>
            <w:gridSpan w:val="2"/>
          </w:tcPr>
          <w:p>
            <w:pPr>
              <w:jc w:val="center"/>
              <w:ind w:left="1588"/>
              <w:spacing w:after="0"/>
              <w:rPr>
                <w:sz w:val="20"/>
                <w:szCs w:val="20"/>
                <w:color w:val="auto"/>
              </w:rPr>
            </w:pPr>
            <w:r>
              <w:rPr>
                <w:rFonts w:ascii="Courier New" w:cs="Courier New" w:eastAsia="Courier New" w:hAnsi="Courier New"/>
                <w:sz w:val="14"/>
                <w:szCs w:val="14"/>
                <w:b w:val="1"/>
                <w:bCs w:val="1"/>
                <w:color w:val="auto"/>
              </w:rPr>
              <w:t>Three months ended June 30, 2003</w:t>
            </w: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66"/>
        </w:trPr>
        <w:tc>
          <w:tcPr>
            <w:tcW w:w="6980" w:type="dxa"/>
            <w:vAlign w:val="bottom"/>
            <w:gridSpan w:val="2"/>
          </w:tcPr>
          <w:p>
            <w:pPr>
              <w:jc w:val="right"/>
              <w:ind w:right="1048"/>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331"/>
        </w:trPr>
        <w:tc>
          <w:tcPr>
            <w:tcW w:w="5040" w:type="dxa"/>
            <w:vAlign w:val="bottom"/>
          </w:tcPr>
          <w:p>
            <w:pPr>
              <w:spacing w:after="0"/>
              <w:rPr>
                <w:sz w:val="24"/>
                <w:szCs w:val="24"/>
                <w:color w:val="auto"/>
              </w:rPr>
            </w:pP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As Previously</w:t>
            </w: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66"/>
        </w:trPr>
        <w:tc>
          <w:tcPr>
            <w:tcW w:w="5040" w:type="dxa"/>
            <w:vAlign w:val="bottom"/>
          </w:tcPr>
          <w:p>
            <w:pPr>
              <w:spacing w:after="0"/>
              <w:rPr>
                <w:sz w:val="14"/>
                <w:szCs w:val="14"/>
                <w:color w:val="auto"/>
              </w:rPr>
            </w:pP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Reported</w:t>
            </w:r>
          </w:p>
        </w:tc>
        <w:tc>
          <w:tcPr>
            <w:tcW w:w="4480" w:type="dxa"/>
            <w:vAlign w:val="bottom"/>
            <w:gridSpan w:val="2"/>
          </w:tcPr>
          <w:p>
            <w:pPr>
              <w:jc w:val="right"/>
              <w:ind w:right="3028"/>
              <w:spacing w:after="0"/>
              <w:rPr>
                <w:sz w:val="20"/>
                <w:szCs w:val="20"/>
                <w:color w:val="auto"/>
              </w:rPr>
            </w:pPr>
            <w:r>
              <w:rPr>
                <w:rFonts w:ascii="Courier New" w:cs="Courier New" w:eastAsia="Courier New" w:hAnsi="Courier New"/>
                <w:sz w:val="14"/>
                <w:szCs w:val="14"/>
                <w:color w:val="auto"/>
              </w:rPr>
              <w:t>As Restated</w:t>
            </w:r>
          </w:p>
        </w:tc>
      </w:tr>
      <w:tr>
        <w:trPr>
          <w:trHeight w:val="166"/>
        </w:trPr>
        <w:tc>
          <w:tcPr>
            <w:tcW w:w="5040" w:type="dxa"/>
            <w:vAlign w:val="bottom"/>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80" w:type="dxa"/>
            <w:vAlign w:val="bottom"/>
            <w:gridSpan w:val="2"/>
          </w:tcPr>
          <w:p>
            <w:pPr>
              <w:jc w:val="right"/>
              <w:ind w:right="26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Gain on purchase of minority interest</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(6,600)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7,949</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5"/>
              </w:rPr>
              <w:t>1,349</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7,297</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697</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1,837</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5"/>
              </w:rPr>
              <w:t>2,370</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9,134</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5"/>
              </w:rPr>
              <w:t>3,067</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Basic income per share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0.46</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0.04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income per share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0.44</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0.04</w:t>
            </w:r>
          </w:p>
        </w:tc>
      </w:tr>
      <w:tr>
        <w:trPr>
          <w:trHeight w:val="331"/>
        </w:trPr>
        <w:tc>
          <w:tcPr>
            <w:tcW w:w="5040" w:type="dxa"/>
            <w:vAlign w:val="bottom"/>
          </w:tcPr>
          <w:p>
            <w:pPr>
              <w:ind w:left="3360"/>
              <w:spacing w:after="0"/>
              <w:rPr>
                <w:sz w:val="20"/>
                <w:szCs w:val="20"/>
                <w:color w:val="auto"/>
              </w:rPr>
            </w:pPr>
            <w:r>
              <w:rPr>
                <w:rFonts w:ascii="Courier New" w:cs="Courier New" w:eastAsia="Courier New" w:hAnsi="Courier New"/>
                <w:sz w:val="14"/>
                <w:szCs w:val="14"/>
                <w:color w:val="auto"/>
              </w:rPr>
              <w:t>8</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13"/>
        </w:trPr>
        <w:tc>
          <w:tcPr>
            <w:tcW w:w="6980" w:type="dxa"/>
            <w:vAlign w:val="bottom"/>
            <w:tcBorders>
              <w:bottom w:val="single" w:sz="8" w:color="9A9A9A"/>
            </w:tcBorders>
            <w:gridSpan w:val="2"/>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r>
        <w:trPr>
          <w:trHeight w:val="473"/>
        </w:trPr>
        <w:tc>
          <w:tcPr>
            <w:tcW w:w="6980" w:type="dxa"/>
            <w:vAlign w:val="bottom"/>
            <w:gridSpan w:val="2"/>
          </w:tcPr>
          <w:p>
            <w:pPr>
              <w:jc w:val="center"/>
              <w:ind w:left="1588"/>
              <w:spacing w:after="0"/>
              <w:rPr>
                <w:sz w:val="20"/>
                <w:szCs w:val="20"/>
                <w:color w:val="auto"/>
              </w:rPr>
            </w:pPr>
            <w:r>
              <w:rPr>
                <w:rFonts w:ascii="Courier New" w:cs="Courier New" w:eastAsia="Courier New" w:hAnsi="Courier New"/>
                <w:sz w:val="14"/>
                <w:szCs w:val="14"/>
                <w:b w:val="1"/>
                <w:bCs w:val="1"/>
                <w:color w:val="auto"/>
              </w:rPr>
              <w:t>Three months ended June 30, 2002</w:t>
            </w: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66"/>
        </w:trPr>
        <w:tc>
          <w:tcPr>
            <w:tcW w:w="5040" w:type="dxa"/>
            <w:vAlign w:val="bottom"/>
          </w:tcPr>
          <w:p>
            <w:pPr>
              <w:jc w:val="center"/>
              <w:ind w:left="3528"/>
              <w:spacing w:after="0"/>
              <w:rPr>
                <w:sz w:val="20"/>
                <w:szCs w:val="20"/>
                <w:color w:val="auto"/>
              </w:rPr>
            </w:pPr>
            <w:r>
              <w:rPr>
                <w:rFonts w:ascii="Courier New" w:cs="Courier New" w:eastAsia="Courier New" w:hAnsi="Courier New"/>
                <w:sz w:val="14"/>
                <w:szCs w:val="14"/>
                <w:b w:val="1"/>
                <w:bCs w:val="1"/>
                <w:color w:val="auto"/>
              </w:rPr>
              <w:t>(In thousands)</w:t>
            </w: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As Previously</w:t>
            </w: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Reported</w:t>
            </w:r>
          </w:p>
        </w:tc>
        <w:tc>
          <w:tcPr>
            <w:tcW w:w="4480" w:type="dxa"/>
            <w:vAlign w:val="bottom"/>
            <w:gridSpan w:val="2"/>
          </w:tcPr>
          <w:p>
            <w:pPr>
              <w:jc w:val="right"/>
              <w:ind w:right="3108"/>
              <w:spacing w:after="0"/>
              <w:rPr>
                <w:sz w:val="20"/>
                <w:szCs w:val="20"/>
                <w:color w:val="auto"/>
              </w:rPr>
            </w:pPr>
            <w:r>
              <w:rPr>
                <w:rFonts w:ascii="Courier New" w:cs="Courier New" w:eastAsia="Courier New" w:hAnsi="Courier New"/>
                <w:sz w:val="14"/>
                <w:szCs w:val="14"/>
                <w:color w:val="auto"/>
              </w:rPr>
              <w:t>As Amended</w:t>
            </w:r>
          </w:p>
        </w:tc>
      </w:tr>
      <w:tr>
        <w:trPr>
          <w:trHeight w:val="166"/>
        </w:trPr>
        <w:tc>
          <w:tcPr>
            <w:tcW w:w="5040" w:type="dxa"/>
            <w:vAlign w:val="bottom"/>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80" w:type="dxa"/>
            <w:vAlign w:val="bottom"/>
            <w:gridSpan w:val="2"/>
          </w:tcPr>
          <w:p>
            <w:pPr>
              <w:jc w:val="right"/>
              <w:ind w:right="26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$1,413</w:t>
            </w:r>
          </w:p>
        </w:tc>
        <w:tc>
          <w:tcPr>
            <w:tcW w:w="4480" w:type="dxa"/>
            <w:vAlign w:val="bottom"/>
            <w:gridSpan w:val="2"/>
          </w:tcPr>
          <w:p>
            <w:pPr>
              <w:jc w:val="right"/>
              <w:ind w:right="2768"/>
              <w:spacing w:after="0"/>
              <w:rPr>
                <w:sz w:val="20"/>
                <w:szCs w:val="20"/>
                <w:color w:val="auto"/>
              </w:rPr>
            </w:pPr>
            <w:r>
              <w:rPr>
                <w:rFonts w:ascii="Courier New" w:cs="Courier New" w:eastAsia="Courier New" w:hAnsi="Courier New"/>
                <w:sz w:val="14"/>
                <w:szCs w:val="14"/>
                <w:color w:val="auto"/>
              </w:rPr>
              <w:t>$2,574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3,821</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5"/>
              </w:rPr>
              <w:t>4,982</w:t>
            </w:r>
          </w:p>
        </w:tc>
      </w:tr>
      <w:tr>
        <w:trPr>
          <w:trHeight w:val="497"/>
        </w:trPr>
        <w:tc>
          <w:tcPr>
            <w:tcW w:w="6980" w:type="dxa"/>
            <w:vAlign w:val="bottom"/>
            <w:gridSpan w:val="2"/>
          </w:tcPr>
          <w:p>
            <w:pPr>
              <w:jc w:val="center"/>
              <w:ind w:left="1568"/>
              <w:spacing w:after="0"/>
              <w:rPr>
                <w:sz w:val="20"/>
                <w:szCs w:val="20"/>
                <w:color w:val="auto"/>
              </w:rPr>
            </w:pPr>
            <w:r>
              <w:rPr>
                <w:rFonts w:ascii="Courier New" w:cs="Courier New" w:eastAsia="Courier New" w:hAnsi="Courier New"/>
                <w:sz w:val="14"/>
                <w:szCs w:val="14"/>
                <w:b w:val="1"/>
                <w:bCs w:val="1"/>
                <w:color w:val="auto"/>
              </w:rPr>
              <w:t>Six months ended June 30, 2003</w:t>
            </w: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66"/>
        </w:trPr>
        <w:tc>
          <w:tcPr>
            <w:tcW w:w="6980" w:type="dxa"/>
            <w:vAlign w:val="bottom"/>
            <w:gridSpan w:val="2"/>
          </w:tcPr>
          <w:p>
            <w:pPr>
              <w:jc w:val="right"/>
              <w:ind w:right="1048"/>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331"/>
        </w:trPr>
        <w:tc>
          <w:tcPr>
            <w:tcW w:w="5040" w:type="dxa"/>
            <w:vAlign w:val="bottom"/>
          </w:tcPr>
          <w:p>
            <w:pPr>
              <w:spacing w:after="0"/>
              <w:rPr>
                <w:sz w:val="24"/>
                <w:szCs w:val="24"/>
                <w:color w:val="auto"/>
              </w:rPr>
            </w:pP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As Previously</w:t>
            </w: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66"/>
        </w:trPr>
        <w:tc>
          <w:tcPr>
            <w:tcW w:w="5040" w:type="dxa"/>
            <w:vAlign w:val="bottom"/>
          </w:tcPr>
          <w:p>
            <w:pPr>
              <w:spacing w:after="0"/>
              <w:rPr>
                <w:sz w:val="14"/>
                <w:szCs w:val="14"/>
                <w:color w:val="auto"/>
              </w:rPr>
            </w:pP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Reported</w:t>
            </w:r>
          </w:p>
        </w:tc>
        <w:tc>
          <w:tcPr>
            <w:tcW w:w="4480" w:type="dxa"/>
            <w:vAlign w:val="bottom"/>
            <w:gridSpan w:val="2"/>
          </w:tcPr>
          <w:p>
            <w:pPr>
              <w:jc w:val="right"/>
              <w:ind w:right="3108"/>
              <w:spacing w:after="0"/>
              <w:rPr>
                <w:sz w:val="20"/>
                <w:szCs w:val="20"/>
                <w:color w:val="auto"/>
              </w:rPr>
            </w:pPr>
            <w:r>
              <w:rPr>
                <w:rFonts w:ascii="Courier New" w:cs="Courier New" w:eastAsia="Courier New" w:hAnsi="Courier New"/>
                <w:sz w:val="14"/>
                <w:szCs w:val="14"/>
                <w:color w:val="auto"/>
              </w:rPr>
              <w:t>As Amended</w:t>
            </w:r>
          </w:p>
        </w:tc>
      </w:tr>
      <w:tr>
        <w:trPr>
          <w:trHeight w:val="166"/>
        </w:trPr>
        <w:tc>
          <w:tcPr>
            <w:tcW w:w="5040" w:type="dxa"/>
            <w:vAlign w:val="bottom"/>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80" w:type="dxa"/>
            <w:vAlign w:val="bottom"/>
            <w:gridSpan w:val="2"/>
          </w:tcPr>
          <w:p>
            <w:pPr>
              <w:jc w:val="right"/>
              <w:ind w:right="26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Gain on purchase of minority interest</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(6,600)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14,600</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5"/>
              </w:rPr>
              <w:t>8,000</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10,940</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5"/>
              </w:rPr>
              <w:t>4,340</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3,226</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5"/>
              </w:rPr>
              <w:t>4,169</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14,166</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5"/>
              </w:rPr>
              <w:t>8,509</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Basic income per share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0.70</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income per share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0.69</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0.27</w:t>
            </w:r>
          </w:p>
        </w:tc>
      </w:tr>
      <w:tr>
        <w:trPr>
          <w:trHeight w:val="331"/>
        </w:trPr>
        <w:tc>
          <w:tcPr>
            <w:tcW w:w="6980" w:type="dxa"/>
            <w:vAlign w:val="bottom"/>
            <w:gridSpan w:val="2"/>
          </w:tcPr>
          <w:p>
            <w:pPr>
              <w:jc w:val="center"/>
              <w:ind w:left="1568"/>
              <w:spacing w:after="0"/>
              <w:rPr>
                <w:sz w:val="20"/>
                <w:szCs w:val="20"/>
                <w:color w:val="auto"/>
              </w:rPr>
            </w:pPr>
            <w:r>
              <w:rPr>
                <w:rFonts w:ascii="Courier New" w:cs="Courier New" w:eastAsia="Courier New" w:hAnsi="Courier New"/>
                <w:sz w:val="14"/>
                <w:szCs w:val="14"/>
                <w:b w:val="1"/>
                <w:bCs w:val="1"/>
                <w:color w:val="auto"/>
              </w:rPr>
              <w:t>Six months ended June 30, 2002</w:t>
            </w: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66"/>
        </w:trPr>
        <w:tc>
          <w:tcPr>
            <w:tcW w:w="5040" w:type="dxa"/>
            <w:vAlign w:val="bottom"/>
          </w:tcPr>
          <w:p>
            <w:pPr>
              <w:jc w:val="center"/>
              <w:ind w:left="3528"/>
              <w:spacing w:after="0"/>
              <w:rPr>
                <w:sz w:val="20"/>
                <w:szCs w:val="20"/>
                <w:color w:val="auto"/>
              </w:rPr>
            </w:pPr>
            <w:r>
              <w:rPr>
                <w:rFonts w:ascii="Courier New" w:cs="Courier New" w:eastAsia="Courier New" w:hAnsi="Courier New"/>
                <w:sz w:val="14"/>
                <w:szCs w:val="14"/>
                <w:b w:val="1"/>
                <w:bCs w:val="1"/>
                <w:color w:val="auto"/>
              </w:rPr>
              <w:t>(In thousands)</w:t>
            </w: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As Previously</w:t>
            </w: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66"/>
        </w:trPr>
        <w:tc>
          <w:tcPr>
            <w:tcW w:w="5040" w:type="dxa"/>
            <w:vAlign w:val="bottom"/>
          </w:tcPr>
          <w:p>
            <w:pPr>
              <w:spacing w:after="0"/>
              <w:rPr>
                <w:sz w:val="14"/>
                <w:szCs w:val="14"/>
                <w:color w:val="auto"/>
              </w:rPr>
            </w:pP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Reported</w:t>
            </w:r>
          </w:p>
        </w:tc>
        <w:tc>
          <w:tcPr>
            <w:tcW w:w="4480" w:type="dxa"/>
            <w:vAlign w:val="bottom"/>
            <w:gridSpan w:val="2"/>
          </w:tcPr>
          <w:p>
            <w:pPr>
              <w:jc w:val="right"/>
              <w:ind w:right="3108"/>
              <w:spacing w:after="0"/>
              <w:rPr>
                <w:sz w:val="20"/>
                <w:szCs w:val="20"/>
                <w:color w:val="auto"/>
              </w:rPr>
            </w:pPr>
            <w:r>
              <w:rPr>
                <w:rFonts w:ascii="Courier New" w:cs="Courier New" w:eastAsia="Courier New" w:hAnsi="Courier New"/>
                <w:sz w:val="14"/>
                <w:szCs w:val="14"/>
                <w:color w:val="auto"/>
              </w:rPr>
              <w:t>As Amended</w:t>
            </w:r>
          </w:p>
        </w:tc>
      </w:tr>
      <w:tr>
        <w:trPr>
          <w:trHeight w:val="166"/>
        </w:trPr>
        <w:tc>
          <w:tcPr>
            <w:tcW w:w="5040" w:type="dxa"/>
            <w:vAlign w:val="bottom"/>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80" w:type="dxa"/>
            <w:vAlign w:val="bottom"/>
            <w:gridSpan w:val="2"/>
          </w:tcPr>
          <w:p>
            <w:pPr>
              <w:jc w:val="right"/>
              <w:ind w:right="26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$1,333</w:t>
            </w:r>
          </w:p>
        </w:tc>
        <w:tc>
          <w:tcPr>
            <w:tcW w:w="4480" w:type="dxa"/>
            <w:vAlign w:val="bottom"/>
            <w:gridSpan w:val="2"/>
          </w:tcPr>
          <w:p>
            <w:pPr>
              <w:jc w:val="right"/>
              <w:ind w:right="2768"/>
              <w:spacing w:after="0"/>
              <w:rPr>
                <w:sz w:val="20"/>
                <w:szCs w:val="20"/>
                <w:color w:val="auto"/>
              </w:rPr>
            </w:pPr>
            <w:r>
              <w:rPr>
                <w:rFonts w:ascii="Courier New" w:cs="Courier New" w:eastAsia="Courier New" w:hAnsi="Courier New"/>
                <w:sz w:val="14"/>
                <w:szCs w:val="14"/>
                <w:color w:val="auto"/>
              </w:rPr>
              <w:t>$2,380</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5,591</w:t>
            </w:r>
          </w:p>
        </w:tc>
        <w:tc>
          <w:tcPr>
            <w:tcW w:w="1220" w:type="dxa"/>
            <w:vAlign w:val="bottom"/>
          </w:tcPr>
          <w:p>
            <w:pPr>
              <w:spacing w:after="0"/>
              <w:rPr>
                <w:sz w:val="14"/>
                <w:szCs w:val="14"/>
                <w:color w:val="auto"/>
              </w:rPr>
            </w:pPr>
          </w:p>
        </w:tc>
        <w:tc>
          <w:tcPr>
            <w:tcW w:w="326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5"/>
              </w:rPr>
              <w:t>6,638</w:t>
            </w:r>
          </w:p>
        </w:tc>
      </w:tr>
      <w:tr>
        <w:trPr>
          <w:trHeight w:val="994"/>
        </w:trPr>
        <w:tc>
          <w:tcPr>
            <w:tcW w:w="5040" w:type="dxa"/>
            <w:vAlign w:val="bottom"/>
          </w:tcPr>
          <w:p>
            <w:pPr>
              <w:ind w:left="3360"/>
              <w:spacing w:after="0"/>
              <w:rPr>
                <w:sz w:val="20"/>
                <w:szCs w:val="20"/>
                <w:color w:val="auto"/>
              </w:rPr>
            </w:pPr>
            <w:r>
              <w:rPr>
                <w:rFonts w:ascii="Courier New" w:cs="Courier New" w:eastAsia="Courier New" w:hAnsi="Courier New"/>
                <w:sz w:val="14"/>
                <w:szCs w:val="14"/>
                <w:color w:val="auto"/>
              </w:rPr>
              <w:t>9</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48"/>
        </w:trPr>
        <w:tc>
          <w:tcPr>
            <w:tcW w:w="5040" w:type="dxa"/>
            <w:vAlign w:val="bottom"/>
            <w:tcBorders>
              <w:bottom w:val="single" w:sz="8" w:color="9A9A9A"/>
            </w:tcBorders>
          </w:tcPr>
          <w:p>
            <w:pPr>
              <w:spacing w:after="0"/>
              <w:rPr>
                <w:sz w:val="12"/>
                <w:szCs w:val="12"/>
                <w:color w:val="auto"/>
              </w:rPr>
            </w:pPr>
          </w:p>
        </w:tc>
        <w:tc>
          <w:tcPr>
            <w:tcW w:w="19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2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-4114165</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-4114165</wp:posOffset>
            </wp:positionV>
            <wp:extent cx="3238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7257415</wp:posOffset>
            </wp:positionH>
            <wp:positionV relativeFrom="paragraph">
              <wp:posOffset>-26035</wp:posOffset>
            </wp:positionV>
            <wp:extent cx="3238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Note 2. Interim Financial Statements</w:t>
      </w:r>
    </w:p>
    <w:p>
      <w:pPr>
        <w:spacing w:after="0" w:line="17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of NN, Inc. (the "Company") have not been audited by independent accountants, except that the balance sheet at December 31, 2002 is derived from the Company's audited financial statements. In the opinion of the Company's management, the financial statements reflect all adjustments necessary to present fairly the results of operations for the three and six month periods ended June 30, 2003 and 2002, the Company's financial position at June 30, 2003 and December 31, 2002, and the cash flows for the six month periods ended June 30, 2003 and 2002. These adjustments are of a normal recurring nature and are, in the opinion of management, necessary for fair presentation of the financial position and operating results for the interim periods. As used in this Quarterly Report on Form 10-Q/A, the terms "NN", "the Company", "we", "our", or "us" mean NN, Inc. and its subsidiaries.</w:t>
      </w:r>
    </w:p>
    <w:p>
      <w:pPr>
        <w:spacing w:after="0" w:line="16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10-Q/A, as amended. These Condensed, Consolidated, Unaudited Financial Statements should be read in conjunction with our audited Consolidated Financial Statements and the Notes thereto included in our most recent report on Form 10-K/A, as amended, which we filed with the Commission on January 30, 2004.</w:t>
      </w:r>
    </w:p>
    <w:p>
      <w:pPr>
        <w:sectPr>
          <w:pgSz w:w="11900" w:h="16864" w:orient="portrait"/>
          <w:cols w:equalWidth="0" w:num="1">
            <w:col w:w="11460"/>
          </w:cols>
          <w:pgMar w:left="220" w:top="141" w:right="219" w:bottom="0" w:gutter="0" w:footer="0" w:header="0"/>
        </w:sectPr>
      </w:pPr>
    </w:p>
    <w:bookmarkStart w:id="6" w:name="page7"/>
    <w:bookmarkEnd w:id="6"/>
    <w:p>
      <w:pPr>
        <w:spacing w:after="0" w:line="47"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The results for the first and second quarters of 2003 are not necessarily indicative of future results.</w:t>
      </w:r>
    </w:p>
    <w:p>
      <w:pPr>
        <w:spacing w:after="0" w:line="160" w:lineRule="exact"/>
        <w:rPr>
          <w:sz w:val="20"/>
          <w:szCs w:val="20"/>
          <w:color w:val="auto"/>
        </w:rPr>
      </w:pPr>
    </w:p>
    <w:p>
      <w:pPr>
        <w:ind w:right="4660"/>
        <w:spacing w:after="0" w:line="255" w:lineRule="auto"/>
        <w:rPr>
          <w:sz w:val="20"/>
          <w:szCs w:val="20"/>
          <w:color w:val="auto"/>
        </w:rPr>
      </w:pPr>
      <w:r>
        <w:rPr>
          <w:rFonts w:ascii="Courier New" w:cs="Courier New" w:eastAsia="Courier New" w:hAnsi="Courier New"/>
          <w:sz w:val="14"/>
          <w:szCs w:val="14"/>
          <w:color w:val="auto"/>
        </w:rPr>
        <w:t>Certain 2002 amounts have been reclassified to conform with the 2003 presentation.</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3.</w:t>
        <w:tab/>
        <w:t>Derivative Financial Instruments</w:t>
      </w:r>
    </w:p>
    <w:p>
      <w:pPr>
        <w:spacing w:after="0" w:line="173" w:lineRule="exact"/>
        <w:rPr>
          <w:sz w:val="20"/>
          <w:szCs w:val="20"/>
          <w:color w:val="auto"/>
        </w:rPr>
      </w:pPr>
    </w:p>
    <w:p>
      <w:pPr>
        <w:ind w:right="3800"/>
        <w:spacing w:after="0" w:line="251" w:lineRule="auto"/>
        <w:rPr>
          <w:sz w:val="20"/>
          <w:szCs w:val="20"/>
          <w:color w:val="auto"/>
        </w:rPr>
      </w:pPr>
      <w:r>
        <w:rPr>
          <w:rFonts w:ascii="Courier New" w:cs="Courier New" w:eastAsia="Courier New" w:hAnsi="Courier New"/>
          <w:sz w:val="14"/>
          <w:szCs w:val="14"/>
          <w:color w:val="auto"/>
        </w:rPr>
        <w:t>We have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64" w:lineRule="exact"/>
        <w:rPr>
          <w:sz w:val="20"/>
          <w:szCs w:val="20"/>
          <w:color w:val="auto"/>
        </w:rPr>
      </w:pPr>
    </w:p>
    <w:p>
      <w:pPr>
        <w:ind w:right="3700"/>
        <w:spacing w:after="0" w:line="251" w:lineRule="auto"/>
        <w:rPr>
          <w:sz w:val="20"/>
          <w:szCs w:val="20"/>
          <w:color w:val="auto"/>
        </w:rPr>
      </w:pPr>
      <w:r>
        <w:rPr>
          <w:rFonts w:ascii="Courier New" w:cs="Courier New" w:eastAsia="Courier New" w:hAnsi="Courier New"/>
          <w:sz w:val="14"/>
          <w:szCs w:val="14"/>
          <w:color w:val="auto"/>
        </w:rPr>
        <w:t>In connection with a variable Euribor rate debt financing in July 2000, our subsidiary, NN Euroball ApS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 This original debt was repaid in May 2003, however, the swap remains pursuant to its original terms.</w:t>
      </w:r>
    </w:p>
    <w:p>
      <w:pPr>
        <w:spacing w:after="0" w:line="164" w:lineRule="exact"/>
        <w:rPr>
          <w:sz w:val="20"/>
          <w:szCs w:val="20"/>
          <w:color w:val="auto"/>
        </w:rPr>
      </w:pPr>
    </w:p>
    <w:p>
      <w:pPr>
        <w:ind w:right="3700"/>
        <w:spacing w:after="0" w:line="251" w:lineRule="auto"/>
        <w:rPr>
          <w:sz w:val="20"/>
          <w:szCs w:val="20"/>
          <w:color w:val="auto"/>
        </w:rPr>
      </w:pPr>
      <w:r>
        <w:rPr>
          <w:rFonts w:ascii="Courier New" w:cs="Courier New" w:eastAsia="Courier New" w:hAnsi="Courier New"/>
          <w:sz w:val="14"/>
          <w:szCs w:val="14"/>
          <w:color w:val="auto"/>
        </w:rPr>
        <w:t>As of June 30, 2003, the fair value of the swap was approximately $522,000, which is recorded in other non-current liabilities. The change in fair value during the six month period ended June 30, 2003 and 2002 was a loss of approximately $128,000 and a gain of approximately $97,000, respectively, which have been included as a component of other (income) expense.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Note 4. Inventories</w:t>
      </w:r>
    </w:p>
    <w:p>
      <w:pPr>
        <w:spacing w:after="0" w:line="173" w:lineRule="exact"/>
        <w:rPr>
          <w:sz w:val="20"/>
          <w:szCs w:val="20"/>
          <w:color w:val="auto"/>
        </w:rPr>
      </w:pPr>
    </w:p>
    <w:p>
      <w:pPr>
        <w:ind w:right="3700"/>
        <w:spacing w:after="0" w:line="255" w:lineRule="auto"/>
        <w:rPr>
          <w:sz w:val="20"/>
          <w:szCs w:val="20"/>
          <w:color w:val="auto"/>
        </w:rPr>
      </w:pPr>
      <w:r>
        <w:rPr>
          <w:rFonts w:ascii="Courier New" w:cs="Courier New" w:eastAsia="Courier New" w:hAnsi="Courier New"/>
          <w:sz w:val="14"/>
          <w:szCs w:val="14"/>
          <w:color w:val="auto"/>
        </w:rPr>
        <w:t>Inventories are stated at the lower of cost or market. Cost is being determined using the first-in, first-out method.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are comprised of the following (in thousands):</w:t>
      </w:r>
    </w:p>
    <w:p>
      <w:pPr>
        <w:sectPr>
          <w:pgSz w:w="11900" w:h="16885" w:orient="portrait"/>
          <w:cols w:equalWidth="0" w:num="1">
            <w:col w:w="10520"/>
          </w:cols>
          <w:pgMar w:left="220" w:top="307"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 in process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Finished goods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inventory reserves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b w:val="1"/>
          <w:bCs w:val="1"/>
          <w:color w:val="auto"/>
        </w:rPr>
        <w:t>June 30,</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b w:val="1"/>
          <w:bCs w:val="1"/>
          <w:color w:val="auto"/>
        </w:rPr>
        <w:t>2003</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b w:val="1"/>
          <w:bCs w:val="1"/>
          <w:color w:val="auto"/>
        </w:rPr>
        <w:t>(Unaudited)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7" w:lineRule="exact"/>
        <w:rPr>
          <w:sz w:val="20"/>
          <w:szCs w:val="20"/>
          <w:color w:val="auto"/>
        </w:rPr>
      </w:pPr>
    </w:p>
    <w:p>
      <w:pPr>
        <w:ind w:left="340"/>
        <w:spacing w:after="0"/>
        <w:tabs>
          <w:tab w:leader="none" w:pos="580" w:val="left"/>
        </w:tabs>
        <w:rPr>
          <w:sz w:val="20"/>
          <w:szCs w:val="20"/>
          <w:color w:val="auto"/>
        </w:rPr>
      </w:pPr>
      <w:r>
        <w:rPr>
          <w:rFonts w:ascii="Courier New" w:cs="Courier New" w:eastAsia="Courier New" w:hAnsi="Courier New"/>
          <w:sz w:val="14"/>
          <w:szCs w:val="14"/>
          <w:color w:val="auto"/>
        </w:rPr>
        <w:t>$</w:t>
        <w:tab/>
        <w:t>7,363</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7,132</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19,587</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$ 33,825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b w:val="1"/>
          <w:bCs w:val="1"/>
          <w:color w:val="auto"/>
        </w:rPr>
        <w:t>Dec. 31,</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b w:val="1"/>
          <w:bCs w:val="1"/>
          <w:color w:val="auto"/>
        </w:rPr>
        <w:t>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7" w:lineRule="exact"/>
        <w:rPr>
          <w:sz w:val="20"/>
          <w:szCs w:val="20"/>
          <w:color w:val="auto"/>
        </w:rPr>
      </w:pPr>
    </w:p>
    <w:p>
      <w:pPr>
        <w:ind w:left="420"/>
        <w:spacing w:after="0"/>
        <w:tabs>
          <w:tab w:leader="none" w:pos="660" w:val="left"/>
        </w:tabs>
        <w:rPr>
          <w:sz w:val="20"/>
          <w:szCs w:val="20"/>
          <w:color w:val="auto"/>
        </w:rPr>
      </w:pPr>
      <w:r>
        <w:rPr>
          <w:rFonts w:ascii="Courier New" w:cs="Courier New" w:eastAsia="Courier New" w:hAnsi="Courier New"/>
          <w:sz w:val="14"/>
          <w:szCs w:val="14"/>
          <w:color w:val="auto"/>
        </w:rPr>
        <w:t>$</w:t>
        <w:tab/>
        <w:t>5,400</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5,139</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13,065</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(202)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$ 23,402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85" w:orient="portrait"/>
          <w:cols w:equalWidth="0" w:num="3">
            <w:col w:w="6360" w:space="720"/>
            <w:col w:w="1120" w:space="340"/>
            <w:col w:w="1980"/>
          </w:cols>
          <w:pgMar w:left="220" w:top="307" w:right="1159" w:bottom="0" w:gutter="0" w:footer="0" w:header="0"/>
          <w:type w:val="continuous"/>
        </w:sectPr>
      </w:pPr>
    </w:p>
    <w:p>
      <w:pPr>
        <w:ind w:right="4300"/>
        <w:spacing w:after="0" w:line="255" w:lineRule="auto"/>
        <w:rPr>
          <w:sz w:val="20"/>
          <w:szCs w:val="20"/>
          <w:color w:val="auto"/>
        </w:rPr>
      </w:pPr>
      <w:r>
        <w:rPr>
          <w:rFonts w:ascii="Courier New" w:cs="Courier New" w:eastAsia="Courier New" w:hAnsi="Courier New"/>
          <w:sz w:val="14"/>
          <w:szCs w:val="14"/>
          <w:color w:val="auto"/>
        </w:rPr>
        <w:t>Inventories on consignment at customer locations as of June 30, 2003 and December 31, 2002 were $2,344 and $3,093, respectively.</w:t>
      </w:r>
    </w:p>
    <w:p>
      <w:pPr>
        <w:sectPr>
          <w:pgSz w:w="11900" w:h="16885" w:orient="portrait"/>
          <w:cols w:equalWidth="0" w:num="1">
            <w:col w:w="10520"/>
          </w:cols>
          <w:pgMar w:left="220" w:top="307" w:right="1159" w:bottom="0" w:gutter="0" w:footer="0" w:header="0"/>
          <w:type w:val="continuous"/>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Note 5.</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Net Income Per Share (Restated)</w:t>
      </w:r>
    </w:p>
    <w:p>
      <w:pPr>
        <w:spacing w:after="0" w:line="173" w:lineRule="exact"/>
        <w:rPr>
          <w:sz w:val="20"/>
          <w:szCs w:val="20"/>
          <w:color w:val="auto"/>
        </w:rPr>
      </w:pPr>
    </w:p>
    <w:p>
      <w:pPr>
        <w:sectPr>
          <w:pgSz w:w="11900" w:h="16885" w:orient="portrait"/>
          <w:cols w:equalWidth="0" w:num="2">
            <w:col w:w="620" w:space="160"/>
            <w:col w:w="9740"/>
          </w:cols>
          <w:pgMar w:left="220" w:top="307" w:right="1159" w:bottom="0" w:gutter="0" w:footer="0" w:header="0"/>
          <w:type w:val="continuous"/>
        </w:sectPr>
      </w:pPr>
    </w:p>
    <w:p>
      <w:pPr>
        <w:ind w:left="5180"/>
        <w:spacing w:after="0"/>
        <w:rPr>
          <w:sz w:val="20"/>
          <w:szCs w:val="20"/>
          <w:color w:val="auto"/>
        </w:rPr>
      </w:pPr>
      <w:r>
        <w:rPr>
          <w:rFonts w:ascii="Courier New" w:cs="Courier New" w:eastAsia="Courier New" w:hAnsi="Courier New"/>
          <w:sz w:val="14"/>
          <w:szCs w:val="14"/>
          <w:b w:val="1"/>
          <w:bCs w:val="1"/>
          <w:color w:val="auto"/>
        </w:rPr>
        <w:t>Three Months Ended</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b w:val="1"/>
          <w:bCs w:val="1"/>
          <w:color w:val="auto"/>
        </w:rPr>
        <w:t>June 30,</w:t>
      </w:r>
    </w:p>
    <w:p>
      <w:pPr>
        <w:spacing w:after="0" w:line="7"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4"/>
          <w:szCs w:val="14"/>
          <w:b w:val="1"/>
          <w:bCs w:val="1"/>
          <w:color w:val="auto"/>
        </w:rPr>
        <w:t>Thousands of Dollars, Except Share and Per Share Data</w:t>
      </w:r>
      <w:r>
        <w:rPr>
          <w:sz w:val="20"/>
          <w:szCs w:val="20"/>
          <w:color w:val="auto"/>
        </w:rPr>
        <w:tab/>
      </w:r>
      <w:r>
        <w:rPr>
          <w:rFonts w:ascii="Courier New" w:cs="Courier New" w:eastAsia="Courier New" w:hAnsi="Courier New"/>
          <w:sz w:val="14"/>
          <w:szCs w:val="14"/>
          <w:b w:val="1"/>
          <w:bCs w:val="1"/>
          <w:color w:val="auto"/>
        </w:rPr>
        <w:t>Restated</w:t>
      </w:r>
    </w:p>
    <w:p>
      <w:pPr>
        <w:spacing w:after="0" w:line="7" w:lineRule="exact"/>
        <w:rPr>
          <w:sz w:val="20"/>
          <w:szCs w:val="20"/>
          <w:color w:val="auto"/>
        </w:rPr>
      </w:pPr>
    </w:p>
    <w:p>
      <w:pPr>
        <w:spacing w:after="0"/>
        <w:tabs>
          <w:tab w:leader="none" w:pos="5240" w:val="left"/>
          <w:tab w:leader="none" w:pos="6880" w:val="left"/>
        </w:tabs>
        <w:rPr>
          <w:sz w:val="20"/>
          <w:szCs w:val="20"/>
          <w:color w:val="auto"/>
        </w:rPr>
      </w:pPr>
      <w:r>
        <w:rPr>
          <w:rFonts w:ascii="Courier New" w:cs="Courier New" w:eastAsia="Courier New" w:hAnsi="Courier New"/>
          <w:sz w:val="14"/>
          <w:szCs w:val="14"/>
          <w:b w:val="1"/>
          <w:bCs w:val="1"/>
          <w:color w:val="auto"/>
        </w:rPr>
        <w:t>- -----------------------------------------------------</w:t>
      </w:r>
      <w:r>
        <w:rPr>
          <w:sz w:val="20"/>
          <w:szCs w:val="20"/>
          <w:color w:val="auto"/>
        </w:rPr>
        <w:tab/>
      </w: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2002</w:t>
      </w:r>
    </w:p>
    <w:p>
      <w:pPr>
        <w:spacing w:after="0" w:line="7" w:lineRule="exact"/>
        <w:rPr>
          <w:sz w:val="20"/>
          <w:szCs w:val="20"/>
          <w:color w:val="auto"/>
        </w:rPr>
      </w:pPr>
    </w:p>
    <w:p>
      <w:pPr>
        <w:ind w:left="4580"/>
        <w:spacing w:after="0"/>
        <w:tabs>
          <w:tab w:leader="none" w:pos="6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320" w:val="left"/>
          <w:tab w:leader="none" w:pos="680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$697</w:t>
      </w:r>
      <w:r>
        <w:rPr>
          <w:sz w:val="20"/>
          <w:szCs w:val="20"/>
          <w:color w:val="auto"/>
        </w:rPr>
        <w:tab/>
      </w:r>
      <w:r>
        <w:rPr>
          <w:rFonts w:ascii="Courier New" w:cs="Courier New" w:eastAsia="Courier New" w:hAnsi="Courier New"/>
          <w:sz w:val="13"/>
          <w:szCs w:val="13"/>
          <w:color w:val="auto"/>
        </w:rPr>
        <w:t>$2,408</w:t>
      </w:r>
    </w:p>
    <w:p>
      <w:pPr>
        <w:spacing w:after="0" w:line="7" w:lineRule="exact"/>
        <w:rPr>
          <w:sz w:val="20"/>
          <w:szCs w:val="20"/>
          <w:color w:val="auto"/>
        </w:rPr>
      </w:pPr>
    </w:p>
    <w:p>
      <w:pPr>
        <w:spacing w:after="0"/>
        <w:tabs>
          <w:tab w:leader="none" w:pos="5500" w:val="left"/>
          <w:tab w:leader="none" w:pos="7140" w:val="left"/>
        </w:tabs>
        <w:rPr>
          <w:sz w:val="20"/>
          <w:szCs w:val="20"/>
          <w:color w:val="auto"/>
        </w:rPr>
      </w:pPr>
      <w:r>
        <w:rPr>
          <w:rFonts w:ascii="Courier New" w:cs="Courier New" w:eastAsia="Courier New" w:hAnsi="Courier New"/>
          <w:sz w:val="14"/>
          <w:szCs w:val="14"/>
          <w:color w:val="auto"/>
        </w:rPr>
        <w:t>Adjustments to 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4580"/>
        <w:spacing w:after="0"/>
        <w:tabs>
          <w:tab w:leader="none" w:pos="6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5320" w:val="left"/>
          <w:tab w:leader="none" w:pos="680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$697</w:t>
      </w:r>
      <w:r>
        <w:rPr>
          <w:sz w:val="20"/>
          <w:szCs w:val="20"/>
          <w:color w:val="auto"/>
        </w:rPr>
        <w:tab/>
      </w:r>
      <w:r>
        <w:rPr>
          <w:rFonts w:ascii="Courier New" w:cs="Courier New" w:eastAsia="Courier New" w:hAnsi="Courier New"/>
          <w:sz w:val="13"/>
          <w:szCs w:val="13"/>
          <w:color w:val="auto"/>
        </w:rPr>
        <w:t>$2,408</w:t>
      </w:r>
    </w:p>
    <w:p>
      <w:pPr>
        <w:spacing w:after="0" w:line="7" w:lineRule="exact"/>
        <w:rPr>
          <w:sz w:val="20"/>
          <w:szCs w:val="20"/>
          <w:color w:val="auto"/>
        </w:rPr>
      </w:pPr>
    </w:p>
    <w:p>
      <w:pPr>
        <w:ind w:left="4580"/>
        <w:spacing w:after="0"/>
        <w:tabs>
          <w:tab w:leader="none" w:pos="6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b w:val="1"/>
          <w:bCs w:val="1"/>
          <w:color w:val="auto"/>
        </w:rPr>
        <w:t>Six Months Ended</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b w:val="1"/>
          <w:bCs w:val="1"/>
          <w:color w:val="auto"/>
        </w:rPr>
        <w:t>June 30,</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b w:val="1"/>
          <w:bCs w:val="1"/>
          <w:color w:val="auto"/>
        </w:rPr>
        <w:t>Restated</w:t>
      </w:r>
    </w:p>
    <w:p>
      <w:pPr>
        <w:spacing w:after="0" w:line="7" w:lineRule="exact"/>
        <w:rPr>
          <w:sz w:val="20"/>
          <w:szCs w:val="20"/>
          <w:color w:val="auto"/>
        </w:rPr>
      </w:pPr>
    </w:p>
    <w:p>
      <w:pPr>
        <w:ind w:left="680"/>
        <w:spacing w:after="0"/>
        <w:tabs>
          <w:tab w:leader="none" w:pos="2220" w:val="left"/>
        </w:tabs>
        <w:rPr>
          <w:sz w:val="20"/>
          <w:szCs w:val="20"/>
          <w:color w:val="auto"/>
        </w:rPr>
      </w:pP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2002</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2140" w:val="left"/>
        </w:tabs>
        <w:rPr>
          <w:sz w:val="20"/>
          <w:szCs w:val="20"/>
          <w:color w:val="auto"/>
        </w:rPr>
      </w:pPr>
      <w:r>
        <w:rPr>
          <w:rFonts w:ascii="Courier New" w:cs="Courier New" w:eastAsia="Courier New" w:hAnsi="Courier New"/>
          <w:sz w:val="14"/>
          <w:szCs w:val="14"/>
          <w:color w:val="auto"/>
        </w:rPr>
        <w:t>$4,340</w:t>
      </w:r>
      <w:r>
        <w:rPr>
          <w:sz w:val="20"/>
          <w:szCs w:val="20"/>
          <w:color w:val="auto"/>
        </w:rPr>
        <w:tab/>
      </w:r>
      <w:r>
        <w:rPr>
          <w:rFonts w:ascii="Courier New" w:cs="Courier New" w:eastAsia="Courier New" w:hAnsi="Courier New"/>
          <w:sz w:val="14"/>
          <w:szCs w:val="14"/>
          <w:color w:val="auto"/>
        </w:rPr>
        <w:t>$4,258</w:t>
      </w:r>
    </w:p>
    <w:p>
      <w:pPr>
        <w:spacing w:after="0" w:line="7" w:lineRule="exact"/>
        <w:rPr>
          <w:sz w:val="20"/>
          <w:szCs w:val="20"/>
          <w:color w:val="auto"/>
        </w:rPr>
      </w:pPr>
    </w:p>
    <w:p>
      <w:pPr>
        <w:ind w:left="860"/>
        <w:spacing w:after="0"/>
        <w:tabs>
          <w:tab w:leader="none" w:pos="2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2140" w:val="left"/>
        </w:tabs>
        <w:rPr>
          <w:sz w:val="20"/>
          <w:szCs w:val="20"/>
          <w:color w:val="auto"/>
        </w:rPr>
      </w:pPr>
      <w:r>
        <w:rPr>
          <w:rFonts w:ascii="Courier New" w:cs="Courier New" w:eastAsia="Courier New" w:hAnsi="Courier New"/>
          <w:sz w:val="14"/>
          <w:szCs w:val="14"/>
          <w:color w:val="auto"/>
        </w:rPr>
        <w:t>$4,340</w:t>
      </w:r>
      <w:r>
        <w:rPr>
          <w:sz w:val="20"/>
          <w:szCs w:val="20"/>
          <w:color w:val="auto"/>
        </w:rPr>
        <w:tab/>
      </w:r>
      <w:r>
        <w:rPr>
          <w:rFonts w:ascii="Courier New" w:cs="Courier New" w:eastAsia="Courier New" w:hAnsi="Courier New"/>
          <w:sz w:val="14"/>
          <w:szCs w:val="14"/>
          <w:color w:val="auto"/>
        </w:rPr>
        <w:t>$4,258</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85" w:orient="portrait"/>
          <w:cols w:equalWidth="0" w:num="2">
            <w:col w:w="7420" w:space="340"/>
            <w:col w:w="2760"/>
          </w:cols>
          <w:pgMar w:left="220" w:top="307" w:right="1159" w:bottom="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basic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dilutive stock options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dilutive shares outstanding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net income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net income per share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16,015,347</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449,466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16,464,813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15,359,173</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508,815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15,867,988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$0.16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$0.15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15,560,647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331,737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15,892,384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$0.27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15,336,368</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461,916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15,798,284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$0.27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85" w:orient="portrait"/>
          <w:cols w:equalWidth="0" w:num="5">
            <w:col w:w="3860" w:space="720"/>
            <w:col w:w="1200" w:space="440"/>
            <w:col w:w="1200" w:space="340"/>
            <w:col w:w="1120" w:space="440"/>
            <w:col w:w="1200"/>
          </w:cols>
          <w:pgMar w:left="220" w:top="307" w:right="1159" w:bottom="0" w:gutter="0" w:footer="0" w:header="0"/>
          <w:type w:val="continuous"/>
        </w:sectPr>
      </w:pPr>
    </w:p>
    <w:p>
      <w:pPr>
        <w:jc w:val="both"/>
        <w:ind w:right="3960"/>
        <w:spacing w:after="0" w:line="252" w:lineRule="auto"/>
        <w:rPr>
          <w:sz w:val="20"/>
          <w:szCs w:val="20"/>
          <w:color w:val="auto"/>
        </w:rPr>
      </w:pPr>
      <w:r>
        <w:rPr>
          <w:rFonts w:ascii="Courier New" w:cs="Courier New" w:eastAsia="Courier New" w:hAnsi="Courier New"/>
          <w:sz w:val="14"/>
          <w:szCs w:val="14"/>
          <w:color w:val="auto"/>
        </w:rPr>
        <w:t>Excluded from the shares outstanding for each of the six month periods ended June 30, 2003 and 2002 were 54,000 and 0 antidilutive options, respectively, which had exercise prices ranging from $10.26 to $10.67 as of June 30, 2003.</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6.</w:t>
        <w:tab/>
        <w:t>Segment Information (Restated)</w:t>
      </w:r>
    </w:p>
    <w:p>
      <w:pPr>
        <w:spacing w:after="0" w:line="173"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During 2003 and 2002, the Company's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The NN Europe Segment is comprised of precision ball manufacturing facilities located in Kilkenny, Ireland, Eltmann, Germany and Pinerolo, Italy acquired in July 2000 and Veenendaal, The</w:t>
      </w:r>
    </w:p>
    <w:p>
      <w:pPr>
        <w:sectPr>
          <w:pgSz w:w="11900" w:h="16885" w:orient="portrait"/>
          <w:cols w:equalWidth="0" w:num="1">
            <w:col w:w="10520"/>
          </w:cols>
          <w:pgMar w:left="220" w:top="307" w:right="1159" w:bottom="0" w:gutter="0" w:footer="0" w:header="0"/>
          <w:type w:val="continuous"/>
        </w:sectPr>
      </w:pPr>
    </w:p>
    <w:bookmarkStart w:id="7" w:name="page8"/>
    <w:bookmarkEnd w:id="7"/>
    <w:p>
      <w:pPr>
        <w:spacing w:after="0" w:line="16" w:lineRule="exact"/>
        <w:rPr>
          <w:sz w:val="20"/>
          <w:szCs w:val="20"/>
          <w:color w:val="auto"/>
        </w:rPr>
      </w:pPr>
    </w:p>
    <w:p>
      <w:pPr>
        <w:ind w:right="4140"/>
        <w:spacing w:after="0" w:line="252" w:lineRule="auto"/>
        <w:rPr>
          <w:sz w:val="20"/>
          <w:szCs w:val="20"/>
          <w:color w:val="auto"/>
        </w:rPr>
      </w:pPr>
      <w:r>
        <w:rPr>
          <w:rFonts w:ascii="Courier New" w:cs="Courier New" w:eastAsia="Courier New" w:hAnsi="Courier New"/>
          <w:sz w:val="14"/>
          <w:szCs w:val="14"/>
          <w:color w:val="auto"/>
        </w:rPr>
        <w:t>Netherlands ("Veenendaal") a tapered roller and metal cage manufacturing operation acquired in May 2003. See Note 7, "Acquisitions and Joint Ventures". All of the facilities in the Domestic Ball and Roller Segment are engaged in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140"/>
        <w:spacing w:after="0" w:line="250" w:lineRule="auto"/>
        <w:rPr>
          <w:sz w:val="20"/>
          <w:szCs w:val="20"/>
          <w:color w:val="auto"/>
        </w:rPr>
      </w:pPr>
      <w:r>
        <w:rPr>
          <w:rFonts w:ascii="Courier New" w:cs="Courier New" w:eastAsia="Courier New" w:hAnsi="Courier New"/>
          <w:sz w:val="14"/>
          <w:szCs w:val="14"/>
          <w:color w:val="auto"/>
        </w:rPr>
        <w:t>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which was acquired in July 1999, NN Arte ("Arte") formed in August of 2000 (see Note 7), located in Guadalajara, Mexico and The Delta Rubber Company ("Delta") business, located in Danielson, Connecticut, which was acquired in February 2001. IMC and Arte are engaged in the production of plastic injection molded products for the bearing, automotive, instrumentation, fiber optic and consumer hardware markets. Delta is engaged principally in the production of engineered bearing seals used principally in automotive, industrial, agricultural, mining and aerospace applications. The Plastic and Rubber Components Segment's name has been changed from the Plastics Segment effective with the March 31, 2003 quarterly report on Form 10-Q/A. The businesses and methods of calculation comprising this segment have not changed.</w:t>
      </w:r>
    </w:p>
    <w:p>
      <w:pPr>
        <w:spacing w:after="0" w:line="173"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The NN Europe Segment, prior to the filing of this June 30, 2003 quarterly report on Form 10-Q/A and as a result of the acquisition of Veenendaal, was referred to as the Euroball Segment and was comprised only of the manufacturing facilities located in Kilkenny, Ireland, Eltmann, Germany, and Pinerolo, Italy.</w:t>
      </w:r>
    </w:p>
    <w:p>
      <w:pPr>
        <w:spacing w:after="0" w:line="162"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The accounting policies of each segment are the same as those described in the summary of significant accounting policies in the Company's Annual Report on Form 10-K/A, as amended, for the fiscal year ended December 31, 2002 including those policies as discussed in Note 2. We evaluate segment performance based on profit or loss from operations before income taxes and minority interest not including nonrecurring gains and losses. We account for inter-segment sales and transfers at current market prices; however, we did not have any material inter-segment transactions during the three or six month periods ended June 30, 2003 and 2002.</w:t>
      </w:r>
    </w:p>
    <w:p>
      <w:pPr>
        <w:spacing w:after="0" w:line="200" w:lineRule="exact"/>
        <w:rPr>
          <w:sz w:val="20"/>
          <w:szCs w:val="20"/>
          <w:color w:val="auto"/>
        </w:rPr>
      </w:pPr>
    </w:p>
    <w:p>
      <w:pPr>
        <w:spacing w:after="0" w:line="29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b w:val="1"/>
          <w:bCs w:val="1"/>
          <w:color w:val="auto"/>
        </w:rPr>
        <w:t>Three Months Ended June 30,</w:t>
      </w:r>
    </w:p>
    <w:p>
      <w:pPr>
        <w:sectPr>
          <w:pgSz w:w="11900" w:h="16855" w:orient="portrait"/>
          <w:cols w:equalWidth="0" w:num="1">
            <w:col w:w="11040"/>
          </w:cols>
          <w:pgMar w:left="220" w:top="141" w:right="639" w:bottom="0" w:gutter="0" w:footer="0" w:header="0"/>
        </w:sectPr>
      </w:pP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b w:val="1"/>
          <w:bCs w:val="1"/>
          <w:color w:val="auto"/>
        </w:rPr>
        <w:t>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b w:val="1"/>
          <w:bCs w:val="1"/>
          <w:color w:val="auto"/>
        </w:rPr>
        <w:t>2002</w:t>
      </w:r>
    </w:p>
    <w:p>
      <w:pPr>
        <w:spacing w:after="0" w:line="7" w:lineRule="exact"/>
        <w:rPr>
          <w:sz w:val="20"/>
          <w:szCs w:val="20"/>
          <w:color w:val="auto"/>
        </w:rPr>
      </w:pPr>
    </w:p>
    <w:p>
      <w:pPr>
        <w:sectPr>
          <w:pgSz w:w="11900" w:h="16855" w:orient="portrait"/>
          <w:cols w:equalWidth="0" w:num="2">
            <w:col w:w="7900" w:space="720"/>
            <w:col w:w="2420"/>
          </w:cols>
          <w:pgMar w:left="220" w:top="141" w:right="639" w:bottom="0" w:gutter="0" w:footer="0" w:header="0"/>
          <w:type w:val="continuous"/>
        </w:sectPr>
      </w:pPr>
    </w:p>
    <w:p>
      <w:pPr>
        <w:ind w:left="2860"/>
        <w:spacing w:after="0"/>
        <w:tabs>
          <w:tab w:leader="none" w:pos="5580" w:val="left"/>
          <w:tab w:leader="none" w:pos="6880" w:val="left"/>
          <w:tab w:leader="none" w:pos="9640" w:val="left"/>
        </w:tabs>
        <w:rPr>
          <w:sz w:val="20"/>
          <w:szCs w:val="20"/>
          <w:color w:val="auto"/>
        </w:rPr>
      </w:pPr>
      <w:r>
        <w:rPr>
          <w:rFonts w:ascii="Courier New" w:cs="Courier New" w:eastAsia="Courier New" w:hAnsi="Courier New"/>
          <w:sz w:val="14"/>
          <w:szCs w:val="14"/>
          <w:b w:val="1"/>
          <w:bCs w:val="1"/>
          <w:color w:val="auto"/>
        </w:rPr>
        <w:t>Restated</w:t>
      </w:r>
      <w:r>
        <w:rPr>
          <w:sz w:val="20"/>
          <w:szCs w:val="20"/>
          <w:color w:val="auto"/>
        </w:rPr>
        <w:tab/>
      </w:r>
      <w:r>
        <w:rPr>
          <w:rFonts w:ascii="Courier New" w:cs="Courier New" w:eastAsia="Courier New" w:hAnsi="Courier New"/>
          <w:sz w:val="14"/>
          <w:szCs w:val="14"/>
          <w:b w:val="1"/>
          <w:bCs w:val="1"/>
          <w:color w:val="auto"/>
        </w:rPr>
        <w:t>Plastic and</w:t>
      </w:r>
      <w:r>
        <w:rPr>
          <w:sz w:val="20"/>
          <w:szCs w:val="20"/>
          <w:color w:val="auto"/>
        </w:rPr>
        <w:tab/>
      </w:r>
      <w:r>
        <w:rPr>
          <w:rFonts w:ascii="Courier New" w:cs="Courier New" w:eastAsia="Courier New" w:hAnsi="Courier New"/>
          <w:sz w:val="14"/>
          <w:szCs w:val="14"/>
          <w:b w:val="1"/>
          <w:bCs w:val="1"/>
          <w:color w:val="auto"/>
        </w:rPr>
        <w:t>| Domestic</w:t>
      </w:r>
      <w:r>
        <w:rPr>
          <w:sz w:val="20"/>
          <w:szCs w:val="20"/>
          <w:color w:val="auto"/>
        </w:rPr>
        <w:tab/>
      </w:r>
      <w:r>
        <w:rPr>
          <w:rFonts w:ascii="Courier New" w:cs="Courier New" w:eastAsia="Courier New" w:hAnsi="Courier New"/>
          <w:sz w:val="14"/>
          <w:szCs w:val="14"/>
          <w:b w:val="1"/>
          <w:bCs w:val="1"/>
          <w:color w:val="auto"/>
        </w:rPr>
        <w:t>Plastic and</w:t>
      </w:r>
    </w:p>
    <w:p>
      <w:pPr>
        <w:spacing w:after="0" w:line="7" w:lineRule="exact"/>
        <w:rPr>
          <w:sz w:val="20"/>
          <w:szCs w:val="20"/>
          <w:color w:val="auto"/>
        </w:rPr>
      </w:pPr>
    </w:p>
    <w:p>
      <w:pPr>
        <w:ind w:left="2860"/>
        <w:spacing w:after="0"/>
        <w:tabs>
          <w:tab w:leader="none" w:pos="4200" w:val="left"/>
          <w:tab w:leader="none" w:pos="5760" w:val="left"/>
          <w:tab w:leader="none" w:pos="6880" w:val="left"/>
          <w:tab w:leader="none" w:pos="7140" w:val="left"/>
          <w:tab w:leader="none" w:pos="8340" w:val="left"/>
          <w:tab w:leader="none" w:pos="9800" w:val="left"/>
        </w:tabs>
        <w:rPr>
          <w:sz w:val="20"/>
          <w:szCs w:val="20"/>
          <w:color w:val="auto"/>
        </w:rPr>
      </w:pPr>
      <w:r>
        <w:rPr>
          <w:rFonts w:ascii="Courier New" w:cs="Courier New" w:eastAsia="Courier New" w:hAnsi="Courier New"/>
          <w:sz w:val="14"/>
          <w:szCs w:val="14"/>
          <w:b w:val="1"/>
          <w:bCs w:val="1"/>
          <w:color w:val="auto"/>
        </w:rPr>
        <w:t>Domestic Ball</w:t>
        <w:tab/>
        <w:t>Restated</w:t>
      </w:r>
      <w:r>
        <w:rPr>
          <w:sz w:val="20"/>
          <w:szCs w:val="20"/>
          <w:color w:val="auto"/>
        </w:rPr>
        <w:tab/>
      </w:r>
      <w:r>
        <w:rPr>
          <w:rFonts w:ascii="Courier New" w:cs="Courier New" w:eastAsia="Courier New" w:hAnsi="Courier New"/>
          <w:sz w:val="14"/>
          <w:szCs w:val="14"/>
          <w:b w:val="1"/>
          <w:bCs w:val="1"/>
          <w:color w:val="auto"/>
        </w:rPr>
        <w:t>Rubber</w:t>
      </w:r>
      <w:r>
        <w:rPr>
          <w:sz w:val="20"/>
          <w:szCs w:val="20"/>
          <w:color w:val="auto"/>
        </w:rPr>
        <w:tab/>
      </w:r>
      <w:r>
        <w:rPr>
          <w:rFonts w:ascii="Courier New" w:cs="Courier New" w:eastAsia="Courier New" w:hAnsi="Courier New"/>
          <w:sz w:val="14"/>
          <w:szCs w:val="14"/>
          <w:b w:val="1"/>
          <w:bCs w:val="1"/>
          <w:color w:val="auto"/>
        </w:rPr>
        <w:t>|</w:t>
        <w:tab/>
        <w:t>Ball &amp;</w:t>
      </w:r>
      <w:r>
        <w:rPr>
          <w:sz w:val="20"/>
          <w:szCs w:val="20"/>
          <w:color w:val="auto"/>
        </w:rPr>
        <w:tab/>
      </w:r>
      <w:r>
        <w:rPr>
          <w:rFonts w:ascii="Courier New" w:cs="Courier New" w:eastAsia="Courier New" w:hAnsi="Courier New"/>
          <w:sz w:val="14"/>
          <w:szCs w:val="14"/>
          <w:b w:val="1"/>
          <w:bCs w:val="1"/>
          <w:color w:val="auto"/>
        </w:rPr>
        <w:t>Restated</w:t>
      </w:r>
      <w:r>
        <w:rPr>
          <w:sz w:val="20"/>
          <w:szCs w:val="20"/>
          <w:color w:val="auto"/>
        </w:rPr>
        <w:tab/>
      </w:r>
      <w:r>
        <w:rPr>
          <w:rFonts w:ascii="Courier New" w:cs="Courier New" w:eastAsia="Courier New" w:hAnsi="Courier New"/>
          <w:sz w:val="14"/>
          <w:szCs w:val="14"/>
          <w:b w:val="1"/>
          <w:bCs w:val="1"/>
          <w:color w:val="auto"/>
        </w:rPr>
        <w:t>Rubber</w:t>
      </w:r>
    </w:p>
    <w:p>
      <w:pPr>
        <w:spacing w:after="0" w:line="7" w:lineRule="exact"/>
        <w:rPr>
          <w:sz w:val="20"/>
          <w:szCs w:val="20"/>
          <w:color w:val="auto"/>
        </w:rPr>
      </w:pPr>
    </w:p>
    <w:p>
      <w:pPr>
        <w:spacing w:after="0"/>
        <w:tabs>
          <w:tab w:leader="none" w:pos="2920" w:val="left"/>
          <w:tab w:leader="none" w:pos="4200" w:val="left"/>
          <w:tab w:leader="none" w:pos="5580" w:val="left"/>
          <w:tab w:leader="none" w:pos="6880" w:val="left"/>
          <w:tab w:leader="none" w:pos="7140" w:val="left"/>
          <w:tab w:leader="none" w:pos="8260" w:val="left"/>
          <w:tab w:leader="none" w:pos="9640" w:val="left"/>
        </w:tabs>
        <w:rPr>
          <w:sz w:val="20"/>
          <w:szCs w:val="20"/>
          <w:color w:val="auto"/>
        </w:rPr>
      </w:pPr>
      <w:r>
        <w:rPr>
          <w:rFonts w:ascii="Courier New" w:cs="Courier New" w:eastAsia="Courier New" w:hAnsi="Courier New"/>
          <w:sz w:val="14"/>
          <w:szCs w:val="14"/>
          <w:b w:val="1"/>
          <w:bCs w:val="1"/>
          <w:color w:val="auto"/>
        </w:rPr>
        <w:t>Thousands of Dollars</w:t>
      </w:r>
      <w:r>
        <w:rPr>
          <w:sz w:val="20"/>
          <w:szCs w:val="20"/>
          <w:color w:val="auto"/>
        </w:rPr>
        <w:tab/>
      </w:r>
      <w:r>
        <w:rPr>
          <w:rFonts w:ascii="Courier New" w:cs="Courier New" w:eastAsia="Courier New" w:hAnsi="Courier New"/>
          <w:sz w:val="14"/>
          <w:szCs w:val="14"/>
          <w:b w:val="1"/>
          <w:bCs w:val="1"/>
          <w:color w:val="auto"/>
        </w:rPr>
        <w:t>&amp; Roller</w:t>
      </w:r>
      <w:r>
        <w:rPr>
          <w:sz w:val="20"/>
          <w:szCs w:val="20"/>
          <w:color w:val="auto"/>
        </w:rPr>
        <w:tab/>
      </w:r>
      <w:r>
        <w:rPr>
          <w:rFonts w:ascii="Courier New" w:cs="Courier New" w:eastAsia="Courier New" w:hAnsi="Courier New"/>
          <w:sz w:val="14"/>
          <w:szCs w:val="14"/>
          <w:b w:val="1"/>
          <w:bCs w:val="1"/>
          <w:color w:val="auto"/>
        </w:rPr>
        <w:t>NN Europe</w:t>
      </w:r>
      <w:r>
        <w:rPr>
          <w:sz w:val="20"/>
          <w:szCs w:val="20"/>
          <w:color w:val="auto"/>
        </w:rPr>
        <w:tab/>
      </w:r>
      <w:r>
        <w:rPr>
          <w:rFonts w:ascii="Courier New" w:cs="Courier New" w:eastAsia="Courier New" w:hAnsi="Courier New"/>
          <w:sz w:val="14"/>
          <w:szCs w:val="14"/>
          <w:b w:val="1"/>
          <w:bCs w:val="1"/>
          <w:color w:val="auto"/>
        </w:rPr>
        <w:t>Components</w:t>
      </w:r>
      <w:r>
        <w:rPr>
          <w:sz w:val="20"/>
          <w:szCs w:val="20"/>
          <w:color w:val="auto"/>
        </w:rPr>
        <w:tab/>
      </w:r>
      <w:r>
        <w:rPr>
          <w:rFonts w:ascii="Courier New" w:cs="Courier New" w:eastAsia="Courier New" w:hAnsi="Courier New"/>
          <w:sz w:val="14"/>
          <w:szCs w:val="14"/>
          <w:b w:val="1"/>
          <w:bCs w:val="1"/>
          <w:color w:val="auto"/>
        </w:rPr>
        <w:t>|</w:t>
        <w:tab/>
        <w:t>Roller</w:t>
      </w:r>
      <w:r>
        <w:rPr>
          <w:sz w:val="20"/>
          <w:szCs w:val="20"/>
          <w:color w:val="auto"/>
        </w:rPr>
        <w:tab/>
      </w:r>
      <w:r>
        <w:rPr>
          <w:rFonts w:ascii="Courier New" w:cs="Courier New" w:eastAsia="Courier New" w:hAnsi="Courier New"/>
          <w:sz w:val="14"/>
          <w:szCs w:val="14"/>
          <w:b w:val="1"/>
          <w:bCs w:val="1"/>
          <w:color w:val="auto"/>
        </w:rPr>
        <w:t>NN Europe</w:t>
      </w:r>
      <w:r>
        <w:rPr>
          <w:sz w:val="20"/>
          <w:szCs w:val="20"/>
          <w:color w:val="auto"/>
        </w:rPr>
        <w:tab/>
      </w:r>
      <w:r>
        <w:rPr>
          <w:rFonts w:ascii="Courier New" w:cs="Courier New" w:eastAsia="Courier New" w:hAnsi="Courier New"/>
          <w:sz w:val="14"/>
          <w:szCs w:val="14"/>
          <w:b w:val="1"/>
          <w:bCs w:val="1"/>
          <w:color w:val="auto"/>
        </w:rPr>
        <w:t>Components</w:t>
      </w:r>
    </w:p>
    <w:p>
      <w:pPr>
        <w:sectPr>
          <w:pgSz w:w="11900" w:h="16855" w:orient="portrait"/>
          <w:cols w:equalWidth="0" w:num="1">
            <w:col w:w="11040"/>
          </w:cols>
          <w:pgMar w:left="220" w:top="141" w:right="6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Revenues from external</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customers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$ 13,925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$ 38,210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$ 12,059</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$ 13,721</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$ 23,179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$ 12,286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Segment pretax profit (loss)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3,245</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(2,295)</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892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51,322</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146,322</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56,210</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62,552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74,373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55,826</w:t>
            </w:r>
          </w:p>
        </w:tc>
      </w:tr>
      <w:tr>
        <w:trPr>
          <w:trHeight w:val="497"/>
        </w:trPr>
        <w:tc>
          <w:tcPr>
            <w:tcW w:w="2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60" w:type="dxa"/>
            <w:vAlign w:val="bottom"/>
            <w:gridSpan w:val="3"/>
          </w:tcPr>
          <w:p>
            <w:pPr>
              <w:jc w:val="right"/>
              <w:ind w:right="188"/>
              <w:spacing w:after="0"/>
              <w:rPr>
                <w:sz w:val="20"/>
                <w:szCs w:val="20"/>
                <w:color w:val="auto"/>
              </w:rPr>
            </w:pPr>
            <w:r>
              <w:rPr>
                <w:rFonts w:ascii="Courier New" w:cs="Courier New" w:eastAsia="Courier New" w:hAnsi="Courier New"/>
                <w:sz w:val="14"/>
                <w:szCs w:val="14"/>
                <w:b w:val="1"/>
                <w:bCs w:val="1"/>
                <w:color w:val="auto"/>
              </w:rPr>
              <w:t>Six Months Ended June 30,</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b w:val="1"/>
                <w:bCs w:val="1"/>
                <w:color w:val="auto"/>
              </w:rPr>
              <w:t>2003</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b w:val="1"/>
                <w:bCs w:val="1"/>
                <w:color w:val="auto"/>
              </w:rPr>
              <w:t>2002</w:t>
            </w:r>
          </w:p>
        </w:tc>
        <w:tc>
          <w:tcPr>
            <w:tcW w:w="13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4"/>
                <w:szCs w:val="14"/>
                <w:b w:val="1"/>
                <w:bCs w:val="1"/>
                <w:color w:val="auto"/>
              </w:rPr>
              <w:t>Restated</w:t>
            </w:r>
          </w:p>
        </w:tc>
        <w:tc>
          <w:tcPr>
            <w:tcW w:w="1340" w:type="dxa"/>
            <w:vAlign w:val="bottom"/>
          </w:tcPr>
          <w:p>
            <w:pPr>
              <w:spacing w:after="0"/>
              <w:rPr>
                <w:sz w:val="14"/>
                <w:szCs w:val="14"/>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4"/>
                <w:szCs w:val="14"/>
                <w:b w:val="1"/>
                <w:bCs w:val="1"/>
                <w:color w:val="auto"/>
              </w:rPr>
              <w:t>Plastic and</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b w:val="1"/>
                <w:bCs w:val="1"/>
                <w:color w:val="auto"/>
              </w:rPr>
              <w:t>| Domestic</w:t>
            </w:r>
          </w:p>
        </w:tc>
        <w:tc>
          <w:tcPr>
            <w:tcW w:w="138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b w:val="1"/>
                <w:bCs w:val="1"/>
                <w:color w:val="auto"/>
              </w:rPr>
              <w:t>Plastic and</w:t>
            </w:r>
          </w:p>
        </w:tc>
      </w:tr>
      <w:tr>
        <w:trPr>
          <w:trHeight w:val="166"/>
        </w:trPr>
        <w:tc>
          <w:tcPr>
            <w:tcW w:w="264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4"/>
                <w:szCs w:val="14"/>
                <w:b w:val="1"/>
                <w:bCs w:val="1"/>
                <w:color w:val="auto"/>
              </w:rPr>
              <w:t>Domestic Ball</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b w:val="1"/>
                <w:bCs w:val="1"/>
                <w:color w:val="auto"/>
              </w:rPr>
              <w:t>Restated</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b w:val="1"/>
                <w:bCs w:val="1"/>
                <w:color w:val="auto"/>
              </w:rPr>
              <w:t>Rubber</w:t>
            </w:r>
          </w:p>
        </w:tc>
        <w:tc>
          <w:tcPr>
            <w:tcW w:w="260" w:type="dxa"/>
            <w:vAlign w:val="bottom"/>
          </w:tcPr>
          <w:p>
            <w:pPr>
              <w:ind w:left="80"/>
              <w:spacing w:after="0"/>
              <w:rPr>
                <w:sz w:val="20"/>
                <w:szCs w:val="20"/>
                <w:color w:val="auto"/>
              </w:rPr>
            </w:pPr>
            <w:r>
              <w:rPr>
                <w:rFonts w:ascii="Courier New" w:cs="Courier New" w:eastAsia="Courier New" w:hAnsi="Courier New"/>
                <w:sz w:val="14"/>
                <w:szCs w:val="14"/>
                <w:b w:val="1"/>
                <w:bCs w:val="1"/>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b w:val="1"/>
                <w:bCs w:val="1"/>
                <w:color w:val="auto"/>
              </w:rPr>
              <w:t>Ball &amp;</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b w:val="1"/>
                <w:bCs w:val="1"/>
                <w:color w:val="auto"/>
              </w:rPr>
              <w:t>Restated</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b w:val="1"/>
                <w:bCs w:val="1"/>
                <w:color w:val="auto"/>
              </w:rPr>
              <w:t>Rubber</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b w:val="1"/>
                <w:bCs w:val="1"/>
                <w:color w:val="auto"/>
              </w:rPr>
              <w:t>Thousands of Dollars</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b w:val="1"/>
                <w:bCs w:val="1"/>
                <w:color w:val="auto"/>
              </w:rPr>
              <w:t>&amp; Roller</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b w:val="1"/>
                <w:bCs w:val="1"/>
                <w:color w:val="auto"/>
              </w:rPr>
              <w:t>NN Europe</w:t>
            </w:r>
          </w:p>
        </w:tc>
        <w:tc>
          <w:tcPr>
            <w:tcW w:w="1380" w:type="dxa"/>
            <w:vAlign w:val="bottom"/>
          </w:tcPr>
          <w:p>
            <w:pPr>
              <w:ind w:left="160"/>
              <w:spacing w:after="0"/>
              <w:rPr>
                <w:sz w:val="20"/>
                <w:szCs w:val="20"/>
                <w:color w:val="auto"/>
              </w:rPr>
            </w:pPr>
            <w:r>
              <w:rPr>
                <w:rFonts w:ascii="Courier New" w:cs="Courier New" w:eastAsia="Courier New" w:hAnsi="Courier New"/>
                <w:sz w:val="14"/>
                <w:szCs w:val="14"/>
                <w:b w:val="1"/>
                <w:bCs w:val="1"/>
                <w:color w:val="auto"/>
              </w:rPr>
              <w:t>Components</w:t>
            </w:r>
          </w:p>
        </w:tc>
        <w:tc>
          <w:tcPr>
            <w:tcW w:w="260" w:type="dxa"/>
            <w:vAlign w:val="bottom"/>
          </w:tcPr>
          <w:p>
            <w:pPr>
              <w:ind w:left="80"/>
              <w:spacing w:after="0"/>
              <w:rPr>
                <w:sz w:val="20"/>
                <w:szCs w:val="20"/>
                <w:color w:val="auto"/>
              </w:rPr>
            </w:pPr>
            <w:r>
              <w:rPr>
                <w:rFonts w:ascii="Courier New" w:cs="Courier New" w:eastAsia="Courier New" w:hAnsi="Courier New"/>
                <w:sz w:val="14"/>
                <w:szCs w:val="14"/>
                <w:b w:val="1"/>
                <w:bCs w:val="1"/>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b w:val="1"/>
                <w:bCs w:val="1"/>
                <w:color w:val="auto"/>
              </w:rPr>
              <w:t>Roller</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b w:val="1"/>
                <w:bCs w:val="1"/>
                <w:color w:val="auto"/>
              </w:rPr>
              <w:t>NN Europe</w:t>
            </w:r>
          </w:p>
        </w:tc>
        <w:tc>
          <w:tcPr>
            <w:tcW w:w="1300" w:type="dxa"/>
            <w:vAlign w:val="bottom"/>
          </w:tcPr>
          <w:p>
            <w:pPr>
              <w:ind w:left="180"/>
              <w:spacing w:after="0"/>
              <w:rPr>
                <w:sz w:val="20"/>
                <w:szCs w:val="20"/>
                <w:color w:val="auto"/>
              </w:rPr>
            </w:pPr>
            <w:r>
              <w:rPr>
                <w:rFonts w:ascii="Courier New" w:cs="Courier New" w:eastAsia="Courier New" w:hAnsi="Courier New"/>
                <w:sz w:val="14"/>
                <w:szCs w:val="14"/>
                <w:b w:val="1"/>
                <w:bCs w:val="1"/>
                <w:color w:val="auto"/>
              </w:rPr>
              <w:t>Components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Revenues from external</w:t>
            </w:r>
          </w:p>
        </w:tc>
        <w:tc>
          <w:tcPr>
            <w:tcW w:w="1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customers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$ 28,174</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$ 67,045</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$ 26,584</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$ 26,925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$ 44,905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$ 24,556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pretax profit</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2,379</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6,974</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(1,353)</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1,566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51,322</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146,322</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56,210</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62,552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74,373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55,826</w:t>
            </w:r>
          </w:p>
        </w:tc>
      </w:tr>
    </w:tbl>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7.</w:t>
        <w:tab/>
        <w:t>Acquisitions and Joint Ventures (Restated)</w:t>
      </w:r>
    </w:p>
    <w:p>
      <w:pPr>
        <w:spacing w:after="0" w:line="173" w:lineRule="exact"/>
        <w:rPr>
          <w:sz w:val="20"/>
          <w:szCs w:val="20"/>
          <w:color w:val="auto"/>
        </w:rPr>
      </w:pPr>
    </w:p>
    <w:p>
      <w:pPr>
        <w:ind w:right="4320"/>
        <w:spacing w:after="0" w:line="252" w:lineRule="auto"/>
        <w:rPr>
          <w:sz w:val="20"/>
          <w:szCs w:val="20"/>
          <w:color w:val="auto"/>
        </w:rPr>
      </w:pPr>
      <w:r>
        <w:rPr>
          <w:rFonts w:ascii="Courier New" w:cs="Courier New" w:eastAsia="Courier New" w:hAnsi="Courier New"/>
          <w:sz w:val="14"/>
          <w:szCs w:val="14"/>
          <w:color w:val="auto"/>
        </w:rPr>
        <w:t>On December 20, 2002, we acquired the 23 percent interest in NN Euroball, ApS ("Euroball") held by INA/FAG. INA/FAG is a global bearing manufacturer and one of our largest customers. We paid approximately 13.4 million Euros ($13.8 million) for INA/FAG's interest in Euroball. See Note 1, "Restatement".</w:t>
      </w:r>
    </w:p>
    <w:p>
      <w:pPr>
        <w:spacing w:after="0" w:line="162"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On May 2, 2003 we acquired the 23 percent interest in NN Euroball, ApS ("Euroball") held by SKF. We paid approximately 13.8 million Euros ($15.6 million) for SKF's interest in Euroball. Euroball was formed in 2000 by the Company, FAG Kugelfischer George Shaefer AG, which was subsequently acquired by INA - Schaeffler KG ("INA/FAG"), and AB SKF ("SKF"). Upon consummation of this transaction, we became the sole owner of Euroball. See Note 1, "Restatement".</w:t>
      </w:r>
    </w:p>
    <w:p>
      <w:pPr>
        <w:spacing w:after="0" w:line="164"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On May 2, 2003 we acquired 100 percent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$0.9 million, for the Veenendaal net assets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acquired from SKF. The Veenendaal operation manufactures rollers for tapered roller bearings and metal cages for both tapered roller and spherical roller bearings allowing us to expand our bearing component offering. The results of the Veenendaal operation are included in the NN Europe Segment.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connection with the acquisition of SKF's Veenendaal, The Netherlands</w:t>
      </w:r>
    </w:p>
    <w:p>
      <w:pPr>
        <w:sectPr>
          <w:pgSz w:w="11900" w:h="16855" w:orient="portrait"/>
          <w:cols w:equalWidth="0" w:num="1">
            <w:col w:w="11040"/>
          </w:cols>
          <w:pgMar w:left="220" w:top="141" w:right="639" w:bottom="0" w:gutter="0" w:footer="0" w:header="0"/>
          <w:type w:val="continuous"/>
        </w:sectPr>
      </w:pPr>
    </w:p>
    <w:bookmarkStart w:id="8" w:name="page9"/>
    <w:bookmarkEnd w:id="8"/>
    <w:p>
      <w:pPr>
        <w:ind w:right="3339"/>
        <w:spacing w:after="0" w:line="251" w:lineRule="auto"/>
        <w:rPr>
          <w:sz w:val="20"/>
          <w:szCs w:val="20"/>
          <w:color w:val="auto"/>
        </w:rPr>
      </w:pPr>
      <w:r>
        <w:rPr>
          <w:rFonts w:ascii="Courier New" w:cs="Courier New" w:eastAsia="Courier New" w:hAnsi="Courier New"/>
          <w:sz w:val="14"/>
          <w:szCs w:val="14"/>
          <w:color w:val="auto"/>
        </w:rPr>
        <w:t>operations, SKF purchased 700,000 shares of our common stock from us for an aggregate fair value of approximately $6.9 million which was applied to the purchase of SKF's Veenendaal, The Netherlands operations. For purposes of valuing the 700,000 common shares issued in our Consolidated Financial Statements, the value was determined based on the average market price of NN, Inc.'s common shares over the two-day period before, the day of, and the two-day period after the terms of the acquisition were agreed to, April 14, 2003.</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following table summarizes the estimated fair value of the assets acquired and liabilities assumed at the date of acquisition. The purchase price is subject to adjustment due to working capital changes. We are in the process of obtaining third-party valuations of certain tangible and intangible assets; thus, the allocation of the purchase price is subject to refinement.</w:t>
      </w:r>
    </w:p>
    <w:p>
      <w:pPr>
        <w:spacing w:after="0" w:line="165"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b w:val="1"/>
                <w:bCs w:val="1"/>
                <w:color w:val="auto"/>
              </w:rPr>
              <w:t>(In thousands)</w:t>
            </w:r>
          </w:p>
        </w:tc>
      </w:tr>
      <w:tr>
        <w:trPr>
          <w:trHeight w:val="166"/>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b w:val="1"/>
                <w:bCs w:val="1"/>
                <w:color w:val="auto"/>
              </w:rPr>
              <w:t>At May 2, 2003</w:t>
            </w:r>
          </w:p>
        </w:tc>
      </w:tr>
      <w:tr>
        <w:trPr>
          <w:trHeight w:val="166"/>
        </w:trPr>
        <w:tc>
          <w:tcPr>
            <w:tcW w:w="3620" w:type="dxa"/>
            <w:vAlign w:val="bottom"/>
          </w:tcPr>
          <w:p>
            <w:pPr>
              <w:spacing w:after="0"/>
              <w:rPr>
                <w:sz w:val="14"/>
                <w:szCs w:val="14"/>
                <w:color w:val="auto"/>
              </w:rPr>
            </w:pPr>
          </w:p>
        </w:tc>
        <w:tc>
          <w:tcPr>
            <w:tcW w:w="2140" w:type="dxa"/>
            <w:vAlign w:val="bottom"/>
            <w:gridSpan w:val="2"/>
          </w:tcPr>
          <w:p>
            <w:pPr>
              <w:ind w:left="520"/>
              <w:spacing w:after="0"/>
              <w:rPr>
                <w:sz w:val="20"/>
                <w:szCs w:val="20"/>
                <w:color w:val="auto"/>
              </w:rPr>
            </w:pPr>
            <w:r>
              <w:rPr>
                <w:rFonts w:ascii="Courier New" w:cs="Courier New" w:eastAsia="Courier New" w:hAnsi="Courier New"/>
                <w:sz w:val="14"/>
                <w:szCs w:val="14"/>
                <w:b w:val="1"/>
                <w:bCs w:val="1"/>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6,081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640" w:type="dxa"/>
            <w:vAlign w:val="bottom"/>
          </w:tcPr>
          <w:p>
            <w:pPr>
              <w:spacing w:after="0"/>
              <w:rPr>
                <w:sz w:val="14"/>
                <w:szCs w:val="14"/>
                <w:color w:val="auto"/>
              </w:rPr>
            </w:pP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14,747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 assets</w:t>
            </w:r>
          </w:p>
        </w:tc>
        <w:tc>
          <w:tcPr>
            <w:tcW w:w="640" w:type="dxa"/>
            <w:vAlign w:val="bottom"/>
          </w:tcPr>
          <w:p>
            <w:pPr>
              <w:spacing w:after="0"/>
              <w:rPr>
                <w:sz w:val="14"/>
                <w:szCs w:val="14"/>
                <w:color w:val="auto"/>
              </w:rPr>
            </w:pP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11,460</w:t>
            </w:r>
          </w:p>
        </w:tc>
      </w:tr>
      <w:tr>
        <w:trPr>
          <w:trHeight w:val="166"/>
        </w:trPr>
        <w:tc>
          <w:tcPr>
            <w:tcW w:w="3620" w:type="dxa"/>
            <w:vAlign w:val="bottom"/>
          </w:tcPr>
          <w:p>
            <w:pPr>
              <w:spacing w:after="0"/>
              <w:rPr>
                <w:sz w:val="14"/>
                <w:szCs w:val="14"/>
                <w:color w:val="auto"/>
              </w:rPr>
            </w:pPr>
          </w:p>
        </w:tc>
        <w:tc>
          <w:tcPr>
            <w:tcW w:w="2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420"/>
              <w:spacing w:after="0"/>
              <w:rPr>
                <w:sz w:val="20"/>
                <w:szCs w:val="20"/>
                <w:color w:val="auto"/>
              </w:rPr>
            </w:pPr>
            <w:r>
              <w:rPr>
                <w:rFonts w:ascii="Courier New" w:cs="Courier New" w:eastAsia="Courier New" w:hAnsi="Courier New"/>
                <w:sz w:val="14"/>
                <w:szCs w:val="14"/>
                <w:color w:val="auto"/>
              </w:rPr>
              <w:t>Total assets acquired</w:t>
            </w:r>
          </w:p>
        </w:tc>
        <w:tc>
          <w:tcPr>
            <w:tcW w:w="640" w:type="dxa"/>
            <w:vAlign w:val="bottom"/>
          </w:tcPr>
          <w:p>
            <w:pPr>
              <w:spacing w:after="0"/>
              <w:rPr>
                <w:sz w:val="14"/>
                <w:szCs w:val="14"/>
                <w:color w:val="auto"/>
              </w:rPr>
            </w:pP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32,288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640" w:type="dxa"/>
            <w:vAlign w:val="bottom"/>
          </w:tcPr>
          <w:p>
            <w:pPr>
              <w:spacing w:after="0"/>
              <w:rPr>
                <w:sz w:val="14"/>
                <w:szCs w:val="14"/>
                <w:color w:val="auto"/>
              </w:rPr>
            </w:pP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5,628</w:t>
            </w:r>
          </w:p>
        </w:tc>
      </w:tr>
      <w:tr>
        <w:trPr>
          <w:trHeight w:val="166"/>
        </w:trPr>
        <w:tc>
          <w:tcPr>
            <w:tcW w:w="3620" w:type="dxa"/>
            <w:vAlign w:val="bottom"/>
          </w:tcPr>
          <w:p>
            <w:pPr>
              <w:spacing w:after="0"/>
              <w:rPr>
                <w:sz w:val="14"/>
                <w:szCs w:val="14"/>
                <w:color w:val="auto"/>
              </w:rPr>
            </w:pPr>
          </w:p>
        </w:tc>
        <w:tc>
          <w:tcPr>
            <w:tcW w:w="2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420"/>
              <w:spacing w:after="0"/>
              <w:rPr>
                <w:sz w:val="20"/>
                <w:szCs w:val="20"/>
                <w:color w:val="auto"/>
              </w:rPr>
            </w:pPr>
            <w:r>
              <w:rPr>
                <w:rFonts w:ascii="Courier New" w:cs="Courier New" w:eastAsia="Courier New" w:hAnsi="Courier New"/>
                <w:sz w:val="14"/>
                <w:szCs w:val="14"/>
                <w:color w:val="auto"/>
              </w:rPr>
              <w:t>Net assets acquired</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26,660</w:t>
            </w:r>
          </w:p>
        </w:tc>
      </w:tr>
      <w:tr>
        <w:trPr>
          <w:trHeight w:val="166"/>
        </w:trPr>
        <w:tc>
          <w:tcPr>
            <w:tcW w:w="3620" w:type="dxa"/>
            <w:vAlign w:val="bottom"/>
          </w:tcPr>
          <w:p>
            <w:pPr>
              <w:spacing w:after="0"/>
              <w:rPr>
                <w:sz w:val="14"/>
                <w:szCs w:val="14"/>
                <w:color w:val="auto"/>
              </w:rPr>
            </w:pPr>
          </w:p>
        </w:tc>
        <w:tc>
          <w:tcPr>
            <w:tcW w:w="2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full amount assigned to goodwill is expected to be deductible for tax purposes.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unaudited pro forma summary presents the financial information for the three and six month periods ended June 30, 2003 and 2002 as if our Veenendaal acquisition had occurred as of the beginning of each of the periods presented. These pro forma results have been prepared for comparative purposes and do not purport to be indicative of what would have occurred had the acquisition been made as of the beginning of each of the periods presented, nor are they indicative of future results.</w:t>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Basic earnings per share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Diluted earnings per share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7" w:lineRule="exact"/>
        <w:rPr>
          <w:sz w:val="20"/>
          <w:szCs w:val="20"/>
          <w:color w:val="auto"/>
        </w:rPr>
      </w:pPr>
    </w:p>
    <w:p>
      <w:pPr>
        <w:ind w:left="420"/>
        <w:spacing w:after="0"/>
        <w:tabs>
          <w:tab w:leader="none" w:pos="2300" w:val="left"/>
        </w:tabs>
        <w:rPr>
          <w:sz w:val="20"/>
          <w:szCs w:val="20"/>
          <w:color w:val="auto"/>
        </w:rPr>
      </w:pPr>
      <w:r>
        <w:rPr>
          <w:rFonts w:ascii="Courier New" w:cs="Courier New" w:eastAsia="Courier New" w:hAnsi="Courier New"/>
          <w:sz w:val="14"/>
          <w:szCs w:val="14"/>
          <w:b w:val="1"/>
          <w:bCs w:val="1"/>
          <w:color w:val="auto"/>
        </w:rPr>
        <w:t>(Restated)</w:t>
      </w:r>
      <w:r>
        <w:rPr>
          <w:sz w:val="20"/>
          <w:szCs w:val="20"/>
          <w:color w:val="auto"/>
        </w:rPr>
        <w:tab/>
      </w:r>
      <w:r>
        <w:rPr>
          <w:rFonts w:ascii="Courier New" w:cs="Courier New" w:eastAsia="Courier New" w:hAnsi="Courier New"/>
          <w:sz w:val="14"/>
          <w:szCs w:val="14"/>
          <w:b w:val="1"/>
          <w:bCs w:val="1"/>
          <w:color w:val="auto"/>
        </w:rPr>
        <w:t>(Restated)</w:t>
      </w:r>
    </w:p>
    <w:p>
      <w:pPr>
        <w:spacing w:after="0" w:line="7" w:lineRule="exact"/>
        <w:rPr>
          <w:sz w:val="20"/>
          <w:szCs w:val="20"/>
          <w:color w:val="auto"/>
        </w:rPr>
      </w:pPr>
    </w:p>
    <w:p>
      <w:pPr>
        <w:ind w:left="80"/>
        <w:spacing w:after="0"/>
        <w:tabs>
          <w:tab w:leader="none" w:pos="2040" w:val="left"/>
        </w:tabs>
        <w:rPr>
          <w:sz w:val="20"/>
          <w:szCs w:val="20"/>
          <w:color w:val="auto"/>
        </w:rPr>
      </w:pPr>
      <w:r>
        <w:rPr>
          <w:rFonts w:ascii="Courier New" w:cs="Courier New" w:eastAsia="Courier New" w:hAnsi="Courier New"/>
          <w:sz w:val="14"/>
          <w:szCs w:val="14"/>
          <w:b w:val="1"/>
          <w:bCs w:val="1"/>
          <w:color w:val="auto"/>
        </w:rPr>
        <w:t>Three months ended</w:t>
      </w:r>
      <w:r>
        <w:rPr>
          <w:sz w:val="20"/>
          <w:szCs w:val="20"/>
          <w:color w:val="auto"/>
        </w:rPr>
        <w:tab/>
      </w:r>
      <w:r>
        <w:rPr>
          <w:rFonts w:ascii="Courier New" w:cs="Courier New" w:eastAsia="Courier New" w:hAnsi="Courier New"/>
          <w:sz w:val="14"/>
          <w:szCs w:val="14"/>
          <w:b w:val="1"/>
          <w:bCs w:val="1"/>
          <w:color w:val="auto"/>
        </w:rPr>
        <w:t>Six months ended</w:t>
      </w:r>
    </w:p>
    <w:p>
      <w:pPr>
        <w:spacing w:after="0" w:line="7" w:lineRule="exact"/>
        <w:rPr>
          <w:sz w:val="20"/>
          <w:szCs w:val="20"/>
          <w:color w:val="auto"/>
        </w:rPr>
      </w:pPr>
    </w:p>
    <w:p>
      <w:pPr>
        <w:ind w:left="260"/>
        <w:spacing w:after="0"/>
        <w:tabs>
          <w:tab w:leader="none" w:pos="2220" w:val="left"/>
        </w:tabs>
        <w:rPr>
          <w:sz w:val="20"/>
          <w:szCs w:val="20"/>
          <w:color w:val="auto"/>
        </w:rPr>
      </w:pPr>
      <w:r>
        <w:rPr>
          <w:rFonts w:ascii="Courier New" w:cs="Courier New" w:eastAsia="Courier New" w:hAnsi="Courier New"/>
          <w:sz w:val="14"/>
          <w:szCs w:val="14"/>
          <w:b w:val="1"/>
          <w:bCs w:val="1"/>
          <w:color w:val="auto"/>
        </w:rPr>
        <w:t>June 30, 2003</w:t>
      </w:r>
      <w:r>
        <w:rPr>
          <w:sz w:val="20"/>
          <w:szCs w:val="20"/>
          <w:color w:val="auto"/>
        </w:rPr>
        <w:tab/>
      </w:r>
      <w:r>
        <w:rPr>
          <w:rFonts w:ascii="Courier New" w:cs="Courier New" w:eastAsia="Courier New" w:hAnsi="Courier New"/>
          <w:sz w:val="14"/>
          <w:szCs w:val="14"/>
          <w:b w:val="1"/>
          <w:bCs w:val="1"/>
          <w:color w:val="auto"/>
        </w:rPr>
        <w:t>June 30, 2003</w:t>
      </w:r>
    </w:p>
    <w:p>
      <w:pPr>
        <w:spacing w:after="0" w:line="7" w:lineRule="exact"/>
        <w:rPr>
          <w:sz w:val="20"/>
          <w:szCs w:val="20"/>
          <w:color w:val="auto"/>
        </w:rPr>
      </w:pPr>
    </w:p>
    <w:p>
      <w:pPr>
        <w:ind w:left="340"/>
        <w:spacing w:after="0"/>
        <w:tabs>
          <w:tab w:leader="none" w:pos="2300" w:val="left"/>
        </w:tabs>
        <w:rPr>
          <w:sz w:val="20"/>
          <w:szCs w:val="20"/>
          <w:color w:val="auto"/>
        </w:rPr>
      </w:pPr>
      <w:r>
        <w:rPr>
          <w:rFonts w:ascii="Courier New" w:cs="Courier New" w:eastAsia="Courier New" w:hAnsi="Courier New"/>
          <w:sz w:val="14"/>
          <w:szCs w:val="14"/>
          <w:b w:val="1"/>
          <w:bCs w:val="1"/>
          <w:color w:val="auto"/>
        </w:rPr>
        <w:t>(unaudited)</w:t>
      </w:r>
      <w:r>
        <w:rPr>
          <w:sz w:val="20"/>
          <w:szCs w:val="20"/>
          <w:color w:val="auto"/>
        </w:rPr>
        <w:tab/>
      </w:r>
      <w:r>
        <w:rPr>
          <w:rFonts w:ascii="Courier New" w:cs="Courier New" w:eastAsia="Courier New" w:hAnsi="Courier New"/>
          <w:sz w:val="14"/>
          <w:szCs w:val="14"/>
          <w:b w:val="1"/>
          <w:bCs w:val="1"/>
          <w:color w:val="auto"/>
        </w:rPr>
        <w:t>(unaudited)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7" w:lineRule="exact"/>
        <w:rPr>
          <w:sz w:val="20"/>
          <w:szCs w:val="20"/>
          <w:color w:val="auto"/>
        </w:rPr>
      </w:pPr>
    </w:p>
    <w:p>
      <w:pPr>
        <w:ind w:left="1020"/>
        <w:spacing w:after="0"/>
        <w:tabs>
          <w:tab w:leader="none" w:pos="2900" w:val="left"/>
        </w:tabs>
        <w:rPr>
          <w:sz w:val="20"/>
          <w:szCs w:val="20"/>
          <w:color w:val="auto"/>
        </w:rPr>
      </w:pPr>
      <w:r>
        <w:rPr>
          <w:rFonts w:ascii="Courier New" w:cs="Courier New" w:eastAsia="Courier New" w:hAnsi="Courier New"/>
          <w:sz w:val="14"/>
          <w:szCs w:val="14"/>
          <w:color w:val="auto"/>
        </w:rPr>
        <w:t>$ 68,841</w:t>
      </w:r>
      <w:r>
        <w:rPr>
          <w:sz w:val="20"/>
          <w:szCs w:val="20"/>
          <w:color w:val="auto"/>
        </w:rPr>
        <w:tab/>
      </w:r>
      <w:r>
        <w:rPr>
          <w:rFonts w:ascii="Courier New" w:cs="Courier New" w:eastAsia="Courier New" w:hAnsi="Courier New"/>
          <w:sz w:val="14"/>
          <w:szCs w:val="14"/>
          <w:color w:val="auto"/>
        </w:rPr>
        <w:t>$ 140,391</w:t>
      </w:r>
    </w:p>
    <w:p>
      <w:pPr>
        <w:spacing w:after="0" w:line="7" w:lineRule="exact"/>
        <w:rPr>
          <w:sz w:val="20"/>
          <w:szCs w:val="20"/>
          <w:color w:val="auto"/>
        </w:rPr>
      </w:pPr>
    </w:p>
    <w:p>
      <w:pPr>
        <w:ind w:left="1460"/>
        <w:spacing w:after="0"/>
        <w:tabs>
          <w:tab w:leader="none" w:pos="3240" w:val="left"/>
        </w:tabs>
        <w:rPr>
          <w:sz w:val="20"/>
          <w:szCs w:val="20"/>
          <w:color w:val="auto"/>
        </w:rPr>
      </w:pPr>
      <w:r>
        <w:rPr>
          <w:rFonts w:ascii="Courier New" w:cs="Courier New" w:eastAsia="Courier New" w:hAnsi="Courier New"/>
          <w:sz w:val="14"/>
          <w:szCs w:val="14"/>
          <w:color w:val="auto"/>
        </w:rPr>
        <w:t>742</w:t>
      </w:r>
      <w:r>
        <w:rPr>
          <w:sz w:val="20"/>
          <w:szCs w:val="20"/>
          <w:color w:val="auto"/>
        </w:rPr>
        <w:tab/>
      </w:r>
      <w:r>
        <w:rPr>
          <w:rFonts w:ascii="Courier New" w:cs="Courier New" w:eastAsia="Courier New" w:hAnsi="Courier New"/>
          <w:sz w:val="14"/>
          <w:szCs w:val="14"/>
          <w:color w:val="auto"/>
        </w:rPr>
        <w:t>4,521</w:t>
      </w:r>
    </w:p>
    <w:p>
      <w:pPr>
        <w:spacing w:after="0" w:line="7" w:lineRule="exact"/>
        <w:rPr>
          <w:sz w:val="20"/>
          <w:szCs w:val="20"/>
          <w:color w:val="auto"/>
        </w:rPr>
      </w:pPr>
    </w:p>
    <w:p>
      <w:pPr>
        <w:ind w:left="1380"/>
        <w:spacing w:after="0"/>
        <w:tabs>
          <w:tab w:leader="none" w:pos="3340" w:val="left"/>
        </w:tabs>
        <w:rPr>
          <w:sz w:val="20"/>
          <w:szCs w:val="20"/>
          <w:color w:val="auto"/>
        </w:rPr>
      </w:pPr>
      <w:r>
        <w:rPr>
          <w:rFonts w:ascii="Courier New" w:cs="Courier New" w:eastAsia="Courier New" w:hAnsi="Courier New"/>
          <w:sz w:val="14"/>
          <w:szCs w:val="14"/>
          <w:color w:val="auto"/>
        </w:rPr>
        <w:t>0.05</w:t>
      </w:r>
      <w:r>
        <w:rPr>
          <w:sz w:val="20"/>
          <w:szCs w:val="20"/>
          <w:color w:val="auto"/>
        </w:rPr>
        <w:tab/>
      </w:r>
      <w:r>
        <w:rPr>
          <w:rFonts w:ascii="Courier New" w:cs="Courier New" w:eastAsia="Courier New" w:hAnsi="Courier New"/>
          <w:sz w:val="14"/>
          <w:szCs w:val="14"/>
          <w:color w:val="auto"/>
        </w:rPr>
        <w:t>0.29</w:t>
      </w:r>
    </w:p>
    <w:p>
      <w:pPr>
        <w:spacing w:after="0" w:line="7" w:lineRule="exact"/>
        <w:rPr>
          <w:sz w:val="20"/>
          <w:szCs w:val="20"/>
          <w:color w:val="auto"/>
        </w:rPr>
      </w:pPr>
    </w:p>
    <w:p>
      <w:pPr>
        <w:ind w:left="1380"/>
        <w:spacing w:after="0"/>
        <w:tabs>
          <w:tab w:leader="none" w:pos="3340" w:val="left"/>
        </w:tabs>
        <w:rPr>
          <w:sz w:val="20"/>
          <w:szCs w:val="20"/>
          <w:color w:val="auto"/>
        </w:rPr>
      </w:pPr>
      <w:r>
        <w:rPr>
          <w:rFonts w:ascii="Courier New" w:cs="Courier New" w:eastAsia="Courier New" w:hAnsi="Courier New"/>
          <w:sz w:val="14"/>
          <w:szCs w:val="14"/>
          <w:color w:val="auto"/>
        </w:rPr>
        <w:t>0.05</w:t>
      </w:r>
      <w:r>
        <w:rPr>
          <w:sz w:val="20"/>
          <w:szCs w:val="20"/>
          <w:color w:val="auto"/>
        </w:rPr>
        <w:tab/>
      </w:r>
      <w:r>
        <w:rPr>
          <w:rFonts w:ascii="Courier New" w:cs="Courier New" w:eastAsia="Courier New" w:hAnsi="Courier New"/>
          <w:sz w:val="14"/>
          <w:szCs w:val="14"/>
          <w:color w:val="auto"/>
        </w:rPr>
        <w:t>0.28</w:t>
      </w:r>
    </w:p>
    <w:p>
      <w:pPr>
        <w:spacing w:after="0" w:line="200" w:lineRule="exact"/>
        <w:rPr>
          <w:sz w:val="20"/>
          <w:szCs w:val="20"/>
          <w:color w:val="auto"/>
        </w:rPr>
      </w:pPr>
    </w:p>
    <w:p>
      <w:pPr>
        <w:sectPr>
          <w:pgSz w:w="11900" w:h="16838" w:orient="portrait"/>
          <w:cols w:equalWidth="0" w:num="2">
            <w:col w:w="3860" w:space="720"/>
            <w:col w:w="565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Net income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Basic earnings per share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Diluted earnings per share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7" w:lineRule="exact"/>
        <w:rPr>
          <w:sz w:val="20"/>
          <w:szCs w:val="20"/>
          <w:color w:val="auto"/>
        </w:rPr>
      </w:pPr>
    </w:p>
    <w:p>
      <w:pPr>
        <w:ind w:left="80"/>
        <w:spacing w:after="0"/>
        <w:tabs>
          <w:tab w:leader="none" w:pos="1960" w:val="left"/>
        </w:tabs>
        <w:rPr>
          <w:sz w:val="20"/>
          <w:szCs w:val="20"/>
          <w:color w:val="auto"/>
        </w:rPr>
      </w:pPr>
      <w:r>
        <w:rPr>
          <w:rFonts w:ascii="Courier New" w:cs="Courier New" w:eastAsia="Courier New" w:hAnsi="Courier New"/>
          <w:sz w:val="14"/>
          <w:szCs w:val="14"/>
          <w:b w:val="1"/>
          <w:bCs w:val="1"/>
          <w:color w:val="auto"/>
        </w:rPr>
        <w:t>Three months ended</w:t>
      </w:r>
      <w:r>
        <w:rPr>
          <w:sz w:val="20"/>
          <w:szCs w:val="20"/>
          <w:color w:val="auto"/>
        </w:rPr>
        <w:tab/>
      </w:r>
      <w:r>
        <w:rPr>
          <w:rFonts w:ascii="Courier New" w:cs="Courier New" w:eastAsia="Courier New" w:hAnsi="Courier New"/>
          <w:sz w:val="14"/>
          <w:szCs w:val="14"/>
          <w:b w:val="1"/>
          <w:bCs w:val="1"/>
          <w:color w:val="auto"/>
        </w:rPr>
        <w:t>Six months ended</w:t>
      </w:r>
    </w:p>
    <w:p>
      <w:pPr>
        <w:spacing w:after="0" w:line="7" w:lineRule="exact"/>
        <w:rPr>
          <w:sz w:val="20"/>
          <w:szCs w:val="20"/>
          <w:color w:val="auto"/>
        </w:rPr>
      </w:pPr>
    </w:p>
    <w:p>
      <w:pPr>
        <w:ind w:left="260"/>
        <w:spacing w:after="0"/>
        <w:tabs>
          <w:tab w:leader="none" w:pos="2120" w:val="left"/>
        </w:tabs>
        <w:rPr>
          <w:sz w:val="20"/>
          <w:szCs w:val="20"/>
          <w:color w:val="auto"/>
        </w:rPr>
      </w:pPr>
      <w:r>
        <w:rPr>
          <w:rFonts w:ascii="Courier New" w:cs="Courier New" w:eastAsia="Courier New" w:hAnsi="Courier New"/>
          <w:sz w:val="14"/>
          <w:szCs w:val="14"/>
          <w:b w:val="1"/>
          <w:bCs w:val="1"/>
          <w:color w:val="auto"/>
        </w:rPr>
        <w:t>June 30, 2002</w:t>
      </w:r>
      <w:r>
        <w:rPr>
          <w:sz w:val="20"/>
          <w:szCs w:val="20"/>
          <w:color w:val="auto"/>
        </w:rPr>
        <w:tab/>
      </w:r>
      <w:r>
        <w:rPr>
          <w:rFonts w:ascii="Courier New" w:cs="Courier New" w:eastAsia="Courier New" w:hAnsi="Courier New"/>
          <w:sz w:val="14"/>
          <w:szCs w:val="14"/>
          <w:b w:val="1"/>
          <w:bCs w:val="1"/>
          <w:color w:val="auto"/>
        </w:rPr>
        <w:t>June 30, 2002</w:t>
      </w:r>
    </w:p>
    <w:p>
      <w:pPr>
        <w:spacing w:after="0" w:line="7" w:lineRule="exact"/>
        <w:rPr>
          <w:sz w:val="20"/>
          <w:szCs w:val="20"/>
          <w:color w:val="auto"/>
        </w:rPr>
      </w:pPr>
    </w:p>
    <w:p>
      <w:pPr>
        <w:ind w:left="340"/>
        <w:spacing w:after="0"/>
        <w:tabs>
          <w:tab w:leader="none" w:pos="2220" w:val="left"/>
        </w:tabs>
        <w:rPr>
          <w:sz w:val="20"/>
          <w:szCs w:val="20"/>
          <w:color w:val="auto"/>
        </w:rPr>
      </w:pPr>
      <w:r>
        <w:rPr>
          <w:rFonts w:ascii="Courier New" w:cs="Courier New" w:eastAsia="Courier New" w:hAnsi="Courier New"/>
          <w:sz w:val="14"/>
          <w:szCs w:val="14"/>
          <w:b w:val="1"/>
          <w:bCs w:val="1"/>
          <w:color w:val="auto"/>
        </w:rPr>
        <w:t>(unaudited)</w:t>
      </w:r>
      <w:r>
        <w:rPr>
          <w:sz w:val="20"/>
          <w:szCs w:val="20"/>
          <w:color w:val="auto"/>
        </w:rPr>
        <w:tab/>
      </w:r>
      <w:r>
        <w:rPr>
          <w:rFonts w:ascii="Courier New" w:cs="Courier New" w:eastAsia="Courier New" w:hAnsi="Courier New"/>
          <w:sz w:val="14"/>
          <w:szCs w:val="14"/>
          <w:b w:val="1"/>
          <w:bCs w:val="1"/>
          <w:color w:val="auto"/>
        </w:rPr>
        <w:t>(unaudited)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7" w:lineRule="exact"/>
        <w:rPr>
          <w:sz w:val="20"/>
          <w:szCs w:val="20"/>
          <w:color w:val="auto"/>
        </w:rPr>
      </w:pPr>
    </w:p>
    <w:p>
      <w:pPr>
        <w:ind w:left="1020"/>
        <w:spacing w:after="0"/>
        <w:tabs>
          <w:tab w:leader="none" w:pos="2720" w:val="left"/>
        </w:tabs>
        <w:rPr>
          <w:sz w:val="20"/>
          <w:szCs w:val="20"/>
          <w:color w:val="auto"/>
        </w:rPr>
      </w:pPr>
      <w:r>
        <w:rPr>
          <w:rFonts w:ascii="Courier New" w:cs="Courier New" w:eastAsia="Courier New" w:hAnsi="Courier New"/>
          <w:sz w:val="14"/>
          <w:szCs w:val="14"/>
          <w:color w:val="auto"/>
        </w:rPr>
        <w:t>$ 63,128</w:t>
      </w:r>
      <w:r>
        <w:rPr>
          <w:sz w:val="20"/>
          <w:szCs w:val="20"/>
          <w:color w:val="auto"/>
        </w:rPr>
        <w:tab/>
      </w:r>
      <w:r>
        <w:rPr>
          <w:rFonts w:ascii="Courier New" w:cs="Courier New" w:eastAsia="Courier New" w:hAnsi="Courier New"/>
          <w:sz w:val="14"/>
          <w:szCs w:val="14"/>
          <w:color w:val="auto"/>
        </w:rPr>
        <w:t>$ 124,369</w:t>
      </w:r>
    </w:p>
    <w:p>
      <w:pPr>
        <w:spacing w:after="0" w:line="7" w:lineRule="exact"/>
        <w:rPr>
          <w:sz w:val="20"/>
          <w:szCs w:val="20"/>
          <w:color w:val="auto"/>
        </w:rPr>
      </w:pPr>
    </w:p>
    <w:p>
      <w:pPr>
        <w:ind w:left="1280"/>
        <w:spacing w:after="0"/>
        <w:tabs>
          <w:tab w:leader="none" w:pos="3080" w:val="left"/>
        </w:tabs>
        <w:rPr>
          <w:sz w:val="20"/>
          <w:szCs w:val="20"/>
          <w:color w:val="auto"/>
        </w:rPr>
      </w:pPr>
      <w:r>
        <w:rPr>
          <w:rFonts w:ascii="Courier New" w:cs="Courier New" w:eastAsia="Courier New" w:hAnsi="Courier New"/>
          <w:sz w:val="14"/>
          <w:szCs w:val="14"/>
          <w:color w:val="auto"/>
        </w:rPr>
        <w:t>2,543</w:t>
      </w:r>
      <w:r>
        <w:rPr>
          <w:sz w:val="20"/>
          <w:szCs w:val="20"/>
          <w:color w:val="auto"/>
        </w:rPr>
        <w:tab/>
      </w:r>
      <w:r>
        <w:rPr>
          <w:rFonts w:ascii="Courier New" w:cs="Courier New" w:eastAsia="Courier New" w:hAnsi="Courier New"/>
          <w:sz w:val="14"/>
          <w:szCs w:val="14"/>
          <w:color w:val="auto"/>
        </w:rPr>
        <w:t>4,528</w:t>
      </w:r>
    </w:p>
    <w:p>
      <w:pPr>
        <w:spacing w:after="0" w:line="7" w:lineRule="exact"/>
        <w:rPr>
          <w:sz w:val="20"/>
          <w:szCs w:val="20"/>
          <w:color w:val="auto"/>
        </w:rPr>
      </w:pPr>
    </w:p>
    <w:p>
      <w:pPr>
        <w:ind w:left="1380"/>
        <w:spacing w:after="0"/>
        <w:tabs>
          <w:tab w:leader="none" w:pos="3160" w:val="left"/>
        </w:tabs>
        <w:rPr>
          <w:sz w:val="20"/>
          <w:szCs w:val="20"/>
          <w:color w:val="auto"/>
        </w:rPr>
      </w:pPr>
      <w:r>
        <w:rPr>
          <w:rFonts w:ascii="Courier New" w:cs="Courier New" w:eastAsia="Courier New" w:hAnsi="Courier New"/>
          <w:sz w:val="14"/>
          <w:szCs w:val="14"/>
          <w:color w:val="auto"/>
        </w:rPr>
        <w:t>0.17</w:t>
      </w:r>
      <w:r>
        <w:rPr>
          <w:sz w:val="20"/>
          <w:szCs w:val="20"/>
          <w:color w:val="auto"/>
        </w:rPr>
        <w:tab/>
      </w:r>
      <w:r>
        <w:rPr>
          <w:rFonts w:ascii="Courier New" w:cs="Courier New" w:eastAsia="Courier New" w:hAnsi="Courier New"/>
          <w:sz w:val="14"/>
          <w:szCs w:val="14"/>
          <w:color w:val="auto"/>
        </w:rPr>
        <w:t>0.29</w:t>
      </w:r>
    </w:p>
    <w:p>
      <w:pPr>
        <w:spacing w:after="0" w:line="7" w:lineRule="exact"/>
        <w:rPr>
          <w:sz w:val="20"/>
          <w:szCs w:val="20"/>
          <w:color w:val="auto"/>
        </w:rPr>
      </w:pPr>
    </w:p>
    <w:p>
      <w:pPr>
        <w:ind w:left="1380"/>
        <w:spacing w:after="0"/>
        <w:tabs>
          <w:tab w:leader="none" w:pos="3160" w:val="left"/>
        </w:tabs>
        <w:rPr>
          <w:sz w:val="20"/>
          <w:szCs w:val="20"/>
          <w:color w:val="auto"/>
        </w:rPr>
      </w:pPr>
      <w:r>
        <w:rPr>
          <w:rFonts w:ascii="Courier New" w:cs="Courier New" w:eastAsia="Courier New" w:hAnsi="Courier New"/>
          <w:sz w:val="14"/>
          <w:szCs w:val="14"/>
          <w:color w:val="auto"/>
        </w:rPr>
        <w:t>0.16</w:t>
      </w:r>
      <w:r>
        <w:rPr>
          <w:sz w:val="20"/>
          <w:szCs w:val="20"/>
          <w:color w:val="auto"/>
        </w:rPr>
        <w:tab/>
      </w:r>
      <w:r>
        <w:rPr>
          <w:rFonts w:ascii="Courier New" w:cs="Courier New" w:eastAsia="Courier New" w:hAnsi="Courier New"/>
          <w:sz w:val="14"/>
          <w:szCs w:val="14"/>
          <w:color w:val="auto"/>
        </w:rPr>
        <w:t>0.29</w:t>
      </w:r>
    </w:p>
    <w:p>
      <w:pPr>
        <w:spacing w:after="0" w:line="173" w:lineRule="exact"/>
        <w:rPr>
          <w:sz w:val="20"/>
          <w:szCs w:val="20"/>
          <w:color w:val="auto"/>
        </w:rPr>
      </w:pPr>
    </w:p>
    <w:p>
      <w:pPr>
        <w:sectPr>
          <w:pgSz w:w="11900" w:h="16838" w:orient="portrait"/>
          <w:cols w:equalWidth="0" w:num="2">
            <w:col w:w="3860" w:space="720"/>
            <w:col w:w="5659"/>
          </w:cols>
          <w:pgMar w:left="220" w:top="141" w:right="1440" w:bottom="0" w:gutter="0" w:footer="0" w:header="0"/>
          <w:type w:val="continuous"/>
        </w:sectPr>
      </w:pPr>
    </w:p>
    <w:p>
      <w:pPr>
        <w:ind w:right="3339"/>
        <w:spacing w:after="0" w:line="252" w:lineRule="auto"/>
        <w:rPr>
          <w:sz w:val="20"/>
          <w:szCs w:val="20"/>
          <w:color w:val="auto"/>
        </w:rPr>
      </w:pPr>
      <w:r>
        <w:rPr>
          <w:rFonts w:ascii="Courier New" w:cs="Courier New" w:eastAsia="Courier New" w:hAnsi="Courier New"/>
          <w:sz w:val="14"/>
          <w:szCs w:val="14"/>
          <w:color w:val="auto"/>
        </w:rPr>
        <w:t>On April 1, 2003, we exercised our call right and purchased the remaining 49 percent interest in NN Mexico, LLC. Based on the purchase price formula contained in the principal agreement between the parties, the purchase price for such interest was zero.</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Note 8. Restructuring and Impairment Charges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May, 2003, we decided to close our Guadalajara, Mexico plastic injection molding facility. This operation was started in September of 2000 to supply certain Mexican operations of multi-national manufacturers of office automation equipment. Several of these customers have recently shifted their manufacturing operations to other geographic regions in the world. The closure is expected to be substantially completed during the third quarter of 2003. The financial results of this operation have been included in the Plastic and Rubber Components Segment.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plant closing is expected to result in the termination of approximately 42 full time hourly and salary employees located at the Guadalajara facility. We have recorded restructuring costs of approximately $282,000 during the three month period ended June 30, 2003 related to severance payments for the affected employees.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the closing, we have performed a test of the recoverability of the goodwill asset associated with the Guadalajara, Mexico operation. This test was pursuant to the provisions of Statement of Financial Accounting Standards No. 142 "Goodwill and Other Intangible Assets" which require that interim tests of the recoverability of goodwill be performed under certain circumstances. As a result, we have recorded an impairment charge of approximately $1.3 million to fully write-off the goodwill asset.</w:t>
      </w:r>
    </w:p>
    <w:p>
      <w:pPr>
        <w:sectPr>
          <w:pgSz w:w="11900" w:h="16838" w:orient="portrait"/>
          <w:cols w:equalWidth="0" w:num="1">
            <w:col w:w="10239"/>
          </w:cols>
          <w:pgMar w:left="220" w:top="141" w:right="1440" w:bottom="0" w:gutter="0" w:footer="0" w:header="0"/>
          <w:type w:val="continuous"/>
        </w:sectPr>
      </w:pPr>
    </w:p>
    <w:bookmarkStart w:id="9" w:name="page10"/>
    <w:bookmarkEnd w:id="9"/>
    <w:p>
      <w:pPr>
        <w:spacing w:after="0" w:line="4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decided to sell substantially all of the machinery and equipment with certain pieces of machinery and equipment to be transferred and utilized by our Industrial Molding facility in Lubbock, Texas. Pursuant to the provisions of Statement of Accounting Standards No. 144 "Accounting for the Impairment or Disposal of Long-lived Assets" we have recorded an impairment charge of approximately $1.1 million to write-down the machinery and equipment to its estimated fair market value.</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Additionally, we have recorded impairment charges of $107,000 and $324,000 to write-down the accounts receivable and inventory assets to their estimated fair market values, respectively. The $324,000 inventory write down has been recorded as a component of cost of goods sold.</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amounts we will ultimately realize upon disposition of these assets could differ materially from the amounts assumed in arriving at the impairment losses recorded during the three months ended June 30,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summarizes the 2003 restructuring and impairment charges:</w:t>
      </w:r>
    </w:p>
    <w:p>
      <w:pPr>
        <w:sectPr>
          <w:pgSz w:w="11900" w:h="16887"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In 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impairments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and other employee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b w:val="1"/>
          <w:bCs w:val="1"/>
          <w:color w:val="auto"/>
        </w:rPr>
        <w:t>Reserve</w:t>
      </w:r>
    </w:p>
    <w:p>
      <w:pPr>
        <w:spacing w:after="0" w:line="7" w:lineRule="exact"/>
        <w:rPr>
          <w:sz w:val="20"/>
          <w:szCs w:val="20"/>
          <w:color w:val="auto"/>
        </w:rPr>
      </w:pPr>
    </w:p>
    <w:p>
      <w:pPr>
        <w:ind w:left="1720"/>
        <w:spacing w:after="0"/>
        <w:tabs>
          <w:tab w:leader="none" w:pos="3240" w:val="left"/>
          <w:tab w:leader="none" w:pos="4620" w:val="left"/>
        </w:tabs>
        <w:rPr>
          <w:sz w:val="20"/>
          <w:szCs w:val="20"/>
          <w:color w:val="auto"/>
        </w:rPr>
      </w:pPr>
      <w:r>
        <w:rPr>
          <w:rFonts w:ascii="Courier New" w:cs="Courier New" w:eastAsia="Courier New" w:hAnsi="Courier New"/>
          <w:sz w:val="14"/>
          <w:szCs w:val="14"/>
          <w:b w:val="1"/>
          <w:bCs w:val="1"/>
          <w:color w:val="auto"/>
        </w:rPr>
        <w:t>Non-Cash</w:t>
      </w:r>
      <w:r>
        <w:rPr>
          <w:sz w:val="20"/>
          <w:szCs w:val="20"/>
          <w:color w:val="auto"/>
        </w:rPr>
        <w:tab/>
      </w:r>
      <w:r>
        <w:rPr>
          <w:rFonts w:ascii="Courier New" w:cs="Courier New" w:eastAsia="Courier New" w:hAnsi="Courier New"/>
          <w:sz w:val="14"/>
          <w:szCs w:val="14"/>
          <w:b w:val="1"/>
          <w:bCs w:val="1"/>
          <w:color w:val="auto"/>
        </w:rPr>
        <w:t>Paid in</w:t>
      </w:r>
      <w:r>
        <w:rPr>
          <w:sz w:val="20"/>
          <w:szCs w:val="20"/>
          <w:color w:val="auto"/>
        </w:rPr>
        <w:tab/>
      </w:r>
      <w:r>
        <w:rPr>
          <w:rFonts w:ascii="Courier New" w:cs="Courier New" w:eastAsia="Courier New" w:hAnsi="Courier New"/>
          <w:sz w:val="14"/>
          <w:szCs w:val="14"/>
          <w:b w:val="1"/>
          <w:bCs w:val="1"/>
          <w:color w:val="auto"/>
        </w:rPr>
        <w:t>Balance</w:t>
      </w:r>
    </w:p>
    <w:p>
      <w:pPr>
        <w:spacing w:after="0" w:line="7" w:lineRule="exact"/>
        <w:rPr>
          <w:sz w:val="20"/>
          <w:szCs w:val="20"/>
          <w:color w:val="auto"/>
        </w:rPr>
      </w:pPr>
    </w:p>
    <w:p>
      <w:pPr>
        <w:ind w:left="260"/>
        <w:spacing w:after="0"/>
        <w:tabs>
          <w:tab w:leader="none" w:pos="1520" w:val="left"/>
          <w:tab w:leader="none" w:pos="3340" w:val="left"/>
          <w:tab w:leader="none" w:pos="4540" w:val="left"/>
        </w:tabs>
        <w:rPr>
          <w:sz w:val="20"/>
          <w:szCs w:val="20"/>
          <w:color w:val="auto"/>
        </w:rPr>
      </w:pPr>
      <w:r>
        <w:rPr>
          <w:rFonts w:ascii="Courier New" w:cs="Courier New" w:eastAsia="Courier New" w:hAnsi="Courier New"/>
          <w:sz w:val="14"/>
          <w:szCs w:val="14"/>
          <w:b w:val="1"/>
          <w:bCs w:val="1"/>
          <w:color w:val="auto"/>
        </w:rPr>
        <w:t>Charges</w:t>
      </w:r>
      <w:r>
        <w:rPr>
          <w:sz w:val="20"/>
          <w:szCs w:val="20"/>
          <w:color w:val="auto"/>
        </w:rPr>
        <w:tab/>
      </w:r>
      <w:r>
        <w:rPr>
          <w:rFonts w:ascii="Courier New" w:cs="Courier New" w:eastAsia="Courier New" w:hAnsi="Courier New"/>
          <w:sz w:val="14"/>
          <w:szCs w:val="14"/>
          <w:b w:val="1"/>
          <w:bCs w:val="1"/>
          <w:color w:val="auto"/>
        </w:rPr>
        <w:t>Write-downs</w:t>
      </w:r>
      <w:r>
        <w:rPr>
          <w:sz w:val="20"/>
          <w:szCs w:val="20"/>
          <w:color w:val="auto"/>
        </w:rPr>
        <w:tab/>
      </w: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At 6/30/03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 ---------------- ---------------</w:t>
      </w:r>
    </w:p>
    <w:p>
      <w:pPr>
        <w:spacing w:after="0" w:line="7" w:lineRule="exact"/>
        <w:rPr>
          <w:sz w:val="20"/>
          <w:szCs w:val="20"/>
          <w:color w:val="auto"/>
        </w:rPr>
      </w:pPr>
    </w:p>
    <w:p>
      <w:pPr>
        <w:ind w:left="340"/>
        <w:spacing w:after="0"/>
        <w:tabs>
          <w:tab w:leader="none" w:pos="1780" w:val="left"/>
          <w:tab w:leader="none" w:pos="3340" w:val="left"/>
          <w:tab w:leader="none" w:pos="4800" w:val="left"/>
        </w:tabs>
        <w:rPr>
          <w:sz w:val="20"/>
          <w:szCs w:val="20"/>
          <w:color w:val="auto"/>
        </w:rPr>
      </w:pPr>
      <w:r>
        <w:rPr>
          <w:rFonts w:ascii="Courier New" w:cs="Courier New" w:eastAsia="Courier New" w:hAnsi="Courier New"/>
          <w:sz w:val="14"/>
          <w:szCs w:val="14"/>
          <w:color w:val="auto"/>
        </w:rPr>
        <w:t>$2,765</w:t>
      </w:r>
      <w:r>
        <w:rPr>
          <w:sz w:val="20"/>
          <w:szCs w:val="20"/>
          <w:color w:val="auto"/>
        </w:rPr>
        <w:tab/>
      </w:r>
      <w:r>
        <w:rPr>
          <w:rFonts w:ascii="Courier New" w:cs="Courier New" w:eastAsia="Courier New" w:hAnsi="Courier New"/>
          <w:sz w:val="14"/>
          <w:szCs w:val="14"/>
          <w:color w:val="auto"/>
        </w:rPr>
        <w:t>$2,765</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ind w:left="600"/>
        <w:spacing w:after="0"/>
        <w:tabs>
          <w:tab w:leader="none" w:pos="1960" w:val="left"/>
          <w:tab w:leader="none" w:pos="3500" w:val="left"/>
          <w:tab w:leader="none" w:pos="496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340"/>
        <w:spacing w:after="0"/>
        <w:tabs>
          <w:tab w:leader="none" w:pos="1780" w:val="left"/>
          <w:tab w:leader="none" w:pos="3340" w:val="left"/>
          <w:tab w:leader="none" w:pos="4800" w:val="left"/>
        </w:tabs>
        <w:rPr>
          <w:sz w:val="20"/>
          <w:szCs w:val="20"/>
          <w:color w:val="auto"/>
        </w:rPr>
      </w:pPr>
      <w:r>
        <w:rPr>
          <w:rFonts w:ascii="Courier New" w:cs="Courier New" w:eastAsia="Courier New" w:hAnsi="Courier New"/>
          <w:sz w:val="14"/>
          <w:szCs w:val="14"/>
          <w:color w:val="auto"/>
        </w:rPr>
        <w:t>$3,047</w:t>
      </w:r>
      <w:r>
        <w:rPr>
          <w:sz w:val="20"/>
          <w:szCs w:val="20"/>
          <w:color w:val="auto"/>
        </w:rPr>
        <w:tab/>
      </w:r>
      <w:r>
        <w:rPr>
          <w:rFonts w:ascii="Courier New" w:cs="Courier New" w:eastAsia="Courier New" w:hAnsi="Courier New"/>
          <w:sz w:val="14"/>
          <w:szCs w:val="14"/>
          <w:color w:val="auto"/>
        </w:rPr>
        <w:t>$2,765</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3"/>
          <w:szCs w:val="13"/>
          <w:color w:val="auto"/>
        </w:rPr>
        <w:t>$ 282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p>
      <w:pPr>
        <w:sectPr>
          <w:pgSz w:w="11900" w:h="16887" w:orient="portrait"/>
          <w:cols w:equalWidth="0" w:num="2">
            <w:col w:w="3000" w:space="720"/>
            <w:col w:w="6519"/>
          </w:cols>
          <w:pgMar w:left="220" w:top="141" w:right="1440" w:bottom="0" w:gutter="0" w:footer="0" w:header="0"/>
          <w:type w:val="continuous"/>
        </w:sectPr>
      </w:pPr>
    </w:p>
    <w:p>
      <w:pPr>
        <w:ind w:right="3339"/>
        <w:spacing w:after="0" w:line="251" w:lineRule="auto"/>
        <w:rPr>
          <w:sz w:val="20"/>
          <w:szCs w:val="20"/>
          <w:color w:val="auto"/>
        </w:rPr>
      </w:pPr>
      <w:r>
        <w:rPr>
          <w:rFonts w:ascii="Courier New" w:cs="Courier New" w:eastAsia="Courier New" w:hAnsi="Courier New"/>
          <w:sz w:val="14"/>
          <w:szCs w:val="14"/>
          <w:color w:val="auto"/>
        </w:rPr>
        <w:t>In September of 2001, we announced that we would close our Walterboro, South Carolina ball manufacturing facility as part of our ongoing strategy to locate manufacturing capacity in closer proximity to customers. The closure was substantially completed by December 31, 2001. Current plans are to sell the land and building. The plant closing resulted in the termination of approximately 80 full time hourly and salaried employees in 2001.</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Prior to December 31, 2001, production capacity and certain machinery and equipment were transferred from the Walterboro facility to our two domestic ball facilities in Erwin, Tennessee and Mountain City, Tennessee. We recorded restructuring costs of $62,000 for additional severance payments during the six months ended June 30, 2002. There were no restructuring costs recorded for the six months ended June 30, 2003.</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Our Euroball subsidiary incurred restructuring charges of $16,000 for the six months ended June 30, 2002 for additional severance payments as a result of the termination of 15 hourly employees and 3 salaried employees at its Italy production facility. Approximately $69,000 of the severance payments recorded</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during 2001 and 2002 were paid during the six months ended June 30, 2002 and there are no remaining accrued restructuring costs included in other current liabilities as of June 30, 2002 and June 30, 2003 related to Euroball.</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Note 9.</w:t>
        <w:tab/>
        <w:t>New Accounting Pronouncements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we had unamortized goodwill of approximately $36.6 million, which is subject to the provisions of Statement No. 142.</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As a result of adopting these new standards, our accounting policies for goodwill and other intangibles changed on January 1, 2002, as described below:</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Goodwill: We recognized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Acquired Intangibles: We recognize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We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32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 completed the transitional goodwill impairment reviews required by the new standards during the first six months of 2002 and the annually required goodwill impairment review during the fourth quarter of 2002. In performing the</w:t>
      </w:r>
    </w:p>
    <w:p>
      <w:pPr>
        <w:sectPr>
          <w:pgSz w:w="11900" w:h="16887" w:orient="portrait"/>
          <w:cols w:equalWidth="0" w:num="1">
            <w:col w:w="10239"/>
          </w:cols>
          <w:pgMar w:left="220" w:top="141" w:right="1440" w:bottom="0" w:gutter="0" w:footer="0" w:header="0"/>
          <w:type w:val="continuous"/>
        </w:sectPr>
      </w:pPr>
    </w:p>
    <w:bookmarkStart w:id="10" w:name="page11"/>
    <w:bookmarkEnd w:id="10"/>
    <w:p>
      <w:pPr>
        <w:spacing w:after="0" w:line="19" w:lineRule="exact"/>
        <w:rPr>
          <w:sz w:val="20"/>
          <w:szCs w:val="20"/>
          <w:color w:val="auto"/>
        </w:rPr>
      </w:pPr>
    </w:p>
    <w:p>
      <w:pPr>
        <w:ind w:right="3860"/>
        <w:spacing w:after="0" w:line="251" w:lineRule="auto"/>
        <w:rPr>
          <w:sz w:val="20"/>
          <w:szCs w:val="20"/>
          <w:color w:val="auto"/>
        </w:rPr>
      </w:pPr>
      <w:r>
        <w:rPr>
          <w:rFonts w:ascii="Courier New" w:cs="Courier New" w:eastAsia="Courier New" w:hAnsi="Courier New"/>
          <w:sz w:val="14"/>
          <w:szCs w:val="14"/>
          <w:color w:val="auto"/>
        </w:rPr>
        <w:t>impairment reviews, we estimated the fair values of the reporting units using a method that incorporates valuations derived from earnings before interest expense, taxes, depreciation and amortization ("EBITDA") multiples based upon market multiples and recent capital market transactions and also incorporates valuations determined by each segment's discounted future cash flows. As of January 1, 2002, the transition date and as of October 1, 2002, the most recent annual review date, there was no impairment to goodwill as the fair values exceeded the carrying values of the reporting units.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changes in the carrying amount of goodwill for the six month period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2003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b w:val="1"/>
                <w:bCs w:val="1"/>
                <w:color w:val="auto"/>
              </w:rPr>
              <w:t>In thousands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b w:val="1"/>
                <w:bCs w:val="1"/>
                <w:color w:val="auto"/>
              </w:rPr>
              <w:t>Plastic and</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b w:val="1"/>
                <w:bCs w:val="1"/>
                <w:color w:val="auto"/>
              </w:rPr>
              <w:t>(Restated)</w:t>
            </w:r>
          </w:p>
        </w:tc>
        <w:tc>
          <w:tcPr>
            <w:tcW w:w="146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b w:val="1"/>
                <w:bCs w:val="1"/>
                <w:color w:val="auto"/>
              </w:rPr>
              <w:t>Rubber Components</w:t>
            </w:r>
          </w:p>
        </w:tc>
        <w:tc>
          <w:tcPr>
            <w:tcW w:w="1380" w:type="dxa"/>
            <w:vAlign w:val="bottom"/>
          </w:tcPr>
          <w:p>
            <w:pPr>
              <w:jc w:val="center"/>
              <w:ind w:right="168"/>
              <w:spacing w:after="0"/>
              <w:rPr>
                <w:sz w:val="20"/>
                <w:szCs w:val="20"/>
                <w:color w:val="auto"/>
              </w:rPr>
            </w:pPr>
            <w:r>
              <w:rPr>
                <w:rFonts w:ascii="Courier New" w:cs="Courier New" w:eastAsia="Courier New" w:hAnsi="Courier New"/>
                <w:sz w:val="14"/>
                <w:szCs w:val="14"/>
                <w:b w:val="1"/>
                <w:bCs w:val="1"/>
                <w:color w:val="auto"/>
              </w:rPr>
              <w:t>NN Europe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b w:val="1"/>
                <w:bCs w:val="1"/>
                <w:color w:val="auto"/>
              </w:rPr>
              <w:t>(Restated)</w:t>
            </w:r>
          </w:p>
        </w:tc>
      </w:tr>
      <w:tr>
        <w:trPr>
          <w:trHeight w:val="166"/>
        </w:trPr>
        <w:tc>
          <w:tcPr>
            <w:tcW w:w="2940" w:type="dxa"/>
            <w:vAlign w:val="bottom"/>
          </w:tcPr>
          <w:p>
            <w:pPr>
              <w:spacing w:after="0"/>
              <w:rPr>
                <w:sz w:val="14"/>
                <w:szCs w:val="14"/>
                <w:color w:val="auto"/>
              </w:rPr>
            </w:pPr>
          </w:p>
        </w:tc>
        <w:tc>
          <w:tcPr>
            <w:tcW w:w="2320" w:type="dxa"/>
            <w:vAlign w:val="bottom"/>
          </w:tcPr>
          <w:p>
            <w:pPr>
              <w:jc w:val="right"/>
              <w:ind w:right="608"/>
              <w:spacing w:after="0"/>
              <w:rPr>
                <w:sz w:val="20"/>
                <w:szCs w:val="20"/>
                <w:color w:val="auto"/>
              </w:rPr>
            </w:pPr>
            <w:r>
              <w:rPr>
                <w:rFonts w:ascii="Courier New" w:cs="Courier New" w:eastAsia="Courier New" w:hAnsi="Courier New"/>
                <w:sz w:val="14"/>
                <w:szCs w:val="14"/>
                <w:b w:val="1"/>
                <w:bCs w:val="1"/>
                <w:color w:val="auto"/>
              </w:rPr>
              <w:t>Segment</w:t>
            </w: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b w:val="1"/>
                <w:bCs w:val="1"/>
                <w:color w:val="auto"/>
              </w:rPr>
              <w:t>Segment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b w:val="1"/>
                <w:bCs w:val="1"/>
                <w:color w:val="auto"/>
              </w:rPr>
              <w:t>Total</w:t>
            </w:r>
          </w:p>
        </w:tc>
      </w:tr>
      <w:tr>
        <w:trPr>
          <w:trHeight w:val="166"/>
        </w:trPr>
        <w:tc>
          <w:tcPr>
            <w:tcW w:w="2940" w:type="dxa"/>
            <w:vAlign w:val="bottom"/>
          </w:tcPr>
          <w:p>
            <w:pPr>
              <w:spacing w:after="0"/>
              <w:rPr>
                <w:sz w:val="14"/>
                <w:szCs w:val="14"/>
                <w:color w:val="auto"/>
              </w:rPr>
            </w:pPr>
          </w:p>
        </w:tc>
        <w:tc>
          <w:tcPr>
            <w:tcW w:w="5160" w:type="dxa"/>
            <w:vAlign w:val="bottom"/>
            <w:gridSpan w:val="3"/>
          </w:tcPr>
          <w:p>
            <w:pPr>
              <w:jc w:val="center"/>
              <w:ind w:left="528"/>
              <w:spacing w:after="0"/>
              <w:rPr>
                <w:sz w:val="20"/>
                <w:szCs w:val="20"/>
                <w:color w:val="auto"/>
              </w:rPr>
            </w:pPr>
            <w:r>
              <w:rPr>
                <w:rFonts w:ascii="Courier New" w:cs="Courier New" w:eastAsia="Courier New" w:hAnsi="Courier New"/>
                <w:sz w:val="14"/>
                <w:szCs w:val="14"/>
                <w:b w:val="1"/>
                <w:bCs w:val="1"/>
                <w:color w:val="auto"/>
              </w:rPr>
              <w:t>------------------- --------------- -----------------</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 as of January 1, 2003</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$26,712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$12,662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$39,374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Goodwill acquired</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13,875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13,875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Impairment losses</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Currency impacts</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w:t>
            </w:r>
          </w:p>
        </w:tc>
      </w:tr>
      <w:tr>
        <w:trPr>
          <w:trHeight w:val="166"/>
        </w:trPr>
        <w:tc>
          <w:tcPr>
            <w:tcW w:w="2940" w:type="dxa"/>
            <w:vAlign w:val="bottom"/>
          </w:tcPr>
          <w:p>
            <w:pPr>
              <w:spacing w:after="0"/>
              <w:rPr>
                <w:sz w:val="14"/>
                <w:szCs w:val="14"/>
                <w:color w:val="auto"/>
              </w:rPr>
            </w:pPr>
          </w:p>
        </w:tc>
        <w:tc>
          <w:tcPr>
            <w:tcW w:w="5160" w:type="dxa"/>
            <w:vAlign w:val="bottom"/>
            <w:gridSpan w:val="3"/>
          </w:tcPr>
          <w:p>
            <w:pPr>
              <w:jc w:val="center"/>
              <w:ind w:left="528"/>
              <w:spacing w:after="0"/>
              <w:rPr>
                <w:sz w:val="20"/>
                <w:szCs w:val="20"/>
                <w:color w:val="auto"/>
              </w:rPr>
            </w:pPr>
            <w:r>
              <w:rPr>
                <w:rFonts w:ascii="Courier New" w:cs="Courier New" w:eastAsia="Courier New" w:hAnsi="Courier New"/>
                <w:sz w:val="14"/>
                <w:szCs w:val="14"/>
                <w:color w:val="auto"/>
              </w:rPr>
              <w:t>------------------- --------------- -----------------</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 as of June 30, 2003</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$25,427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$27,226</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$52,653</w:t>
            </w:r>
          </w:p>
        </w:tc>
      </w:tr>
      <w:tr>
        <w:trPr>
          <w:trHeight w:val="166"/>
        </w:trPr>
        <w:tc>
          <w:tcPr>
            <w:tcW w:w="2940" w:type="dxa"/>
            <w:vAlign w:val="bottom"/>
          </w:tcPr>
          <w:p>
            <w:pPr>
              <w:spacing w:after="0"/>
              <w:rPr>
                <w:sz w:val="14"/>
                <w:szCs w:val="14"/>
                <w:color w:val="auto"/>
              </w:rPr>
            </w:pPr>
          </w:p>
        </w:tc>
        <w:tc>
          <w:tcPr>
            <w:tcW w:w="5160" w:type="dxa"/>
            <w:vAlign w:val="bottom"/>
            <w:gridSpan w:val="3"/>
          </w:tcPr>
          <w:p>
            <w:pPr>
              <w:jc w:val="center"/>
              <w:ind w:left="528"/>
              <w:spacing w:after="0"/>
              <w:rPr>
                <w:sz w:val="20"/>
                <w:szCs w:val="20"/>
                <w:color w:val="auto"/>
              </w:rPr>
            </w:pPr>
            <w:r>
              <w:rPr>
                <w:rFonts w:ascii="Courier New" w:cs="Courier New" w:eastAsia="Courier New" w:hAnsi="Courier New"/>
                <w:sz w:val="14"/>
                <w:szCs w:val="14"/>
                <w:color w:val="auto"/>
              </w:rPr>
              <w:t>=================== =============== =================</w:t>
            </w:r>
          </w:p>
        </w:tc>
      </w:tr>
      <w:tr>
        <w:trPr>
          <w:trHeight w:val="663"/>
        </w:trPr>
        <w:tc>
          <w:tcPr>
            <w:tcW w:w="2940" w:type="dxa"/>
            <w:vAlign w:val="bottom"/>
          </w:tcPr>
          <w:p>
            <w:pPr>
              <w:spacing w:after="0"/>
              <w:rPr>
                <w:sz w:val="24"/>
                <w:szCs w:val="24"/>
                <w:color w:val="auto"/>
              </w:rPr>
            </w:pPr>
          </w:p>
        </w:tc>
        <w:tc>
          <w:tcPr>
            <w:tcW w:w="23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15</w:t>
            </w: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9678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We adopted SFAS No. 143 on January 1, 2003 and this adoption did not have a material impact on the financial statements.</w:t>
      </w:r>
    </w:p>
    <w:p>
      <w:pPr>
        <w:spacing w:after="0" w:line="330"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In April 2002, the FASB issued SFAS No. 145, "Rescission of FASB Statements No. 4, 44, and 64, Amendment of FASB Statement No. 13, and Technical Corrections". SFAS No. 4 had required all gains and losses from extinguishment of debt to be aggregated and, if material, classified as an extraordinary item, net of related income tax effect. SFAS No. 145 rescinds SFAS No. 4 and the related required classifications gains and losses form extinguishment of debt as extraordinary items. Additionally, the SFAS No. 145 amends SFAS No. 13 to require that certain lease modifications that have economic effects similar to sale-leaseback transactions be accounted for in the same manner as sale-leaseback transactions. SFAS No. 145 is applicable for us at the beginning of fiscal year 2003, with the provisions related to SFAS No. 13 for transactions occurring after May 15, 2002. We adopted SFAS No. 145 effective January 1, 2003 and this adoption did not have a material impact on the financial statements.</w:t>
      </w:r>
    </w:p>
    <w:p>
      <w:pPr>
        <w:spacing w:after="0" w:line="163" w:lineRule="exact"/>
        <w:rPr>
          <w:sz w:val="20"/>
          <w:szCs w:val="20"/>
          <w:color w:val="auto"/>
        </w:rPr>
      </w:pPr>
    </w:p>
    <w:p>
      <w:pPr>
        <w:ind w:right="3860"/>
        <w:spacing w:after="0" w:line="252" w:lineRule="auto"/>
        <w:rPr>
          <w:sz w:val="20"/>
          <w:szCs w:val="20"/>
          <w:color w:val="auto"/>
        </w:rPr>
      </w:pPr>
      <w:r>
        <w:rPr>
          <w:rFonts w:ascii="Courier New" w:cs="Courier New" w:eastAsia="Courier New" w:hAnsi="Courier New"/>
          <w:sz w:val="14"/>
          <w:szCs w:val="14"/>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w:t>
      </w:r>
    </w:p>
    <w:p>
      <w:pPr>
        <w:spacing w:after="0" w:line="200" w:lineRule="exact"/>
        <w:rPr>
          <w:sz w:val="20"/>
          <w:szCs w:val="20"/>
          <w:color w:val="auto"/>
        </w:rPr>
      </w:pPr>
    </w:p>
    <w:p>
      <w:pPr>
        <w:spacing w:after="0" w:line="292" w:lineRule="exact"/>
        <w:rPr>
          <w:sz w:val="20"/>
          <w:szCs w:val="20"/>
          <w:color w:val="auto"/>
        </w:rPr>
      </w:pPr>
    </w:p>
    <w:p>
      <w:pPr>
        <w:ind w:right="3780"/>
        <w:spacing w:after="0" w:line="250" w:lineRule="auto"/>
        <w:rPr>
          <w:sz w:val="20"/>
          <w:szCs w:val="20"/>
          <w:color w:val="auto"/>
        </w:rPr>
      </w:pPr>
      <w:r>
        <w:rPr>
          <w:rFonts w:ascii="Courier New" w:cs="Courier New" w:eastAsia="Courier New" w:hAnsi="Courier New"/>
          <w:sz w:val="14"/>
          <w:szCs w:val="14"/>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In addition, SFAS No. 148, which was effective for the year ending December 31, 2002, amends the disclosures in both annual and interim financial statements about the method of accounting for stock-based employee compensation and the effect of the method used on reported results. We have adopted the provisions of SFAS 123, which encourages but does not require a fair value based method of accounting for stock compensation plans. We have elected to continue accounting for its stock compensation plan using the intrinsic value based method under Auditing Practices Board ("APB") Opinion No. 25 and, accordingly, has not recorded compensation expense for each of the three and six month periods ended June 30, 2003 and June 30, 2002,. Had compensation cost for our stock compensation plan been determined based on the fair value at the option grant dates, our net income and earnings per share would have been reduced to the proforma amounts indicated below:</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b w:val="1"/>
                <w:bCs w:val="1"/>
                <w:color w:val="auto"/>
              </w:rPr>
              <w:t>In Thousands, Except per Shared Data</w:t>
            </w: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b w:val="1"/>
                <w:bCs w:val="1"/>
                <w:color w:val="auto"/>
              </w:rPr>
              <w:t>- ------------------------------------</w:t>
            </w:r>
          </w:p>
        </w:tc>
        <w:tc>
          <w:tcPr>
            <w:tcW w:w="2740" w:type="dxa"/>
            <w:vAlign w:val="bottom"/>
            <w:gridSpan w:val="2"/>
          </w:tcPr>
          <w:p>
            <w:pPr>
              <w:jc w:val="right"/>
              <w:ind w:right="388"/>
              <w:spacing w:after="0"/>
              <w:rPr>
                <w:sz w:val="20"/>
                <w:szCs w:val="20"/>
                <w:color w:val="auto"/>
              </w:rPr>
            </w:pPr>
            <w:r>
              <w:rPr>
                <w:rFonts w:ascii="Courier New" w:cs="Courier New" w:eastAsia="Courier New" w:hAnsi="Courier New"/>
                <w:sz w:val="14"/>
                <w:szCs w:val="14"/>
                <w:b w:val="1"/>
                <w:bCs w:val="1"/>
                <w:color w:val="auto"/>
              </w:rPr>
              <w:t>Three months ended</w:t>
            </w:r>
          </w:p>
        </w:tc>
        <w:tc>
          <w:tcPr>
            <w:tcW w:w="2280" w:type="dxa"/>
            <w:vAlign w:val="bottom"/>
            <w:gridSpan w:val="2"/>
          </w:tcPr>
          <w:p>
            <w:pPr>
              <w:jc w:val="right"/>
              <w:ind w:right="268"/>
              <w:spacing w:after="0"/>
              <w:rPr>
                <w:sz w:val="20"/>
                <w:szCs w:val="20"/>
                <w:color w:val="auto"/>
              </w:rPr>
            </w:pPr>
            <w:r>
              <w:rPr>
                <w:rFonts w:ascii="Courier New" w:cs="Courier New" w:eastAsia="Courier New" w:hAnsi="Courier New"/>
                <w:sz w:val="14"/>
                <w:szCs w:val="14"/>
                <w:b w:val="1"/>
                <w:bCs w:val="1"/>
                <w:color w:val="auto"/>
              </w:rPr>
              <w:t>Six months ended</w:t>
            </w:r>
          </w:p>
        </w:tc>
      </w:tr>
      <w:tr>
        <w:trPr>
          <w:trHeight w:val="166"/>
        </w:trPr>
        <w:tc>
          <w:tcPr>
            <w:tcW w:w="5660" w:type="dxa"/>
            <w:vAlign w:val="bottom"/>
          </w:tcPr>
          <w:p>
            <w:pPr>
              <w:spacing w:after="0"/>
              <w:rPr>
                <w:sz w:val="14"/>
                <w:szCs w:val="14"/>
                <w:color w:val="auto"/>
              </w:rPr>
            </w:pP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b w:val="1"/>
                <w:bCs w:val="1"/>
                <w:color w:val="auto"/>
              </w:rPr>
              <w:t>June 30,</w:t>
            </w:r>
          </w:p>
        </w:tc>
        <w:tc>
          <w:tcPr>
            <w:tcW w:w="9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June 30,</w:t>
            </w:r>
          </w:p>
        </w:tc>
        <w:tc>
          <w:tcPr>
            <w:tcW w:w="800" w:type="dxa"/>
            <w:vAlign w:val="bottom"/>
          </w:tcPr>
          <w:p>
            <w:pPr>
              <w:spacing w:after="0"/>
              <w:rPr>
                <w:sz w:val="14"/>
                <w:szCs w:val="14"/>
                <w:color w:val="auto"/>
              </w:rPr>
            </w:pPr>
          </w:p>
        </w:tc>
      </w:tr>
      <w:tr>
        <w:trPr>
          <w:trHeight w:val="166"/>
        </w:trPr>
        <w:tc>
          <w:tcPr>
            <w:tcW w:w="5660" w:type="dxa"/>
            <w:vAlign w:val="bottom"/>
          </w:tcPr>
          <w:p>
            <w:pPr>
              <w:spacing w:after="0"/>
              <w:rPr>
                <w:sz w:val="14"/>
                <w:szCs w:val="14"/>
                <w:color w:val="auto"/>
              </w:rPr>
            </w:pP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b w:val="1"/>
                <w:bCs w:val="1"/>
                <w:color w:val="auto"/>
              </w:rPr>
              <w:t>Restated</w:t>
            </w:r>
          </w:p>
        </w:tc>
        <w:tc>
          <w:tcPr>
            <w:tcW w:w="90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b w:val="1"/>
                <w:bCs w:val="1"/>
                <w:color w:val="auto"/>
              </w:rPr>
              <w:t>Restated</w:t>
            </w:r>
          </w:p>
        </w:tc>
        <w:tc>
          <w:tcPr>
            <w:tcW w:w="800" w:type="dxa"/>
            <w:vAlign w:val="bottom"/>
          </w:tcPr>
          <w:p>
            <w:pPr>
              <w:spacing w:after="0"/>
              <w:rPr>
                <w:sz w:val="14"/>
                <w:szCs w:val="14"/>
                <w:color w:val="auto"/>
              </w:rPr>
            </w:pPr>
          </w:p>
        </w:tc>
      </w:tr>
      <w:tr>
        <w:trPr>
          <w:trHeight w:val="166"/>
        </w:trPr>
        <w:tc>
          <w:tcPr>
            <w:tcW w:w="5660" w:type="dxa"/>
            <w:vAlign w:val="bottom"/>
          </w:tcPr>
          <w:p>
            <w:pPr>
              <w:spacing w:after="0"/>
              <w:rPr>
                <w:sz w:val="14"/>
                <w:szCs w:val="14"/>
                <w:color w:val="auto"/>
              </w:rPr>
            </w:pP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b w:val="1"/>
                <w:bCs w:val="1"/>
                <w:color w:val="auto"/>
              </w:rPr>
              <w:t>2003</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b w:val="1"/>
                <w:bCs w:val="1"/>
                <w:color w:val="auto"/>
              </w:rPr>
              <w:t>2002</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b w:val="1"/>
                <w:bCs w:val="1"/>
                <w:color w:val="auto"/>
              </w:rPr>
              <w:t>2003</w:t>
            </w:r>
          </w:p>
        </w:tc>
        <w:tc>
          <w:tcPr>
            <w:tcW w:w="800" w:type="dxa"/>
            <w:vAlign w:val="bottom"/>
          </w:tcPr>
          <w:p>
            <w:pPr>
              <w:jc w:val="right"/>
              <w:ind w:right="348"/>
              <w:spacing w:after="0"/>
              <w:rPr>
                <w:sz w:val="20"/>
                <w:szCs w:val="20"/>
                <w:color w:val="auto"/>
              </w:rPr>
            </w:pPr>
            <w:r>
              <w:rPr>
                <w:rFonts w:ascii="Courier New" w:cs="Courier New" w:eastAsia="Courier New" w:hAnsi="Courier New"/>
                <w:sz w:val="14"/>
                <w:szCs w:val="14"/>
                <w:b w:val="1"/>
                <w:bCs w:val="1"/>
                <w:color w:val="auto"/>
              </w:rPr>
              <w:t>2002</w:t>
            </w:r>
          </w:p>
        </w:tc>
      </w:tr>
      <w:tr>
        <w:trPr>
          <w:trHeight w:val="166"/>
        </w:trPr>
        <w:tc>
          <w:tcPr>
            <w:tcW w:w="5660" w:type="dxa"/>
            <w:vAlign w:val="bottom"/>
          </w:tcPr>
          <w:p>
            <w:pPr>
              <w:spacing w:after="0"/>
              <w:rPr>
                <w:sz w:val="14"/>
                <w:szCs w:val="14"/>
                <w:color w:val="auto"/>
              </w:rPr>
            </w:pPr>
          </w:p>
        </w:tc>
        <w:tc>
          <w:tcPr>
            <w:tcW w:w="5020" w:type="dxa"/>
            <w:vAlign w:val="bottom"/>
            <w:gridSpan w:val="4"/>
          </w:tcPr>
          <w:p>
            <w:pPr>
              <w:jc w:val="right"/>
              <w:spacing w:after="0"/>
              <w:rPr>
                <w:sz w:val="20"/>
                <w:szCs w:val="20"/>
                <w:color w:val="auto"/>
              </w:rPr>
            </w:pPr>
            <w:r>
              <w:rPr>
                <w:rFonts w:ascii="Courier New" w:cs="Courier New" w:eastAsia="Courier New" w:hAnsi="Courier New"/>
                <w:sz w:val="14"/>
                <w:szCs w:val="14"/>
                <w:b w:val="1"/>
                <w:bCs w:val="1"/>
                <w:color w:val="auto"/>
              </w:rPr>
              <w:t>---------------- ------------- ------------ -------------</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Net income - as reported</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$ 697</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$2,408</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$4,340</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$4,258</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Stock based compensation costs, net of income tax, included in</w:t>
            </w: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660" w:type="dxa"/>
            <w:vAlign w:val="bottom"/>
          </w:tcPr>
          <w:p>
            <w:pPr>
              <w:ind w:left="260"/>
              <w:spacing w:after="0"/>
              <w:rPr>
                <w:sz w:val="20"/>
                <w:szCs w:val="20"/>
                <w:color w:val="auto"/>
              </w:rPr>
            </w:pPr>
            <w:r>
              <w:rPr>
                <w:rFonts w:ascii="Courier New" w:cs="Courier New" w:eastAsia="Courier New" w:hAnsi="Courier New"/>
                <w:sz w:val="14"/>
                <w:szCs w:val="14"/>
                <w:color w:val="auto"/>
              </w:rPr>
              <w:t>net income as reported</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Stock based compensation costs, net of income tax, that would</w:t>
            </w: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660" w:type="dxa"/>
            <w:vAlign w:val="bottom"/>
          </w:tcPr>
          <w:p>
            <w:pPr>
              <w:ind w:left="260"/>
              <w:spacing w:after="0"/>
              <w:rPr>
                <w:sz w:val="20"/>
                <w:szCs w:val="20"/>
                <w:color w:val="auto"/>
              </w:rPr>
            </w:pPr>
            <w:r>
              <w:rPr>
                <w:rFonts w:ascii="Courier New" w:cs="Courier New" w:eastAsia="Courier New" w:hAnsi="Courier New"/>
                <w:sz w:val="14"/>
                <w:szCs w:val="14"/>
                <w:color w:val="auto"/>
              </w:rPr>
              <w:t>have been included in net income if the fair value method had</w:t>
            </w: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660" w:type="dxa"/>
            <w:vAlign w:val="bottom"/>
          </w:tcPr>
          <w:p>
            <w:pPr>
              <w:ind w:left="260"/>
              <w:spacing w:after="0"/>
              <w:rPr>
                <w:sz w:val="20"/>
                <w:szCs w:val="20"/>
                <w:color w:val="auto"/>
              </w:rPr>
            </w:pPr>
            <w:r>
              <w:rPr>
                <w:rFonts w:ascii="Courier New" w:cs="Courier New" w:eastAsia="Courier New" w:hAnsi="Courier New"/>
                <w:sz w:val="14"/>
                <w:szCs w:val="14"/>
                <w:color w:val="auto"/>
              </w:rPr>
              <w:t>been applied</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5660" w:type="dxa"/>
            <w:vAlign w:val="bottom"/>
          </w:tcPr>
          <w:p>
            <w:pPr>
              <w:spacing w:after="0"/>
              <w:rPr>
                <w:sz w:val="14"/>
                <w:szCs w:val="14"/>
                <w:color w:val="auto"/>
              </w:rPr>
            </w:pPr>
          </w:p>
        </w:tc>
        <w:tc>
          <w:tcPr>
            <w:tcW w:w="5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 -------------</w:t>
            </w:r>
          </w:p>
        </w:tc>
      </w:tr>
    </w:tbl>
    <w:p>
      <w:pPr>
        <w:sectPr>
          <w:pgSz w:w="11900" w:h="16858" w:orient="portrait"/>
          <w:cols w:equalWidth="0" w:num="1">
            <w:col w:w="10680"/>
          </w:cols>
          <w:pgMar w:left="220" w:top="141" w:right="999" w:bottom="0" w:gutter="0" w:footer="0" w:header="0"/>
        </w:sectPr>
      </w:pPr>
    </w:p>
    <w:bookmarkStart w:id="11" w:name="page12"/>
    <w:bookmarkEnd w:id="11"/>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Net income - proforma</w:t>
            </w: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$ 902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2,574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4,543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4,346</w:t>
            </w:r>
          </w:p>
        </w:tc>
      </w:tr>
      <w:tr>
        <w:trPr>
          <w:trHeight w:val="166"/>
        </w:trPr>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 per share - as reported</w:t>
            </w:r>
          </w:p>
        </w:tc>
        <w:tc>
          <w:tcPr>
            <w:tcW w:w="2340" w:type="dxa"/>
            <w:vAlign w:val="bottom"/>
          </w:tcPr>
          <w:p>
            <w:pPr>
              <w:spacing w:after="0"/>
              <w:rPr>
                <w:sz w:val="24"/>
                <w:szCs w:val="2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$ 0.04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Stock based compensation costs, net of</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income tax, included in</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net income as reported</w:t>
            </w: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0.01</w:t>
            </w:r>
          </w:p>
        </w:tc>
        <w:tc>
          <w:tcPr>
            <w:tcW w:w="1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0.02</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4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Stock based compensation costs, net of</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income tax, that would</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have been included in net income if</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the fair value method had</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been applied</w:t>
            </w: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 per share - proforma</w:t>
            </w:r>
          </w:p>
        </w:tc>
        <w:tc>
          <w:tcPr>
            <w:tcW w:w="2340" w:type="dxa"/>
            <w:vAlign w:val="bottom"/>
          </w:tcPr>
          <w:p>
            <w:pPr>
              <w:spacing w:after="0"/>
              <w:rPr>
                <w:sz w:val="14"/>
                <w:szCs w:val="1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$ 0.05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 - assuming dilution</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 as reported</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$ 0.04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0.27</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Stock based compensation costs, net of</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income tax, included in</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net income as reported</w:t>
            </w: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0.01</w:t>
            </w:r>
          </w:p>
        </w:tc>
        <w:tc>
          <w:tcPr>
            <w:tcW w:w="1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0.01</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4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Stock based compensation costs, net of</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income tax, that would</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have been included in net income if</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the fair value method had</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been applied</w:t>
            </w: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 - assuming dilution</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 proforma</w:t>
            </w: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$ 0.05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497"/>
        </w:trPr>
        <w:tc>
          <w:tcPr>
            <w:tcW w:w="7680" w:type="dxa"/>
            <w:vAlign w:val="bottom"/>
            <w:gridSpan w:val="4"/>
          </w:tcPr>
          <w:p>
            <w:pPr>
              <w:spacing w:after="0"/>
              <w:rPr>
                <w:sz w:val="20"/>
                <w:szCs w:val="20"/>
                <w:color w:val="auto"/>
              </w:rPr>
            </w:pPr>
            <w:r>
              <w:rPr>
                <w:rFonts w:ascii="Courier New" w:cs="Courier New" w:eastAsia="Courier New" w:hAnsi="Courier New"/>
                <w:sz w:val="14"/>
                <w:szCs w:val="14"/>
                <w:color w:val="auto"/>
              </w:rPr>
              <w:t>The fair value of each option grant was estimated based on actual information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7680" w:type="dxa"/>
            <w:vAlign w:val="bottom"/>
            <w:gridSpan w:val="4"/>
          </w:tcPr>
          <w:p>
            <w:pPr>
              <w:spacing w:after="0"/>
              <w:rPr>
                <w:sz w:val="20"/>
                <w:szCs w:val="20"/>
                <w:color w:val="auto"/>
              </w:rPr>
            </w:pPr>
            <w:r>
              <w:rPr>
                <w:rFonts w:ascii="Courier New" w:cs="Courier New" w:eastAsia="Courier New" w:hAnsi="Courier New"/>
                <w:sz w:val="14"/>
                <w:szCs w:val="14"/>
                <w:color w:val="auto"/>
              </w:rPr>
              <w:t>available through June 30, 2003 and 2002 using the Black Scholes option-pricing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model with the following assumptions:</w:t>
            </w:r>
          </w:p>
        </w:tc>
        <w:tc>
          <w:tcPr>
            <w:tcW w:w="2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32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Vesting period</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Risk free interest rate</w:t>
            </w:r>
          </w:p>
        </w:tc>
        <w:tc>
          <w:tcPr>
            <w:tcW w:w="52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3.28% and 3.28% at June 30,2003 and 2002, respectively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52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2.53% and 2.50% at June 30, 2003 and 2002, respectively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Volatility</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50.11%</w:t>
            </w:r>
          </w:p>
        </w:tc>
        <w:tc>
          <w:tcPr>
            <w:tcW w:w="4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40.2% at June 30, 2003 and 2002, respectively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170"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and are not expected to have a material effect on the Company's consolidated results of operations, financial position or cash flows.</w:t>
      </w:r>
    </w:p>
    <w:p>
      <w:pPr>
        <w:spacing w:after="0" w:line="163"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In April, 2003, the FASB issued SFAS No. 149, "Derivative Instruments and Hedging Activities". SFAS No. 149 amends and clarifies financial accounting and reporting for derivative instruments, including certain derivative instruments embedded in other contracts and for hedging activities under SFAS No. 133, "Accounting for Derivative Instruments and Hedging Activities". SFAS No. 149 requires that contracts with comparable characteristics by accounted for similarly and is effective for contracts entered into or modified after June 30, 2003 and for hedging relationships designated after June 30, 2003.</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860"/>
        <w:spacing w:after="0" w:line="251" w:lineRule="auto"/>
        <w:rPr>
          <w:sz w:val="20"/>
          <w:szCs w:val="20"/>
          <w:color w:val="auto"/>
        </w:rPr>
      </w:pPr>
      <w:r>
        <w:rPr>
          <w:rFonts w:ascii="Courier New" w:cs="Courier New" w:eastAsia="Courier New" w:hAnsi="Courier New"/>
          <w:sz w:val="14"/>
          <w:szCs w:val="14"/>
          <w:color w:val="auto"/>
        </w:rPr>
        <w:t>In May, 2003, the FASB issued SFAS No. 150, "Accounting for Certain Financial Instruments with Characteristics of both Liabilities and Equity". SFAS No. 150 establishes standards for how an issuer classifies and measures certain financial instruments with characteristics of both liabilities and equity. SFAS No. 150 is effective for financial instruments entered into or modified after May 31, 2003, and otherwise is effective at the beginning of the first interim period beginning after June 15, 2003. The Company adopted SFAS No. 150 on July 1, 2003 and this adoption did not have a material impact on the financial statements.</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b w:val="1"/>
          <w:bCs w:val="1"/>
          <w:color w:val="auto"/>
        </w:rPr>
        <w:t>Note 10.</w:t>
      </w:r>
      <w:r>
        <w:rPr>
          <w:sz w:val="20"/>
          <w:szCs w:val="20"/>
          <w:color w:val="auto"/>
        </w:rPr>
        <w:tab/>
      </w:r>
      <w:r>
        <w:rPr>
          <w:rFonts w:ascii="Courier New" w:cs="Courier New" w:eastAsia="Courier New" w:hAnsi="Courier New"/>
          <w:sz w:val="14"/>
          <w:szCs w:val="14"/>
          <w:b w:val="1"/>
          <w:bCs w:val="1"/>
          <w:color w:val="auto"/>
        </w:rPr>
        <w:t>Long-Term Debt</w:t>
      </w:r>
    </w:p>
    <w:p>
      <w:pPr>
        <w:spacing w:after="0" w:line="173" w:lineRule="exact"/>
        <w:rPr>
          <w:sz w:val="20"/>
          <w:szCs w:val="20"/>
          <w:color w:val="auto"/>
        </w:rPr>
      </w:pPr>
    </w:p>
    <w:p>
      <w:pPr>
        <w:ind w:right="3780"/>
        <w:spacing w:after="0" w:line="250"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Hypo Vereinsbank Luxembourg, S.A. The credit facility consists of a $30.0 million revolver expiring on March 1, 2005, bearing interest at a floating rate equal to LIBOR (1.12% at June 30, 2003) plus an applicable margin of 1.25 to 2.0, a $30.4 million term loan expiring on May 1, 2008, bearing interest at a floating rate equal to LIBOR (1.12% at June 30, 2003) plus an applicable margin of 1.25 to 2.0 and a 26.3 million ($29.6 million) Euros term loan expiring on May 1, 2008 which bears interest at a floating rate equal to Euro LIBOR (2.14% at June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June 30, 2003. In connection with this refinancing, capitalized costs in the amount of $455,000 associated with the paid-off credit facilities were written-off and are included as a component of Other (income) expense.</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b w:val="1"/>
          <w:bCs w:val="1"/>
          <w:color w:val="auto"/>
        </w:rPr>
        <w:t>Note 11.</w:t>
      </w:r>
      <w:r>
        <w:rPr>
          <w:sz w:val="20"/>
          <w:szCs w:val="20"/>
          <w:color w:val="auto"/>
        </w:rPr>
        <w:tab/>
      </w:r>
      <w:r>
        <w:rPr>
          <w:rFonts w:ascii="Courier New" w:cs="Courier New" w:eastAsia="Courier New" w:hAnsi="Courier New"/>
          <w:sz w:val="14"/>
          <w:szCs w:val="14"/>
          <w:b w:val="1"/>
          <w:bCs w:val="1"/>
          <w:color w:val="auto"/>
        </w:rPr>
        <w:t>Sale of Common Stock</w:t>
      </w:r>
    </w:p>
    <w:p>
      <w:pPr>
        <w:sectPr>
          <w:pgSz w:w="11900" w:h="16877" w:orient="portrait"/>
          <w:cols w:equalWidth="0" w:num="1">
            <w:col w:w="10680"/>
          </w:cols>
          <w:pgMar w:left="220" w:top="141" w:right="999" w:bottom="0" w:gutter="0" w:footer="0" w:header="0"/>
        </w:sectPr>
      </w:pPr>
    </w:p>
    <w:bookmarkStart w:id="12" w:name="page13"/>
    <w:bookmarkEnd w:id="12"/>
    <w:p>
      <w:pPr>
        <w:spacing w:after="0" w:line="2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which were offered by us. Net proceeds received by us in connection with the exercise of the over-allotment option were approximately $5.1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b w:val="1"/>
          <w:bCs w:val="1"/>
          <w:color w:val="auto"/>
        </w:rPr>
        <w:t>MANAGEMENT'S DISCUSSION AND ANALYSIS OF</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b w:val="1"/>
          <w:bCs w:val="1"/>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Restatement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restated its Consolidated Financial Statements for the three and six month periods ended June 30, 2003 and 2002 solely to amend the financial reporting of certain transactions related to the formation of Euroball on July 31, 2000 and the subsequent purchases of the minority interests held by INA/FAG and SKF on December 20, 2002 and May 2, 2003, respectively. These restatements had no material effect on the Company's reported net sales, gross profit, income from operations, or cash flows for the three and six month periods ended June 30, 2003 and June 30, 2002.</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revised the valuation of the original purchase price associated with the formation of Euroball in July 2000. This revision resulted in a reduction of goodwill of approximately 4.1 million Euro ($3.8 million). Further, we have increased stockholders' equity by approximately 10.0 million Euro ($9.3 million) to reflect the amount by which the Company's proportionate interest in Euroball exceeded the book value of the net assets exchanged by the Company. As a result of these two adjustments, minority interest in consolidated subsidiaries has been reduced by approximately $7.4 million at December 31, 2002, goodwill has been reduced $4.7 million and $4.3 million at June 30, 2003 and December 31, 2002, respectively, and paid-in-capital increased $9.3 million June 30, 2003 and December 31, 2002, respectively, from amounts previously reported. Comprehensive income has also been restated for foreign currency translation effects of these adjustments.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previously issued December 31, 2002 and June 30, 2003 Consolidated Financial Statements, when the Company acquired the 23% interest in Euroball held by INA/FAG in December 2002 and the 23% interest in Euroball held by SKF in May 2003, the excess of minority interest in consolidated subsidiaries in Euroball over the purchase price was recorded as a non-taxable gain in the amount of approximately $5.9 million and $6.6 million, respectively. As restated in the accompanying Consolidated Financial Statements, the non-taxable gains have been excluded and the excess of the purchase price over the fair value of INA/FAG's 23% interest and SKF's 23% interest in the net assets of Euroball was allocated to goodwill. The resulting impact to the Consolidated Financial Statements is an increase to goodwill of approximately $1.5 million and $3.7 million, a decrease in retained earnings of approximately $5.9 million and $12.5 million as of December 31, 2002 and June 30, 2003, respectively, and reversal of the $6.6 million gain previously recorded in the Consolidated Financial Statements of Income and Comprehensive Income for the three and six months ended June 30, 2003.</w:t>
      </w:r>
    </w:p>
    <w:p>
      <w:pPr>
        <w:spacing w:after="0" w:line="328" w:lineRule="exact"/>
        <w:rPr>
          <w:sz w:val="20"/>
          <w:szCs w:val="20"/>
          <w:color w:val="auto"/>
        </w:rPr>
      </w:pPr>
    </w:p>
    <w:p>
      <w:pPr>
        <w:ind w:right="3599"/>
        <w:spacing w:after="0" w:line="253" w:lineRule="auto"/>
        <w:rPr>
          <w:sz w:val="20"/>
          <w:szCs w:val="20"/>
          <w:color w:val="auto"/>
        </w:rPr>
      </w:pPr>
      <w:r>
        <w:rPr>
          <w:rFonts w:ascii="Courier New" w:cs="Courier New" w:eastAsia="Courier New" w:hAnsi="Courier New"/>
          <w:sz w:val="14"/>
          <w:szCs w:val="14"/>
          <w:color w:val="auto"/>
        </w:rPr>
        <w:t>Additionally, the Company has reclassified minority interest in consolidated subsidiaries from a component of total liabilities to a separate line item in the Condensed Consolidated Balance Sheets at December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Results of Operations (Restated)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Three Months Ended June 30, 2003 Compared to the Three Months Ended June 30, 2002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i w:val="1"/>
          <w:iCs w:val="1"/>
          <w:color w:val="auto"/>
        </w:rPr>
        <w:t xml:space="preserve">Net Sales. </w:t>
      </w:r>
      <w:r>
        <w:rPr>
          <w:rFonts w:ascii="Courier New" w:cs="Courier New" w:eastAsia="Courier New" w:hAnsi="Courier New"/>
          <w:sz w:val="14"/>
          <w:szCs w:val="14"/>
          <w:color w:val="auto"/>
        </w:rPr>
        <w:t>Net sales increased by approximately $15.0 million or 30.5% from</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$49.2 million for the second quarter of 2002 to $64.2 million for the second quarter of 2003. By segment, sales increased $0.2 million, and $15.0 million for the Domestic Ball and Roller Segment and the NN Europe Segment, respectively. Net sales for the Plastic and Rubber Components Segment decreased by $0.2 million. Within the NN Europe Segment, $9.3 million of the increase is related to our May 2, 2003 acquisition of Veenendaal and the inclusion of two months of its operations. The remaining $5.4 million of the increase is related to the impact of currency exchange rates. Net sales decreased by $0.2 million for the Plastic and Rubber Components Segment.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i w:val="1"/>
          <w:iCs w:val="1"/>
          <w:color w:val="auto"/>
        </w:rPr>
        <w:t xml:space="preserve">Gross Profit. </w:t>
      </w:r>
      <w:r>
        <w:rPr>
          <w:rFonts w:ascii="Courier New" w:cs="Courier New" w:eastAsia="Courier New" w:hAnsi="Courier New"/>
          <w:sz w:val="14"/>
          <w:szCs w:val="14"/>
          <w:color w:val="auto"/>
        </w:rPr>
        <w:t>Gross profit increased by $1.4 million or 10.9% from $13.0 million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for the second quarter of 2002 to $14.5 million for the second quarter of 2003. By segment, gross profit increased $2.6 million for the NN Europe Segment. Within the NN Europe Segment, $1.4 million of the increase is related to the two months of Veenendaal results included in our results due to the May 2, 2003 acquisition and $1.3 million is related to currency impacts. Gross profit decreased by $0.4 million and $0.8 million for the Domestic Ball and Roller Segment and the Plastic and Rubber Components Segment, respectively. Within the Domestic Ball and Roller Segment, the decrease resulted principally from labor inefficiencies associated with implementing lean manufacturing techniques..</w:t>
      </w:r>
    </w:p>
    <w:p>
      <w:pPr>
        <w:sectPr>
          <w:pgSz w:w="11900" w:h="16864" w:orient="portrait"/>
          <w:cols w:equalWidth="0" w:num="1">
            <w:col w:w="10239"/>
          </w:cols>
          <w:pgMar w:left="220" w:top="307" w:right="1440" w:bottom="0" w:gutter="0" w:footer="0" w:header="0"/>
        </w:sectPr>
      </w:pPr>
    </w:p>
    <w:bookmarkStart w:id="13" w:name="page14"/>
    <w:bookmarkEnd w:id="13"/>
    <w:p>
      <w:pPr>
        <w:spacing w:after="0" w:line="4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Within the Plastic and Rubber Components Segment, $0.3 million of the decrease is related to an impairment charge on the inventory of our Guadalajara, Mexico facility and decreased demand. As a percentage of net sales, gross profit decreased from 26.5% for the second quarter of 2002 to 22.6% for the second quarter of 2003.</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i w:val="1"/>
          <w:iCs w:val="1"/>
          <w:color w:val="auto"/>
        </w:rPr>
        <w:t xml:space="preserve">Selling, General and Administrative Expenses. </w:t>
      </w:r>
      <w:r>
        <w:rPr>
          <w:rFonts w:ascii="Courier New" w:cs="Courier New" w:eastAsia="Courier New" w:hAnsi="Courier New"/>
          <w:sz w:val="14"/>
          <w:szCs w:val="14"/>
          <w:color w:val="auto"/>
        </w:rPr>
        <w:t>Selling, general and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administrative expenses increased by $1.0 million, or 19.8%, from $4.8 million in the second quarter of 2002 to $5.8 million in the second quarter of 2003. The inclusion of two months of Veenendaal results due to the May 2, 2003 acquisition contributed $0.6 million of the increase. The impact of currency exchange rates in the NN Europe Segment resulted in a $0.4 million increase. As a percentage of net sales, selling, general and administrative expenses decreased from 9.7% in the second quarter of 2002 to 9.0% in the second quarter of 2003.</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i w:val="1"/>
          <w:iCs w:val="1"/>
          <w:color w:val="auto"/>
        </w:rPr>
        <w:t xml:space="preserve">Depreciation and Amortization. </w:t>
      </w:r>
      <w:r>
        <w:rPr>
          <w:rFonts w:ascii="Courier New" w:cs="Courier New" w:eastAsia="Courier New" w:hAnsi="Courier New"/>
          <w:sz w:val="14"/>
          <w:szCs w:val="14"/>
          <w:color w:val="auto"/>
        </w:rPr>
        <w:t>Depreciation and amortization expenses increased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by $0.7 million, or 25.8%, from $2.8 million in the second quarter of 2002 to $3.5 million in the second quarter of 2003. The inclusion of two months of Veenendaal results due to the May 2, 2003 acquisition contributed $0.4 million of the increase. Currency impacts in the NN Europe Segment resulted in a $0.3 million increase. As a percentage of net sales, depreciation and amortization decreased from 5.6% in the second quarter of 2002 to 5.4% in the second quarter of 2003.</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i w:val="1"/>
          <w:iCs w:val="1"/>
          <w:color w:val="auto"/>
        </w:rPr>
        <w:t xml:space="preserve">Restructuring and Impairment Costs. </w:t>
      </w:r>
      <w:r>
        <w:rPr>
          <w:rFonts w:ascii="Courier New" w:cs="Courier New" w:eastAsia="Courier New" w:hAnsi="Courier New"/>
          <w:sz w:val="14"/>
          <w:szCs w:val="14"/>
          <w:color w:val="auto"/>
        </w:rPr>
        <w:t>Restructuring and impairment costs increased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by $2.7 million from $0 during the second quarter of 2002 to $2.7 million for the second quarter of 2003. The increase is related to the restructuring and impairment charges recorded in the second quarter of 2003 due to the planned closure of our Guadalajara, Mexico injection molding facility. The charges consist of $2.4 million related to asset write-downs to their estimated fair market values, including $1.3 million related to goodwill, $1.0 million related to property, plant and equipment, and $0.1 million related to accounts receivable. In addition, a $0.3 million charge related to employee severance costs has been recorded. Restructuring and impairment charges were 0.0% of net sales in the second quarter of 2002 and 4.2% of net sales in the second quarter of 2003.</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i w:val="1"/>
          <w:iCs w:val="1"/>
          <w:color w:val="auto"/>
        </w:rPr>
        <w:t xml:space="preserve">Interest Expense. </w:t>
      </w:r>
      <w:r>
        <w:rPr>
          <w:rFonts w:ascii="Courier New" w:cs="Courier New" w:eastAsia="Courier New" w:hAnsi="Courier New"/>
          <w:sz w:val="14"/>
          <w:szCs w:val="14"/>
          <w:color w:val="auto"/>
        </w:rPr>
        <w:t>Interest expense increased by $0.2 million from $0.6 million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in the second quarter of 2002 to $0.8 million in the second quarter of 2003. The increase is attributed to increased debt levels due to the previously announced acquisition of Veenendaal during May 2003, and the previously announced purchase of the 23% interest in Euroball held by INA/FAG during December 2002, and the previously announced purchase of the 23% interest in Euroball held by SKF during May 2003. As a percentage of net sales, interest expense was unchanged at 1.2% of net sales for both the second quarter of 2002 and the second quarter of 2003.</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i w:val="1"/>
          <w:iCs w:val="1"/>
          <w:color w:val="auto"/>
        </w:rPr>
        <w:t xml:space="preserve">Minority Interest in Consolidated Subsidiary. </w:t>
      </w:r>
      <w:r>
        <w:rPr>
          <w:rFonts w:ascii="Courier New" w:cs="Courier New" w:eastAsia="Courier New" w:hAnsi="Courier New"/>
          <w:sz w:val="14"/>
          <w:szCs w:val="14"/>
          <w:color w:val="auto"/>
        </w:rPr>
        <w:t>Minority interest of consolidated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subsidiary decreased $0.7 million from $0.8 million in the second quarter of 2002 to $0.1 million in the second quarter of 2003. This decrease is due entirely to the Euroball joint venture, which the Company has been required to consolidate since its formation on August 1, 2000. During the second quarter of 2002, minority interest in consolidated subsidiary represented the 46% of the shares of the joint venture held by the minority partners. During the second quarter of 2003, minority interest in consolidated subsidiary represents the 23% of the shares of the joint venture held by the remaining minority partner through May 2, 2003. On May 2, 2003 we purchased the 23% interest held by SKF. As previously announced, we purchased the 23% interest in Euroball held by INA/FAG on December 20, 2002. Effective May 2, 2003 and as of June 30, 2003, we own 100% of the shares of Euroball. Minority interest in consolidated subsidiary represents the combined interest in Euroball's earnings of the minority partner and the 49% interest in Arte's earnings of the minority partner (the 49% interest in NN Arte's earnings is zero in the second quarter of 2002).</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i w:val="1"/>
          <w:iCs w:val="1"/>
          <w:color w:val="auto"/>
        </w:rPr>
        <w:t xml:space="preserve">Net Income. </w:t>
      </w:r>
      <w:r>
        <w:rPr>
          <w:rFonts w:ascii="Courier New" w:cs="Courier New" w:eastAsia="Courier New" w:hAnsi="Courier New"/>
          <w:sz w:val="14"/>
          <w:szCs w:val="14"/>
          <w:color w:val="auto"/>
        </w:rPr>
        <w:t>Net income decreased by $1.7 million, or 71.1%, from $2.4 million in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the second quarter of 2002 to $0.7 million in the second quarter of 2003. As a percentage of net sales, net income decreased from 4.9% in the second quarter of 2002 to 1.1% in the second quarter of 2003.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Six Months Ended June 30, 2003 Compared to the Six Months Ended June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i w:val="1"/>
          <w:iCs w:val="1"/>
          <w:color w:val="auto"/>
        </w:rPr>
        <w:t xml:space="preserve">Net Sales. </w:t>
      </w:r>
      <w:r>
        <w:rPr>
          <w:rFonts w:ascii="Courier New" w:cs="Courier New" w:eastAsia="Courier New" w:hAnsi="Courier New"/>
          <w:sz w:val="14"/>
          <w:szCs w:val="14"/>
          <w:color w:val="auto"/>
        </w:rPr>
        <w:t>Net sales increased by approximately $25.4 million or 26.4% from</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$96.4 million for the first six months of 2002 to $121.8 million for the first six months of 2003. By segment, net sales increased $22.1 million, $2.0 million and $1.3 million for the NN Europe Segment, the Plastic and Rubber Components Segment and the Domestic Ball and Roller Segment, respectively. Within the NN Europe Segment, $9.3 million of the increase is related to the inclusion of two months of Veenendaal results which we acquired on May 2, 2003, $10.7 million is related to currency impacts and $2.1 million is related to increases in demand. Within the Plastic and Rubber Components Segment and Domestic Ball and Roller Segment the increase is principally related to increases in demand and new programs within the Plastic and Rubber Components Segment.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i w:val="1"/>
          <w:iCs w:val="1"/>
          <w:color w:val="auto"/>
        </w:rPr>
        <w:t xml:space="preserve">Gross Profit. </w:t>
      </w:r>
      <w:r>
        <w:rPr>
          <w:rFonts w:ascii="Courier New" w:cs="Courier New" w:eastAsia="Courier New" w:hAnsi="Courier New"/>
          <w:sz w:val="14"/>
          <w:szCs w:val="14"/>
          <w:color w:val="auto"/>
        </w:rPr>
        <w:t>Gross profit increased approximately $4.6 million, or 18.7%, from</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$24.7 million for the first six months of 2002 to $29.3 million for the first six months of 2003. By segment, gross profit increased by $0.6 million for the Domestic Ball and Roller Segment and $4.7 million for the NN Europe Segment. Within the NN Europe Segment, $1.4 million of the increase is related to the inclusion of two months of Veenendaal results due to the May 2, 2003 acquisition, $2.7 million is related to currency impacts and $0.6 million is related to increases in product demand. Offsetting these increases was a decrease in the Plastic and Rubber Components Segment of approximately $0.7 million. Within the Plastic and Rubber Components Segment, $0.3 million of the decrease is related to an impairment charge on the inventory of our Guadalajara,</w:t>
      </w:r>
    </w:p>
    <w:p>
      <w:pPr>
        <w:sectPr>
          <w:pgSz w:w="11900" w:h="16886" w:orient="portrait"/>
          <w:cols w:equalWidth="0" w:num="1">
            <w:col w:w="10239"/>
          </w:cols>
          <w:pgMar w:left="220" w:top="141" w:right="1440" w:bottom="0" w:gutter="0" w:footer="0" w:header="0"/>
        </w:sectPr>
      </w:pPr>
    </w:p>
    <w:bookmarkStart w:id="14" w:name="page15"/>
    <w:bookmarkEnd w:id="14"/>
    <w:p>
      <w:pPr>
        <w:spacing w:after="0" w:line="4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Mexico facility and $0.3 million of the decrease is related to decreased demand. As a percentage of sales, gross profit decreased from 25.6% for the first six months of 2002 to 24.1% for the first six months of 2003.</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i w:val="1"/>
          <w:iCs w:val="1"/>
          <w:color w:val="auto"/>
        </w:rPr>
        <w:t xml:space="preserve">Selling, General and Administrative. </w:t>
      </w:r>
      <w:r>
        <w:rPr>
          <w:rFonts w:ascii="Courier New" w:cs="Courier New" w:eastAsia="Courier New" w:hAnsi="Courier New"/>
          <w:sz w:val="14"/>
          <w:szCs w:val="14"/>
          <w:color w:val="auto"/>
        </w:rPr>
        <w:t>Selling, general and administrative</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expenses increased by approximately $1.1 million, or 11.7%, from $9.3 million for the first six months of 2002 to $10.4 million for the first six months of 2003. By segment, selling general and administrative expenses decreased $0.2 million for both the Domestic Ball and Roller Segment and the Plastic and Rubber Components Segment. For the NN Europe Segment, selling, general and administrative expenses increased $1.4 million. Within the NN Europe Segment, $0.6 million of the increase is related to the inclusion of two months of Veenendaal results which we acquired on May 2, 2003 and $0.8 million of the increase is related to currency impacts. As a percentage of sales, selling, general and administrative expenses decreased from 9.7% for the first six months of 2002 to 8.5% for the first six months of 2003.</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i w:val="1"/>
          <w:iCs w:val="1"/>
          <w:color w:val="auto"/>
        </w:rPr>
        <w:t xml:space="preserve">Depreciation and Amortization. </w:t>
      </w:r>
      <w:r>
        <w:rPr>
          <w:rFonts w:ascii="Courier New" w:cs="Courier New" w:eastAsia="Courier New" w:hAnsi="Courier New"/>
          <w:sz w:val="14"/>
          <w:szCs w:val="14"/>
          <w:color w:val="auto"/>
        </w:rPr>
        <w:t>Depreciation and amortization expenses increased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by $1.0 million, or 16.7%, from $5.6 million in the first six months of 2002 to $6.6 million for the first six months of 2003. $0.4 million of the increase is related to the inclusion of two months of Veenendaal results due to the May 2, 2003 acquisition and $0.5 million of the increase is related to currency impacts. As a percentage of sales, depreciation and amortization expenses decreased from 5.8% for the first six months of 2002 to 5.4% for the first six months of 2003.</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i w:val="1"/>
          <w:iCs w:val="1"/>
          <w:color w:val="auto"/>
        </w:rPr>
        <w:t xml:space="preserve">Restructuring and Impairment Costs. </w:t>
      </w:r>
      <w:r>
        <w:rPr>
          <w:rFonts w:ascii="Courier New" w:cs="Courier New" w:eastAsia="Courier New" w:hAnsi="Courier New"/>
          <w:sz w:val="14"/>
          <w:szCs w:val="14"/>
          <w:color w:val="auto"/>
        </w:rPr>
        <w:t>Restructuring and impairment costs increased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by $2.6 million from $0.1 million for the first six months of 2002 to $2.7 million for the first six months of 2003. The increase is related to the restructuring and impairment charges recorded in the second quarter of 2003 due to the planned closure of our Guadalajara, Mexico injection molding facility. The charges consist of $2.4 million related to asset write-downs to their estimated fair market values, including $1.3 million related to goodwill, $1.0 million related to property, plant and equipment, and $0.1 million related to accounts receivable. In addition, a $0.3 million charge related to employee severance costs has been recorded. Restructuring and impairment charges were</w:t>
      </w:r>
    </w:p>
    <w:p>
      <w:pPr>
        <w:spacing w:after="0" w:line="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0.1% of net sales in the first six months of 2002 and 2.2% of net sales for the first six months of 2003.</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i w:val="1"/>
          <w:iCs w:val="1"/>
          <w:color w:val="auto"/>
        </w:rPr>
        <w:t xml:space="preserve">Interest Expense. </w:t>
      </w:r>
      <w:r>
        <w:rPr>
          <w:rFonts w:ascii="Courier New" w:cs="Courier New" w:eastAsia="Courier New" w:hAnsi="Courier New"/>
          <w:sz w:val="14"/>
          <w:szCs w:val="14"/>
          <w:color w:val="auto"/>
        </w:rPr>
        <w:t>Interest expense increased by $0.2 million from $1.1 million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for the first six months of 2002 to $1.3 million for the first six months of 2003. The increase is attributed to increased debt levels due to the previously announced acquisition of Veenendaal during May 2003, the previously announced purchase of the 23% interest in Euroball held by INA/FAG during December 2002, and the previously announced purchase of the 23% interest in Euroball held by SKF during May 2003. As a percentage of net sales, interest expense decreased 0.1% from 1.2% of net sales for the first six months of 2002 to 1.1% for the first six months of 2003.</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i w:val="1"/>
          <w:iCs w:val="1"/>
          <w:color w:val="auto"/>
        </w:rPr>
        <w:t xml:space="preserve">Minority Interest in Consolidated Subsidiary. </w:t>
      </w:r>
      <w:r>
        <w:rPr>
          <w:rFonts w:ascii="Courier New" w:cs="Courier New" w:eastAsia="Courier New" w:hAnsi="Courier New"/>
          <w:sz w:val="14"/>
          <w:szCs w:val="14"/>
          <w:color w:val="auto"/>
        </w:rPr>
        <w:t>Minority interest of consolidated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subsidiary decreased $0.8 million from $1.5 million for the first six months of 2002 to $0.7 million for the first six months of 2003. This decrease is due entirely to the Euroball joint venture, which the Company has been required to consolidate since its formation on August 1, 2000. During the first six months of 2002, minority interest in consolidated subsidiary represented the 46% of the shares of the joint venture held by the minority partners. During the second quarter of 2003, minority interest in consolidated subsidiary represents the 23% of the shares of the joint venture held by the remaining minority partner through May 2, 2003. On May 2, 2003 we purchased the 23% interest held by SKF. As previously announced, we purchased the 23% interest in Euroball held by INA/FAG on December 20, 2002. Effective May 2, 2003 and as of June 30, 2003, we own 100% of the shares of Euroball. Minority interest in consolidated subsidiary represents the combined interest in Euroball's earnings of the minority partner and the 49% interest in NN Arte's earnings of the minority partner (the 49% interest in NN Arte's earnings is zero in the first six months of 2002).</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i w:val="1"/>
          <w:iCs w:val="1"/>
          <w:color w:val="auto"/>
        </w:rPr>
        <w:t xml:space="preserve">Net Income. </w:t>
      </w:r>
      <w:r>
        <w:rPr>
          <w:rFonts w:ascii="Courier New" w:cs="Courier New" w:eastAsia="Courier New" w:hAnsi="Courier New"/>
          <w:sz w:val="14"/>
          <w:szCs w:val="14"/>
          <w:color w:val="auto"/>
        </w:rPr>
        <w:t>Net income increased by $0.1 million, or 1.9%, from $4.2 million in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the first six months of 2002 to $4.3 million in the first six months of 2003. As a percentage of net sales, net income decreased from 4.4% in the first six months of 2002 to 3.6% in the first six months of 2003.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Recent Developments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Net proceeds received by us in connection with the exercise of the over-allotment were approximately $5.1 million.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2, 2003, we acquired the 23 percent interest in NN Euroball, ApS ("Euroball") held by SKF. We paid approximately 13.8 million Euros ($15.6 million). Euroball was formed in 2000 by the Company, FAG Kugelfischer George Shaefer AG, which was subsequently acquired by INA - Schaeffler KG ("INA/FAG"), and AB SKF ("SKF"). Upon consummation of this transaction, we became the sole owner of Euroball. See Note1 "Restatement", to Consolidated Financial Statements for additional information.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2, 2003, we acquired the tapered roller and metal cage manufacturing operations of SKF in Veenendaal, The Netherlands. We paid consideration of approximately 23.0 million Euros ($25.7 million) and incurred costs of approximately $0.9 million, for the Veenendaal net assets acquired from SKF. The Veenendaal operation manufactures rollers for tapered roller bearings and metal cages for both tapered roller and spherical roller bearings.</w:t>
      </w:r>
    </w:p>
    <w:p>
      <w:pPr>
        <w:sectPr>
          <w:pgSz w:w="11900" w:h="16885" w:orient="portrait"/>
          <w:cols w:equalWidth="0" w:num="1">
            <w:col w:w="10239"/>
          </w:cols>
          <w:pgMar w:left="220" w:top="141" w:right="1440" w:bottom="0" w:gutter="0" w:footer="0" w:header="0"/>
        </w:sectPr>
      </w:pPr>
    </w:p>
    <w:bookmarkStart w:id="15" w:name="page16"/>
    <w:bookmarkEnd w:id="15"/>
    <w:p>
      <w:pPr>
        <w:ind w:right="3339"/>
        <w:spacing w:after="0" w:line="252" w:lineRule="auto"/>
        <w:rPr>
          <w:sz w:val="20"/>
          <w:szCs w:val="20"/>
          <w:color w:val="auto"/>
        </w:rPr>
      </w:pPr>
      <w:r>
        <w:rPr>
          <w:rFonts w:ascii="Courier New" w:cs="Courier New" w:eastAsia="Courier New" w:hAnsi="Courier New"/>
          <w:sz w:val="14"/>
          <w:szCs w:val="14"/>
          <w:color w:val="auto"/>
        </w:rPr>
        <w:t>In connection with the acquisition of SKF's Veenendaal operations, SKF purchased 700,000 shares of our common stock from us for an aggregate fair value of approximately $6.9 million which was applied to the purchase of SKF's Veenendaal, The Netherlands operations. For purposes of valuing the 700,000 common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9678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shares issued, the value was determined based on the average market price of NN, Inc.'s common shares over the two-day period before, the day of, and the two-day period after the terms of the acquisition were agreed to, April 14,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Liquidity and Capital Resources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(1.12% at June 30, 2003) plus an applicable margin of 1.25 to 2.0, a $30.4 million term loan expiring on May 1, 2008, bearing interest at a floating rate equal to LIBOR</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(1.12% at June 30, 2003) plus an applicable margin of 1.25 to 2.0 and a 26.3 million ($29.6 million) Euros term loan expiring on May 1, 2008 which bears interest at a floating rate equal to Euro LIBOR (2.14% at June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credit facility is un-collateralized except for the pledge of stock of certain foreign subsidiaries. We were in compliance with all such covenants as of June 30, 2003.</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July 20, 2001 until May 1, 2003, the date that this loan agreement was paid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 we had a syndicated loan agreement with AmSouth as the administrative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lenders, for a senior non-secured revolving credit facility of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 million, expiring on July 25, 2003 and a senior non-secured term loan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 million expiring on July 1, 2006. On July 12, 2002, we amended this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to convert the term loan portion into a reducing revolving credit line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providing initial availability equivalent to the balance of the term loan prior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amendment. Amounts available for borrowing under this facility were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reduced by $ 7.0 million per annum and the facility was to expire on July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2006. Additionally, on July 31, 2002, we amended the credit facility again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extend the $25 million senior non-secured revolving credit facility to July 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 Amounts outstanding under the revolving facility and term loan 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bore interest at a floating rate equal to LIBOR (1.12% at June 30, 2003) plus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margin of 0.75% to 2.00% based upon calculated financial ratios.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agreement contained customary financial and non-financial covenants.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specifed that we had to maintain certain liquidity measures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the amount of capital expenditures we could make in any fiscal year.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agreement also contained customary restrictions on, among other things,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indebtedness, liens on our assets, sales or transfers of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restricted payments (including payment of dividends and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repurchases), issuance of equity securities, and mergers, acquisitions and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fundamental changes in our business. Additionally, the terms of this loan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restricted the declaration and payment of dividends in excess of $5.5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any fiscal year. Our ownership in NN Euroball ApS had been pledged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connection with the Euroball transaction we and Euroball, entered into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Agreement with a bank to provide up to Euro 36.0 million in Term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Euro 5.0 million in revolving credit loans. We borrowed Euro 30.5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($28.8 million) under the term loan facility and Euro 1.0 million ($0.9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revolving credit facility. Amounts outstanding under the 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bore interest at EURIBOR (2.14% at June 30, 2003) plus an applicable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margin between 0.8% and 2.25% based upon financial ratios. The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Euroball provided guarantees for the Facility Agreement. The Facility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contained restrictive covenants, which specified, among other things,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the incurrence of indebtedness and the maintenance of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ratios. Amounts outstanding under the Facility Agreement were secured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stock in certain subsidiaries, inventory and accounts receivable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Euroball. This loan agreement was paid off on May 1, 2003.</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Our arrangements with our domestic customers typically provide that payments are due within 30 days following the date of shipment of goods by us, while arrangements with certain export customers (other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than export customers that have entered into an inventory management program with the Company) generally provide that payments are due within either 90 or</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120 days following the date of shipment. Our net sales have historically been of a seasonal nature due to our relative percentage of European business coupled with slower European production during the month of August.</w:t>
      </w:r>
    </w:p>
    <w:p>
      <w:pPr>
        <w:sectPr>
          <w:pgSz w:w="11900" w:h="16838" w:orient="portrait"/>
          <w:cols w:equalWidth="0" w:num="1">
            <w:col w:w="10239"/>
          </w:cols>
          <w:pgMar w:left="220" w:top="307" w:right="1440" w:bottom="0" w:gutter="0" w:footer="0" w:header="0"/>
        </w:sectPr>
      </w:pPr>
    </w:p>
    <w:bookmarkStart w:id="16" w:name="page17"/>
    <w:bookmarkEnd w:id="16"/>
    <w:p>
      <w:pPr>
        <w:ind w:right="3419"/>
        <w:spacing w:after="0" w:line="251" w:lineRule="auto"/>
        <w:rPr>
          <w:sz w:val="20"/>
          <w:szCs w:val="20"/>
          <w:color w:val="auto"/>
        </w:rPr>
      </w:pPr>
      <w:r>
        <w:rPr>
          <w:rFonts w:ascii="Courier New" w:cs="Courier New" w:eastAsia="Courier New" w:hAnsi="Courier New"/>
          <w:sz w:val="14"/>
          <w:szCs w:val="14"/>
          <w:color w:val="auto"/>
        </w:rPr>
        <w:t>We bill and receive payment from some of our foreign customers in Euro as well 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June 30, 2003, no currency hedges were in place. In addition, a strengthening of the U.S. dollar and/or Euro against foreign currencies could impair our ability to compete with international competitors for foreign as well as domestic sales.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Working capital, which consists principally of accounts receivable and inventories, was $27.4 million at June 30, 2003 as compared to $21.2 million at December 31, 2002. The ratio of current assets to current liabilities decreased from 1.53:1 at December 31, 2002 to 1.44:1 at June 30, 2003. Cash flow from operations decreased to $3.7 million during the first six months of 2003 from $15.0 million during the first six months of 2002.</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2003, we plan to spend approximately $9.0 million to $10.0 million on capital expenditures (of which approximately $4.3 million has been spent through June 30, 2003) including the purchase of additional machinery and equipment for all of our domestic facilities as well as four European facilities.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December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9678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The Euro</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 currently have operations in Italy, Germany, Ireland, and The Netherlands all of which are Euro participating countries, and sell product to customers in many of the participating countries. The Euro has been adopted as the functional currency at these locations.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Seasonality and Fluctuation in Quarterly Results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Our net sales historically have been of a seasonal nature due to a significant portion of our sales to European customers that cease or significantly slow production during the month of August.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Inflation and Changes in Prices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While the Company's operations have not been materially affected by inflation during recent years, prices for 52100 Steel, engineered resins and other raw materials purchased by the Company are subject to material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In the Company's U.S. operations our typical pricing arrangements with steel suppliers are subject to adjustment once every six months. The Company's NN Europe Segment has entered into long term agreements with its primary steel supplier, which provide for standard terms and conditions and annual pricing adjustments to offset material price fluctuations in steel.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Certain sales agreements are in effect with SKF and INA/FAG, which provide for minimum purchase quantities and specified, annual sales price reductions that may be modified up or down for changes in material costs. These agreements expire during 2006 and 2008.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Critical Accounting Policies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significant accounting policies, including the assumptions and judgments underlying them, are disclosed in the Company's Annual Report on Form 10-K, as amended, for the fiscal year ended December 31, 2002 including those policies as discussed in Note 2.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b w:val="1"/>
          <w:bCs w:val="1"/>
          <w:color w:val="auto"/>
        </w:rPr>
        <w:t xml:space="preserve">Accounts Receivable. </w:t>
      </w:r>
      <w:r>
        <w:rPr>
          <w:rFonts w:ascii="Courier New" w:cs="Courier New" w:eastAsia="Courier New" w:hAnsi="Courier New"/>
          <w:sz w:val="14"/>
          <w:szCs w:val="14"/>
          <w:color w:val="auto"/>
        </w:rPr>
        <w:t>Substantially all of the Company's accounts receivable are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due primarily from the served markets: bearing manufacturers, automotive industry, electronics, industrial, agricultural and aerospace. In establishing allowances for doubtful accounts, the Company continuously performs credit evaluations of its customers, considering numerous inputs when available including the customers' financial position, past payment history, relevant industry trends, cash flows, management capability, historical loss experience and economic conditions and prospects. While management believes that adequate allowances for doubtful accounts have been provided in the Consolidated Financial Statements, it is possible that the Company could experience additional unexpected credit losses.</w:t>
      </w:r>
    </w:p>
    <w:p>
      <w:pPr>
        <w:sectPr>
          <w:pgSz w:w="11900" w:h="16838" w:orient="portrait"/>
          <w:cols w:equalWidth="0" w:num="1">
            <w:col w:w="10239"/>
          </w:cols>
          <w:pgMar w:left="220" w:top="141" w:right="1440" w:bottom="0" w:gutter="0" w:footer="0" w:header="0"/>
        </w:sectPr>
      </w:pPr>
    </w:p>
    <w:bookmarkStart w:id="17" w:name="page18"/>
    <w:bookmarkEnd w:id="17"/>
    <w:p>
      <w:pPr>
        <w:spacing w:after="0" w:line="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b w:val="1"/>
          <w:bCs w:val="1"/>
          <w:color w:val="auto"/>
        </w:rPr>
        <w:t xml:space="preserve">Inventories. </w:t>
      </w:r>
      <w:r>
        <w:rPr>
          <w:rFonts w:ascii="Courier New" w:cs="Courier New" w:eastAsia="Courier New" w:hAnsi="Courier New"/>
          <w:sz w:val="14"/>
          <w:szCs w:val="14"/>
          <w:color w:val="auto"/>
        </w:rPr>
        <w:t>Inventories are stated at the lower of cost or market. Cost is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b w:val="1"/>
          <w:bCs w:val="1"/>
          <w:color w:val="auto"/>
        </w:rPr>
        <w:t xml:space="preserve">Acquisitions and Acquired Intangibles. </w:t>
      </w:r>
      <w:r>
        <w:rPr>
          <w:rFonts w:ascii="Courier New" w:cs="Courier New" w:eastAsia="Courier New" w:hAnsi="Courier New"/>
          <w:sz w:val="14"/>
          <w:szCs w:val="14"/>
          <w:color w:val="auto"/>
        </w:rPr>
        <w:t>For new acquisitions, the Company uses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b w:val="1"/>
          <w:bCs w:val="1"/>
          <w:color w:val="auto"/>
        </w:rPr>
        <w:t xml:space="preserve">Impairment of Long-Lived Assets. </w:t>
      </w:r>
      <w:r>
        <w:rPr>
          <w:rFonts w:ascii="Courier New" w:cs="Courier New" w:eastAsia="Courier New" w:hAnsi="Courier New"/>
          <w:sz w:val="14"/>
          <w:szCs w:val="14"/>
          <w:color w:val="auto"/>
        </w:rPr>
        <w:t>The Company's long-lived assets include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property, plant and equipment.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b w:val="1"/>
          <w:bCs w:val="1"/>
          <w:color w:val="auto"/>
        </w:rPr>
        <w:t xml:space="preserve">Pension and Post-Retirement Obligations. </w:t>
      </w:r>
      <w:r>
        <w:rPr>
          <w:rFonts w:ascii="Courier New" w:cs="Courier New" w:eastAsia="Courier New" w:hAnsi="Courier New"/>
          <w:sz w:val="14"/>
          <w:szCs w:val="14"/>
          <w:color w:val="auto"/>
        </w:rPr>
        <w:t>The Company uses several assumptions in</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b w:val="1"/>
          <w:bCs w:val="1"/>
          <w:color w:val="auto"/>
        </w:rPr>
        <w:t>Cautionary Statements for Purposes of the "Safe Harbor" Provisions of the Private Securities Litigation Reform Act of 1995</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i w:val="1"/>
          <w:iCs w:val="1"/>
          <w:color w:val="auto"/>
        </w:rPr>
        <w:t>You should carefully consider the following risks and uncertainties, and all other information contained in or incorporated by reference in this quarterly report on Form 10-Q/A, as amended,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i w:val="1"/>
          <w:iCs w:val="1"/>
          <w:color w:val="auto"/>
        </w:rPr>
        <w:t>The demand for our products is cyclical, which could adversely impact our revenues.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64" w:lineRule="exact"/>
        <w:rPr>
          <w:sz w:val="20"/>
          <w:szCs w:val="20"/>
          <w:color w:val="auto"/>
        </w:rPr>
      </w:pPr>
    </w:p>
    <w:p>
      <w:pPr>
        <w:ind w:right="759"/>
        <w:spacing w:after="0" w:line="255" w:lineRule="auto"/>
        <w:rPr>
          <w:sz w:val="20"/>
          <w:szCs w:val="20"/>
          <w:color w:val="auto"/>
        </w:rPr>
      </w:pPr>
      <w:r>
        <w:rPr>
          <w:rFonts w:ascii="Courier New" w:cs="Courier New" w:eastAsia="Courier New" w:hAnsi="Courier New"/>
          <w:sz w:val="14"/>
          <w:szCs w:val="14"/>
          <w:b w:val="1"/>
          <w:bCs w:val="1"/>
          <w:i w:val="1"/>
          <w:iCs w:val="1"/>
          <w:color w:val="auto"/>
        </w:rPr>
        <w:t>We depend on a very limited number of foreign sources for our primary raw material and are subject to risks of shortages and price fluctuation.</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w:t>
      </w:r>
    </w:p>
    <w:p>
      <w:pPr>
        <w:sectPr>
          <w:pgSz w:w="11900" w:h="16865" w:orient="portrait"/>
          <w:cols w:equalWidth="0" w:num="1">
            <w:col w:w="10239"/>
          </w:cols>
          <w:pgMar w:left="220" w:top="141" w:right="1440" w:bottom="0" w:gutter="0" w:footer="0" w:header="0"/>
        </w:sectPr>
      </w:pPr>
    </w:p>
    <w:bookmarkStart w:id="18" w:name="page19"/>
    <w:bookmarkEnd w:id="18"/>
    <w:p>
      <w:pPr>
        <w:spacing w:after="0" w:line="16"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b w:val="1"/>
          <w:bCs w:val="1"/>
          <w:i w:val="1"/>
          <w:iCs w:val="1"/>
          <w:color w:val="auto"/>
        </w:rPr>
        <w:t>We operate in and sell products to customers outside the U.S. and are subject to several related risks.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9678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60" w:hanging="421"/>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 foreign currency fluctuations;</w:t>
      </w:r>
    </w:p>
    <w:p>
      <w:pPr>
        <w:spacing w:after="0" w:line="17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trade, monetary and fiscal policies, laws and regulations, and other activities of governments, agencies and similar organizations;</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trade restrictions or prohibitions;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tax rates that discourage the repatriation of funds to the U.S.;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import or other duties or taxes; and</w:t>
      </w:r>
    </w:p>
    <w:p>
      <w:pPr>
        <w:spacing w:after="0" w:line="172" w:lineRule="exact"/>
        <w:rPr>
          <w:rFonts w:ascii="Courier New" w:cs="Courier New" w:eastAsia="Courier New" w:hAnsi="Courier New"/>
          <w:sz w:val="14"/>
          <w:szCs w:val="14"/>
          <w:color w:val="auto"/>
        </w:rPr>
      </w:pPr>
    </w:p>
    <w:p>
      <w:pPr>
        <w:jc w:val="both"/>
        <w:ind w:left="860" w:right="3939" w:hanging="421"/>
        <w:spacing w:after="0" w:line="255"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unstable governments or legal systems in countries in which our suppliers, manufacturing operations, and customers are located.</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In the first six months of 2003, approximately 42% of the $25.4 million increase in revenues was attributable to favorable currency fluctuations. Also, a decline in the value of the Euro relative to the U.S. Dollar will negatively impact our consolidated financial results, which are denominated in U.S. Dollars.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b w:val="1"/>
          <w:bCs w:val="1"/>
          <w:i w:val="1"/>
          <w:iCs w:val="1"/>
          <w:color w:val="auto"/>
        </w:rPr>
        <w:t>We depend heavily on a relatively limited number of customers, and the loss of any major customer would have a material adverse effect on our business.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Our recent acquisition at SKF's tapered roller and metal cage production facility, along with the related long-term supply agreement with SKF, will increase our dependence on SKF in the future. During 2002, our ten largest customers accounted for approximately 73% of our consolidated net sales. None of our other customers individually accounted for more than 5% of our consolidated net sales for 2002. Recent consolidation of certain of our bearing customers, including the acquisition at the Torrington Company by Timken, will increase our dependence on a smaller number of customers. The loss of all or a substantial portion of sales to these customers would cause us to lose a substantial portion of our revenue and would lower our profit margin and cash flows from operations.</w:t>
      </w:r>
    </w:p>
    <w:p>
      <w:pPr>
        <w:spacing w:after="0" w:line="16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b w:val="1"/>
          <w:bCs w:val="1"/>
          <w:i w:val="1"/>
          <w:iCs w:val="1"/>
          <w:color w:val="auto"/>
        </w:rPr>
        <w:t>The costs and difficulties of integrating acquired business could impede our future growth.</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6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b w:val="1"/>
          <w:bCs w:val="1"/>
          <w:i w:val="1"/>
          <w:iCs w:val="1"/>
          <w:color w:val="auto"/>
        </w:rPr>
        <w:t>We may not be able to continue to make the acquisitions necessary for us to realize our growth strategy.</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9678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ectPr>
          <w:pgSz w:w="11900" w:h="16855"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During 2002, we purchased INA/FAG's minority interest in Euroball and on</w:t>
      </w:r>
    </w:p>
    <w:p>
      <w:pPr>
        <w:sectPr>
          <w:pgSz w:w="11900" w:h="16855" w:orient="portrait"/>
          <w:cols w:equalWidth="0" w:num="1">
            <w:col w:w="10239"/>
          </w:cols>
          <w:pgMar w:left="220" w:top="141" w:right="1440" w:bottom="0" w:gutter="0" w:footer="0" w:header="0"/>
          <w:type w:val="continuous"/>
        </w:sectPr>
      </w:pPr>
    </w:p>
    <w:bookmarkStart w:id="19" w:name="page20"/>
    <w:bookmarkEnd w:id="19"/>
    <w:p>
      <w:pPr>
        <w:spacing w:after="0" w:line="5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May 2, 2003, we acquired SKF's minority interest in Euroball, to become the sole owner at Euroball. On May 2, 2003 we acquired SKF's tapered roller and metal cage manufacturing operations in Veenendaal, The Netherlands.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b w:val="1"/>
          <w:bCs w:val="1"/>
          <w:i w:val="1"/>
          <w:iCs w:val="1"/>
          <w:color w:val="auto"/>
        </w:rPr>
        <w:t>Our growth strategy depends on outsourcing, and if the industry trend toward outsourcing does not continue, our business could be adversely affected.</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33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b w:val="1"/>
          <w:bCs w:val="1"/>
          <w:i w:val="1"/>
          <w:iCs w:val="1"/>
          <w:color w:val="auto"/>
        </w:rPr>
        <w:t>Our market is highly competitive and many of our competitors have significant advantages that could adversely affect our business.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i w:val="1"/>
          <w:iCs w:val="1"/>
          <w:color w:val="auto"/>
        </w:rPr>
        <w:t>The price of our common stock may be volatile.</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market price of our common stock could be subject to significant fluctuations and may decline. Among the factors that could affect our stock price are:</w:t>
      </w:r>
    </w:p>
    <w:p>
      <w:pPr>
        <w:spacing w:after="0" w:line="163" w:lineRule="exact"/>
        <w:rPr>
          <w:sz w:val="20"/>
          <w:szCs w:val="20"/>
          <w:color w:val="auto"/>
        </w:rPr>
      </w:pPr>
    </w:p>
    <w:p>
      <w:pPr>
        <w:ind w:left="860" w:hanging="421"/>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operating and financial performance and prospects;</w:t>
      </w:r>
    </w:p>
    <w:p>
      <w:pPr>
        <w:spacing w:after="0" w:line="172" w:lineRule="exact"/>
        <w:rPr>
          <w:rFonts w:ascii="Courier New" w:cs="Courier New" w:eastAsia="Courier New" w:hAnsi="Courier New"/>
          <w:sz w:val="14"/>
          <w:szCs w:val="14"/>
          <w:color w:val="auto"/>
        </w:rPr>
      </w:pPr>
    </w:p>
    <w:p>
      <w:pPr>
        <w:ind w:left="860" w:right="385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variations in the rate of growth of our financial indicators, such as earnings per share, net income and revenues;</w:t>
      </w:r>
    </w:p>
    <w:p>
      <w:pPr>
        <w:spacing w:after="0" w:line="159" w:lineRule="exact"/>
        <w:rPr>
          <w:rFonts w:ascii="Courier New" w:cs="Courier New" w:eastAsia="Courier New" w:hAnsi="Courier New"/>
          <w:sz w:val="14"/>
          <w:szCs w:val="14"/>
          <w:color w:val="auto"/>
        </w:rPr>
      </w:pPr>
    </w:p>
    <w:p>
      <w:pPr>
        <w:ind w:left="860" w:right="359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revenue or earnings estimates or publication of research reports by analysts;</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of any member of our senior management team;</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speculation in the press or investment community;</w:t>
      </w:r>
    </w:p>
    <w:p>
      <w:pPr>
        <w:spacing w:after="0" w:line="172" w:lineRule="exact"/>
        <w:rPr>
          <w:rFonts w:ascii="Courier New" w:cs="Courier New" w:eastAsia="Courier New" w:hAnsi="Courier New"/>
          <w:sz w:val="14"/>
          <w:szCs w:val="14"/>
          <w:color w:val="auto"/>
        </w:rPr>
      </w:pPr>
    </w:p>
    <w:p>
      <w:pPr>
        <w:ind w:left="860" w:right="359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actions by us or our competitors, such as acquisitions or restructurings;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60" w:hanging="421"/>
        <w:spacing w:after="0"/>
        <w:tabs>
          <w:tab w:leader="none" w:pos="8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our common stock by stockholders;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market conditions; and</w:t>
      </w:r>
    </w:p>
    <w:p>
      <w:pPr>
        <w:spacing w:after="0" w:line="172" w:lineRule="exact"/>
        <w:rPr>
          <w:rFonts w:ascii="Courier New" w:cs="Courier New" w:eastAsia="Courier New" w:hAnsi="Courier New"/>
          <w:sz w:val="14"/>
          <w:szCs w:val="14"/>
          <w:color w:val="auto"/>
        </w:rPr>
      </w:pPr>
    </w:p>
    <w:p>
      <w:pPr>
        <w:ind w:left="860" w:right="3779" w:hanging="421"/>
        <w:spacing w:after="0" w:line="255" w:lineRule="auto"/>
        <w:tabs>
          <w:tab w:leader="none" w:pos="8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and international economic, legal and regulatory factors unrelated to our performance.</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b w:val="1"/>
          <w:bCs w:val="1"/>
          <w:i w:val="1"/>
          <w:iCs w:val="1"/>
          <w:color w:val="auto"/>
        </w:rPr>
        <w:t>Provisions in our charter documents and Delaware law may inhibit a takeover, which could adversely affect the value of our common stock.</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w:t>
      </w:r>
    </w:p>
    <w:p>
      <w:pPr>
        <w:sectPr>
          <w:pgSz w:w="11900" w:h="16890" w:orient="portrait"/>
          <w:cols w:equalWidth="0" w:num="1">
            <w:col w:w="10239"/>
          </w:cols>
          <w:pgMar w:left="220" w:top="141" w:right="1440" w:bottom="0" w:gutter="0" w:footer="0" w:header="0"/>
        </w:sectPr>
      </w:pPr>
    </w:p>
    <w:bookmarkStart w:id="20" w:name="page21"/>
    <w:bookmarkEnd w:id="20"/>
    <w:p>
      <w:pPr>
        <w:ind w:right="3339"/>
        <w:spacing w:after="0" w:line="251" w:lineRule="auto"/>
        <w:rPr>
          <w:sz w:val="20"/>
          <w:szCs w:val="20"/>
          <w:color w:val="auto"/>
        </w:rPr>
      </w:pPr>
      <w:r>
        <w:rPr>
          <w:rFonts w:ascii="Courier New" w:cs="Courier New" w:eastAsia="Courier New" w:hAnsi="Courier New"/>
          <w:sz w:val="14"/>
          <w:szCs w:val="14"/>
          <w:color w:val="auto"/>
        </w:rPr>
        <w:t>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Item 3.</w:t>
        <w:tab/>
        <w:t>Quantitative and Qualitative Disclosures About Market Risk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June 30, 2003, these borrowings included a $30 million term loan and a $30 million revolving credit facility which was used to maintain liquidity and fund our business operations. At June 30, 2003, we had $55.9 million outstanding under the domestic credit facilities and Euroball had 25.0 million Euro ($28.5 million) outstanding under the Euro term loan. At June 30, 2003, a one-percent increase in the interest rate charged on our outstanding borrowings under both credit facilities would result in interest expense increasing annually by approximately $0.8 million. In connection with a variable EURIBOR rate debt financing in July 2000 our majority owned subsidiary, Euroball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This original debt was repaid in May 2003, however, the swap remains pursuant to its original terms. On May 1, 2003, we entered into a new $90 million syndicated credit facility. This new financing arrangement replaces our prior credit facility with AmSouth and Euroball's credit facility with Hypo Vereinsbank Luxembourg, S.A., see "Management's Discussion and Analysis of Financial Condition and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9678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Results of Operations - Liquidity and Capital Resources". The nature and amount of our borrowings may vary as a result of future business requirements, market conditions and other factors.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Translation of our operating cash flows denominated in foreign currencies is impacted by changes in foreign exchange rates. Our NN Europe Segment, bills and receives payments from some of its foreign customers in their own currency. To date, we have not been materially adversely affected by currency fluctuations of foreign exchange restrictions. However, to help reduce exposure to foreign currency fluctuation, management has incurred debt in Euros and has periodically used foreign currency hedges. These currency hedging programs allow management to hedge currency exposures when these exposures meet certain discretionary levels. We did not hold a position in any foreign currency hedging instruments as of June 30, 2003.</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b w:val="1"/>
          <w:bCs w:val="1"/>
          <w:color w:val="auto"/>
        </w:rPr>
        <w:t>Item 4.</w:t>
        <w:tab/>
        <w:t>Controls and Procedures</w:t>
      </w:r>
    </w:p>
    <w:p>
      <w:pPr>
        <w:spacing w:after="0" w:line="173" w:lineRule="exact"/>
        <w:rPr>
          <w:sz w:val="20"/>
          <w:szCs w:val="20"/>
          <w:color w:val="auto"/>
        </w:rPr>
      </w:pPr>
    </w:p>
    <w:p>
      <w:pPr>
        <w:ind w:left="860" w:right="3339" w:hanging="421"/>
        <w:spacing w:after="0" w:line="251"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June 30, 2003,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6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no changes in the Company's internal control over financial reporting or in other factors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9678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Part II. Other Information</w:t>
      </w:r>
    </w:p>
    <w:p>
      <w:pPr>
        <w:sectPr>
          <w:pgSz w:w="11900" w:h="16838" w:orient="portrait"/>
          <w:cols w:equalWidth="0" w:num="1">
            <w:col w:w="10239"/>
          </w:cols>
          <w:pgMar w:left="220" w:top="141" w:right="1440" w:bottom="0" w:gutter="0" w:footer="0" w:header="0"/>
        </w:sectPr>
      </w:pPr>
    </w:p>
    <w:bookmarkStart w:id="21" w:name="page22"/>
    <w:bookmarkEnd w:id="21"/>
    <w:p>
      <w:pPr>
        <w:spacing w:after="0" w:line="51"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b w:val="1"/>
          <w:bCs w:val="1"/>
          <w:color w:val="auto"/>
        </w:rPr>
        <w:t>Item 1.</w:t>
      </w:r>
      <w:r>
        <w:rPr>
          <w:sz w:val="20"/>
          <w:szCs w:val="20"/>
          <w:color w:val="auto"/>
        </w:rPr>
        <w:tab/>
      </w:r>
      <w:r>
        <w:rPr>
          <w:rFonts w:ascii="Courier New" w:cs="Courier New" w:eastAsia="Courier New" w:hAnsi="Courier New"/>
          <w:sz w:val="14"/>
          <w:szCs w:val="14"/>
          <w:b w:val="1"/>
          <w:bCs w:val="1"/>
          <w:color w:val="auto"/>
        </w:rPr>
        <w:t>Legal Proceedings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6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b w:val="1"/>
          <w:bCs w:val="1"/>
          <w:color w:val="auto"/>
        </w:rPr>
        <w:t>Item 2.</w:t>
      </w:r>
      <w:r>
        <w:rPr>
          <w:sz w:val="20"/>
          <w:szCs w:val="20"/>
          <w:color w:val="auto"/>
        </w:rPr>
        <w:tab/>
      </w:r>
      <w:r>
        <w:rPr>
          <w:rFonts w:ascii="Courier New" w:cs="Courier New" w:eastAsia="Courier New" w:hAnsi="Courier New"/>
          <w:sz w:val="14"/>
          <w:szCs w:val="14"/>
          <w:b w:val="1"/>
          <w:bCs w:val="1"/>
          <w:color w:val="auto"/>
        </w:rPr>
        <w:t>Change in Securities and Use of Proceeds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b w:val="1"/>
          <w:bCs w:val="1"/>
          <w:color w:val="auto"/>
        </w:rPr>
        <w:t>Item 3.</w:t>
      </w:r>
      <w:r>
        <w:rPr>
          <w:sz w:val="20"/>
          <w:szCs w:val="20"/>
          <w:color w:val="auto"/>
        </w:rPr>
        <w:tab/>
      </w:r>
      <w:r>
        <w:rPr>
          <w:rFonts w:ascii="Courier New" w:cs="Courier New" w:eastAsia="Courier New" w:hAnsi="Courier New"/>
          <w:sz w:val="14"/>
          <w:szCs w:val="14"/>
          <w:b w:val="1"/>
          <w:bCs w:val="1"/>
          <w:color w:val="auto"/>
        </w:rPr>
        <w:t>Defaults upon Senior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b w:val="1"/>
          <w:bCs w:val="1"/>
          <w:color w:val="auto"/>
        </w:rPr>
        <w:t>Item 4.</w:t>
      </w:r>
      <w:r>
        <w:rPr>
          <w:sz w:val="20"/>
          <w:szCs w:val="20"/>
          <w:color w:val="auto"/>
        </w:rPr>
        <w:tab/>
      </w:r>
      <w:r>
        <w:rPr>
          <w:rFonts w:ascii="Courier New" w:cs="Courier New" w:eastAsia="Courier New" w:hAnsi="Courier New"/>
          <w:sz w:val="14"/>
          <w:szCs w:val="14"/>
          <w:b w:val="1"/>
          <w:bCs w:val="1"/>
          <w:color w:val="auto"/>
        </w:rPr>
        <w:t>Submission of Matters to a Vote of Security Holders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Annual Meeting of Stockholders was held on May 15, 2003. As of March 28, 2003, the record date for the meeting, there were 15,369,807 shares of common stock outstanding and entitled to vote at the meeting. There were present at said meeting, in person or by proxy, stockholders holding 14,728,346 shares of common stock, constituting approximately 96% of the shares of common stock outstanding and entitled to vote, which constituted a quorum.</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first matter voted upon at the meeting was the election of Roderick R. Baty as a Class I Director to serve for a three-year term. The vote was 14,656,813 For and 71,533 Withheld.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nominee was elected to serve until the 2006 Annual Meeting of Stockholders and until his successor is duly elected and qualified. In addition to the foregoing director, Michael D. Huff and Michael E. Werner are serving terms that will expire in 2004, and Steven T. Warshaw, James E. Earsley, and G. Ronald Morris are serving terms that will expire in 2005. Mr. Baty continues in his position as Chairman of the Company's Board of Directors.</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second matter voted upon at the meeting was the proposal to ratify and approve non-employee director stock options. The vote was 13,680,073 For and 252,057 Against, and there were 796,216 Abstentions.</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third matter voted upon at the meeting was the proposal that the shareholders approve an amendment to the Company's Stock Incentive Plan. The vote was 11,446,799 For and 2,483,505 Against and there were 798,042 Abstentions.</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fourth matter voted upon the 2003 Annual Meeting of Stockholders was the ratification of KPMG LLP as independent public accountants to audit the Company's accounts for the fiscal year ending December 31, 2003. The vote was 14,557,412 For and 69,245 Against, and there were 101,689 Abstentions.</w:t>
      </w:r>
    </w:p>
    <w:p>
      <w:pPr>
        <w:spacing w:after="0" w:line="162"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b w:val="1"/>
          <w:bCs w:val="1"/>
          <w:color w:val="auto"/>
        </w:rPr>
        <w:t>Item 5.</w:t>
      </w:r>
      <w:r>
        <w:rPr>
          <w:sz w:val="20"/>
          <w:szCs w:val="20"/>
          <w:color w:val="auto"/>
        </w:rPr>
        <w:tab/>
      </w:r>
      <w:r>
        <w:rPr>
          <w:rFonts w:ascii="Courier New" w:cs="Courier New" w:eastAsia="Courier New" w:hAnsi="Courier New"/>
          <w:sz w:val="14"/>
          <w:szCs w:val="14"/>
          <w:b w:val="1"/>
          <w:bCs w:val="1"/>
          <w:color w:val="auto"/>
        </w:rPr>
        <w:t>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b w:val="1"/>
          <w:bCs w:val="1"/>
          <w:color w:val="auto"/>
        </w:rPr>
        <w:t>Item 6.</w:t>
      </w:r>
      <w:r>
        <w:rPr>
          <w:sz w:val="20"/>
          <w:szCs w:val="20"/>
          <w:color w:val="auto"/>
        </w:rPr>
        <w:tab/>
      </w:r>
      <w:r>
        <w:rPr>
          <w:rFonts w:ascii="Courier New" w:cs="Courier New" w:eastAsia="Courier New" w:hAnsi="Courier New"/>
          <w:sz w:val="14"/>
          <w:szCs w:val="14"/>
          <w:b w:val="1"/>
          <w:bCs w:val="1"/>
          <w:color w:val="auto"/>
        </w:rPr>
        <w:t>Exhibits and Reports on Form 8-K.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Exhibits Required by Item 601 of Regulation S-K</w:t>
      </w:r>
    </w:p>
    <w:p>
      <w:pPr>
        <w:spacing w:after="0" w:line="173" w:lineRule="exact"/>
        <w:rPr>
          <w:sz w:val="20"/>
          <w:szCs w:val="20"/>
          <w:color w:val="auto"/>
        </w:rPr>
      </w:pPr>
    </w:p>
    <w:p>
      <w:pPr>
        <w:ind w:left="860" w:right="3339" w:hanging="430"/>
        <w:spacing w:after="0" w:line="252" w:lineRule="auto"/>
        <w:tabs>
          <w:tab w:leader="none" w:pos="840" w:val="left"/>
        </w:tabs>
        <w:rPr>
          <w:sz w:val="20"/>
          <w:szCs w:val="20"/>
          <w:color w:val="auto"/>
        </w:rPr>
      </w:pPr>
      <w:r>
        <w:rPr>
          <w:rFonts w:ascii="Courier New" w:cs="Courier New" w:eastAsia="Courier New" w:hAnsi="Courier New"/>
          <w:sz w:val="14"/>
          <w:szCs w:val="14"/>
          <w:color w:val="auto"/>
        </w:rPr>
        <w:t>2.1</w:t>
        <w:tab/>
        <w:t>Asset Purchase Agreement dated April 14, 2003 among SKF Holding Maatschappij Holland B.V., SKF B.V., NN, Inc. and NN Netherlands B.V. (incorporated by reference to Exhibit 2.1 of Form 8-K filed on May 16, 2003).</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60" w:right="3419" w:hanging="430"/>
        <w:spacing w:after="0" w:line="252" w:lineRule="auto"/>
        <w:rPr>
          <w:sz w:val="20"/>
          <w:szCs w:val="20"/>
          <w:color w:val="auto"/>
        </w:rPr>
      </w:pPr>
      <w:r>
        <w:rPr>
          <w:rFonts w:ascii="Courier New" w:cs="Courier New" w:eastAsia="Courier New" w:hAnsi="Courier New"/>
          <w:sz w:val="14"/>
          <w:szCs w:val="14"/>
          <w:color w:val="auto"/>
        </w:rPr>
        <w:t>10.1 Amendment No. 3 to NN, Inc. Stock Incentive Plan as ratified by the shareholders on May 15, 2003 amending the Plan to permit the issuance of awards under the Plan to directors of the Company.</w:t>
      </w:r>
    </w:p>
    <w:p>
      <w:pPr>
        <w:spacing w:after="0" w:line="163" w:lineRule="exact"/>
        <w:rPr>
          <w:sz w:val="20"/>
          <w:szCs w:val="20"/>
          <w:color w:val="auto"/>
        </w:rPr>
      </w:pPr>
    </w:p>
    <w:p>
      <w:pPr>
        <w:ind w:left="860" w:right="3339" w:hanging="430"/>
        <w:spacing w:after="0" w:line="252" w:lineRule="auto"/>
        <w:rPr>
          <w:sz w:val="20"/>
          <w:szCs w:val="20"/>
          <w:color w:val="auto"/>
        </w:rPr>
      </w:pPr>
      <w:r>
        <w:rPr>
          <w:rFonts w:ascii="Courier New" w:cs="Courier New" w:eastAsia="Courier New" w:hAnsi="Courier New"/>
          <w:sz w:val="14"/>
          <w:szCs w:val="14"/>
          <w:color w:val="auto"/>
        </w:rPr>
        <w:t>10.2 Credit Agreement dated as of May 1, 2003 among NN, Inc., and NN Euroball as the Borrowers, the Subsidiaries as Guarantors, the Lenders as identifies therein, AmSouth Bank as Administrative Agent, and SunTrust Bank as Documentation Agent and Euro Loan Agent.</w:t>
      </w:r>
    </w:p>
    <w:p>
      <w:pPr>
        <w:spacing w:after="0" w:line="162" w:lineRule="exact"/>
        <w:rPr>
          <w:sz w:val="20"/>
          <w:szCs w:val="20"/>
          <w:color w:val="auto"/>
        </w:rPr>
      </w:pPr>
    </w:p>
    <w:p>
      <w:pPr>
        <w:ind w:left="860" w:right="3519" w:hanging="430"/>
        <w:spacing w:after="0" w:line="251" w:lineRule="auto"/>
        <w:rPr>
          <w:sz w:val="20"/>
          <w:szCs w:val="20"/>
          <w:color w:val="auto"/>
        </w:rPr>
      </w:pPr>
      <w:r>
        <w:rPr>
          <w:rFonts w:ascii="Courier New" w:cs="Courier New" w:eastAsia="Courier New" w:hAnsi="Courier New"/>
          <w:sz w:val="14"/>
          <w:szCs w:val="14"/>
          <w:color w:val="auto"/>
        </w:rPr>
        <w:t>10.3 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w:t>
      </w:r>
    </w:p>
    <w:p>
      <w:pPr>
        <w:spacing w:after="0" w:line="164" w:lineRule="exact"/>
        <w:rPr>
          <w:sz w:val="20"/>
          <w:szCs w:val="20"/>
          <w:color w:val="auto"/>
        </w:rPr>
      </w:pPr>
    </w:p>
    <w:p>
      <w:pPr>
        <w:ind w:left="860" w:right="3339" w:hanging="430"/>
        <w:spacing w:after="0" w:line="251" w:lineRule="auto"/>
        <w:rPr>
          <w:sz w:val="20"/>
          <w:szCs w:val="20"/>
          <w:color w:val="auto"/>
        </w:rPr>
      </w:pPr>
      <w:r>
        <w:rPr>
          <w:rFonts w:ascii="Courier New" w:cs="Courier New" w:eastAsia="Courier New" w:hAnsi="Courier New"/>
          <w:sz w:val="14"/>
          <w:szCs w:val="14"/>
          <w:color w:val="auto"/>
        </w:rPr>
        <w:t>10.4 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an asterisk in brackets([*]).</w:t>
      </w:r>
    </w:p>
    <w:p>
      <w:pPr>
        <w:spacing w:after="0" w:line="164" w:lineRule="exact"/>
        <w:rPr>
          <w:sz w:val="20"/>
          <w:szCs w:val="20"/>
          <w:color w:val="auto"/>
        </w:rPr>
      </w:pPr>
    </w:p>
    <w:p>
      <w:pPr>
        <w:ind w:left="860" w:right="3599" w:hanging="430"/>
        <w:spacing w:after="0" w:line="255" w:lineRule="auto"/>
        <w:rPr>
          <w:sz w:val="20"/>
          <w:szCs w:val="20"/>
          <w:color w:val="auto"/>
        </w:rPr>
      </w:pPr>
      <w:r>
        <w:rPr>
          <w:rFonts w:ascii="Courier New" w:cs="Courier New" w:eastAsia="Courier New" w:hAnsi="Courier New"/>
          <w:sz w:val="14"/>
          <w:szCs w:val="14"/>
          <w:color w:val="auto"/>
        </w:rPr>
        <w:t>31.1 Certification of Chief Executive Officer pursuant to Section 302 of Sarbanes-Oxley Act.</w:t>
      </w:r>
    </w:p>
    <w:p>
      <w:pPr>
        <w:sectPr>
          <w:pgSz w:w="11900" w:h="16890" w:orient="portrait"/>
          <w:cols w:equalWidth="0" w:num="1">
            <w:col w:w="10239"/>
          </w:cols>
          <w:pgMar w:left="220" w:top="307" w:right="1440" w:bottom="0" w:gutter="0" w:footer="0" w:header="0"/>
        </w:sectPr>
      </w:pPr>
    </w:p>
    <w:bookmarkStart w:id="22" w:name="page23"/>
    <w:bookmarkEnd w:id="22"/>
    <w:p>
      <w:pPr>
        <w:spacing w:after="0" w:line="16" w:lineRule="exact"/>
        <w:rPr>
          <w:sz w:val="20"/>
          <w:szCs w:val="20"/>
          <w:color w:val="auto"/>
        </w:rPr>
      </w:pPr>
    </w:p>
    <w:p>
      <w:pPr>
        <w:ind w:left="860" w:right="3599" w:hanging="430"/>
        <w:spacing w:after="0" w:line="255" w:lineRule="auto"/>
        <w:rPr>
          <w:sz w:val="20"/>
          <w:szCs w:val="20"/>
          <w:color w:val="auto"/>
        </w:rPr>
      </w:pPr>
      <w:r>
        <w:rPr>
          <w:rFonts w:ascii="Courier New" w:cs="Courier New" w:eastAsia="Courier New" w:hAnsi="Courier New"/>
          <w:sz w:val="14"/>
          <w:szCs w:val="14"/>
          <w:color w:val="auto"/>
        </w:rPr>
        <w:t>31.2 Certification of Chief Financial Officer pursuant to Section 302 of Sarbanes-Oxley Act.</w:t>
      </w:r>
    </w:p>
    <w:p>
      <w:pPr>
        <w:spacing w:after="0" w:line="160" w:lineRule="exact"/>
        <w:rPr>
          <w:sz w:val="20"/>
          <w:szCs w:val="20"/>
          <w:color w:val="auto"/>
        </w:rPr>
      </w:pPr>
    </w:p>
    <w:p>
      <w:pPr>
        <w:ind w:left="860" w:right="3599" w:hanging="430"/>
        <w:spacing w:after="0" w:line="255" w:lineRule="auto"/>
        <w:rPr>
          <w:sz w:val="20"/>
          <w:szCs w:val="20"/>
          <w:color w:val="auto"/>
        </w:rPr>
      </w:pPr>
      <w:r>
        <w:rPr>
          <w:rFonts w:ascii="Courier New" w:cs="Courier New" w:eastAsia="Courier New" w:hAnsi="Courier New"/>
          <w:sz w:val="14"/>
          <w:szCs w:val="14"/>
          <w:color w:val="auto"/>
        </w:rPr>
        <w:t>32.1 Certification of Chief Executive Officer pursuant to Section 906 of Sarbanes-Oxley Act.</w:t>
      </w:r>
    </w:p>
    <w:p>
      <w:pPr>
        <w:spacing w:after="0" w:line="160" w:lineRule="exact"/>
        <w:rPr>
          <w:sz w:val="20"/>
          <w:szCs w:val="20"/>
          <w:color w:val="auto"/>
        </w:rPr>
      </w:pPr>
    </w:p>
    <w:p>
      <w:pPr>
        <w:ind w:left="860" w:right="3599" w:hanging="430"/>
        <w:spacing w:after="0" w:line="255" w:lineRule="auto"/>
        <w:rPr>
          <w:sz w:val="20"/>
          <w:szCs w:val="20"/>
          <w:color w:val="auto"/>
        </w:rPr>
      </w:pPr>
      <w:r>
        <w:rPr>
          <w:rFonts w:ascii="Courier New" w:cs="Courier New" w:eastAsia="Courier New" w:hAnsi="Courier New"/>
          <w:sz w:val="14"/>
          <w:szCs w:val="14"/>
          <w:color w:val="auto"/>
        </w:rPr>
        <w:t>32.2 Certification of Chief Financial Officer pursuant to Section 906 of Sarbanes-Oxley Act.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The Company filed a Form 8-K, in response to Items 5 and 7, on April 24, 2003 announcing its first quarter 2003 earnings.</w:t>
      </w:r>
    </w:p>
    <w:p>
      <w:pPr>
        <w:spacing w:after="0" w:line="160"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The Company filed a Form 8-K/A, in response to Items 5, 7 and 9 on May 1, 2003 amending the 8-K filed on April 24, 2003.</w:t>
      </w:r>
    </w:p>
    <w:p>
      <w:pPr>
        <w:spacing w:after="0" w:line="160" w:lineRule="exact"/>
        <w:rPr>
          <w:sz w:val="20"/>
          <w:szCs w:val="20"/>
          <w:color w:val="auto"/>
        </w:rPr>
      </w:pPr>
    </w:p>
    <w:p>
      <w:pPr>
        <w:ind w:left="440" w:right="3419"/>
        <w:spacing w:after="0" w:line="252" w:lineRule="auto"/>
        <w:rPr>
          <w:sz w:val="20"/>
          <w:szCs w:val="20"/>
          <w:color w:val="auto"/>
        </w:rPr>
      </w:pPr>
      <w:r>
        <w:rPr>
          <w:rFonts w:ascii="Courier New" w:cs="Courier New" w:eastAsia="Courier New" w:hAnsi="Courier New"/>
          <w:sz w:val="14"/>
          <w:szCs w:val="14"/>
          <w:color w:val="auto"/>
        </w:rPr>
        <w:t>The Company filed a Form 8-K, in response to Items 5 and 7, on May 2, 2003 announcing it acquired SKF's component manufacturing operation in Veenendaal, The Netherlands.</w:t>
      </w:r>
    </w:p>
    <w:p>
      <w:pPr>
        <w:spacing w:after="0" w:line="163"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The Company filed a Form 8-K, in response to Items 5 and 7, on May 2, 2003 announcing it purchased SKF's interest in NN Euroball ApS.</w:t>
      </w:r>
    </w:p>
    <w:p>
      <w:pPr>
        <w:spacing w:after="0" w:line="160"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The Company filed a Form 8-K, in response to Items 5 and 7, on May 2, 2003 announcing it has filed with the Securities and Exchange Commission a prospectus, consisting of a prospectus supplement dated May 2, 2003, together with a base prospectus dated February 11, 2003, which relates to the Company's sale of 700,000 shares of its Common Stock.</w:t>
      </w:r>
    </w:p>
    <w:p>
      <w:pPr>
        <w:spacing w:after="0" w:line="165"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The Company filed a Form 8-K, in response to Items 5 and 7, on May 5, 2003 announcing a public offering of the Company's common stock.</w:t>
      </w:r>
    </w:p>
    <w:p>
      <w:pPr>
        <w:spacing w:after="0" w:line="160"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The Company filed a Form 8-K, in response to Items 2 and 7, on May 16, 2003 announcing additional details related to the acquisition of SKF's Veenendaal, The Netherlands component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manufacturing operation and filing the Asset Purchase Agreement.</w:t>
      </w:r>
    </w:p>
    <w:p>
      <w:pPr>
        <w:spacing w:after="0" w:line="173"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The Company filed a Form 8-K, in response to Items 5 and 7, on May 16, 2003 in order to furnish certain exhibits for incorporation by reference into the Registration Statement.</w:t>
      </w:r>
    </w:p>
    <w:p>
      <w:pPr>
        <w:spacing w:after="0" w:line="163"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The Company filed a Form 8-K, in response to Items 5 and 7, on May 16, 2003 announcing the completion of a public offering of the Company's common stock.</w:t>
      </w:r>
    </w:p>
    <w:p>
      <w:pPr>
        <w:spacing w:after="0" w:line="163" w:lineRule="exact"/>
        <w:rPr>
          <w:sz w:val="20"/>
          <w:szCs w:val="20"/>
          <w:color w:val="auto"/>
        </w:rPr>
      </w:pPr>
    </w:p>
    <w:p>
      <w:pPr>
        <w:ind w:left="440" w:right="3339"/>
        <w:spacing w:after="0" w:line="255" w:lineRule="auto"/>
        <w:rPr>
          <w:sz w:val="20"/>
          <w:szCs w:val="20"/>
          <w:color w:val="auto"/>
        </w:rPr>
      </w:pPr>
      <w:r>
        <w:rPr>
          <w:rFonts w:ascii="Courier New" w:cs="Courier New" w:eastAsia="Courier New" w:hAnsi="Courier New"/>
          <w:sz w:val="14"/>
          <w:szCs w:val="14"/>
          <w:color w:val="auto"/>
        </w:rPr>
        <w:t>The Company filed a Form 8-K, in response to Items 5 and 7, on May 23, 2003 announcing the exercise of an over-allotment option by underwriters.</w:t>
      </w:r>
    </w:p>
    <w:p>
      <w:pPr>
        <w:spacing w:after="0" w:line="160"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The Company furnished a Form 8-K, in response to Items 7 and 9, on May 27, 2003 announcing the payment of a regular quarterly cash dividend.</w:t>
      </w:r>
    </w:p>
    <w:p>
      <w:pPr>
        <w:spacing w:after="0" w:line="160" w:lineRule="exact"/>
        <w:rPr>
          <w:sz w:val="20"/>
          <w:szCs w:val="20"/>
          <w:color w:val="auto"/>
        </w:rPr>
      </w:pPr>
    </w:p>
    <w:p>
      <w:pPr>
        <w:jc w:val="both"/>
        <w:ind w:left="440" w:right="3679"/>
        <w:spacing w:after="0" w:line="252" w:lineRule="auto"/>
        <w:rPr>
          <w:sz w:val="20"/>
          <w:szCs w:val="20"/>
          <w:color w:val="auto"/>
        </w:rPr>
      </w:pPr>
      <w:r>
        <w:rPr>
          <w:rFonts w:ascii="Courier New" w:cs="Courier New" w:eastAsia="Courier New" w:hAnsi="Courier New"/>
          <w:sz w:val="14"/>
          <w:szCs w:val="14"/>
          <w:color w:val="auto"/>
        </w:rPr>
        <w:t>The Company filed a Form 8-K, in response to Items 5 and 7, on June 12, 2003 announcing the appointment of Robert M. Aiken Jr. to its Board of Directors.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9678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NN, Inc.</w:t>
      </w:r>
    </w:p>
    <w:p>
      <w:pPr>
        <w:spacing w:after="0" w:line="17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(Registrant)</w:t>
      </w:r>
    </w:p>
    <w:p>
      <w:pPr>
        <w:sectPr>
          <w:pgSz w:w="11900" w:h="16855" w:orient="portrait"/>
          <w:cols w:equalWidth="0" w:num="1">
            <w:col w:w="10239"/>
          </w:cols>
          <w:pgMar w:left="220" w:top="307" w:right="1440" w:bottom="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2004</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Roderick R. Baty,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Chairman, President and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55" w:orient="portrait"/>
          <w:cols w:equalWidth="0" w:num="3">
            <w:col w:w="440" w:space="340"/>
            <w:col w:w="3340" w:space="720"/>
            <w:col w:w="5399"/>
          </w:cols>
          <w:pgMar w:left="220" w:top="307" w:right="1440" w:bottom="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2004</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 David L. Dyckman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Corporate Development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(Principal Financial Officer)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(Duly Authorized Officer)</w:t>
      </w:r>
    </w:p>
    <w:p>
      <w:pPr>
        <w:sectPr>
          <w:pgSz w:w="11900" w:h="16855" w:orient="portrait"/>
          <w:cols w:equalWidth="0" w:num="3">
            <w:col w:w="440" w:space="340"/>
            <w:col w:w="2720" w:space="720"/>
            <w:col w:w="6019"/>
          </w:cols>
          <w:pgMar w:left="220" w:top="307" w:right="1440" w:bottom="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30,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 Secretary and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Chief Administrative Officer</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(Duly Authorized Officer)</w:t>
      </w:r>
    </w:p>
    <w:p>
      <w:pPr>
        <w:spacing w:after="0" w:line="200" w:lineRule="exact"/>
        <w:rPr>
          <w:sz w:val="20"/>
          <w:szCs w:val="20"/>
          <w:color w:val="auto"/>
        </w:rPr>
      </w:pPr>
    </w:p>
    <w:p>
      <w:pPr>
        <w:sectPr>
          <w:pgSz w:w="11900" w:h="16838" w:orient="portrait"/>
          <w:cols w:equalWidth="0" w:num="3">
            <w:col w:w="440" w:space="340"/>
            <w:col w:w="3160" w:space="720"/>
            <w:col w:w="5579"/>
          </w:cols>
          <w:pgMar w:left="220" w:top="3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307" w:right="1440" w:bottom="1440" w:gutter="0" w:footer="0" w:header="0"/>
          <w:type w:val="continuous"/>
        </w:sectPr>
      </w:pPr>
    </w:p>
    <w:bookmarkStart w:id="24" w:name="page25"/>
    <w:bookmarkEnd w:id="24"/>
    <w:p>
      <w:pPr>
        <w:ind w:left="5081"/>
        <w:spacing w:after="0"/>
        <w:rPr>
          <w:sz w:val="20"/>
          <w:szCs w:val="20"/>
          <w:color w:val="auto"/>
        </w:rPr>
      </w:pPr>
      <w:r>
        <w:rPr>
          <w:rFonts w:ascii="Courier New" w:cs="Courier New" w:eastAsia="Courier New" w:hAnsi="Courier New"/>
          <w:sz w:val="14"/>
          <w:szCs w:val="14"/>
          <w:color w:val="auto"/>
        </w:rPr>
        <w:t>Exhibit 31.1</w:t>
      </w:r>
    </w:p>
    <w:p>
      <w:pPr>
        <w:spacing w:after="0" w:line="7" w:lineRule="exact"/>
        <w:rPr>
          <w:sz w:val="20"/>
          <w:szCs w:val="20"/>
          <w:color w:val="auto"/>
        </w:rPr>
      </w:pPr>
    </w:p>
    <w:p>
      <w:pPr>
        <w:ind w:left="2421"/>
        <w:spacing w:after="0"/>
        <w:rPr>
          <w:sz w:val="20"/>
          <w:szCs w:val="20"/>
          <w:color w:val="auto"/>
        </w:rPr>
      </w:pPr>
      <w:r>
        <w:rPr>
          <w:rFonts w:ascii="Courier New" w:cs="Courier New" w:eastAsia="Courier New" w:hAnsi="Courier New"/>
          <w:sz w:val="14"/>
          <w:szCs w:val="14"/>
          <w:b w:val="1"/>
          <w:bCs w:val="1"/>
          <w:color w:val="auto"/>
        </w:rPr>
        <w:t>CERTIFICATIONS</w:t>
      </w:r>
    </w:p>
    <w:p>
      <w:pPr>
        <w:spacing w:after="0" w:line="173" w:lineRule="exact"/>
        <w:rPr>
          <w:sz w:val="20"/>
          <w:szCs w:val="20"/>
          <w:color w:val="auto"/>
        </w:rPr>
      </w:pPr>
    </w:p>
    <w:p>
      <w:pPr>
        <w:ind w:left="421"/>
        <w:spacing w:after="0"/>
        <w:rPr>
          <w:sz w:val="20"/>
          <w:szCs w:val="20"/>
          <w:color w:val="auto"/>
        </w:rPr>
      </w:pPr>
      <w:r>
        <w:rPr>
          <w:rFonts w:ascii="Courier New" w:cs="Courier New" w:eastAsia="Courier New" w:hAnsi="Courier New"/>
          <w:sz w:val="14"/>
          <w:szCs w:val="14"/>
          <w:color w:val="auto"/>
        </w:rPr>
        <w:t>I, Roderick R. Baty, certify that:</w:t>
      </w:r>
    </w:p>
    <w:p>
      <w:pPr>
        <w:spacing w:after="0" w:line="173" w:lineRule="exact"/>
        <w:rPr>
          <w:sz w:val="20"/>
          <w:szCs w:val="20"/>
          <w:color w:val="auto"/>
        </w:rPr>
      </w:pPr>
    </w:p>
    <w:p>
      <w:pPr>
        <w:ind w:left="861" w:hanging="430"/>
        <w:spacing w:after="0"/>
        <w:tabs>
          <w:tab w:leader="none" w:pos="861"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10-Q/A of NN, Inc.;</w:t>
      </w:r>
    </w:p>
    <w:p>
      <w:pPr>
        <w:spacing w:after="0" w:line="172" w:lineRule="exact"/>
        <w:rPr>
          <w:rFonts w:ascii="Courier New" w:cs="Courier New" w:eastAsia="Courier New" w:hAnsi="Courier New"/>
          <w:sz w:val="14"/>
          <w:szCs w:val="14"/>
          <w:color w:val="auto"/>
        </w:rPr>
      </w:pPr>
    </w:p>
    <w:p>
      <w:pPr>
        <w:ind w:left="861" w:right="3599" w:hanging="430"/>
        <w:spacing w:after="0" w:line="251" w:lineRule="auto"/>
        <w:tabs>
          <w:tab w:leader="none" w:pos="861"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ind w:left="861" w:right="3419" w:hanging="430"/>
        <w:spacing w:after="0" w:line="251" w:lineRule="auto"/>
        <w:tabs>
          <w:tab w:leader="none" w:pos="861"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ind w:left="861" w:right="3419" w:hanging="430"/>
        <w:spacing w:after="0" w:line="250" w:lineRule="auto"/>
        <w:tabs>
          <w:tab w:leader="none" w:pos="861"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w:t>
      </w:r>
    </w:p>
    <w:p>
      <w:pPr>
        <w:spacing w:after="0" w:line="1" w:lineRule="exact"/>
        <w:rPr>
          <w:rFonts w:ascii="Courier New" w:cs="Courier New" w:eastAsia="Courier New" w:hAnsi="Courier New"/>
          <w:sz w:val="14"/>
          <w:szCs w:val="14"/>
          <w:color w:val="auto"/>
        </w:rPr>
      </w:pPr>
    </w:p>
    <w:p>
      <w:pPr>
        <w:ind w:left="86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15d-15(e)) for the registrant and have:</w:t>
      </w:r>
    </w:p>
    <w:p>
      <w:pPr>
        <w:spacing w:after="0" w:line="172" w:lineRule="exact"/>
        <w:rPr>
          <w:rFonts w:ascii="Courier New" w:cs="Courier New" w:eastAsia="Courier New" w:hAnsi="Courier New"/>
          <w:sz w:val="14"/>
          <w:szCs w:val="14"/>
          <w:color w:val="auto"/>
        </w:rPr>
      </w:pPr>
    </w:p>
    <w:p>
      <w:pPr>
        <w:ind w:left="1301" w:right="3339" w:hanging="440"/>
        <w:spacing w:after="0" w:line="251" w:lineRule="auto"/>
        <w:tabs>
          <w:tab w:leader="none" w:pos="1301"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ind w:left="1301" w:right="3519" w:hanging="440"/>
        <w:spacing w:after="0" w:line="251" w:lineRule="auto"/>
        <w:tabs>
          <w:tab w:leader="none" w:pos="1301"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1301" w:right="3419" w:hanging="440"/>
        <w:spacing w:after="0" w:line="251" w:lineRule="auto"/>
        <w:tabs>
          <w:tab w:leader="none" w:pos="1301"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ind w:left="421" w:right="3339" w:hanging="421"/>
        <w:spacing w:after="0" w:line="251" w:lineRule="auto"/>
        <w:tabs>
          <w:tab w:leader="none" w:pos="42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ind w:left="1301" w:right="3419" w:hanging="440"/>
        <w:spacing w:after="0" w:line="251" w:lineRule="auto"/>
        <w:tabs>
          <w:tab w:leader="none" w:pos="1301" w:val="left"/>
        </w:tabs>
        <w:numPr>
          <w:ilvl w:val="2"/>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Courier New" w:cs="Courier New" w:eastAsia="Courier New" w:hAnsi="Courier New"/>
          <w:sz w:val="14"/>
          <w:szCs w:val="14"/>
          <w:color w:val="auto"/>
        </w:rPr>
      </w:pPr>
    </w:p>
    <w:p>
      <w:pPr>
        <w:ind w:left="1301" w:right="3339" w:hanging="440"/>
        <w:spacing w:after="0" w:line="252" w:lineRule="auto"/>
        <w:tabs>
          <w:tab w:leader="none" w:pos="1301" w:val="left"/>
        </w:tabs>
        <w:numPr>
          <w:ilvl w:val="2"/>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341"/>
        <w:spacing w:after="0"/>
        <w:tabs>
          <w:tab w:leader="none" w:pos="1101"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January 30, 2004</w:t>
      </w:r>
    </w:p>
    <w:p>
      <w:pPr>
        <w:spacing w:after="0" w:line="200" w:lineRule="exact"/>
        <w:rPr>
          <w:sz w:val="20"/>
          <w:szCs w:val="20"/>
          <w:color w:val="auto"/>
        </w:rPr>
      </w:pPr>
    </w:p>
    <w:p>
      <w:pPr>
        <w:spacing w:after="0" w:line="304" w:lineRule="exact"/>
        <w:rPr>
          <w:sz w:val="20"/>
          <w:szCs w:val="20"/>
          <w:color w:val="auto"/>
        </w:rPr>
      </w:pPr>
    </w:p>
    <w:p>
      <w:pPr>
        <w:ind w:left="3021"/>
        <w:spacing w:after="0"/>
        <w:rPr>
          <w:sz w:val="20"/>
          <w:szCs w:val="20"/>
          <w:color w:val="auto"/>
        </w:rPr>
      </w:pPr>
      <w:r>
        <w:rPr>
          <w:rFonts w:ascii="Courier New" w:cs="Courier New" w:eastAsia="Courier New" w:hAnsi="Courier New"/>
          <w:sz w:val="14"/>
          <w:szCs w:val="14"/>
          <w:color w:val="auto"/>
        </w:rPr>
        <w:t>/s/ Roderick R. Baty</w:t>
      </w:r>
    </w:p>
    <w:p>
      <w:pPr>
        <w:spacing w:after="0" w:line="7" w:lineRule="exact"/>
        <w:rPr>
          <w:sz w:val="20"/>
          <w:szCs w:val="20"/>
          <w:color w:val="auto"/>
        </w:rPr>
      </w:pPr>
    </w:p>
    <w:p>
      <w:pPr>
        <w:ind w:left="302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1"/>
        <w:spacing w:after="0"/>
        <w:rPr>
          <w:sz w:val="20"/>
          <w:szCs w:val="20"/>
          <w:color w:val="auto"/>
        </w:rPr>
      </w:pPr>
      <w:r>
        <w:rPr>
          <w:rFonts w:ascii="Courier New" w:cs="Courier New" w:eastAsia="Courier New" w:hAnsi="Courier New"/>
          <w:sz w:val="14"/>
          <w:szCs w:val="14"/>
          <w:color w:val="auto"/>
        </w:rPr>
        <w:t>Roderick R. Baty</w:t>
      </w:r>
    </w:p>
    <w:p>
      <w:pPr>
        <w:spacing w:after="0" w:line="7" w:lineRule="exact"/>
        <w:rPr>
          <w:sz w:val="20"/>
          <w:szCs w:val="20"/>
          <w:color w:val="auto"/>
        </w:rPr>
      </w:pPr>
    </w:p>
    <w:p>
      <w:pPr>
        <w:ind w:left="3101"/>
        <w:spacing w:after="0"/>
        <w:rPr>
          <w:sz w:val="20"/>
          <w:szCs w:val="20"/>
          <w:color w:val="auto"/>
        </w:rPr>
      </w:pPr>
      <w:r>
        <w:rPr>
          <w:rFonts w:ascii="Courier New" w:cs="Courier New" w:eastAsia="Courier New" w:hAnsi="Courier New"/>
          <w:sz w:val="14"/>
          <w:szCs w:val="14"/>
          <w:color w:val="auto"/>
        </w:rPr>
        <w:t>Chairman, President and</w:t>
      </w:r>
    </w:p>
    <w:p>
      <w:pPr>
        <w:spacing w:after="0" w:line="7" w:lineRule="exact"/>
        <w:rPr>
          <w:sz w:val="20"/>
          <w:szCs w:val="20"/>
          <w:color w:val="auto"/>
        </w:rPr>
      </w:pPr>
    </w:p>
    <w:p>
      <w:pPr>
        <w:ind w:left="3101"/>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9800"/>
          </w:cols>
          <w:pgMar w:left="659" w:top="804" w:right="1440" w:bottom="1440" w:gutter="0" w:footer="0" w:header="0"/>
        </w:sectPr>
      </w:pPr>
    </w:p>
    <w:bookmarkStart w:id="25" w:name="page26"/>
    <w:bookmarkEnd w:id="25"/>
    <w:p>
      <w:pPr>
        <w:ind w:left="4820"/>
        <w:spacing w:after="0"/>
        <w:rPr>
          <w:sz w:val="20"/>
          <w:szCs w:val="20"/>
          <w:color w:val="auto"/>
        </w:rPr>
      </w:pPr>
      <w:r>
        <w:rPr>
          <w:rFonts w:ascii="Courier New" w:cs="Courier New" w:eastAsia="Courier New" w:hAnsi="Courier New"/>
          <w:sz w:val="14"/>
          <w:szCs w:val="14"/>
          <w:color w:val="auto"/>
        </w:rPr>
        <w:t>Exhibit 31.2</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b w:val="1"/>
          <w:bCs w:val="1"/>
          <w:color w:val="auto"/>
        </w:rPr>
        <w:t>CERTIFICATIONS</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 David L. Dyckman, certify that:</w:t>
      </w:r>
    </w:p>
    <w:p>
      <w:pPr>
        <w:spacing w:after="0" w:line="173" w:lineRule="exact"/>
        <w:rPr>
          <w:sz w:val="20"/>
          <w:szCs w:val="20"/>
          <w:color w:val="auto"/>
        </w:rPr>
      </w:pPr>
    </w:p>
    <w:p>
      <w:pPr>
        <w:ind w:left="520" w:hanging="430"/>
        <w:spacing w:after="0"/>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10-Q/A of NN, Inc.;</w:t>
      </w:r>
    </w:p>
    <w:p>
      <w:pPr>
        <w:spacing w:after="0" w:line="172" w:lineRule="exact"/>
        <w:rPr>
          <w:rFonts w:ascii="Courier New" w:cs="Courier New" w:eastAsia="Courier New" w:hAnsi="Courier New"/>
          <w:sz w:val="14"/>
          <w:szCs w:val="14"/>
          <w:color w:val="auto"/>
        </w:rPr>
      </w:pPr>
    </w:p>
    <w:p>
      <w:pPr>
        <w:ind w:left="-340" w:right="3419" w:firstLine="430"/>
        <w:spacing w:after="0" w:line="251"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ind w:left="-340" w:right="3519" w:firstLine="430"/>
        <w:spacing w:after="0" w:line="251"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Courier New" w:cs="Courier New" w:eastAsia="Courier New" w:hAnsi="Courier New"/>
          <w:sz w:val="14"/>
          <w:szCs w:val="14"/>
          <w:color w:val="auto"/>
        </w:rPr>
      </w:pPr>
    </w:p>
    <w:p>
      <w:pPr>
        <w:ind w:left="-340" w:right="3519" w:firstLine="430"/>
        <w:spacing w:after="0" w:line="252"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520" w:right="3419" w:hanging="430"/>
        <w:spacing w:after="0" w:line="251"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ind w:left="520" w:right="3599" w:hanging="430"/>
        <w:spacing w:after="0" w:line="251"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520" w:right="3419" w:hanging="430"/>
        <w:spacing w:after="0" w:line="251"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left="-340" w:right="3599" w:firstLine="430"/>
        <w:spacing w:after="0" w:line="251" w:lineRule="auto"/>
        <w:tabs>
          <w:tab w:leader="none" w:pos="3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left="520" w:right="3419" w:hanging="430"/>
        <w:spacing w:after="0" w:line="251" w:lineRule="auto"/>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sz w:val="20"/>
          <w:szCs w:val="20"/>
          <w:color w:val="auto"/>
        </w:rPr>
      </w:pPr>
    </w:p>
    <w:p>
      <w:pPr>
        <w:jc w:val="both"/>
        <w:ind w:left="520" w:right="3519" w:hanging="430"/>
        <w:spacing w:after="0" w:line="252" w:lineRule="auto"/>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January 30, 2004</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 David L. Dyckman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David L. Dyckman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9459"/>
          </w:cols>
          <w:pgMar w:left="1000" w:top="307" w:right="1440" w:bottom="1440" w:gutter="0" w:footer="0" w:header="0"/>
        </w:sectPr>
      </w:pPr>
    </w:p>
    <w:bookmarkStart w:id="26" w:name="page27"/>
    <w:bookmarkEnd w:id="26"/>
    <w:p>
      <w:pPr>
        <w:ind w:left="5700"/>
        <w:spacing w:after="0"/>
        <w:rPr>
          <w:sz w:val="20"/>
          <w:szCs w:val="20"/>
          <w:color w:val="auto"/>
        </w:rPr>
      </w:pPr>
      <w:r>
        <w:rPr>
          <w:rFonts w:ascii="Courier New" w:cs="Courier New" w:eastAsia="Courier New" w:hAnsi="Courier New"/>
          <w:sz w:val="14"/>
          <w:szCs w:val="14"/>
          <w:color w:val="auto"/>
        </w:rPr>
        <w:t>Exhibit 32.1</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CERTIFICATION OF CHIEF EXECUTIVE OFFICER PURSUANT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TO SECTION 906 OF THE SARBANES-OXLEY ACT OF 2002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Quarterly Report of NN, Inc. (the "Company") on Form 10-Q/A for the interim period ended June 30,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2004</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ectPr>
          <w:pgSz w:w="11900" w:h="16838" w:orient="portrait"/>
          <w:cols w:equalWidth="0" w:num="3">
            <w:col w:w="440" w:space="180"/>
            <w:col w:w="4000" w:space="720"/>
            <w:col w:w="4899"/>
          </w:cols>
          <w:pgMar w:left="220" w:top="307" w:right="1440" w:bottom="1440" w:gutter="0" w:footer="0" w:header="0"/>
          <w:type w:val="continuous"/>
        </w:sectPr>
      </w:pPr>
    </w:p>
    <w:p>
      <w:pPr>
        <w:spacing w:after="0" w:line="1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307" w:right="1440" w:bottom="1440" w:gutter="0" w:footer="0" w:header="0"/>
          <w:type w:val="continuous"/>
        </w:sectPr>
      </w:pPr>
    </w:p>
    <w:bookmarkStart w:id="27" w:name="page28"/>
    <w:bookmarkEnd w:id="27"/>
    <w:p>
      <w:pPr>
        <w:ind w:left="5600"/>
        <w:spacing w:after="0"/>
        <w:rPr>
          <w:sz w:val="20"/>
          <w:szCs w:val="20"/>
          <w:color w:val="auto"/>
        </w:rPr>
      </w:pPr>
      <w:r>
        <w:rPr>
          <w:rFonts w:ascii="Courier New" w:cs="Courier New" w:eastAsia="Courier New" w:hAnsi="Courier New"/>
          <w:sz w:val="14"/>
          <w:szCs w:val="14"/>
          <w:color w:val="auto"/>
        </w:rPr>
        <w:t>Exhibit 32.2</w:t>
      </w:r>
    </w:p>
    <w:p>
      <w:pPr>
        <w:spacing w:after="0" w:line="200" w:lineRule="exact"/>
        <w:rPr>
          <w:sz w:val="20"/>
          <w:szCs w:val="20"/>
          <w:color w:val="auto"/>
        </w:rPr>
      </w:pPr>
    </w:p>
    <w:p>
      <w:pPr>
        <w:spacing w:after="0" w:line="30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CERTIFICATION OF CHIEF FINANCIAL OFFICER PURSUANT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TO SECTION 906 OF THE SARBANES-OXLEY ACT OF 2002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Quarterly Report of NN, Inc. (the "Company") on Form 10-Q/A for the interim period ended June 30,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473"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2004</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sectPr>
          <w:pgSz w:w="11900" w:h="16838" w:orient="portrait"/>
          <w:cols w:equalWidth="0" w:num="3">
            <w:col w:w="440" w:space="180"/>
            <w:col w:w="4000" w:space="720"/>
            <w:col w:w="4899"/>
          </w:cols>
          <w:pgMar w:left="220" w:top="473" w:right="1440" w:bottom="1440" w:gutter="0" w:footer="0" w:header="0"/>
          <w:type w:val="continuous"/>
        </w:sectPr>
      </w:pPr>
    </w:p>
    <w:p>
      <w:pPr>
        <w:ind w:right="3599"/>
        <w:spacing w:after="0" w:line="252"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47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o"/>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o"/>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216231B"/>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lowerLetter"/>
      <w:start w:val="4"/>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2019-12-14T02:36:01Z</dcterms:created>
  <dcterms:modified xsi:type="dcterms:W3CDTF">2019-12-14T02:36:01Z</dcterms:modified>
</cp:coreProperties>
</file>