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August 3,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drawing>
          <wp:inline distT="0" distB="0" distL="0" distR="0">
            <wp:extent cx="4381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438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bidi w:val="0"/>
        <w:spacing w:before="0" w:after="0"/>
        <w:jc w:val="center"/>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 2023, NN, Inc. (the “Company”) issued a press release announcing the Company’s financial results for the quarter ended June 30, 2023. The full text of the press release is furnished as Exhibit 99.1 to this Current Report on Form 8-K (the "Current Report").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60"/>
        <w:ind w:left="0" w:right="0" w:hanging="1170"/>
        <w:jc w:val="left"/>
        <w:rPr/>
      </w:pPr>
      <w:r>
        <w:rPr/>
      </w:r>
    </w:p>
    <w:p>
      <w:pPr>
        <w:pStyle w:val="TextBody"/>
        <w:bidi w:val="0"/>
        <w:spacing w:lineRule="auto" w:line="288" w:before="0" w:after="6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6"/>
        <w:gridCol w:w="1926"/>
        <w:gridCol w:w="274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3-q2.htm">
              <w:r>
                <w:rPr>
                  <w:rStyle w:val="InternetLink"/>
                  <w:rFonts w:ascii="Times New Roman;sans-serif" w:hAnsi="Times New Roman;sans-serif"/>
                  <w:b w:val="false"/>
                  <w:color w:val="0000FF"/>
                  <w:sz w:val="20"/>
                  <w:u w:val="single"/>
                </w:rPr>
                <w:t>Press Release issued by NN, Inc., dated August 3,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r>
    </w:tbl>
    <w:p>
      <w:pPr>
        <w:pStyle w:val="TextBody"/>
        <w:bidi w:val="0"/>
        <w:spacing w:before="0" w:after="0"/>
        <w:ind w:left="0" w:right="0" w:firstLine="495"/>
        <w:jc w:val="left"/>
        <w:rPr/>
      </w:pPr>
      <w:r>
        <w:rPr/>
      </w:r>
    </w:p>
    <w:tbl>
      <w:tblPr>
        <w:tblW w:w="487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143"/>
        <w:gridCol w:w="1143"/>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9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0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57" w:type="dxa"/>
        <w:jc w:val="left"/>
        <w:tblInd w:w="0" w:type="dxa"/>
        <w:tblLayout w:type="fixed"/>
        <w:tblCellMar>
          <w:top w:w="28" w:type="dxa"/>
          <w:left w:w="28" w:type="dxa"/>
          <w:bottom w:w="28" w:type="dxa"/>
          <w:right w:w="28" w:type="dxa"/>
        </w:tblCellMar>
      </w:tblPr>
      <w:tblGrid>
        <w:gridCol w:w="852"/>
        <w:gridCol w:w="749"/>
        <w:gridCol w:w="750"/>
        <w:gridCol w:w="1027"/>
        <w:gridCol w:w="1027"/>
        <w:gridCol w:w="1452"/>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1400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28750" cy="1400175"/>
                          </a:xfrm>
                          <a:prstGeom prst="rect">
                            <a:avLst/>
                          </a:prstGeom>
                        </pic:spPr>
                      </pic:pic>
                    </a:graphicData>
                  </a:graphic>
                </wp:inline>
              </w:drawing>
            </w:r>
          </w:p>
        </w:tc>
        <w:tc>
          <w:tcPr>
            <w:tcW w:w="35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43125" cy="685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143125" cy="685800"/>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NN, Inc.</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6210 Ardrey Kell Road, Suite 600</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Charlotte, NC 28277</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NN, INC. REPORTS FINANCIAL RESULTS FOR SECOND QUARTER 2023</w:t>
      </w:r>
    </w:p>
    <w:p>
      <w:pPr>
        <w:pStyle w:val="TextBody"/>
        <w:bidi w:val="0"/>
        <w:spacing w:before="0" w:after="0"/>
        <w:jc w:val="center"/>
        <w:rPr/>
      </w:pPr>
      <w:r>
        <w:rPr/>
      </w:r>
    </w:p>
    <w:p>
      <w:pPr>
        <w:pStyle w:val="TextBody"/>
        <w:bidi w:val="0"/>
        <w:spacing w:lineRule="auto" w:line="276" w:before="0" w:after="0"/>
        <w:jc w:val="center"/>
        <w:rPr>
          <w:rFonts w:ascii="Calibri;sans-serif" w:hAnsi="Calibri;sans-serif"/>
          <w:b w:val="false"/>
          <w:i/>
          <w:color w:val="000000"/>
          <w:sz w:val="22"/>
        </w:rPr>
      </w:pPr>
      <w:r>
        <w:rPr>
          <w:rFonts w:ascii="Calibri;sans-serif" w:hAnsi="Calibri;sans-serif"/>
          <w:b w:val="false"/>
          <w:i/>
          <w:color w:val="000000"/>
          <w:sz w:val="22"/>
        </w:rPr>
        <w:t xml:space="preserve">Business transformation fully underway as enhanced strategic initiatives building momentum </w:t>
      </w:r>
    </w:p>
    <w:p>
      <w:pPr>
        <w:pStyle w:val="TextBody"/>
        <w:bidi w:val="0"/>
        <w:spacing w:before="0" w:after="0"/>
        <w:jc w:val="center"/>
        <w:rPr/>
      </w:pPr>
      <w:r>
        <w:rPr/>
      </w:r>
    </w:p>
    <w:p>
      <w:pPr>
        <w:pStyle w:val="TextBody"/>
        <w:bidi w:val="0"/>
        <w:spacing w:lineRule="auto" w:line="300" w:before="0" w:after="200"/>
        <w:jc w:val="left"/>
        <w:rPr/>
      </w:pPr>
      <w:r>
        <w:rPr>
          <w:rFonts w:ascii="Calibri;sans-serif" w:hAnsi="Calibri;sans-serif"/>
          <w:b/>
          <w:color w:val="000000"/>
          <w:sz w:val="22"/>
        </w:rPr>
        <w:t>CHARLOTTE, N.C., August 3, 2023</w:t>
      </w:r>
      <w:r>
        <w:rPr>
          <w:color w:val="000000"/>
        </w:rPr>
        <w:t xml:space="preserve"> – </w:t>
      </w:r>
      <w:r>
        <w:rPr>
          <w:rFonts w:ascii="Calibri;sans-serif" w:hAnsi="Calibri;sans-serif"/>
          <w:b w:val="false"/>
          <w:color w:val="000000"/>
          <w:sz w:val="22"/>
        </w:rPr>
        <w:t>NN, Inc. (NASDAQ: NNBR), a global diversified industrial company that manufactures high-precision components and assemblies, today reported its financial results for the second quarter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Financial and Strategic Highlights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Net sales of $125.2 million flat versus prior year period;</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Operating loss of $4.0 million and Adjusted EBITDA of $10.5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Free cash flow results of $3.0 million with positive free cash flow generation over the trailing year; </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 xml:space="preserve">Key program wins including attractive wins in EV electric power steering markets;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Revised second half forecast based on softening market conditions;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New leadership executing strategic transformation;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Announced streamlining of Board of Directors;</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Integration of sales and operations teams to accelerate growth and utilize existing capacity;</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Addressing three underperforming facilities and several unprofitable customer agreements; and</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Prioritizing free cash flow generation through operations and cost management.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 xml:space="preserve">Harold Bevis, President and Chief Executive Officer, commented, “Our team has embraced the need for meaningful change and is taking aggressive action to transform the company. Multiple transformation initiatives are underway and are being led by an experienced NN team which has been supplemented by additional talent. The goal is to improve performance faster in both the short-term and long-term. Over the second half of 2023 we are focused on the following: 1) delivering higher rates of new business wins by leveraging existing open capacity and targeted new capacity; 2) containing and eliminating operating losses at a few select plants and within certain customer agreements; 3) installing an evergreen cost productivity and margin expansion regimen; and, lastly 4) investing into the business and delivering net free cash flow.” </w:t>
      </w:r>
    </w:p>
    <w:p>
      <w:pPr>
        <w:pStyle w:val="TextBody"/>
        <w:bidi w:val="0"/>
        <w:spacing w:before="0" w:after="0"/>
        <w:jc w:val="both"/>
        <w:rPr/>
      </w:pPr>
      <w:r>
        <w:rPr/>
      </w:r>
    </w:p>
    <w:p>
      <w:pPr>
        <w:pStyle w:val="TextBody"/>
        <w:bidi w:val="0"/>
        <w:spacing w:lineRule="auto" w:line="300"/>
        <w:jc w:val="both"/>
        <w:rPr>
          <w:rFonts w:ascii="Calibri;sans-serif" w:hAnsi="Calibri;sans-serif"/>
          <w:b w:val="false"/>
          <w:color w:val="000000"/>
          <w:sz w:val="22"/>
        </w:rPr>
      </w:pPr>
      <w:r>
        <w:rPr>
          <w:rFonts w:ascii="Calibri;sans-serif" w:hAnsi="Calibri;sans-serif"/>
          <w:b w:val="false"/>
          <w:color w:val="000000"/>
          <w:sz w:val="22"/>
        </w:rPr>
        <w:t xml:space="preserve">Bevis continued, “NN has unique precision machining and stamping capabilities and a huge global installed base of machinery. We are experts at what we do and a member of a select set of companies that can deliver precision components at a sub-micron level. We have historically been focused on a few long-cycle markets but are expanding our </w:t>
      </w:r>
    </w:p>
    <w:p>
      <w:pPr>
        <w:pStyle w:val="TextBody"/>
        <w:bidi w:val="0"/>
        <w:spacing w:before="0" w:after="20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0815"/>
                <wp:effectExtent l="0" t="0" r="0" b="0"/>
                <wp:wrapNone/>
                <wp:docPr id="7" name="Frame4"/>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w:t>
                      </w:r>
                    </w:p>
                  </w:txbxContent>
                </v:textbox>
                <w10:wrap type="none"/>
              </v:rect>
            </w:pict>
          </mc:Fallback>
        </mc:AlternateContent>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commercial aperture to include multiple other markets that our machines and people can serve including medical, electrification, and next-generation vehicles. Our focus is clear, and we have the right team, platform and capabilities to significantly accelerate our growth and profitability.”</w:t>
      </w:r>
    </w:p>
    <w:p>
      <w:pPr>
        <w:pStyle w:val="TextBody"/>
        <w:bidi w:val="0"/>
        <w:spacing w:before="0" w:after="0"/>
        <w:jc w:val="left"/>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 xml:space="preserve">Michael Felcher, Senior Vice President and Chief Financial Officer, commented, “While our sales were flat compared to last year’s second quarter, the impact of softer, macro-driven volumes was offset by pricing secured by our commercial teams. The impact of facility closures and other cost reductions was evident in our results as our operating income performance improved versus both the prior year period and this year’s first quarter. We delivered $10.5 million of Adjusted EBITDA in the quarter, helping drive solid cash flows from operations. Our strategic transformation efforts are helping position the Company for stronger structural profitability and improved cash returns, as demonstrated through converting our improved operating cash flows into $3.0 million of free cash flow. Encouragingly, we have now generated positive free cash flow over the trailing year and remain focused on incrementally improving these results as we move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Second Quarter GAAP Results</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Net sales were $125.2 million, a decrease of 0.1% from the second quarter of 2022, primarily due to reduced volume and unfavorable foreign exchange effects, partially offset by higher customer pricing.</w:t>
      </w:r>
    </w:p>
    <w:p>
      <w:pPr>
        <w:pStyle w:val="TextBody"/>
        <w:bidi w:val="0"/>
        <w:spacing w:before="0" w:after="0"/>
        <w:jc w:val="left"/>
        <w:rPr/>
      </w:pPr>
      <w:r>
        <w:rPr/>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Loss from operations was $4.0 million compared to a loss from operations of $4.5 million in the second quarter of 2022. The decrease in loss from operations was primarily driven by labor cost reductions and facility closures, offset by lower volumes.</w:t>
      </w:r>
    </w:p>
    <w:p>
      <w:pPr>
        <w:pStyle w:val="TextBody"/>
        <w:bidi w:val="0"/>
        <w:spacing w:before="0" w:after="0"/>
        <w:jc w:val="left"/>
        <w:rPr/>
      </w:pPr>
      <w:r>
        <w:rPr/>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 xml:space="preserve">Income from operations for Power Solutions was $2.6 million compared to income from operations of $1.4 million for the same period in 2022. Loss from operations for Mobile Solutions was $1.5 million compared to income from operations of $1.7 million for the same period in 2022. </w:t>
      </w:r>
    </w:p>
    <w:p>
      <w:pPr>
        <w:pStyle w:val="TextBody"/>
        <w:bidi w:val="0"/>
        <w:spacing w:before="0" w:after="0"/>
        <w:jc w:val="left"/>
        <w:rPr/>
      </w:pPr>
      <w:r>
        <w:rPr/>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Net loss was $14.4 million compared to net loss of $8.6 million for the same period in 2022. The increase in net loss is due to reduced sales volume and unfavorable warrant revaluations, partially offset by pricing in excess of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Second Quarter Adjusted Results</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 xml:space="preserve">Adjusted income from operations for the second quarter of 2023 was $1.3 million compared to adjusted income from operations of $0.1 million for the same period in 2022. Adjusted EBITDA was $10.5 million, or 8.4% of sales, compared to $10.9 million, or 8.7% of sales, for the same period in 2022. Adjusted net loss was $3.3 million, or $0.08 per diluted share, compared to adjusted net loss of $3.6 million, or $0.09 per diluted share, for the same period in 2022. </w:t>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 xml:space="preserve">Free cash flow was a generation of cash of $3.0 million compared to a use of cash of $2.4 million for the same period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pPr>
      <w:r>
        <w:rPr>
          <w:rFonts w:ascii="Calibri;sans-serif" w:hAnsi="Calibri;sans-serif"/>
          <w:b/>
          <w:color w:val="000000"/>
          <w:sz w:val="22"/>
          <w:u w:val="single"/>
        </w:rPr>
        <w:t>Power Solutions</w:t>
      </w:r>
      <w:r>
        <w:rPr>
          <w:color w:val="000000"/>
        </w:rPr>
        <w:t xml:space="preserve"> </w:t>
      </w:r>
    </w:p>
    <w:p>
      <w:pPr>
        <w:pStyle w:val="TextBody"/>
        <w:bidi w:val="0"/>
        <w:spacing w:lineRule="auto" w:line="300" w:before="0" w:after="0"/>
        <w:jc w:val="left"/>
        <w:rPr/>
      </w:pPr>
      <w:r>
        <w:rPr>
          <w:rFonts w:ascii="Calibri;sans-serif" w:hAnsi="Calibri;sans-serif"/>
          <w:b w:val="false"/>
          <w:color w:val="000000"/>
          <w:sz w:val="22"/>
          <w:shd w:fill="FFFFFF" w:val="clear"/>
        </w:rPr>
        <w:t xml:space="preserve">Net sales for the second quarter of </w:t>
      </w:r>
      <w:r>
        <w:rPr>
          <w:rFonts w:ascii="Calibri;sans-serif" w:hAnsi="Calibri;sans-serif"/>
          <w:b w:val="false"/>
          <w:color w:val="000000"/>
          <w:sz w:val="22"/>
        </w:rPr>
        <w:t>2023</w:t>
      </w:r>
      <w:r>
        <w:rPr>
          <w:color w:val="000000"/>
          <w:shd w:fill="FFFFFF" w:val="clear"/>
        </w:rPr>
        <w:t xml:space="preserve"> </w:t>
      </w:r>
      <w:r>
        <w:rPr>
          <w:rFonts w:ascii="Calibri;sans-serif" w:hAnsi="Calibri;sans-serif"/>
          <w:b w:val="false"/>
          <w:color w:val="000000"/>
          <w:sz w:val="22"/>
          <w:shd w:fill="FFFFFF" w:val="clear"/>
        </w:rPr>
        <w:t>w</w:t>
      </w:r>
      <w:r>
        <w:rPr>
          <w:rFonts w:ascii="Calibri;sans-serif" w:hAnsi="Calibri;sans-serif"/>
          <w:b w:val="false"/>
          <w:color w:val="000000"/>
          <w:sz w:val="22"/>
        </w:rPr>
        <w:t>ere $48.1 million compared to $52.0 million in the second quarter of 2022, a decrease of 7.7% or $4.0 million. The decrease in sales was primarily due to lower volume, partially offset by higher pricing and favorable foreign exchange effects. Adjusted income from operations was $5.6 million compared to adjusted income from operations of $4.6 million in the second quarter of 2022. The increase in adjusted income from operations was primarily due to facility closure savings</w:t>
      </w:r>
      <w:r>
        <w:rPr>
          <w:rFonts w:ascii="Calibri;sans-serif" w:hAnsi="Calibri;sans-serif"/>
          <w:b w:val="false"/>
          <w:color w:val="000000"/>
          <w:sz w:val="22"/>
          <w:shd w:fill="FFFFFF" w:val="clear"/>
        </w:rPr>
        <w:t>, partially offset by lower volumes.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Mobile Solutions</w:t>
      </w:r>
    </w:p>
    <w:p>
      <w:pPr>
        <w:pStyle w:val="TextBody"/>
        <w:bidi w:val="0"/>
        <w:spacing w:lineRule="auto" w:line="300"/>
        <w:jc w:val="left"/>
        <w:rPr/>
      </w:pPr>
      <w:r>
        <w:rPr>
          <w:rFonts w:ascii="Calibri;sans-serif" w:hAnsi="Calibri;sans-serif"/>
          <w:b w:val="false"/>
          <w:color w:val="000000"/>
          <w:sz w:val="22"/>
        </w:rPr>
        <w:t>Net sales for the second quarter</w:t>
      </w:r>
      <w:r>
        <w:rPr>
          <w:color w:val="000000"/>
          <w:shd w:fill="FFFFFF" w:val="clear"/>
        </w:rPr>
        <w:t xml:space="preserve"> </w:t>
      </w:r>
      <w:r>
        <w:rPr>
          <w:rFonts w:ascii="Calibri;sans-serif" w:hAnsi="Calibri;sans-serif"/>
          <w:b w:val="false"/>
          <w:color w:val="000000"/>
          <w:sz w:val="22"/>
          <w:shd w:fill="FFFFFF" w:val="clear"/>
        </w:rPr>
        <w:t xml:space="preserve">of </w:t>
      </w:r>
      <w:r>
        <w:rPr>
          <w:rFonts w:ascii="Calibri;sans-serif" w:hAnsi="Calibri;sans-serif"/>
          <w:b w:val="false"/>
          <w:color w:val="000000"/>
          <w:sz w:val="22"/>
        </w:rPr>
        <w:t>2023</w:t>
      </w:r>
      <w:r>
        <w:rPr>
          <w:color w:val="000000"/>
          <w:shd w:fill="FFFFFF" w:val="clear"/>
        </w:rPr>
        <w:t xml:space="preserve"> </w:t>
      </w:r>
      <w:r>
        <w:rPr>
          <w:rFonts w:ascii="Calibri;sans-serif" w:hAnsi="Calibri;sans-serif"/>
          <w:b w:val="false"/>
          <w:color w:val="000000"/>
          <w:sz w:val="22"/>
          <w:shd w:fill="FFFFFF" w:val="clear"/>
        </w:rPr>
        <w:t xml:space="preserve">were </w:t>
      </w:r>
      <w:r>
        <w:rPr>
          <w:rFonts w:ascii="Calibri;sans-serif" w:hAnsi="Calibri;sans-serif"/>
          <w:b w:val="false"/>
          <w:color w:val="000000"/>
          <w:sz w:val="22"/>
        </w:rPr>
        <w:t>$77.2 million</w:t>
      </w:r>
      <w:r>
        <w:rPr>
          <w:color w:val="000000"/>
          <w:shd w:fill="FFFFFF" w:val="clear"/>
        </w:rPr>
        <w:t xml:space="preserve"> </w:t>
      </w:r>
      <w:r>
        <w:rPr>
          <w:rFonts w:ascii="Calibri;sans-serif" w:hAnsi="Calibri;sans-serif"/>
          <w:b w:val="false"/>
          <w:color w:val="000000"/>
          <w:sz w:val="22"/>
          <w:shd w:fill="FFFFFF" w:val="clear"/>
        </w:rPr>
        <w:t>comp</w:t>
      </w:r>
      <w:r>
        <w:rPr>
          <w:rFonts w:ascii="Calibri;sans-serif" w:hAnsi="Calibri;sans-serif"/>
          <w:b w:val="false"/>
          <w:color w:val="000000"/>
          <w:sz w:val="22"/>
        </w:rPr>
        <w:t>ared to $73.4 million in the second quarter of 2022, an increase of 5.2% or $3.8 million. The increase</w:t>
      </w:r>
      <w:r>
        <w:rPr>
          <w:color w:val="000000"/>
        </w:rPr>
        <w:t xml:space="preserve"> </w:t>
      </w:r>
      <w:r>
        <w:rPr>
          <w:rFonts w:ascii="Calibri;sans-serif" w:hAnsi="Calibri;sans-serif"/>
          <w:b w:val="false"/>
          <w:color w:val="000000"/>
          <w:sz w:val="22"/>
        </w:rPr>
        <w:t>in sales was primarily due to higher customer pricing, partially offset by lower volume and unfavorable foreign exchange effects.</w:t>
      </w:r>
      <w:r>
        <w:rPr>
          <w:color w:val="000000"/>
        </w:rPr>
        <w:t xml:space="preserve"> </w:t>
      </w:r>
      <w:r>
        <w:rPr>
          <w:rFonts w:ascii="Calibri;sans-serif" w:hAnsi="Calibri;sans-serif"/>
          <w:b w:val="false"/>
          <w:color w:val="000000"/>
          <w:sz w:val="22"/>
        </w:rPr>
        <w:t xml:space="preserve">Adjusted income from operations was $0.2 million compared to </w:t>
      </w:r>
    </w:p>
    <w:p>
      <w:pPr>
        <w:pStyle w:val="TextBody"/>
        <w:bidi w:val="0"/>
        <w:spacing w:before="0" w:after="2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0815"/>
                <wp:effectExtent l="0" t="0" r="0" b="0"/>
                <wp:wrapNone/>
                <wp:docPr id="8" name="Frame5"/>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2</w:t>
                      </w:r>
                    </w:p>
                  </w:txbxContent>
                </v:textbox>
                <w10:wrap type="none"/>
              </v:rect>
            </w:pict>
          </mc:Fallback>
        </mc:AlternateContent>
      </w:r>
    </w:p>
    <w:p>
      <w:pPr>
        <w:pStyle w:val="TextBody"/>
        <w:bidi w:val="0"/>
        <w:spacing w:lineRule="auto" w:line="300" w:before="0" w:after="0"/>
        <w:jc w:val="left"/>
        <w:rPr/>
      </w:pPr>
      <w:r>
        <w:rPr>
          <w:rFonts w:ascii="Calibri;sans-serif" w:hAnsi="Calibri;sans-serif"/>
          <w:b w:val="false"/>
          <w:color w:val="000000"/>
          <w:sz w:val="22"/>
        </w:rPr>
        <w:t>adjusted income from operations of $2.6 million in the second quarter of 2022. The decrease in adjusted income from operations was primarily driven by</w:t>
      </w:r>
      <w:r>
        <w:rPr>
          <w:color w:val="000000"/>
          <w:shd w:fill="FFFFFF" w:val="clear"/>
        </w:rPr>
        <w:t xml:space="preserve"> </w:t>
      </w:r>
      <w:r>
        <w:rPr>
          <w:rFonts w:ascii="Calibri;sans-serif" w:hAnsi="Calibri;sans-serif"/>
          <w:b w:val="false"/>
          <w:color w:val="000000"/>
          <w:sz w:val="22"/>
          <w:shd w:fill="FFFFFF" w:val="clear"/>
        </w:rPr>
        <w:t>volume reductions and a favorable customer settlement in the prior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2023 Outlook</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Based on results for the first half of the year, as well as expectations for the remainder of the year, the Company has revised its expectations for financial results for the full year as follows:</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Revenue in the range of $485 million to $505 million;</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Adjusted EBITDA in the range of $40 million to $46 million; and</w:t>
      </w:r>
    </w:p>
    <w:p>
      <w:pPr>
        <w:pStyle w:val="TextBody"/>
        <w:bidi w:val="0"/>
        <w:spacing w:lineRule="auto" w:line="300" w:before="0" w:after="0"/>
        <w:ind w:left="0" w:right="0" w:hanging="360"/>
        <w:jc w:val="left"/>
        <w:rPr/>
      </w:pPr>
      <w:r>
        <w:rPr>
          <w:color w:val="000000"/>
          <w:shd w:fill="FFFFFF" w:val="clear"/>
        </w:rPr>
        <w:t>◦</w:t>
      </w:r>
      <w:r>
        <w:rPr>
          <w:rFonts w:ascii="Calibri;sans-serif" w:hAnsi="Calibri;sans-serif"/>
          <w:b w:val="false"/>
          <w:color w:val="000000"/>
          <w:sz w:val="22"/>
          <w:shd w:fill="FFFFFF" w:val="clear"/>
        </w:rPr>
        <w:t>Free cash flow in the range of $7 to $13 million.</w:t>
      </w:r>
    </w:p>
    <w:p>
      <w:pPr>
        <w:pStyle w:val="TextBody"/>
        <w:bidi w:val="0"/>
        <w:spacing w:before="0" w:after="0"/>
        <w:jc w:val="left"/>
        <w:rPr/>
      </w:pPr>
      <w:r>
        <w:rPr/>
      </w:r>
    </w:p>
    <w:p>
      <w:pPr>
        <w:pStyle w:val="TextBody"/>
        <w:bidi w:val="0"/>
        <w:spacing w:lineRule="auto" w:line="300" w:before="0" w:after="0"/>
        <w:jc w:val="left"/>
        <w:rPr>
          <w:rFonts w:ascii="Calibri;sans-serif" w:hAnsi="Calibri;sans-serif"/>
          <w:b w:val="false"/>
          <w:color w:val="000000"/>
          <w:sz w:val="22"/>
          <w:shd w:fill="FFFFFF" w:val="clear"/>
        </w:rPr>
      </w:pPr>
      <w:r>
        <w:rPr>
          <w:rFonts w:ascii="Calibri;sans-serif" w:hAnsi="Calibri;sans-serif"/>
          <w:b w:val="false"/>
          <w:color w:val="000000"/>
          <w:sz w:val="22"/>
          <w:shd w:fill="FFFFFF" w:val="clear"/>
        </w:rPr>
        <w:t>Free cash flow outlook does not include the CARES Act tax refund of ~$11 million due to uncertain timing.</w:t>
      </w:r>
    </w:p>
    <w:p>
      <w:pPr>
        <w:pStyle w:val="TextBody"/>
        <w:bidi w:val="0"/>
        <w:spacing w:before="0" w:after="0"/>
        <w:jc w:val="left"/>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Michael Felcher, Senior Vice President and Chief Financial Officer commented, “While our second quarter results showed encouraging signs of improvement, we are revising our previous full-year 2023 financial outlook in line with year-to-date performance and our expectations and assumptions for the back half of the year. Our sales and Adjusted EBITDA outlook reflects our expectation that overall demand levels will remain consistent with the first half of the year, compared to the prior expectation of increasing demand. Our free cash flow outlook reflects the impact of lower volume and disciplined cash management.”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300" w:before="0" w:after="60"/>
        <w:jc w:val="left"/>
        <w:rPr>
          <w:rFonts w:ascii="Calibri;sans-serif" w:hAnsi="Calibri;sans-serif"/>
          <w:b/>
          <w:color w:val="000000"/>
          <w:sz w:val="22"/>
          <w:u w:val="single"/>
        </w:rPr>
      </w:pPr>
      <w:r>
        <w:rPr>
          <w:rFonts w:ascii="Calibri;sans-serif" w:hAnsi="Calibri;sans-serif"/>
          <w:b/>
          <w:color w:val="000000"/>
          <w:sz w:val="22"/>
          <w:u w:val="single"/>
        </w:rPr>
        <w:t>Conference Call</w:t>
      </w:r>
    </w:p>
    <w:p>
      <w:pPr>
        <w:pStyle w:val="TextBody"/>
        <w:bidi w:val="0"/>
        <w:spacing w:lineRule="auto" w:line="276" w:before="0" w:after="0"/>
        <w:jc w:val="left"/>
        <w:rPr/>
      </w:pPr>
      <w:r>
        <w:rPr>
          <w:rFonts w:ascii="Calibri;sans-serif" w:hAnsi="Calibri;sans-serif"/>
          <w:b w:val="false"/>
          <w:color w:val="000000"/>
          <w:sz w:val="22"/>
        </w:rPr>
        <w:t xml:space="preserve">NN will discuss its results during its quarterly investor conference call on August 4, 2023, at 9:00 a.m. ET. The call and supplemental presentation may be accessed via NN's website, </w:t>
      </w:r>
      <w:r>
        <w:rPr>
          <w:rFonts w:ascii="Calibri;sans-serif" w:hAnsi="Calibri;sans-serif"/>
          <w:b w:val="false"/>
          <w:color w:val="000000"/>
          <w:sz w:val="24"/>
        </w:rPr>
        <w:t>www.nninc.com</w:t>
      </w:r>
      <w:r>
        <w:rPr>
          <w:rFonts w:ascii="Calibri;sans-serif" w:hAnsi="Calibri;sans-serif"/>
          <w:b w:val="false"/>
          <w:color w:val="000000"/>
          <w:sz w:val="22"/>
        </w:rPr>
        <w:t>. The conference call can also be accessed by dialing 1-877-317-6789 or 1-412-317-6789. For those who are unavailable to listen to the live broadcast, a replay will be available shortly after the call until August 4, 2024.</w:t>
      </w:r>
    </w:p>
    <w:p>
      <w:pPr>
        <w:pStyle w:val="TextBody"/>
        <w:bidi w:val="0"/>
        <w:spacing w:before="0" w:after="0"/>
        <w:jc w:val="left"/>
        <w:rPr/>
      </w:pPr>
      <w:r>
        <w:rPr/>
      </w:r>
    </w:p>
    <w:p>
      <w:pPr>
        <w:pStyle w:val="TextBody"/>
        <w:bidi w:val="0"/>
        <w:spacing w:lineRule="auto" w:line="300" w:before="0" w:after="200"/>
        <w:jc w:val="left"/>
        <w:rPr>
          <w:rFonts w:ascii="Calibri;sans-serif" w:hAnsi="Calibri;sans-serif"/>
          <w:b w:val="false"/>
          <w:color w:val="000000"/>
          <w:sz w:val="22"/>
        </w:rPr>
      </w:pPr>
      <w:r>
        <w:rPr>
          <w:rFonts w:ascii="Calibri;sans-serif" w:hAnsi="Calibri;sans-serif"/>
          <w:b w:val="false"/>
          <w:color w:val="000000"/>
          <w:sz w:val="22"/>
        </w:rPr>
        <w:t xml:space="preserve">NN 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pStyle w:val="TextBody"/>
        <w:bidi w:val="0"/>
        <w:spacing w:before="0" w:after="0"/>
        <w:jc w:val="left"/>
        <w:rPr/>
      </w:pPr>
      <w:r>
        <w:rPr/>
      </w:r>
    </w:p>
    <w:p>
      <w:pPr>
        <w:pStyle w:val="TextBody"/>
        <w:bidi w:val="0"/>
        <w:spacing w:lineRule="auto" w:line="300" w:before="0" w:after="60"/>
        <w:jc w:val="left"/>
        <w:rPr/>
      </w:pPr>
      <w:r>
        <w:rPr>
          <w:rFonts w:ascii="Calibri;sans-serif" w:hAnsi="Calibri;sans-serif"/>
          <w:b/>
          <w:color w:val="000000"/>
          <w:sz w:val="22"/>
          <w:u w:val="single"/>
        </w:rPr>
        <w:t>About NN, Inc</w:t>
      </w:r>
      <w:r>
        <w:rPr>
          <w:rFonts w:ascii="Calibri;sans-serif" w:hAnsi="Calibri;sans-serif"/>
          <w:b/>
          <w:color w:val="000000"/>
          <w:sz w:val="22"/>
        </w:rPr>
        <w:t>.</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www.nninc.com.</w:t>
      </w:r>
    </w:p>
    <w:p>
      <w:pPr>
        <w:pStyle w:val="TextBody"/>
        <w:bidi w:val="0"/>
        <w:spacing w:before="0" w:after="0"/>
        <w:jc w:val="left"/>
        <w:rPr/>
      </w:pPr>
      <w:r>
        <w:rPr/>
      </w:r>
    </w:p>
    <w:p>
      <w:pPr>
        <w:pStyle w:val="TextBody"/>
        <w:bidi w:val="0"/>
        <w:spacing w:lineRule="auto" w:line="300"/>
        <w:jc w:val="left"/>
        <w:rPr>
          <w:rFonts w:ascii="Calibri;sans-serif" w:hAnsi="Calibri;sans-serif"/>
          <w:b w:val="false"/>
          <w:i/>
          <w:color w:val="000000"/>
          <w:sz w:val="18"/>
        </w:rPr>
      </w:pPr>
      <w:r>
        <w:rPr>
          <w:rFonts w:ascii="Calibri;sans-serif" w:hAnsi="Calibri;sans-serif"/>
          <w:b w:val="false"/>
          <w:i/>
          <w:color w:val="000000"/>
          <w:sz w:val="18"/>
        </w:rPr>
        <w:t xml:space="preserve">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“will”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w:t>
      </w:r>
    </w:p>
    <w:p>
      <w:pPr>
        <w:pStyle w:val="TextBody"/>
        <w:bidi w:val="0"/>
        <w:spacing w:before="0" w:after="2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0815"/>
                <wp:effectExtent l="0" t="0" r="0" b="0"/>
                <wp:wrapNone/>
                <wp:docPr id="9" name="Frame6"/>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3</w:t>
                      </w:r>
                    </w:p>
                  </w:txbxContent>
                </v:textbox>
                <w10:wrap type="none"/>
              </v:rect>
            </w:pict>
          </mc:Fallback>
        </mc:AlternateContent>
      </w:r>
    </w:p>
    <w:p>
      <w:pPr>
        <w:pStyle w:val="TextBody"/>
        <w:bidi w:val="0"/>
        <w:spacing w:lineRule="auto" w:line="300" w:before="0" w:after="0"/>
        <w:jc w:val="left"/>
        <w:rPr>
          <w:rFonts w:ascii="Calibri;sans-serif" w:hAnsi="Calibri;sans-serif"/>
          <w:b w:val="false"/>
          <w:i/>
          <w:color w:val="000000"/>
          <w:sz w:val="18"/>
        </w:rPr>
      </w:pPr>
      <w:r>
        <w:rPr>
          <w:rFonts w:ascii="Calibri;sans-serif" w:hAnsi="Calibri;sans-serif"/>
          <w:b w:val="false"/>
          <w:i/>
          <w:color w:val="000000"/>
          <w:sz w:val="18"/>
        </w:rPr>
        <w:t>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2"/>
        </w:rPr>
      </w:pPr>
      <w:r>
        <w:rPr>
          <w:rFonts w:ascii="Calibri;sans-serif" w:hAnsi="Calibri;sans-serif"/>
          <w:b/>
          <w:color w:val="000000"/>
          <w:sz w:val="22"/>
        </w:rPr>
        <w:t xml:space="preserve">Investor &amp; Media Contacts: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Joe Caminiti or Alec Steinberg, Investors</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Tim Peters, Media</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NNBR@alpha-ir.com</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312-445-2870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Calibri;sans-serif" w:hAnsi="Calibri;sans-serif"/>
          <w:b w:val="false"/>
          <w:i/>
          <w:color w:val="000000"/>
          <w:sz w:val="22"/>
        </w:rPr>
      </w:pPr>
      <w:r>
        <w:rPr>
          <w:rFonts w:ascii="Calibri;sans-serif" w:hAnsi="Calibri;sans-serif"/>
          <w:b w:val="false"/>
          <w:i/>
          <w:color w:val="000000"/>
          <w:sz w:val="22"/>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0815"/>
                <wp:effectExtent l="0" t="0" r="0" b="0"/>
                <wp:wrapNone/>
                <wp:docPr id="10" name="Frame7"/>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4</w:t>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(Loss) </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62"/>
        <w:gridCol w:w="1570"/>
        <w:gridCol w:w="158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125,362 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252,294 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253,429 </w:t>
            </w:r>
          </w:p>
        </w:tc>
        <w:tc>
          <w:tcPr>
            <w:tcW w:w="1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and amortization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28,248 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(income), net</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6,927 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 and share of net income from joint venture</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(15,145)</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(7,935)</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(24,300)</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(11,798)</w:t>
            </w:r>
          </w:p>
        </w:tc>
        <w:tc>
          <w:tcPr>
            <w:tcW w:w="1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net income from joint venture</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transaction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adjustment for losses (gains) included in net loss, net of tax</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(17,200)</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(16,653)</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(26,233)</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(16,134)</w:t>
            </w:r>
          </w:p>
        </w:tc>
        <w:tc>
          <w:tcPr>
            <w:tcW w:w="1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net loss per common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44,649 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net loss per common share:</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32"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46,357 </w:t>
            </w:r>
          </w:p>
        </w:tc>
        <w:tc>
          <w:tcPr>
            <w:tcW w:w="109"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44,708 </w:t>
            </w:r>
          </w:p>
        </w:tc>
        <w:tc>
          <w:tcPr>
            <w:tcW w:w="109"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45,836 </w:t>
            </w:r>
          </w:p>
        </w:tc>
        <w:tc>
          <w:tcPr>
            <w:tcW w:w="109"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44,649 </w:t>
            </w:r>
          </w:p>
        </w:tc>
        <w:tc>
          <w:tcPr>
            <w:tcW w:w="156"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0815"/>
                <wp:effectExtent l="0" t="0" r="0" b="0"/>
                <wp:wrapNone/>
                <wp:docPr id="11" name="Frame8"/>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5</w:t>
                      </w:r>
                    </w:p>
                  </w:txbxContent>
                </v:textbox>
                <w10:wrap type="none"/>
              </v:rect>
            </w:pict>
          </mc:Fallback>
        </mc:AlternateContent>
      </w:r>
    </w:p>
    <w:p>
      <w:pPr>
        <w:pStyle w:val="TextBody"/>
        <w:bidi w:val="0"/>
        <w:spacing w:lineRule="auto" w:line="300" w:before="0" w:after="4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tbl>
      <w:tblPr>
        <w:tblW w:w="10205" w:type="dxa"/>
        <w:jc w:val="left"/>
        <w:tblInd w:w="0" w:type="dxa"/>
        <w:tblLayout w:type="fixed"/>
        <w:tblCellMar>
          <w:top w:w="28" w:type="dxa"/>
          <w:left w:w="28" w:type="dxa"/>
          <w:bottom w:w="28" w:type="dxa"/>
          <w:right w:w="28" w:type="dxa"/>
        </w:tblCellMar>
      </w:tblPr>
      <w:tblGrid>
        <w:gridCol w:w="2838"/>
        <w:gridCol w:w="2417"/>
        <w:gridCol w:w="2433"/>
        <w:gridCol w:w="196"/>
        <w:gridCol w:w="736"/>
        <w:gridCol w:w="109"/>
        <w:gridCol w:w="109"/>
        <w:gridCol w:w="109"/>
        <w:gridCol w:w="109"/>
        <w:gridCol w:w="207"/>
        <w:gridCol w:w="778"/>
        <w:gridCol w:w="164"/>
      </w:tblGrid>
      <w:tr>
        <w:trPr/>
        <w:tc>
          <w:tcPr>
            <w:tcW w:w="2838"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12,808 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80,682 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197,417 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191,700 </w:t>
            </w:r>
          </w:p>
        </w:tc>
        <w:tc>
          <w:tcPr>
            <w:tcW w:w="16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44,924 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46,713 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joint venture</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31,802 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546,127 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Preferred Stock, and Stockholders’ Equity</w:t>
            </w:r>
          </w:p>
        </w:tc>
        <w:tc>
          <w:tcPr>
            <w:tcW w:w="104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45,871 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wages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5,294 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91,019 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78,806 </w:t>
            </w:r>
          </w:p>
        </w:tc>
        <w:tc>
          <w:tcPr>
            <w:tcW w:w="16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149,389 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295,162 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 perpetual preferred stock - $0.01 par value per share, 65 shares authorized, issued and outstanding at June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per share, 90,000 shares authorized, 47,019 and 43,856 shares issued and outstanding at June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462,525 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468,143 </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(245,198)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w:t>
            </w:r>
          </w:p>
        </w:tc>
        <w:tc>
          <w:tcPr>
            <w:tcW w:w="16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186,264 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preferred stock, and stockholders’ equity</w:t>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538,414 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546,127 </w:t>
            </w:r>
          </w:p>
        </w:tc>
        <w:tc>
          <w:tcPr>
            <w:tcW w:w="16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0815"/>
                <wp:effectExtent l="0" t="0" r="0" b="0"/>
                <wp:wrapNone/>
                <wp:docPr id="12" name="Frame9"/>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6</w:t>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63" w:type="dxa"/>
        <w:jc w:val="left"/>
        <w:tblInd w:w="0" w:type="dxa"/>
        <w:tblLayout w:type="fixed"/>
        <w:tblCellMar>
          <w:top w:w="28" w:type="dxa"/>
          <w:left w:w="28" w:type="dxa"/>
          <w:bottom w:w="28" w:type="dxa"/>
          <w:right w:w="28" w:type="dxa"/>
        </w:tblCellMar>
      </w:tblPr>
      <w:tblGrid>
        <w:gridCol w:w="2258"/>
        <w:gridCol w:w="1985"/>
        <w:gridCol w:w="1996"/>
        <w:gridCol w:w="196"/>
        <w:gridCol w:w="721"/>
        <w:gridCol w:w="109"/>
        <w:gridCol w:w="109"/>
        <w:gridCol w:w="109"/>
        <w:gridCol w:w="109"/>
        <w:gridCol w:w="196"/>
        <w:gridCol w:w="721"/>
        <w:gridCol w:w="154"/>
      </w:tblGrid>
      <w:tr>
        <w:trPr/>
        <w:tc>
          <w:tcPr>
            <w:tcW w:w="225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discount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loss (gain), net of cash settlements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 of net income from joint venture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from issuance of share-based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 and payable,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plant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short-term debt,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flows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0815"/>
                <wp:effectExtent l="0" t="0" r="0" b="0"/>
                <wp:wrapNone/>
                <wp:docPr id="13" name="Frame10"/>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Reconciliation of GAAP Income (Loss) from Operations to Non-GAAP Adjusted Income (Loss) from Operations</w:t>
      </w:r>
    </w:p>
    <w:tbl>
      <w:tblPr>
        <w:tblW w:w="6797" w:type="dxa"/>
        <w:jc w:val="center"/>
        <w:tblInd w:w="0" w:type="dxa"/>
        <w:tblLayout w:type="fixed"/>
        <w:tblCellMar>
          <w:top w:w="28" w:type="dxa"/>
          <w:left w:w="28" w:type="dxa"/>
          <w:bottom w:w="28" w:type="dxa"/>
          <w:right w:w="28" w:type="dxa"/>
        </w:tblCellMar>
      </w:tblPr>
      <w:tblGrid>
        <w:gridCol w:w="1464"/>
        <w:gridCol w:w="1291"/>
        <w:gridCol w:w="1294"/>
        <w:gridCol w:w="196"/>
        <w:gridCol w:w="736"/>
        <w:gridCol w:w="256"/>
        <w:gridCol w:w="109"/>
        <w:gridCol w:w="109"/>
        <w:gridCol w:w="109"/>
        <w:gridCol w:w="196"/>
        <w:gridCol w:w="736"/>
        <w:gridCol w:w="301"/>
      </w:tblGrid>
      <w:tr>
        <w:trPr/>
        <w:tc>
          <w:tcPr>
            <w:tcW w:w="146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7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NN, Inc. Consolidated</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3,586 </w:t>
            </w:r>
          </w:p>
        </w:tc>
        <w:tc>
          <w:tcPr>
            <w:tcW w:w="30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748"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Power Solutions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0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5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0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93" w:type="dxa"/>
        <w:jc w:val="center"/>
        <w:tblInd w:w="0" w:type="dxa"/>
        <w:tblLayout w:type="fixed"/>
        <w:tblCellMar>
          <w:top w:w="28" w:type="dxa"/>
          <w:left w:w="28" w:type="dxa"/>
          <w:bottom w:w="28" w:type="dxa"/>
          <w:right w:w="28" w:type="dxa"/>
        </w:tblCellMar>
      </w:tblPr>
      <w:tblGrid>
        <w:gridCol w:w="1601"/>
        <w:gridCol w:w="1410"/>
        <w:gridCol w:w="1414"/>
        <w:gridCol w:w="196"/>
        <w:gridCol w:w="646"/>
        <w:gridCol w:w="256"/>
        <w:gridCol w:w="109"/>
        <w:gridCol w:w="109"/>
        <w:gridCol w:w="109"/>
        <w:gridCol w:w="196"/>
        <w:gridCol w:w="646"/>
        <w:gridCol w:w="301"/>
      </w:tblGrid>
      <w:tr>
        <w:trPr/>
        <w:tc>
          <w:tcPr>
            <w:tcW w:w="16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56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Mobile Solutions</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firstLine="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0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impairments</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net income from joint venture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with JV</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568"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Elimination</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(1)Personnel costs include recruitment, retention, relocation, and severance costs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(2)Facility costs include costs associated with opening or closing facilities and equipment relocation</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(3)Non-GAAP adjusted operating margin = Non-GAAP adjusted income (loss) from operations / GAAP net sales</w:t>
      </w:r>
    </w:p>
    <w:p>
      <w:pPr>
        <w:pStyle w:val="TextBody"/>
        <w:bidi w:val="0"/>
        <w:spacing w:before="0" w:after="60"/>
        <w:ind w:left="0" w:right="0" w:hanging="90"/>
        <w:jc w:val="left"/>
        <w:rPr/>
      </w:pPr>
      <w:r>
        <w:rPr/>
      </w:r>
    </w:p>
    <w:p>
      <w:pPr>
        <w:pStyle w:val="TextBody"/>
        <w:bidi w:val="0"/>
        <w:spacing w:before="0" w:after="60"/>
        <w:ind w:left="0" w:right="0" w:hanging="90"/>
        <w:jc w:val="left"/>
        <w:rPr/>
      </w:pPr>
      <w:r>
        <w:rPr/>
      </w:r>
    </w:p>
    <w:p>
      <w:pPr>
        <w:pStyle w:val="TextBody"/>
        <w:bidi w:val="0"/>
        <w:spacing w:before="0" w:after="60"/>
        <w:ind w:left="0" w:right="0" w:hanging="90"/>
        <w:jc w:val="left"/>
        <w:rPr/>
      </w:pPr>
      <w:r>
        <w:rPr/>
      </w:r>
    </w:p>
    <w:p>
      <w:pPr>
        <w:pStyle w:val="TextBody"/>
        <w:bidi w:val="0"/>
        <w:spacing w:before="0" w:after="6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0815"/>
                <wp:effectExtent l="0" t="0" r="0" b="0"/>
                <wp:wrapNone/>
                <wp:docPr id="14" name="Frame11"/>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8</w:t>
                      </w:r>
                    </w:p>
                  </w:txbxContent>
                </v:textbox>
                <w10:wrap type="none"/>
              </v:rect>
            </w:pict>
          </mc:Fallback>
        </mc:AlternateContent>
      </w:r>
    </w:p>
    <w:tbl>
      <w:tblPr>
        <w:tblW w:w="10046" w:type="dxa"/>
        <w:jc w:val="center"/>
        <w:tblInd w:w="0" w:type="dxa"/>
        <w:tblLayout w:type="fixed"/>
        <w:tblCellMar>
          <w:top w:w="28" w:type="dxa"/>
          <w:left w:w="28" w:type="dxa"/>
          <w:bottom w:w="28" w:type="dxa"/>
          <w:right w:w="28" w:type="dxa"/>
        </w:tblCellMar>
      </w:tblPr>
      <w:tblGrid>
        <w:gridCol w:w="1671"/>
        <w:gridCol w:w="1472"/>
        <w:gridCol w:w="1477"/>
        <w:gridCol w:w="387"/>
        <w:gridCol w:w="1454"/>
        <w:gridCol w:w="505"/>
        <w:gridCol w:w="215"/>
        <w:gridCol w:w="215"/>
        <w:gridCol w:w="215"/>
        <w:gridCol w:w="387"/>
        <w:gridCol w:w="1454"/>
        <w:gridCol w:w="594"/>
      </w:tblGrid>
      <w:tr>
        <w:trPr/>
        <w:tc>
          <w:tcPr>
            <w:tcW w:w="16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Reconciliation of GAAP Net Income (Loss) to Non-GAAP Adjusted EBITDA</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38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(14,377)</w:t>
            </w:r>
          </w:p>
        </w:tc>
        <w:tc>
          <w:tcPr>
            <w:tcW w:w="50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w:t>
            </w:r>
          </w:p>
        </w:tc>
        <w:tc>
          <w:tcPr>
            <w:tcW w:w="59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5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59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5,457 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stock derivatives and warrants</w:t>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5,754 </w:t>
            </w:r>
          </w:p>
        </w:tc>
        <w:tc>
          <w:tcPr>
            <w:tcW w:w="5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w:t>
            </w:r>
          </w:p>
        </w:tc>
        <w:tc>
          <w:tcPr>
            <w:tcW w:w="59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11,550 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59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5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59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 compensation</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foreign exchange (gain) loss on inter-company loans</w:t>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5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59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impairments</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(b)</w:t>
            </w:r>
          </w:p>
        </w:tc>
        <w:tc>
          <w:tcPr>
            <w:tcW w:w="38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10,498 </w:t>
            </w:r>
          </w:p>
        </w:tc>
        <w:tc>
          <w:tcPr>
            <w:tcW w:w="50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10,893 </w:t>
            </w:r>
          </w:p>
        </w:tc>
        <w:tc>
          <w:tcPr>
            <w:tcW w:w="59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margin (4)</w:t>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50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59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125,362 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00"/>
        <w:ind w:left="0" w:right="0" w:hanging="360"/>
        <w:jc w:val="left"/>
        <w:rPr/>
      </w:pPr>
      <w:r>
        <w:rPr/>
      </w:r>
    </w:p>
    <w:p>
      <w:pPr>
        <w:pStyle w:val="TextBody"/>
        <w:bidi w:val="0"/>
        <w:spacing w:lineRule="auto" w:line="300" w:before="140" w:after="20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(4) Non-GAAP adjusted EBITDA margin = Non-GAAP adjusted EBITDA / GAAP net sales</w:t>
      </w:r>
    </w:p>
    <w:p>
      <w:pPr>
        <w:pStyle w:val="TextBody"/>
        <w:bidi w:val="0"/>
        <w:spacing w:before="140" w:after="200"/>
        <w:jc w:val="left"/>
        <w:rPr/>
      </w:pPr>
      <w:r>
        <w:rPr/>
      </w:r>
    </w:p>
    <w:p>
      <w:pPr>
        <w:pStyle w:val="TextBody"/>
        <w:bidi w:val="0"/>
        <w:spacing w:before="140" w:after="200"/>
        <w:jc w:val="left"/>
        <w:rPr/>
      </w:pPr>
      <w:r>
        <w:rPr/>
      </w:r>
    </w:p>
    <w:p>
      <w:pPr>
        <w:pStyle w:val="TextBody"/>
        <w:bidi w:val="0"/>
        <w:spacing w:before="140" w:after="200"/>
        <w:jc w:val="left"/>
        <w:rPr/>
      </w:pPr>
      <w:r>
        <w:rPr/>
      </w:r>
    </w:p>
    <w:p>
      <w:pPr>
        <w:pStyle w:val="TextBody"/>
        <w:bidi w:val="0"/>
        <w:spacing w:before="14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0815"/>
                <wp:effectExtent l="0" t="0" r="0" b="0"/>
                <wp:wrapNone/>
                <wp:docPr id="15" name="Frame12"/>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9</w:t>
                      </w:r>
                    </w:p>
                  </w:txbxContent>
                </v:textbox>
                <w10:wrap type="none"/>
              </v:rect>
            </w:pict>
          </mc:Fallback>
        </mc:AlternateContent>
      </w:r>
    </w:p>
    <w:tbl>
      <w:tblPr>
        <w:tblW w:w="9237" w:type="dxa"/>
        <w:jc w:val="left"/>
        <w:tblInd w:w="0" w:type="dxa"/>
        <w:tblLayout w:type="fixed"/>
        <w:tblCellMar>
          <w:top w:w="28" w:type="dxa"/>
          <w:left w:w="28" w:type="dxa"/>
          <w:bottom w:w="28" w:type="dxa"/>
          <w:right w:w="28" w:type="dxa"/>
        </w:tblCellMar>
      </w:tblPr>
      <w:tblGrid>
        <w:gridCol w:w="676"/>
        <w:gridCol w:w="594"/>
        <w:gridCol w:w="594"/>
        <w:gridCol w:w="594"/>
        <w:gridCol w:w="594"/>
        <w:gridCol w:w="594"/>
        <w:gridCol w:w="594"/>
        <w:gridCol w:w="594"/>
        <w:gridCol w:w="594"/>
        <w:gridCol w:w="594"/>
        <w:gridCol w:w="594"/>
        <w:gridCol w:w="594"/>
        <w:gridCol w:w="594"/>
        <w:gridCol w:w="594"/>
        <w:gridCol w:w="839"/>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9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GAAP Net Income (Loss) to Non-GAAP Adjusted Net Income and GAAP Net Income (Loss)</w:t>
            </w:r>
          </w:p>
        </w:tc>
      </w:tr>
      <w:tr>
        <w:trPr/>
        <w:tc>
          <w:tcPr>
            <w:tcW w:w="9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 Diluted Common Share to Non-GAAP Adjusted Net Income (Loss) per Diluted Common Share</w:t>
            </w:r>
          </w:p>
        </w:tc>
      </w:tr>
    </w:tbl>
    <w:tbl>
      <w:tblPr>
        <w:tblW w:w="8303" w:type="dxa"/>
        <w:jc w:val="center"/>
        <w:tblInd w:w="0" w:type="dxa"/>
        <w:tblLayout w:type="fixed"/>
        <w:tblCellMar>
          <w:top w:w="28" w:type="dxa"/>
          <w:left w:w="28" w:type="dxa"/>
          <w:bottom w:w="28" w:type="dxa"/>
          <w:right w:w="28" w:type="dxa"/>
        </w:tblCellMar>
      </w:tblPr>
      <w:tblGrid>
        <w:gridCol w:w="2100"/>
        <w:gridCol w:w="1849"/>
        <w:gridCol w:w="1855"/>
        <w:gridCol w:w="211"/>
        <w:gridCol w:w="796"/>
        <w:gridCol w:w="109"/>
        <w:gridCol w:w="109"/>
        <w:gridCol w:w="109"/>
        <w:gridCol w:w="109"/>
        <w:gridCol w:w="211"/>
        <w:gridCol w:w="69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(loss)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professional fees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personnel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facility costs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foreign exchange (gain) loss on inter-company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change in fair value of preferred stock derivatives and warrants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amortization of intangibles and deferred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impairments of fixed asset costs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adjustments reflected above (c)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discrete tax adjustments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adjusted net income (loss) (d)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(per diluted common share)</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(loss) per diluted common share</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professional fees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personnel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facility costs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foreign exchange (gain) loss on inter-company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change in fair value of preferred stock derivatives and warrants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amortization of intangibles and deferred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of adjustments reflected above (c)</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discrete tax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cumulative dividends and deemed dividends</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adjusted net income (loss) per diluted common share (d)</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07"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46,357 </w:t>
            </w:r>
          </w:p>
        </w:tc>
        <w:tc>
          <w:tcPr>
            <w:tcW w:w="109"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44,708 </w:t>
            </w:r>
          </w:p>
        </w:tc>
        <w:tc>
          <w:tcPr>
            <w:tcW w:w="154" w:type="dxa"/>
            <w:tcBorders>
              <w:top w:val="doub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0815"/>
                <wp:effectExtent l="0" t="0" r="0" b="0"/>
                <wp:wrapNone/>
                <wp:docPr id="16" name="Frame13"/>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Operating Cash Flow to Free Cash Flow</w:t>
      </w:r>
    </w:p>
    <w:p>
      <w:pPr>
        <w:pStyle w:val="TextBody"/>
        <w:bidi w:val="0"/>
        <w:spacing w:before="0" w:after="0"/>
        <w:ind w:left="0" w:right="0" w:hanging="360"/>
        <w:jc w:val="center"/>
        <w:rPr/>
      </w:pPr>
      <w:r>
        <w:rPr/>
      </w:r>
    </w:p>
    <w:tbl>
      <w:tblPr>
        <w:tblW w:w="6474" w:type="dxa"/>
        <w:jc w:val="left"/>
        <w:tblInd w:w="0" w:type="dxa"/>
        <w:tblLayout w:type="fixed"/>
        <w:tblCellMar>
          <w:top w:w="28" w:type="dxa"/>
          <w:left w:w="28" w:type="dxa"/>
          <w:bottom w:w="28" w:type="dxa"/>
          <w:right w:w="28" w:type="dxa"/>
        </w:tblCellMar>
      </w:tblPr>
      <w:tblGrid>
        <w:gridCol w:w="1399"/>
        <w:gridCol w:w="1233"/>
        <w:gridCol w:w="1237"/>
        <w:gridCol w:w="196"/>
        <w:gridCol w:w="556"/>
        <w:gridCol w:w="109"/>
        <w:gridCol w:w="109"/>
        <w:gridCol w:w="109"/>
        <w:gridCol w:w="109"/>
        <w:gridCol w:w="196"/>
        <w:gridCol w:w="631"/>
        <w:gridCol w:w="109"/>
        <w:gridCol w:w="109"/>
        <w:gridCol w:w="109"/>
        <w:gridCol w:w="109"/>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(used) by operating activities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8,417 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75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0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0815"/>
                <wp:effectExtent l="0" t="0" r="0" b="0"/>
                <wp:wrapNone/>
                <wp:docPr id="17" name="Frame14"/>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11</w:t>
                      </w:r>
                    </w:p>
                  </w:txbxContent>
                </v:textbox>
                <w10:wrap type="none"/>
              </v:rect>
            </w:pict>
          </mc:Fallback>
        </mc:AlternateConten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(a) 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(b) 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(c) 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pStyle w:val="TextBody"/>
        <w:bidi w:val="0"/>
        <w:spacing w:lineRule="auto" w:line="300" w:before="0" w:after="200"/>
        <w:jc w:val="left"/>
        <w:rPr>
          <w:rFonts w:ascii="Calibri;sans-serif" w:hAnsi="Calibri;sans-serif"/>
          <w:b w:val="false"/>
          <w:i/>
          <w:color w:val="000000"/>
          <w:sz w:val="18"/>
        </w:rPr>
      </w:pPr>
      <w:r>
        <w:rPr>
          <w:rFonts w:ascii="Calibri;sans-serif" w:hAnsi="Calibri;sans-serif"/>
          <w:b w:val="false"/>
          <w:i/>
          <w:color w:val="000000"/>
          <w:sz w:val="18"/>
        </w:rPr>
        <w:t xml:space="preserve">(d) 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0815"/>
                <wp:effectExtent l="0" t="0" r="0" b="0"/>
                <wp:wrapNone/>
                <wp:docPr id="18" name="Frame15"/>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4823</Words>
  <Characters>27405</Characters>
  <CharactersWithSpaces>31734</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