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202-3_424b3.htm"/>
        <w:bookmarkStart w:id="1" w:name="kstm26202023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333-297426</w:t>
      </w:r>
      <w:r>
        <w:rPr>
          <w:rFonts w:ascii="Times New Roman;Times;serif" w:hAnsi="Times New Roman;Times;serif"/>
          <w:b/>
          <w:i w:val="false"/>
          <w:caps w:val="false"/>
          <w:smallCaps w:val="false"/>
          <w:color w:val="000000"/>
          <w:sz w:val="20"/>
        </w:rPr>
        <w:t>​</w:t>
      </w:r>
    </w:p>
    <w:p>
      <w:pPr>
        <w:pStyle w:val="TextBody"/>
        <w:bidi w:val="0"/>
        <w:spacing w:lineRule="atLeast" w:line="240" w:before="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24,509,804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94297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42975" cy="6858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covers the offer and resale by the selling stockholders (the “Selling Stockholders”) identified in this prospectus of an aggregate of 24,509,804 shares of our common stock, par value $0.01 per share. The shares were sold to the Selling Stockholders in a private placement transaction that closed on July 2, 2026 (the “Private Placement”).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selling any shares of common stock under this prospectus and will not receive any proceeds from the sale by the Selling Stockholders of such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shares of common stock by the Selling Stockholders may occur at fixed prices, at market prices prevailing at the time of sale, at prices related to prevailing market prices or at negotiated prices. The Selling Stockholders may sell the shares to or through underwriters, broker-dealers or agents, who may receive compensation in the form of discounts, concessions or commissions from the Selling Stockholders, the purchasers of the shares, or both.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paying the cost of registering the shares covered by this prospectus as well as various related expenses. The Selling Stockholders are responsible for all selling commissions, transfer taxes and other costs related to the offer and sale of their shares.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for more information about how the Selling Stockholders may sell or dispose of their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under the trading symbol “NNBR.” On July 20, 2026, the last reported sale price of our common stock was $3.48 per share.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stock involves a high degree of risk. Before making an investment decision, please read the information under “Risk Factors” on page </w:t>
      </w:r>
      <w:hyperlink w:anchor="t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 and under similar headings in any amendment or supplement to this prospectus or in any filing with the Securities and Exchange Commission that is incorporated by reference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9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July 21,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3"/>
        <w:gridCol w:w="109"/>
        <w:gridCol w:w="109"/>
        <w:gridCol w:w="109"/>
        <w:gridCol w:w="109"/>
        <w:gridCol w:w="409"/>
        <w:gridCol w:w="109"/>
        <w:gridCol w:w="155"/>
      </w:tblGrid>
      <w:tr>
        <w:trPr/>
        <w:tc>
          <w:tcPr>
            <w:tcW w:w="77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PRSU">
              <w:r>
                <w:rPr>
                  <w:rStyle w:val="InternetLink"/>
                  <w:spacing w:val="4"/>
                </w:rPr>
                <w:t>1</w:t>
              </w:r>
            </w:hyperlink>
            <w:hyperlink w:anchor="tPRS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NRF">
              <w:r>
                <w:rPr>
                  <w:rStyle w:val="InternetLink"/>
                  <w:spacing w:val="4"/>
                </w:rPr>
                <w:t>4</w:t>
              </w:r>
            </w:hyperlink>
            <w:hyperlink w:anchor="tS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5</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DOCS">
              <w:r>
                <w:rPr>
                  <w:rStyle w:val="InternetLink"/>
                  <w:spacing w:val="4"/>
                </w:rPr>
                <w:t>6</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SEST">
              <w:r>
                <w:rPr>
                  <w:rStyle w:val="InternetLink"/>
                  <w:spacing w:val="4"/>
                </w:rPr>
                <w:t xml:space="preserve">SELLING STOCKHOLDERS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SEST">
              <w:r>
                <w:rPr>
                  <w:rStyle w:val="InternetLink"/>
                  <w:spacing w:val="4"/>
                </w:rPr>
                <w:t>11</w:t>
              </w:r>
            </w:hyperlink>
            <w:hyperlink w:anchor="tSE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POD">
              <w:r>
                <w:rPr>
                  <w:rStyle w:val="InternetLink"/>
                  <w:spacing w:val="4"/>
                </w:rPr>
                <w:t>13</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15</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EXP">
              <w:r>
                <w:rPr>
                  <w:rStyle w:val="InternetLink"/>
                  <w:spacing w:val="4"/>
                </w:rPr>
                <w:t>15</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15</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IOCI">
              <w:r>
                <w:rPr>
                  <w:rStyle w:val="InternetLink"/>
                  <w:spacing w:val="4"/>
                </w:rPr>
                <w:t>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(the “Registration Statement”) that we filed with the Securities and Exchange Commission (the “SEC”) using the “shelf” registration process. Under this shelf registration process, the Selling Stockholders hereunder may, from time to time in one or more offerings, sell the shares of common stock offered by them described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on the front cover of this prospectus, any information we have incorporated by reference is accurate only as of the date of the document so incorporated and that any information in a supplement or amendment to this prospectus is accurate only as of the date of such supplement or amendment, in each case regardless of the time of delivery of this prospectus, or any sale of the shares.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in the section titled “Where You Can Find Additional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all references in this prospectus to “we,” “us,” “our,” “the Company,” “NN,” and similar designations, except where the context requires otherwise, refer collectively to NN, Inc. and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name “NN,” the NN logo and other trademarks or service marks of NN, Inc. appearing in this prospectus and in any prospectus supplement or free writing prospectus and the information incorporated by reference herein or therein are the property of NN, Inc. Other trademarks, service marks or trade names appearing in this prospectus in any prospectus supplement or free writing prospectus and the information incorporated by reference herein or therein are the property of their respective owners. We do not intend our use or display of other companies’ trade names, trademarks or service marks to imply a relationship with, or endorsement or sponsorship of us by, these other companies.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the Private Placement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w:t>
      </w:r>
      <w:hyperlink w:anchor="tRIFA">
        <w:r>
          <w:rPr>
            <w:rStyle w:val="InternetLink"/>
          </w:rPr>
          <w:t>3</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as well as the information incorporated herein by reference, before making an investment decision.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enterprise and management structure is designed to accelerate growth and further balance our portfolio by aligning our strategic assets and businesses. Our businesses are organized into the Mobile Solutions group, which is focused on growth in the automotive, general industrial, and medical end markets, and the Power Solutions group, which is focused on growth in the electrical, general industrial, automotive, and medical end markets, and are based principally on the end markets they 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in Delaware in October 1980. Our principal executive offices are maintained at 6210 Ardrey Kell Road, Suite 120, Charlotte, North Carolina 28277 and our telephone number is (980) 264-4300. Our website address is www.nninc.com.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securities. We have included our website in this prospectus solely as an inactive textual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Private Placement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30, 2026, we entered into a Securities Purchase Agreement (the “Purchase Agreement”) with certain institutional investors named in this prospectus pursuant to which we sold and issued 24,509,804 shares of common stock in the Private Placement, which closed on July 2, 2026. The purchase price per share of common stock was $3.06. The total aggregate purchase price paid by the Selling Stockholders was $75.0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Private Placement, on June 30, 2026, we entered into a Registration Rights Agreement (the “Registration Rights Agreement”) with the Selling Stockholders named in this prospectus, pursuant to which we agreed to prepare and file, within 45 days following the date of the Registration Rights Agreement, a registration statement with the SEC to register for resale the shares of our common stock issued at the closing under the Purchase Agreement, and to use commercially reasonable efforts to cause the registration statement to promptly become effective.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regarding the Purchase Agreement and Registration Rights Agreement, refer to the summary of the Private Placement included under Item 1.01 of our </w:t>
      </w:r>
      <w:hyperlink r:id="rId3">
        <w:r>
          <w:rPr>
            <w:rStyle w:val="InternetLink"/>
          </w:rPr>
          <w:t>Current Report on Form 8-K filed with the SEC on July 1, 2026</w:t>
        </w:r>
      </w:hyperlink>
      <w:r>
        <w:rPr>
          <w:rFonts w:ascii="Times New Roman;Times;serif" w:hAnsi="Times New Roman;Times;serif"/>
          <w:b w:val="false"/>
          <w:i w:val="false"/>
          <w:caps w:val="false"/>
          <w:smallCaps w:val="false"/>
          <w:color w:val="000000"/>
          <w:spacing w:val="4"/>
          <w:sz w:val="20"/>
          <w:bdr w:val="single" w:sz="8" w:space="1" w:color="000000"/>
        </w:rPr>
        <w:t xml:space="preserve">, which is incorporated by reference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and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Specifically, as a smaller reporting company, we may choose to present only the two most recent fiscal years of audited financial statements in our Annual Report on Form 10-K and are subject to reduced disclosure obligations regarding executive compensation.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the Selling Stockholders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24,509,804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Terms of the offering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Selling Stockholders will determine when and how they will sell the common stock offered in this prospectus, as described in “Plan of Distribution.”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receive any proceeds from the sale of the shares of common stock covered by this prospectus.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233" w:right="0" w:hanging="0"/>
        <w:jc w:val="left"/>
        <w:rPr/>
      </w:pPr>
      <w:r>
        <w:rPr>
          <w:rFonts w:ascii="Times New Roman;Times;serif" w:hAnsi="Times New Roman;Times;serif"/>
          <w:b w:val="false"/>
          <w:i w:val="false"/>
          <w:caps w:val="false"/>
          <w:smallCaps w:val="false"/>
          <w:color w:val="000000"/>
          <w:spacing w:val="4"/>
          <w:sz w:val="20"/>
          <w:bdr w:val="single" w:sz="8" w:space="1" w:color="000000"/>
        </w:rPr>
        <w:t>See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RIFA">
        <w:r>
          <w:rPr>
            <w:rStyle w:val="InternetLink"/>
          </w:rPr>
          <w:t>3</w:t>
        </w:r>
      </w:hyperlink>
      <w:r>
        <w:rPr>
          <w:rFonts w:ascii="Times New Roman;Times;serif" w:hAnsi="Times New Roman;Times;serif"/>
          <w:b w:val="false"/>
          <w:i w:val="false"/>
          <w:caps w:val="false"/>
          <w:smallCaps w:val="false"/>
          <w:color w:val="000000"/>
          <w:spacing w:val="4"/>
          <w:sz w:val="20"/>
          <w:bdr w:val="single" w:sz="8" w:space="1" w:color="000000"/>
        </w:rPr>
        <w:t xml:space="preserve"> for a discussion of factors you should carefully consider before deciding to invest in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Stock Market symbol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NNBR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Selling Stockholders named in this prospectus may offer and sell up to 24,509,804 shares of our common stock. Our common stock is currently listed on the Nasdaq Stock Market under the symbol “NNBR.” shares of our common stock that may be offered under this prospectus are fully paid and non-assessable. We will not receive any of the proceeds of sales by the Selling Stockholders of any of the common stock covered by this prospectus.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a high degree of risk. You should carefully review the risks and uncertainties described under the heading “Risk Factors” contained in any applicable prospectus supplement and any related free writing prospectus, and under similar headings in our most recent Annual Report on Form 10-K, as updated by our subsequent annual, quarterly and other reports and documents that are incorporated by reference into this prospectus and any applicable prospectus supplement before deciding whether to purchase any of our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each applicable prospectus supplement, and the information incorporated by reference in this prospectus and each prospectus supplement contain forward-looking statements within the meaning of Section 27A of the Securities Act of 1933, as amended (the “Securities Act”),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Forward-looking statements generally will be accompanied by words such as “anticipate,” “believe,” “could,” “estimate,” “expect,” “forecast,” “growth,” “guidance,” “intend,” “may,” “possible,” “potential,” “predict,” “project,” “trajectory,” “will” or the negative of those terms, and similar expressions that convey uncertainty of future events or outcomes.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inflationary pressures and material changes in the cost or availability of raw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restrictions contained in our debt agreements; the level of our indebtedness and our ability to obtain financing at favorable rates, if at all, or to refinance existing debt as it matures; our ability to secure, maintain or enforce patents or other appropriate protections for our intellectual property; the impact of climate change on our operations; economic, social, political and geopolitical instability, military conflict, currency fluctuation, and other risks of doing business outside of the United States; uncertainty of government policies and actions in respect to global trade and tariffs, including the potential impacts of tariffs on the United States economy, the economy of other countries in which we conduct operations and our industry; cyber liability or potential liability for breaches of our or our service providers’ information technology systems or business operations disruptions; and other risks and uncertainties set forth in documents filed, or to be filed, with the SEC. For the reasons described above, we caution against relying on any forward-looking statements, which should also be read in conjunction with the sections entitled “Business,” “Risk Factors” and “Management’s Discussion and Analysis of Financial Condition and Results of Operations” and in other sections incorporated by reference from our Annual Report on Form 10-K and Quarterly Reports on Form 10-Q, as applicable, as well as our other filings with the SEC. You should be aware that the occurrence of any of the events discussed under the heading “Risk Factors” in any applicable prospectus supplement and any documents incorporated by reference herein or therein could substantially harm our business, operating results, and financial condition and that if any of these events occurs, it could adversely affect the value of an investment in our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cautionary statements made in this prospectus are intended to be applicable to all related forward-looking statements wherever they may appear in this prospectus or in any prospectus supplement or any documents incorporated by reference herein or therein. We urge you not to place undue reliance on these forward-looking statements, which speak only as of the date they are made. Except as required by law, we assume no obligation to update our forward-looking statements, even if new information becomes available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of the proceeds from the sale or other disposition of shares of our common stock held by the Selling Stockholders pursuant to this prospectus. We will bear the out-of-pocket costs, expenses and fees incurred in connection with the registration of shares of our common stock to be sold by the Selling Stockholders pursuant to this prospectus. Other than registration expenses, the Selling Stockholders will bear underwriting discounts, commissions, placement agent fees or other similar expenses payable with respect to sales of shares of our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C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90,000,000 shares of common stock, $0.01 par value per share, and 5,000,000 shares of preferred stock, $0.01 par value per share (“Preferred Stock”). Our board of directors (the “Board”) is authorized, without stockholder approval, except as required by the listing standards of the Nasdaq Stock Market, to issue additional shares of our capital stock. In addition, our board of directors may, without further action by our stockholders, designate the rights, preferences, privileges, and restrictions of our Preferred Stock in one or more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May 18, 2026, we had outstanding 52,742,725 shares of common stock and 65,000 shares of Series D Perpetual Preferred Stock, $0.01 par value per share (the “Series D Preferred Stock”). </w:t>
      </w:r>
    </w:p>
    <w:p>
      <w:pPr>
        <w:pStyle w:val="TextBody"/>
        <w:bidi w:val="0"/>
        <w:spacing w:lineRule="atLeast" w:line="240" w:before="23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common stock is a summary and is qualified in its entirety by reference to the actual terms and provisions contained in our Restated Certificate of Incorporation, as amended from time to time (the “Certificate of Incorporation”), and our Amended and Restated Bylaws, as amended from time to time (the “Bylaws”), each of which is filed as an exhibit to the registration statement of which this prospectus is a part. We encourage you to read our Certificate of Incorporation, our Bylaws, and the applicable provisions of the Delaware General Corporation Law (“DGCL”) for additional information.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preferential rights of any other class or series of Preferred Stock, holders of common stock may receive dividends pro rata out of assets that we can legally use to pay dividends, when, as and if they are declared by our Board.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Fully Paid and Nonassessable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outstanding shares of our common stock are fully paid and nonassessable. </w:t>
      </w:r>
    </w:p>
    <w:p>
      <w:pPr>
        <w:pStyle w:val="TextBody"/>
        <w:bidi w:val="0"/>
        <w:spacing w:lineRule="atLeast" w:line="240" w:before="23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Absence of Other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common stock have no preference, appraisal or exchange rights, except for any appraisal rights provided by Delaware law. Furthermore, holders of common stock have no conversion, sinking fund or redemption rights, or preemptive rights to subscribe for any of our securities. </w:t>
      </w:r>
    </w:p>
    <w:p>
      <w:pPr>
        <w:pStyle w:val="TextBody"/>
        <w:bidi w:val="0"/>
        <w:spacing w:lineRule="atLeast" w:line="240" w:before="23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authorizes our Board, without stockholder approval, to designate and issue up to 5,000,000 shares of Preferred Stock, in one or more series and to fix the rights, preferences.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Series 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Series D Preferred Stock is a summary and is qualified in its entirety by reference to the actual terms and provisions contained in the Certificate of Designation of Series D Perpetual Preferred Stock (“Series D Certificate of Designation”), which is filed as an exhibit to the registration statement of which this prospectus is a part. We encourage you to read our Series D Certificate of Designation and the DGCL for additional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22, 2021, we completed a private placement of 65,000 shares of Series D Preferred Stock pursuant to a Securities Purchase Agreement, dated March 22, 2021, by and between the Company and NGTV Nevada Holdings LP (the “Securities Purchase Agreement”). As of May 19, 2026, 65,000 shares of Series D Preferred Stock are outstanding.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Series D Preferred Stock are entitled to receive, when, as and if declared by the Board, and we shall pay, out of funds lawfully available therefor, cumulative dividends payable in cash quarterly in arrears at the rate per share of 10% per annum of the Initial Liquidation Preference (as defined below) per share of Series D Preferred Stock (the “Cash Dividend Rate”). On any dividend payment date, if a dividend is not paid in cash, the liquidation preference per share of Series D Preferred Stock will be increased to 12.0% per annum (the “Preference Accrual Rate”) on the then current liquidation preference per share of Series D Preferred Stock (the “Liquidation Preference Adjustment”). On March 22, 2026, the Cash Dividend Rate and the Preference Accrual Rate, expressed as a percentage, increased by an amount equal to 2.5%, and shall continue to increase by an amount equal to 2.5% on each anniversary date. In addition to the foregoing, beginning on September 30, 2027 and continuing quarterly thereafter, the Board shall declare and we shall pay in cash a dividend to the holders of Series D Preferred Stock unless otherwise prohibited by the DGCL or any effective credit agreement to which we are a party.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Series D Preferred Stock shall not have any voting rights, other than with respect to: (i) amendments or waivers to our organizational documents that generally have an adverse effect on the Series D Preferred Stock; (ii) authorization, creation, or issuance of, or the combination or reclassification of any securities into, any additional shares of Series D Preferred Stock or any senior or parity securities; (iii) the declaration or payment of any dividend or distribution on, or redemption or repurchase of, any issued and outstanding shares of common stock or any other junior securities; (iv) incurrence by us and our subsidiaries of indebtedness other than (x) any indebtedness that would be permitted to be incurred under any credit agreement to which we were a party at the time the Series D Preferred Stock was issued, (y) indebtedness incurred in connection with refinancing our existing indebtedness outstanding, subject to certain limitations, and (z) indebtedness the net proceeds of which are contemporaneously used to redeem all outstanding shares of Series D Preferred Stock; (v) the making of any dispositions, subject to certain exceptions; and (vi) any voluntary liquidation or bankruptcy filing. For effecting or validating any of the foregoing actions by the Company, whether or not such approval is required pursuant to the DGCL, the affirmative vote or consent of the holders of at least a majority of the shares of Series D Preferred Stock outstanding at such time, voting together as a separate class, given in person or by proxy, either in writing without a meeting or by vote at any meeting called for the purpose is required.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Preference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D Preferred Stock has a liquidation preference of $1,000 per share of Series D Preferred Stock (the “Initial Liquidation Preference”). In the event of a liquidation, dissolution or winding up of the affairs of the Company, after payment or provision for payment of the debts and other liabilities of the Company, the holders of Series D Preferred Stock shall be entitled to receive, in respect of any shares of Series D Preferred Stock held by them, out of assets of the Company available for distribution to stockholders of the Company or their assignees, and subject to the rights of any outstanding shares of any class or series of securities that ranks senior to the Series D Preferred Stock and before any amount shall be distributed to any holders of any class or series of securities that ranks junior to the Series D Preferred Stock, a liquidating distribution in an amount equal to the greater of (i) the Initial Liquidation Preference as such amount may have been increased for any adjustments, and (ii) 140% of the Initial Liquidation Preference.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and Exchange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Series D Preferred Stock are not convertible into or exchangeable for shares of common stock or any other security.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all or a portion of (but in no event less than 25,000 of the Series D Preferred Stock) the then outstanding shares of Series D Preferred Stock for an amount equal to the liquidation preference then in effect of such shares of Series D Preferred Stock (the “Redemption Price”). If we redeem only a portion of the then outstanding shares of Series D Preferred Stock, the shares of Series D Preferred Stock subject to such redemption shall be allocated pro rata among the holders of the then outstanding shares of Series D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 Change of Control (as defined in the Series D Certificate of Designation), each holder of shares of Series D Preferred Stock has the right to require that we redeem all or a portion of such holder’s shares of Series D Preferred Stock for cash in an amount equal to the Redemption Price then in effect. We may also redeem all or a portion of the then outstanding shares of Series D Preferred Stock for cash in an amount equal to the Redemption Price then in effect.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Ranking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D Preferred Stock shall rank, with respect to the payment of dividends and other distributions, including the distribution of assets upon liquidation, dissolution or winding up of the Company, (i) senior to the common stock and to any other class or series of the Preferred Stock, and (ii) junior to any existing or future secured or unsecured indebtedness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May 18, 2026, there were warrants to purchase up to 1,215,000 shares of common stock at an exercise price of $11.03 per share outstanding, which are exercisable, in full or in part, at any time prior to December 11,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Delaware Anti-Takeover Statute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DGCL regulating corporate takeovers. In general, Section 203, subject to certain exceptions, prohibits a publicly held Delaware corporation from engaging in any business combination with any interested stockholder for a period of three years following the date that such person or entity became an interested stockholder,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date, the board of directors of the corporation approved either the business combination or the transaction which resulted in the stockholder becoming an interested stockholder; </w:t>
      </w:r>
      <w:r>
        <mc:AlternateContent>
          <mc:Choice Requires="wps">
            <w:drawing>
              <wp:anchor behindDoc="0" distT="76200" distB="0" distL="254000" distR="0" simplePos="0" locked="0" layoutInCell="1" allowOverlap="1" relativeHeight="3">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the voting stock of the corporation outstanding at the time the transaction commenced, excluding specified shares; or </w:t>
      </w:r>
      <w:r>
        <mc:AlternateContent>
          <mc:Choice Requires="wps">
            <w:drawing>
              <wp:anchor behindDoc="0" distT="76200" distB="0" distL="254000" distR="0" simplePos="0" locked="0" layoutInCell="1" allowOverlap="1" relativeHeight="4">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0" distB="0" distL="254000" distR="0" simplePos="0" locked="0" layoutInCell="1" allowOverlap="1" relativeHeight="5">
                <wp:simplePos x="0" y="0"/>
                <wp:positionH relativeFrom="column">
                  <wp:align>left</wp:align>
                </wp:positionH>
                <wp:positionV relativeFrom="line">
                  <wp:posOffset>635</wp:posOffset>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“business combination”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or consolidation involving the corporation and the interested stockholder; </w:t>
      </w:r>
      <w:r>
        <mc:AlternateContent>
          <mc:Choice Requires="wps">
            <w:drawing>
              <wp:anchor behindDoc="0" distT="7366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lease, exchange, mortgage, pledge, transfer or other disposition of 10% or more of the assets of the corporation to or with the interested stockholder; </w:t>
      </w:r>
      <w:r>
        <mc:AlternateContent>
          <mc:Choice Requires="wps">
            <w:drawing>
              <wp:anchor behindDoc="0" distT="7366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any transaction which results in the issuance or transfer by the corporation of any stock of the corporation to the interested stockholder; </w:t>
      </w:r>
      <w:r>
        <mc:AlternateContent>
          <mc:Choice Requires="wps">
            <w:drawing>
              <wp:anchor behindDoc="0" distT="7366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involving the corporation that has the effect of increasing the proportionate share of the stock of any class or series of the corporation beneficially owned by the interested stockholder; or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interested stockholder of the benefit of any loans, advances, guarantees, pledges or other financial benefits provided by or through the corporation.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an “interested stockholder” as any person that is: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 of 15% or more of the outstanding voting stock of the corporation;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or associate of the corporation and was the owner of 15% or more of the outstanding voting stock of the corporation at any time within three years immediately prior to the relevant date; or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or associate of the above. </w:t>
      </w:r>
      <w:r>
        <mc:AlternateContent>
          <mc:Choice Requires="wps">
            <w:drawing>
              <wp:anchor behindDoc="0" distT="7493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Corporate Governance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Certificate of Incorporation, directors shall be elected for a one-year term expiring at the next annual meeting. Directors elected to succeed those directors whose terms then expire shall be elected for a term of office to expire at the succeeding annual meeting after their election, with each director to hold office until his or her successor shall have been duly elected and qualified.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preferential rights of any other class or series of preferred stock, any director, or the entire Board, may be removed from office at any time, with or without cause, by the affirmative vote of the holders of a majority of the voting power of all the then outstanding shares of voting stock of the Company, voting together as a single class. Our Bylaws require that stockholders provide the Secretary of our company with notice of the nomination of a person for election as a director with respect to an election to be held at an annual meeting of stockholders, not less than 90 nor more than 120 days prior to the anniversary date of the immediately preceding annual meeting of stockholders or special meeting in lieu of an annual meeting, provided, however, that if the date of the annual meeting is more than 30 days before or more than 60 days after such anniversary date, notice by the stockholder to be timely must be given, not earlier than the 120th day prior to such annual meeting and not later than the 90th day prior to such annual meeting or, if later, the 10th day following the day on which public disclosure of the date of such annual meeting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made. To be timely, a stockholder’s notice for nominations to be made at a special meeting must be made not earlier than the 120th day prior to such special meeting and not later than the 90th day prior to such special meeting or, if later, the 10th day following the day on which public disclosure of the date of such special meeting was first made. Our Bylaws provide that special meetings of stockholders of our company may be called only by: (i) the Chairman of the Board, (ii) by a majority of the Board, or (iii) the Chief Executive Officer of our Company. Our Certificate of Incorporation, as well as applicable provisions of the DGCL, provide that no action required or permitted to be taken at any annual or special meeting of our stockholders may be taken without a meeting, unless the consent of two-thirds of the voting power of the then outstanding shares of stock of the company entitled to vote on the matter is obtained. These provisions may diminish the likelihood that a potential acquirer would make an offer for our common stock or that there would otherwise be a change in control of our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Computershare Trust Company, N.A.. The transfer agent’s address is 462 South 4th Street, Louisville, Kentucky 40202.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under the trading symbol “NNBR.”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SEST"/>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the Selling Stockholders will beneficially own after termination of sales under this prospectus. In addition, the Selling Stockholders may have sold, transferred or otherwise disposed of all or a portion of their shares of common stock since the date on which they provided information for the table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regarding each additional Selling Stockholder, if any, will be set forth by a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the table below and the footnotes thereto regarding shares of common stock to be beneficially owned after the offering assumes the sale of all shares being offered by the Selling Stockholders under this prospectus. This information has been obtained from the Selling Stockholders. The percentage of shares owned after the offering is based on 77,083,705 shares outstanding as of July 2, 2026. </w:t>
      </w:r>
    </w:p>
    <w:tbl>
      <w:tblPr>
        <w:tblW w:w="8812" w:type="dxa"/>
        <w:jc w:val="left"/>
        <w:tblInd w:w="1393" w:type="dxa"/>
        <w:tblLayout w:type="fixed"/>
        <w:tblCellMar>
          <w:top w:w="0" w:type="dxa"/>
          <w:left w:w="0" w:type="dxa"/>
          <w:bottom w:w="43" w:type="dxa"/>
          <w:right w:w="0" w:type="dxa"/>
        </w:tblCellMar>
      </w:tblPr>
      <w:tblGrid>
        <w:gridCol w:w="2554"/>
        <w:gridCol w:w="109"/>
        <w:gridCol w:w="109"/>
        <w:gridCol w:w="109"/>
        <w:gridCol w:w="109"/>
        <w:gridCol w:w="1066"/>
        <w:gridCol w:w="109"/>
        <w:gridCol w:w="109"/>
        <w:gridCol w:w="109"/>
        <w:gridCol w:w="109"/>
        <w:gridCol w:w="109"/>
        <w:gridCol w:w="1066"/>
        <w:gridCol w:w="109"/>
        <w:gridCol w:w="109"/>
        <w:gridCol w:w="109"/>
        <w:gridCol w:w="120"/>
        <w:gridCol w:w="120"/>
        <w:gridCol w:w="857"/>
        <w:gridCol w:w="124"/>
        <w:gridCol w:w="109"/>
        <w:gridCol w:w="109"/>
        <w:gridCol w:w="197"/>
        <w:gridCol w:w="197"/>
        <w:gridCol w:w="628"/>
        <w:gridCol w:w="199"/>
        <w:gridCol w:w="158"/>
      </w:tblGrid>
      <w:tr>
        <w:trPr/>
        <w:tc>
          <w:tcPr>
            <w:tcW w:w="255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w:t>
            </w:r>
            <w:r>
              <w:rPr/>
              <w:t xml:space="preserve"> </w:t>
              <w:br/>
            </w:r>
            <w:r>
              <w:rPr>
                <w:spacing w:val="-3"/>
              </w:rPr>
              <w:t>Beneficially</w:t>
            </w:r>
            <w:r>
              <w:rPr/>
              <w:t xml:space="preserve"> </w:t>
              <w:br/>
            </w:r>
            <w:r>
              <w:rPr>
                <w:spacing w:val="-3"/>
              </w:rPr>
              <w:t>Owned</w:t>
            </w:r>
            <w:r>
              <w:rPr/>
              <w:t xml:space="preserve"> </w:t>
              <w:br/>
            </w:r>
            <w:r>
              <w:rPr>
                <w:spacing w:val="-3"/>
              </w:rPr>
              <w:t xml:space="preserve">Before this </w:t>
            </w:r>
            <w:r>
              <w:rPr/>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w:t>
            </w:r>
            <w:r>
              <w:rPr/>
              <w:t xml:space="preserve"> </w:t>
              <w:br/>
            </w:r>
            <w:r>
              <w:rPr>
                <w:spacing w:val="-3"/>
              </w:rPr>
              <w:t xml:space="preserve">Offered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Shares</w:t>
            </w:r>
            <w:r>
              <w:rPr/>
              <w:t xml:space="preserve"> </w:t>
              <w:br/>
            </w:r>
            <w:r>
              <w:rPr>
                <w:spacing w:val="-3"/>
              </w:rPr>
              <w:t>Beneficially</w:t>
            </w:r>
            <w:r>
              <w:rPr/>
              <w:t xml:space="preserve"> </w:t>
              <w:br/>
            </w:r>
            <w:r>
              <w:rPr>
                <w:spacing w:val="-3"/>
              </w:rPr>
              <w:t>Owned</w:t>
            </w:r>
            <w:r>
              <w:rPr/>
              <w:t xml:space="preserve"> </w:t>
              <w:br/>
            </w:r>
            <w:r>
              <w:rPr>
                <w:spacing w:val="-3"/>
              </w:rPr>
              <w:t xml:space="preserve">After this </w:t>
            </w:r>
            <w:r>
              <w:rPr/>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pPr>
            <w:r>
              <w:rPr>
                <w:spacing w:val="-3"/>
              </w:rPr>
              <w:t>Percentage</w:t>
            </w:r>
            <w:r>
              <w:rPr/>
              <w:t xml:space="preserve"> </w:t>
              <w:br/>
            </w:r>
            <w:r>
              <w:rPr>
                <w:spacing w:val="-3"/>
              </w:rPr>
              <w:t>of Shares</w:t>
            </w:r>
            <w:r>
              <w:rPr/>
              <w:t xml:space="preserve"> </w:t>
              <w:br/>
            </w:r>
            <w:r>
              <w:rPr>
                <w:spacing w:val="-3"/>
              </w:rPr>
              <w:t>Beneficially</w:t>
            </w:r>
            <w:r>
              <w:rPr/>
              <w:t xml:space="preserve"> </w:t>
              <w:br/>
            </w:r>
            <w:r>
              <w:rPr>
                <w:spacing w:val="-3"/>
              </w:rPr>
              <w:t xml:space="preserve">Owned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AIGH Investment Partners, LP</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5,708,663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5,697,167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11,496</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ind w:left="200" w:right="0" w:hanging="200"/>
              <w:jc w:val="left"/>
              <w:rPr/>
            </w:pPr>
            <w:r>
              <w:rPr>
                <w:spacing w:val="4"/>
              </w:rPr>
              <w:t>WVP Emerging Manager Onshore Fund, LLC – AIGH Series</w:t>
            </w:r>
            <w:r>
              <w:rPr>
                <w:spacing w:val="3"/>
                <w:szCs w:val="13"/>
              </w:rPr>
              <w: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1,822,869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1,819,177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3,692</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Alyeska Master Fund, L.P.</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4,901,960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4,901,960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CVI Investments, Inc.</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1,633,986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1,633,986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Polar Long/Short Master Fund</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1,307,189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1,307,189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Alice W Lytton Family LLC</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507,189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507,189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Lytton-Kambara Foundation</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Special Situations Private Equity, L.P.</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490,195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490,195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Special Situations Cayman Fund, L.P.</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780,014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780,014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Special Situations Fund III QP, L.P.</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2,651,359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2,651,359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Citadel CEMF Investments Ltd.</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3,921,568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3,921,568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Orin Hirschman is the managing member of AIGH Capital Management, LLC, a Maryland limited liability company (“AIGH CM”), which is an advisor with respect to securities held by AIGH Investment Partners, LP (“AIGH LP”). Mr. Hirschman has voting and investment control over the securities indirectly held by AIGH CM, directly held by AIGH LP and directly held by Mr. Hirschman and his family. The address for AIGH CM, AIGH LP and Mr. Hirschman is 6006 Berkeley Avenue, Baltimore, Maryland 21209. </w:t>
      </w:r>
      <w:r>
        <mc:AlternateContent>
          <mc:Choice Requires="wps">
            <w:drawing>
              <wp:anchor behindDoc="0" distT="508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Orin Hirschman is the managing member of AIGH CM, who is a sub-advisor with respect to securities held by WVP Emerging Manager Onshore Fund, LLC - AIGH Series. Mr. Hirschman has voting and investment control over the securities indirectly held by AIGH CM and directly held by Mr. Hirschman and his family directly. The address for AIGH CM and Mr. Hirschman is 6006 Berkeley Avenue, Baltimore, Maryland 21209.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other than to the extent of any pecuniary interest therein. The registered address of Alyeska Master Fund, L.P. is at c/o Maples Corporate Services Limited, P.O. Box 309, Ugland House, South Church Street George Town, Grand Cayman, KY1-1104, Cayman Islands. Alyeska Investment Group, L.P. is located at 77 W. Wacker, Suite 700, Chicago IL 60601. </w:t>
      </w:r>
      <w:r>
        <mc:AlternateContent>
          <mc:Choice Requires="wps">
            <w:drawing>
              <wp:anchor behindDoc="0" distT="508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The principal business address of CVI is c/o Heights Capital Management, Inc., 101 California Street, Suite 3250, San Francisco, California 94111. </w:t>
      </w:r>
      <w:r>
        <mc:AlternateContent>
          <mc:Choice Requires="wps">
            <w:drawing>
              <wp:anchor behindDoc="0" distT="508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Polar Long/Short Master Fund (“Polar”) is under management by Polar Asset Management Partners Inc. (“PAMPI”). PAMPI serves as investment advisor of Polar and has control and discretion over the shares held by Polar. As such, PAMPI may be deemed the beneficial owner of the shares held by Polar. PAMPI disclaims any beneficial ownership of the reported shares other than to the extent of any pecuniary interest therein. John Paul Sabourin, in his capacity as Chief Investment Officer of PAMPI, may also be deemed the beneficial owner of the shares held by Polar. Mr. Sabourin disclaims any beneficial ownership of the reported shares other than to the extent of any pecuniary interest therein. The principal business address of Polar is 94 Solaris Avenue, Camana Bay, PO Box 1348, Grand Cayman KY1-1108, Cayman Islands. </w:t>
      </w:r>
      <w:r>
        <mc:AlternateContent>
          <mc:Choice Requires="wps">
            <w:drawing>
              <wp:anchor behindDoc="0" distT="508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Laurence Lytton may be deemed to have voting and dispositive power with respect to the common shares beneficially owned by the Alice W Lytton Family LLC. The address of Alice W Lytton Family LLC is 467 Central Park West 17-A, New York, NY 10025, Attn: Laurence Lytton, Managing Partner. </w:t>
      </w:r>
      <w:r>
        <mc:AlternateContent>
          <mc:Choice Requires="wps">
            <w:drawing>
              <wp:anchor behindDoc="0" distT="508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Laurence Lytton has sole voting and investment control of the securities beneficially owned by the Lytton-Kambara Foundation. The address of the Lytton-Kambara Foundation is 467 Central Park West 17-A, New York, NY 10025, Attn: Laurence Lytton, President. </w:t>
      </w:r>
      <w:r>
        <mc:AlternateContent>
          <mc:Choice Requires="wps">
            <w:drawing>
              <wp:anchor behindDoc="0" distT="508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AWM Investment Company, Inc. (“AWM”) is the investment adviser to each of the Special Situations Funds. David Greenhouse and Adam Stettner are the principal owners of AWM. Through their control of AWM, Messrs. Greenhouse and Stettner share voting and investment control over the portfolio securities of each of the Special Situations Funds. Messrs. Greenhouse and Stettner disclaim any beneficial ownership of the reported shares other than to the extent of any pecuniary interest each of them may have therein. The address of AWM, each of the Funds and Messrs. Greenhouse and Stettner is 527 Madison Avenue, Suite 2600, New York, NY 10022. </w:t>
      </w:r>
      <w:r>
        <mc:AlternateContent>
          <mc:Choice Requires="wps">
            <w:drawing>
              <wp:anchor behindDoc="0" distT="508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Citadel Advisors LLC is the portfolio manager of Citadel CEMF Investments Ltd. Citadel Advisors Holdings LP (“CAH”) is the sole member of Citadel Advisors LLC. Citadel GP LLC (“CGP”), is the general partner of CAH. Kenneth Griffin owns a controlling interest in CGP. Mr. Griffin, as the owner of a controlling interest in CGP, may be deemed to have shared power to vote or direct the vote of, and/or shared power to dispose of or to direct the disposition over, the shares of common stock listed above. The foregoing is not and shall not be construed as an admission that Mr. Griffin or any of the Citadel-related entities listed above is the beneficial owner of any securities of the Company other than the securities actually owned by such person (if any). The address of Citadel CEMF Investments Ltd. is 830 Brickell Plaza, Floor 15, Miami, FL 33131. </w:t>
      </w:r>
      <w:r>
        <mc:AlternateContent>
          <mc:Choice Requires="wps">
            <w:drawing>
              <wp:anchor behindDoc="0" distT="508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O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Selling Stockholder of the securities and any of their pledgees, assignees and successors-in-interest may, from time to time, sell any or all of their securities covered hereby on any stock exchange, market or trading facility on which the securities are traded or in private transactions. These sales may be at fixed or negotiated prices. A Selling Stockholder may use any one or more of the following methods when selling securities: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securities as agent but may position and resell a portion of the block as principal to facilitate the transaction; </w:t>
      </w:r>
      <w:r>
        <mc:AlternateContent>
          <mc:Choice Requires="wps">
            <w:drawing>
              <wp:anchor behindDoc="0" distT="6731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6731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660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660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of short sales; </w:t>
      </w:r>
      <w:r>
        <mc:AlternateContent>
          <mc:Choice Requires="wps">
            <w:drawing>
              <wp:anchor behindDoc="0" distT="660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through broker-dealers that agree with the Selling Stockholders to sell a specified number of such securities at a stipulated price per security; </w:t>
      </w:r>
      <w:r>
        <mc:AlternateContent>
          <mc:Choice Requires="wps">
            <w:drawing>
              <wp:anchor behindDoc="0" distT="660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6604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or </w:t>
      </w:r>
      <w:r>
        <mc:AlternateContent>
          <mc:Choice Requires="wps">
            <w:drawing>
              <wp:anchor behindDoc="0" distT="660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6604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also sell securities under Rule 144 or any other exemption from registration under the Securities Act, if available, rather than under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agreed to keep the registration statement of which this prospectus is a part effective until the earlier of (i) the date on which the securities may be resold by the Selling Stockholders without registration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shares of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EMA"/>
      <w:bookmarkEnd w:id="11"/>
      <w:r>
        <w:rPr>
          <w:rFonts w:ascii="calibri;arial;sans-serif" w:hAnsi="calibri;arial;sans-serif"/>
          <w:b w:val="false"/>
          <w:i w:val="false"/>
          <w:caps w:val="false"/>
          <w:smallCaps w:val="false"/>
          <w:color w:val="000000"/>
          <w:sz w:val="16"/>
        </w:rPr>
        <w:t>​</w:t>
      </w:r>
      <w:bookmarkStart w:id="12" w:name="tEXP"/>
      <w:bookmarkEnd w:id="12"/>
      <w:r>
        <w:rPr>
          <w:rFonts w:ascii="calibri;arial;sans-serif" w:hAnsi="calibri;arial;sans-serif"/>
          <w:b w:val="false"/>
          <w:i w:val="false"/>
          <w:caps w:val="false"/>
          <w:smallCaps w:val="false"/>
          <w:color w:val="000000"/>
          <w:sz w:val="16"/>
        </w:rPr>
        <w:t>​</w:t>
      </w:r>
      <w:bookmarkStart w:id="13" w:name="tWYC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Cooley LLP, Chicago, Illinois, will pass upon the validity of the shares of common stock offered hereby.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at www.sec.gov that contains reports, proxy and information statements, and other information regarding issuers, such as us, that file electronically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certain information filed by us with the SEC are also available on our website at www.nninc.com. Information contained in or accessible through our website does not constitute a part of this prospectus and is not incorporated by reference in this prospectus. We have included our website address as an inactive textual reference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IOC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documents are incorporated by reference into this document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w:t>
      </w:r>
    </w:p>
    <w:p>
      <w:pPr>
        <w:pStyle w:val="TextBody"/>
        <w:bidi w:val="0"/>
        <w:spacing w:lineRule="atLeast" w:line="240" w:before="120" w:after="0"/>
        <w:ind w:left="1993" w:right="0" w:hanging="0"/>
        <w:jc w:val="left"/>
        <w:rPr/>
      </w:pPr>
      <w:hyperlink r:id="rId4">
        <w:r>
          <w:rPr>
            <w:rStyle w:val="InternetLink"/>
          </w:rPr>
          <w:t>our Annual Report on Form 10-K for the fiscal year ended December 31, 2025, filed with the SEC on March 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for the fiscal year ended December 31, 2025 from our </w:t>
      </w:r>
      <w:hyperlink r:id="rId5">
        <w:r>
          <w:rPr>
            <w:rStyle w:val="InternetLink"/>
          </w:rPr>
          <w:t>definitive proxy statement on Schedule 14A, filed with the SEC on April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6">
        <w:r>
          <w:rPr>
            <w:rStyle w:val="InternetLink"/>
          </w:rPr>
          <w:t>our Quarterly Report on Form 10-Q for the quarterly period ended March 31, 2026, filed with the SEC on May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(other than information furnished rather than filed), filed with the SEC on </w:t>
      </w:r>
      <w:hyperlink r:id="rId7">
        <w:r>
          <w:rPr>
            <w:rStyle w:val="InternetLink"/>
          </w:rPr>
          <w:t>January 20,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and </w:t>
      </w:r>
      <w:hyperlink r:id="rId11">
        <w:r>
          <w:rPr>
            <w:rStyle w:val="InternetLink"/>
          </w:rPr>
          <w:t>July 1,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which is registered under Section 12 of the Exchange Act, described in </w:t>
      </w:r>
      <w:hyperlink r:id="rId12">
        <w:r>
          <w:rPr>
            <w:rStyle w:val="InternetLink"/>
          </w:rPr>
          <w:t>Exhibit 4.5</w:t>
        </w:r>
      </w:hyperlink>
      <w:r>
        <w:rPr>
          <w:rFonts w:ascii="Times New Roman;Times;serif" w:hAnsi="Times New Roman;Times;serif"/>
          <w:b w:val="false"/>
          <w:i w:val="false"/>
          <w:caps w:val="false"/>
          <w:smallCaps w:val="false"/>
          <w:color w:val="000000"/>
          <w:spacing w:val="4"/>
          <w:sz w:val="20"/>
        </w:rPr>
        <w:t xml:space="preserve"> to our Annual Report on Form 10-K for the year ended December 31, 2020, filed with the SEC on </w:t>
      </w:r>
      <w:hyperlink r:id="rId13">
        <w:r>
          <w:rPr>
            <w:rStyle w:val="InternetLink"/>
          </w:rPr>
          <w:t>March 15, 2021</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purposes of updating such description.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all documents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by writing us at NN, Inc., 6210 Ardrey Kell Road, Suite 120, Charlotte, North Carolina 28277 Attention: Secretary or telephoning us at (980) 264-4300.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918541/000110465926079868/tm2615004d6_8k.htm" TargetMode="External"/><Relationship Id="rId4" Type="http://schemas.openxmlformats.org/officeDocument/2006/relationships/hyperlink" Target="https://www.sec.gov/ix?doc=/Archives/edgar/data/918541/000091854126000006/nnbr-20251231.htm" TargetMode="External"/><Relationship Id="rId5" Type="http://schemas.openxmlformats.org/officeDocument/2006/relationships/hyperlink" Target="https://www.sec.gov/ix?doc=/Archives/edgar/data/918541/000091854126000026/nnbr-20260406.htm" TargetMode="External"/><Relationship Id="rId6" Type="http://schemas.openxmlformats.org/officeDocument/2006/relationships/hyperlink" Target="https://www.sec.gov/ix?doc=/Archives/edgar/data/918541/000091854126000033/nnbr-20260331.htm" TargetMode="External"/><Relationship Id="rId7" Type="http://schemas.openxmlformats.org/officeDocument/2006/relationships/hyperlink" Target="https://www.sec.gov/ix?doc=/Archives/edgar/data/918541/000110465926004834/tm263328d1_8k.htm" TargetMode="External"/><Relationship Id="rId8" Type="http://schemas.openxmlformats.org/officeDocument/2006/relationships/hyperlink" Target="https://www.sec.gov/ix?doc=/Archives/edgar/data/918541/000110465926008723/tm264468d1_8k.htm" TargetMode="External"/><Relationship Id="rId9" Type="http://schemas.openxmlformats.org/officeDocument/2006/relationships/hyperlink" Target="https://www.sec.gov/ix?doc=/Archives/edgar/data/918541/000091854126000046/nnbr-20260520.htm" TargetMode="External"/><Relationship Id="rId10" Type="http://schemas.openxmlformats.org/officeDocument/2006/relationships/hyperlink" Target="https://www.sec.gov/ix?doc=/Archives/edgar/data/918541/000110465926073458/tm2617739d1_8k.htm" TargetMode="External"/><Relationship Id="rId11" Type="http://schemas.openxmlformats.org/officeDocument/2006/relationships/hyperlink" Target="https://www.sec.gov/ix?doc=/Archives/edgar/data/918541/000110465926079868/tm2615004d6_8k.htm" TargetMode="External"/><Relationship Id="rId12" Type="http://schemas.openxmlformats.org/officeDocument/2006/relationships/hyperlink" Target="https://www.sec.gov/Archives/edgar/data/918541/000091854121000003/q42020ex45.htm" TargetMode="External"/><Relationship Id="rId13" Type="http://schemas.openxmlformats.org/officeDocument/2006/relationships/hyperlink" Target="https://www.sec.gov/ix?doc=/Archives/edgar/data/918541/000091854121000003/nnbr-2020123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8833</Words>
  <Characters>46595</Characters>
  <CharactersWithSpaces>55897</CharactersWithSpaces>
  <Paragraphs>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