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146685</wp:posOffset>
            </wp:positionH>
            <wp:positionV relativeFrom="page">
              <wp:posOffset>244475</wp:posOffset>
            </wp:positionV>
            <wp:extent cx="7268210"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35560"/>
                    </a:xfrm>
                    <a:prstGeom prst="rect">
                      <a:avLst/>
                    </a:prstGeom>
                    <a:noFill/>
                  </pic:spPr>
                </pic:pic>
              </a:graphicData>
            </a:graphic>
          </wp:anchor>
        </w:drawing>
        <w:t>UNITED STATES</w:t>
      </w:r>
    </w:p>
    <w:p>
      <w:pPr>
        <w:spacing w:after="0" w:line="21"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SECURITIES AND EXCHANGE COMMISSION</w:t>
      </w:r>
    </w:p>
    <w:p>
      <w:pPr>
        <w:spacing w:after="0" w:line="6"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3262630</wp:posOffset>
            </wp:positionH>
            <wp:positionV relativeFrom="paragraph">
              <wp:posOffset>64770</wp:posOffset>
            </wp:positionV>
            <wp:extent cx="738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8505" cy="7620"/>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FORM 8-K</w:t>
      </w:r>
    </w:p>
    <w:p>
      <w:pPr>
        <w:spacing w:after="0" w:line="217"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CURRENT REPORT PURSUANT TO</w:t>
      </w:r>
    </w:p>
    <w:p>
      <w:pPr>
        <w:spacing w:after="0" w:line="21"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SECTION 13 OR 15(d) OF THE</w:t>
      </w:r>
    </w:p>
    <w:p>
      <w:pPr>
        <w:spacing w:after="0" w:line="6"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SECURITIES EXCHANGE ACT OF 1934</w:t>
      </w:r>
    </w:p>
    <w:p>
      <w:pPr>
        <w:spacing w:after="0" w:line="200" w:lineRule="exact"/>
        <w:rPr>
          <w:sz w:val="24"/>
          <w:szCs w:val="24"/>
          <w:color w:val="auto"/>
        </w:rPr>
      </w:pPr>
    </w:p>
    <w:p>
      <w:pPr>
        <w:spacing w:after="0" w:line="222" w:lineRule="exact"/>
        <w:rPr>
          <w:sz w:val="24"/>
          <w:szCs w:val="24"/>
          <w:color w:val="auto"/>
        </w:rPr>
      </w:pPr>
    </w:p>
    <w:p>
      <w:pPr>
        <w:jc w:val="center"/>
        <w:ind w:right="-4"/>
        <w:spacing w:after="0"/>
        <w:rPr>
          <w:sz w:val="20"/>
          <w:szCs w:val="20"/>
          <w:color w:val="auto"/>
        </w:rPr>
      </w:pPr>
      <w:r>
        <w:rPr>
          <w:rFonts w:ascii="Arial" w:cs="Arial" w:eastAsia="Arial" w:hAnsi="Arial"/>
          <w:sz w:val="16"/>
          <w:szCs w:val="16"/>
          <w:color w:val="auto"/>
        </w:rPr>
        <w:t>Date of Report (Date of earliest event reported): March 12, 2012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u w:val="single" w:color="auto"/>
          <w:color w:val="auto"/>
        </w:rPr>
        <w:t>NN, INC.</w:t>
      </w:r>
    </w:p>
    <w:p>
      <w:pPr>
        <w:spacing w:after="0" w:line="36" w:lineRule="exact"/>
        <w:rPr>
          <w:sz w:val="24"/>
          <w:szCs w:val="24"/>
          <w:color w:val="auto"/>
        </w:rPr>
      </w:pPr>
    </w:p>
    <w:p>
      <w:pPr>
        <w:jc w:val="center"/>
        <w:ind w:right="-24"/>
        <w:spacing w:after="0"/>
        <w:rPr>
          <w:sz w:val="20"/>
          <w:szCs w:val="20"/>
          <w:color w:val="auto"/>
        </w:rPr>
      </w:pPr>
      <w:r>
        <w:rPr>
          <w:rFonts w:ascii="Arial" w:cs="Arial" w:eastAsia="Arial" w:hAnsi="Arial"/>
          <w:sz w:val="16"/>
          <w:szCs w:val="16"/>
          <w:color w:val="auto"/>
        </w:rPr>
        <w:t>(Exact name of registrant as specified in its charter)</w:t>
      </w:r>
    </w:p>
    <w:p>
      <w:pPr>
        <w:spacing w:after="0" w:line="188" w:lineRule="exact"/>
        <w:rPr>
          <w:sz w:val="24"/>
          <w:szCs w:val="24"/>
          <w:color w:val="auto"/>
        </w:rPr>
      </w:pPr>
    </w:p>
    <w:tbl>
      <w:tblPr>
        <w:tblLayout w:type="fixed"/>
        <w:tblInd w:w="485"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2100" w:type="dxa"/>
            <w:vAlign w:val="bottom"/>
            <w:gridSpan w:val="3"/>
          </w:tcPr>
          <w:p>
            <w:pPr>
              <w:jc w:val="center"/>
              <w:ind w:right="1500"/>
              <w:spacing w:after="0"/>
              <w:rPr>
                <w:sz w:val="20"/>
                <w:szCs w:val="20"/>
                <w:color w:val="auto"/>
              </w:rPr>
            </w:pPr>
            <w:r>
              <w:rPr>
                <w:rFonts w:ascii="Arial" w:cs="Arial" w:eastAsia="Arial" w:hAnsi="Arial"/>
                <w:sz w:val="16"/>
                <w:szCs w:val="16"/>
                <w:color w:val="auto"/>
                <w:w w:val="88"/>
              </w:rPr>
              <w:t>Delaware</w:t>
            </w:r>
          </w:p>
        </w:tc>
        <w:tc>
          <w:tcPr>
            <w:tcW w:w="2340" w:type="dxa"/>
            <w:vAlign w:val="bottom"/>
            <w:gridSpan w:val="3"/>
          </w:tcPr>
          <w:p>
            <w:pPr>
              <w:jc w:val="center"/>
              <w:ind w:left="1741"/>
              <w:spacing w:after="0"/>
              <w:rPr>
                <w:sz w:val="20"/>
                <w:szCs w:val="20"/>
                <w:color w:val="auto"/>
              </w:rPr>
            </w:pPr>
            <w:r>
              <w:rPr>
                <w:rFonts w:ascii="Arial" w:cs="Arial" w:eastAsia="Arial" w:hAnsi="Arial"/>
                <w:sz w:val="16"/>
                <w:szCs w:val="16"/>
                <w:color w:val="auto"/>
                <w:w w:val="88"/>
              </w:rPr>
              <w:t>0-23486</w:t>
            </w:r>
          </w:p>
        </w:tc>
        <w:tc>
          <w:tcPr>
            <w:tcW w:w="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0" w:type="dxa"/>
            <w:vAlign w:val="bottom"/>
            <w:gridSpan w:val="5"/>
          </w:tcPr>
          <w:p>
            <w:pPr>
              <w:jc w:val="right"/>
              <w:ind w:right="760"/>
              <w:spacing w:after="0"/>
              <w:rPr>
                <w:sz w:val="20"/>
                <w:szCs w:val="20"/>
                <w:color w:val="auto"/>
              </w:rPr>
            </w:pPr>
            <w:r>
              <w:rPr>
                <w:rFonts w:ascii="Arial" w:cs="Arial" w:eastAsia="Arial" w:hAnsi="Arial"/>
                <w:sz w:val="16"/>
                <w:szCs w:val="16"/>
                <w:color w:val="auto"/>
              </w:rPr>
              <w:t>62-1096725</w:t>
            </w:r>
          </w:p>
        </w:tc>
      </w:tr>
      <w:tr>
        <w:trPr>
          <w:trHeight w:val="20"/>
        </w:trPr>
        <w:tc>
          <w:tcPr>
            <w:tcW w:w="1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8"/>
        </w:trPr>
        <w:tc>
          <w:tcPr>
            <w:tcW w:w="3320" w:type="dxa"/>
            <w:vAlign w:val="bottom"/>
            <w:gridSpan w:val="4"/>
          </w:tcPr>
          <w:p>
            <w:pPr>
              <w:jc w:val="center"/>
              <w:ind w:right="280"/>
              <w:spacing w:after="0"/>
              <w:rPr>
                <w:sz w:val="20"/>
                <w:szCs w:val="20"/>
                <w:color w:val="auto"/>
              </w:rPr>
            </w:pPr>
            <w:r>
              <w:rPr>
                <w:rFonts w:ascii="Arial" w:cs="Arial" w:eastAsia="Arial" w:hAnsi="Arial"/>
                <w:sz w:val="16"/>
                <w:szCs w:val="16"/>
                <w:color w:val="auto"/>
                <w:w w:val="91"/>
              </w:rPr>
              <w:t>(State or Other Jurisdiction of Incorporation)</w:t>
            </w:r>
          </w:p>
        </w:tc>
        <w:tc>
          <w:tcPr>
            <w:tcW w:w="4340" w:type="dxa"/>
            <w:vAlign w:val="bottom"/>
            <w:gridSpan w:val="5"/>
          </w:tcPr>
          <w:p>
            <w:pPr>
              <w:jc w:val="center"/>
              <w:ind w:right="200"/>
              <w:spacing w:after="0"/>
              <w:rPr>
                <w:sz w:val="20"/>
                <w:szCs w:val="20"/>
                <w:color w:val="auto"/>
              </w:rPr>
            </w:pPr>
            <w:r>
              <w:rPr>
                <w:rFonts w:ascii="Arial" w:cs="Arial" w:eastAsia="Arial" w:hAnsi="Arial"/>
                <w:sz w:val="16"/>
                <w:szCs w:val="16"/>
                <w:color w:val="auto"/>
                <w:w w:val="91"/>
              </w:rPr>
              <w:t>(Commission File Number)</w:t>
            </w:r>
          </w:p>
        </w:tc>
        <w:tc>
          <w:tcPr>
            <w:tcW w:w="2600" w:type="dxa"/>
            <w:vAlign w:val="bottom"/>
            <w:gridSpan w:val="5"/>
          </w:tcPr>
          <w:p>
            <w:pPr>
              <w:jc w:val="center"/>
              <w:ind w:left="221"/>
              <w:spacing w:after="0"/>
              <w:rPr>
                <w:sz w:val="20"/>
                <w:szCs w:val="20"/>
                <w:color w:val="auto"/>
              </w:rPr>
            </w:pPr>
            <w:r>
              <w:rPr>
                <w:rFonts w:ascii="Arial" w:cs="Arial" w:eastAsia="Arial" w:hAnsi="Arial"/>
                <w:sz w:val="16"/>
                <w:szCs w:val="16"/>
                <w:color w:val="auto"/>
                <w:w w:val="93"/>
              </w:rPr>
              <w:t>(I.R.S. Employer Identification No.)</w:t>
            </w:r>
          </w:p>
        </w:tc>
      </w:tr>
      <w:tr>
        <w:trPr>
          <w:trHeight w:val="346"/>
        </w:trPr>
        <w:tc>
          <w:tcPr>
            <w:tcW w:w="3320" w:type="dxa"/>
            <w:vAlign w:val="bottom"/>
            <w:gridSpan w:val="4"/>
          </w:tcPr>
          <w:p>
            <w:pPr>
              <w:jc w:val="center"/>
              <w:ind w:right="140"/>
              <w:spacing w:after="0"/>
              <w:rPr>
                <w:sz w:val="20"/>
                <w:szCs w:val="20"/>
                <w:color w:val="auto"/>
              </w:rPr>
            </w:pPr>
            <w:r>
              <w:rPr>
                <w:rFonts w:ascii="Arial" w:cs="Arial" w:eastAsia="Arial" w:hAnsi="Arial"/>
                <w:sz w:val="16"/>
                <w:szCs w:val="16"/>
                <w:color w:val="auto"/>
                <w:w w:val="87"/>
              </w:rPr>
              <w:t>2000 Waters Edge Drive, Johnson City, Tennessee</w:t>
            </w: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40" w:type="dxa"/>
            <w:vAlign w:val="bottom"/>
            <w:gridSpan w:val="4"/>
          </w:tcPr>
          <w:p>
            <w:pPr>
              <w:jc w:val="right"/>
              <w:ind w:right="260"/>
              <w:spacing w:after="0"/>
              <w:rPr>
                <w:sz w:val="20"/>
                <w:szCs w:val="20"/>
                <w:color w:val="auto"/>
              </w:rPr>
            </w:pPr>
            <w:r>
              <w:rPr>
                <w:rFonts w:ascii="Arial" w:cs="Arial" w:eastAsia="Arial" w:hAnsi="Arial"/>
                <w:sz w:val="16"/>
                <w:szCs w:val="16"/>
                <w:color w:val="auto"/>
              </w:rPr>
              <w:t>37604</w:t>
            </w:r>
          </w:p>
        </w:tc>
        <w:tc>
          <w:tcPr>
            <w:tcW w:w="760" w:type="dxa"/>
            <w:vAlign w:val="bottom"/>
          </w:tcPr>
          <w:p>
            <w:pPr>
              <w:spacing w:after="0"/>
              <w:rPr>
                <w:sz w:val="24"/>
                <w:szCs w:val="24"/>
                <w:color w:val="auto"/>
              </w:rPr>
            </w:pPr>
          </w:p>
        </w:tc>
      </w:tr>
      <w:tr>
        <w:trPr>
          <w:trHeight w:val="20"/>
        </w:trPr>
        <w:tc>
          <w:tcPr>
            <w:tcW w:w="31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8"/>
        </w:trPr>
        <w:tc>
          <w:tcPr>
            <w:tcW w:w="3180" w:type="dxa"/>
            <w:vAlign w:val="bottom"/>
            <w:gridSpan w:val="3"/>
          </w:tcPr>
          <w:p>
            <w:pPr>
              <w:jc w:val="center"/>
              <w:spacing w:after="0"/>
              <w:rPr>
                <w:sz w:val="20"/>
                <w:szCs w:val="20"/>
                <w:color w:val="auto"/>
              </w:rPr>
            </w:pPr>
            <w:r>
              <w:rPr>
                <w:rFonts w:ascii="Arial" w:cs="Arial" w:eastAsia="Arial" w:hAnsi="Arial"/>
                <w:sz w:val="16"/>
                <w:szCs w:val="16"/>
                <w:color w:val="auto"/>
                <w:w w:val="91"/>
              </w:rPr>
              <w:t>(Address of principal executive offices)</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0" w:type="dxa"/>
            <w:vAlign w:val="bottom"/>
            <w:gridSpan w:val="5"/>
          </w:tcPr>
          <w:p>
            <w:pPr>
              <w:jc w:val="center"/>
              <w:ind w:left="61"/>
              <w:spacing w:after="0"/>
              <w:rPr>
                <w:sz w:val="20"/>
                <w:szCs w:val="20"/>
                <w:color w:val="auto"/>
              </w:rPr>
            </w:pPr>
            <w:r>
              <w:rPr>
                <w:rFonts w:ascii="Arial" w:cs="Arial" w:eastAsia="Arial" w:hAnsi="Arial"/>
                <w:sz w:val="16"/>
                <w:szCs w:val="16"/>
                <w:color w:val="auto"/>
                <w:w w:val="92"/>
              </w:rPr>
              <w:t>(Zip Code)</w:t>
            </w:r>
          </w:p>
        </w:tc>
      </w:tr>
      <w:tr>
        <w:trPr>
          <w:trHeight w:val="346"/>
        </w:trPr>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1"/>
              </w:rPr>
              <w:t>(423) 743-9151</w:t>
            </w:r>
          </w:p>
        </w:tc>
        <w:tc>
          <w:tcPr>
            <w:tcW w:w="1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4"/>
        </w:trPr>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40" w:type="dxa"/>
            <w:vAlign w:val="bottom"/>
            <w:gridSpan w:val="5"/>
          </w:tcPr>
          <w:p>
            <w:pPr>
              <w:jc w:val="center"/>
              <w:ind w:right="180"/>
              <w:spacing w:after="0"/>
              <w:rPr>
                <w:sz w:val="20"/>
                <w:szCs w:val="20"/>
                <w:color w:val="auto"/>
              </w:rPr>
            </w:pPr>
            <w:r>
              <w:rPr>
                <w:rFonts w:ascii="Arial" w:cs="Arial" w:eastAsia="Arial" w:hAnsi="Arial"/>
                <w:sz w:val="16"/>
                <w:szCs w:val="16"/>
                <w:color w:val="auto"/>
                <w:w w:val="88"/>
              </w:rPr>
              <w:t>(Registrant's telephone number, including area code)</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80"/>
        </w:trPr>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40" w:type="dxa"/>
            <w:vAlign w:val="bottom"/>
            <w:gridSpan w:val="5"/>
          </w:tcPr>
          <w:p>
            <w:pPr>
              <w:jc w:val="center"/>
              <w:ind w:right="180"/>
              <w:spacing w:after="0"/>
              <w:rPr>
                <w:sz w:val="20"/>
                <w:szCs w:val="20"/>
                <w:color w:val="auto"/>
              </w:rPr>
            </w:pPr>
            <w:r>
              <w:rPr>
                <w:rFonts w:ascii="Arial" w:cs="Arial" w:eastAsia="Arial" w:hAnsi="Arial"/>
                <w:sz w:val="16"/>
                <w:szCs w:val="16"/>
                <w:color w:val="auto"/>
                <w:w w:val="88"/>
              </w:rPr>
              <w:t>(Former name or former address, if changed since last report)</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0" w:lineRule="exact"/>
        <w:rPr>
          <w:sz w:val="24"/>
          <w:szCs w:val="24"/>
          <w:color w:val="auto"/>
        </w:rPr>
      </w:pPr>
    </w:p>
    <w:p>
      <w:pPr>
        <w:spacing w:after="0" w:line="216" w:lineRule="exact"/>
        <w:rPr>
          <w:sz w:val="24"/>
          <w:szCs w:val="24"/>
          <w:color w:val="auto"/>
        </w:rPr>
      </w:pPr>
    </w:p>
    <w:p>
      <w:pPr>
        <w:ind w:left="5" w:right="420"/>
        <w:spacing w:after="0" w:line="269" w:lineRule="auto"/>
        <w:rPr>
          <w:sz w:val="20"/>
          <w:szCs w:val="20"/>
          <w:color w:val="auto"/>
        </w:rPr>
      </w:pPr>
      <w:r>
        <w:rPr>
          <w:rFonts w:ascii="Arial" w:cs="Arial" w:eastAsia="Arial" w:hAnsi="Arial"/>
          <w:sz w:val="16"/>
          <w:szCs w:val="16"/>
          <w:color w:val="auto"/>
        </w:rPr>
        <w:t>Check the appropriate box if the Form 8-K filing is intended to simultaneously satisfy the filing obligation of the registrant under any of the following provisions (see General Instruction A.2. below):</w:t>
      </w:r>
    </w:p>
    <w:p>
      <w:pPr>
        <w:spacing w:after="0" w:line="181" w:lineRule="exact"/>
        <w:rPr>
          <w:sz w:val="24"/>
          <w:szCs w:val="24"/>
          <w:color w:val="auto"/>
        </w:rPr>
      </w:pPr>
    </w:p>
    <w:p>
      <w:pPr>
        <w:ind w:left="565" w:hanging="565"/>
        <w:spacing w:after="0"/>
        <w:tabs>
          <w:tab w:leader="none" w:pos="56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19" w:lineRule="exact"/>
        <w:rPr>
          <w:rFonts w:ascii="MS PGothic" w:cs="MS PGothic" w:eastAsia="MS PGothic" w:hAnsi="MS PGothic"/>
          <w:sz w:val="16"/>
          <w:szCs w:val="16"/>
          <w:color w:val="auto"/>
        </w:rPr>
      </w:pPr>
    </w:p>
    <w:p>
      <w:pPr>
        <w:ind w:left="585" w:hanging="585"/>
        <w:spacing w:after="0"/>
        <w:tabs>
          <w:tab w:leader="none" w:pos="58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2" w:lineRule="exact"/>
        <w:rPr>
          <w:sz w:val="24"/>
          <w:szCs w:val="24"/>
          <w:color w:val="auto"/>
        </w:rPr>
      </w:pPr>
    </w:p>
    <w:tbl>
      <w:tblPr>
        <w:tblLayout w:type="fixed"/>
        <w:tblInd w:w="5" w:type="dxa"/>
        <w:tblCellMar>
          <w:top w:w="0" w:type="dxa"/>
          <w:left w:w="0" w:type="dxa"/>
          <w:bottom w:w="0" w:type="dxa"/>
          <w:right w:w="0" w:type="dxa"/>
        </w:tblCellMar>
      </w:tblPr>
      <w:tr>
        <w:trPr>
          <w:trHeight w:val="247"/>
        </w:trPr>
        <w:tc>
          <w:tcPr>
            <w:tcW w:w="360" w:type="dxa"/>
            <w:vAlign w:val="bottom"/>
            <w:gridSpan w:val="2"/>
          </w:tcPr>
          <w:p>
            <w:pPr>
              <w:jc w:val="right"/>
              <w:ind w:right="152"/>
              <w:spacing w:after="0" w:line="161" w:lineRule="exact"/>
              <w:rPr>
                <w:sz w:val="20"/>
                <w:szCs w:val="20"/>
                <w:color w:val="auto"/>
              </w:rPr>
            </w:pPr>
            <w:r>
              <w:rPr>
                <w:rFonts w:ascii="MS PGothic" w:cs="MS PGothic" w:eastAsia="MS PGothic" w:hAnsi="MS PGothic"/>
                <w:sz w:val="16"/>
                <w:szCs w:val="16"/>
                <w:color w:val="auto"/>
                <w:w w:val="74"/>
              </w:rPr>
              <w:t>☐</w:t>
            </w:r>
          </w:p>
        </w:tc>
        <w:tc>
          <w:tcPr>
            <w:tcW w:w="7080" w:type="dxa"/>
            <w:vAlign w:val="bottom"/>
          </w:tcPr>
          <w:p>
            <w:pPr>
              <w:ind w:left="220"/>
              <w:spacing w:after="0"/>
              <w:rPr>
                <w:sz w:val="20"/>
                <w:szCs w:val="20"/>
                <w:color w:val="auto"/>
              </w:rPr>
            </w:pPr>
            <w:r>
              <w:rPr>
                <w:rFonts w:ascii="Arial" w:cs="Arial" w:eastAsia="Arial" w:hAnsi="Arial"/>
                <w:sz w:val="16"/>
                <w:szCs w:val="16"/>
                <w:color w:val="auto"/>
                <w:w w:val="90"/>
              </w:rPr>
              <w:t>Pre-commencement communications pursuant to Rule 14d-2(b) under the Exchange Act (17 CFR 240.14d-</w:t>
            </w:r>
          </w:p>
        </w:tc>
        <w:tc>
          <w:tcPr>
            <w:tcW w:w="4000" w:type="dxa"/>
            <w:vAlign w:val="bottom"/>
            <w:gridSpan w:val="2"/>
          </w:tcPr>
          <w:p>
            <w:pPr>
              <w:ind w:left="100"/>
              <w:spacing w:after="0"/>
              <w:rPr>
                <w:sz w:val="20"/>
                <w:szCs w:val="20"/>
                <w:color w:val="auto"/>
              </w:rPr>
            </w:pPr>
            <w:r>
              <w:rPr>
                <w:rFonts w:ascii="Arial" w:cs="Arial" w:eastAsia="Arial" w:hAnsi="Arial"/>
                <w:sz w:val="16"/>
                <w:szCs w:val="16"/>
                <w:color w:val="auto"/>
              </w:rPr>
              <w:t>2(b))</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40" w:type="dxa"/>
            <w:vAlign w:val="bottom"/>
            <w:vMerge w:val="restart"/>
          </w:tcPr>
          <w:p>
            <w:pPr>
              <w:jc w:val="right"/>
              <w:ind w:right="152"/>
              <w:spacing w:after="0" w:line="141" w:lineRule="exact"/>
              <w:rPr>
                <w:sz w:val="20"/>
                <w:szCs w:val="20"/>
                <w:color w:val="auto"/>
              </w:rPr>
            </w:pPr>
            <w:r>
              <w:rPr>
                <w:rFonts w:ascii="MS PGothic" w:cs="MS PGothic" w:eastAsia="MS PGothic" w:hAnsi="MS PGothic"/>
                <w:sz w:val="14"/>
                <w:szCs w:val="14"/>
                <w:color w:val="auto"/>
                <w:w w:val="71"/>
              </w:rPr>
              <w:t>☐</w:t>
            </w:r>
          </w:p>
        </w:tc>
        <w:tc>
          <w:tcPr>
            <w:tcW w:w="7080" w:type="dxa"/>
            <w:vAlign w:val="bottom"/>
            <w:vMerge w:val="restart"/>
          </w:tcPr>
          <w:p>
            <w:pPr>
              <w:ind w:left="220"/>
              <w:spacing w:after="0"/>
              <w:rPr>
                <w:sz w:val="20"/>
                <w:szCs w:val="20"/>
                <w:color w:val="auto"/>
              </w:rPr>
            </w:pPr>
            <w:r>
              <w:rPr>
                <w:rFonts w:ascii="Arial" w:cs="Arial" w:eastAsia="Arial" w:hAnsi="Arial"/>
                <w:sz w:val="16"/>
                <w:szCs w:val="16"/>
                <w:color w:val="auto"/>
                <w:w w:val="90"/>
              </w:rPr>
              <w:t>Pre-commencement communications pursuant to Rule 13e-4(c) under the Exchange Act (17 CFR 240.13e-</w:t>
            </w:r>
          </w:p>
        </w:tc>
        <w:tc>
          <w:tcPr>
            <w:tcW w:w="3980" w:type="dxa"/>
            <w:vAlign w:val="bottom"/>
            <w:vMerge w:val="restart"/>
          </w:tcPr>
          <w:p>
            <w:pPr>
              <w:ind w:left="80"/>
              <w:spacing w:after="0"/>
              <w:rPr>
                <w:sz w:val="20"/>
                <w:szCs w:val="20"/>
                <w:color w:val="auto"/>
              </w:rPr>
            </w:pPr>
            <w:r>
              <w:rPr>
                <w:rFonts w:ascii="Arial" w:cs="Arial" w:eastAsia="Arial" w:hAnsi="Arial"/>
                <w:sz w:val="16"/>
                <w:szCs w:val="16"/>
                <w:color w:val="auto"/>
              </w:rPr>
              <w:t>4(c))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0" w:type="dxa"/>
            <w:vAlign w:val="bottom"/>
            <w:shd w:val="clear" w:color="auto" w:fill="808080"/>
          </w:tcPr>
          <w:p>
            <w:pPr>
              <w:spacing w:after="0"/>
              <w:rPr>
                <w:sz w:val="5"/>
                <w:szCs w:val="5"/>
                <w:color w:val="auto"/>
              </w:rPr>
            </w:pPr>
          </w:p>
        </w:tc>
        <w:tc>
          <w:tcPr>
            <w:tcW w:w="340" w:type="dxa"/>
            <w:vAlign w:val="bottom"/>
            <w:vMerge w:val="continue"/>
          </w:tcPr>
          <w:p>
            <w:pPr>
              <w:spacing w:after="0"/>
              <w:rPr>
                <w:sz w:val="5"/>
                <w:szCs w:val="5"/>
                <w:color w:val="auto"/>
              </w:rPr>
            </w:pPr>
          </w:p>
        </w:tc>
        <w:tc>
          <w:tcPr>
            <w:tcW w:w="7080" w:type="dxa"/>
            <w:vAlign w:val="bottom"/>
            <w:vMerge w:val="continue"/>
          </w:tcPr>
          <w:p>
            <w:pPr>
              <w:spacing w:after="0"/>
              <w:rPr>
                <w:sz w:val="5"/>
                <w:szCs w:val="5"/>
                <w:color w:val="auto"/>
              </w:rPr>
            </w:pPr>
          </w:p>
        </w:tc>
        <w:tc>
          <w:tcPr>
            <w:tcW w:w="3980" w:type="dxa"/>
            <w:vAlign w:val="bottom"/>
            <w:vMerge w:val="continue"/>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874"/>
        </w:trPr>
        <w:tc>
          <w:tcPr>
            <w:tcW w:w="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08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-607060</wp:posOffset>
            </wp:positionV>
            <wp:extent cx="726821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40005"/>
                    </a:xfrm>
                    <a:prstGeom prst="rect">
                      <a:avLst/>
                    </a:prstGeom>
                    <a:noFill/>
                  </pic:spPr>
                </pic:pic>
              </a:graphicData>
            </a:graphic>
          </wp:anchor>
        </w:drawing>
        <w:drawing>
          <wp:anchor simplePos="0" relativeHeight="251657728" behindDoc="1" locked="0" layoutInCell="0" allowOverlap="1">
            <wp:simplePos x="0" y="0"/>
            <wp:positionH relativeFrom="column">
              <wp:posOffset>7252970</wp:posOffset>
            </wp:positionH>
            <wp:positionV relativeFrom="paragraph">
              <wp:posOffset>-13335</wp:posOffset>
            </wp:positionV>
            <wp:extent cx="127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5"/>
          </w:cols>
          <w:pgMar w:left="235" w:top="503"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23" w:lineRule="exact"/>
        <w:rPr>
          <w:sz w:val="20"/>
          <w:szCs w:val="20"/>
          <w:color w:val="auto"/>
        </w:rPr>
      </w:pPr>
    </w:p>
    <w:p>
      <w:pPr>
        <w:ind w:firstLine="585"/>
        <w:spacing w:after="0" w:line="269" w:lineRule="auto"/>
        <w:rPr>
          <w:sz w:val="20"/>
          <w:szCs w:val="20"/>
          <w:color w:val="auto"/>
        </w:rPr>
      </w:pPr>
      <w:r>
        <w:rPr>
          <w:rFonts w:ascii="Arial" w:cs="Arial" w:eastAsia="Arial" w:hAnsi="Arial"/>
          <w:sz w:val="16"/>
          <w:szCs w:val="16"/>
          <w:color w:val="auto"/>
        </w:rPr>
        <w:t>On March 12, 2012, NN, Inc. (the “Company”) issued a press release, announcing the Company’s results of operations and financial condition for the fourth quarter and fiscal year ended December 31, 2011. The full text of the press release is furnished as Exhibit 99.1 and is incorporated herein by reference.</w:t>
      </w:r>
    </w:p>
    <w:p>
      <w:pPr>
        <w:spacing w:after="0" w:line="177"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Exhibit No.Description</w:t>
      </w:r>
    </w:p>
    <w:p>
      <w:pPr>
        <w:spacing w:after="0" w:line="200"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4"/>
          <w:szCs w:val="14"/>
          <w:color w:val="auto"/>
        </w:rPr>
        <w:t>Press Release of NN, Inc. dated March 12,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762635</wp:posOffset>
            </wp:positionV>
            <wp:extent cx="726821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240"/>
          </w:cols>
          <w:pgMar w:left="240" w:top="467" w:right="419" w:bottom="1440" w:gutter="0" w:footer="0" w:header="0"/>
        </w:sectPr>
      </w:pPr>
    </w:p>
    <w:bookmarkStart w:id="2" w:name="page3"/>
    <w:bookmarkEnd w:id="2"/>
    <w:p>
      <w:pPr>
        <w:ind w:left="5200"/>
        <w:spacing w:after="0"/>
        <w:rPr>
          <w:sz w:val="20"/>
          <w:szCs w:val="20"/>
          <w:color w:val="auto"/>
        </w:rPr>
      </w:pPr>
      <w:r>
        <w:rPr>
          <w:rFonts w:ascii="Arial" w:cs="Arial" w:eastAsia="Arial" w:hAnsi="Arial"/>
          <w:sz w:val="16"/>
          <w:szCs w:val="16"/>
          <w:b w:val="1"/>
          <w:bCs w:val="1"/>
          <w:color w:val="auto"/>
        </w:rPr>
        <w:t>SIGNATURES</w:t>
      </w:r>
    </w:p>
    <w:p>
      <w:pPr>
        <w:spacing w:after="0" w:line="22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Date: March 12, 2012</w:t>
      </w:r>
    </w:p>
    <w:p>
      <w:pPr>
        <w:spacing w:after="0" w:line="200" w:lineRule="exact"/>
        <w:rPr>
          <w:sz w:val="20"/>
          <w:szCs w:val="20"/>
          <w:color w:val="auto"/>
        </w:rPr>
      </w:pPr>
    </w:p>
    <w:p>
      <w:pPr>
        <w:spacing w:after="0" w:line="23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NN,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11430</wp:posOffset>
            </wp:positionV>
            <wp:extent cx="352615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26155" cy="15240"/>
                    </a:xfrm>
                    <a:prstGeom prst="rect">
                      <a:avLst/>
                    </a:prstGeom>
                    <a:noFill/>
                  </pic:spPr>
                </pic:pic>
              </a:graphicData>
            </a:graphic>
          </wp:anchor>
        </w:drawing>
      </w:r>
    </w:p>
    <w:p>
      <w:pPr>
        <w:spacing w:after="0" w:line="10"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Name:William C. Kelly, Jr.</w:t>
      </w:r>
    </w:p>
    <w:p>
      <w:pPr>
        <w:spacing w:after="0" w:line="17" w:lineRule="exact"/>
        <w:rPr>
          <w:sz w:val="20"/>
          <w:szCs w:val="20"/>
          <w:color w:val="auto"/>
        </w:rPr>
      </w:pPr>
    </w:p>
    <w:p>
      <w:pPr>
        <w:ind w:left="6000"/>
        <w:spacing w:after="0"/>
        <w:tabs>
          <w:tab w:leader="none" w:pos="64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Vice President and Chief Administrative Officer</w:t>
      </w:r>
    </w:p>
    <w:p>
      <w:pPr>
        <w:sectPr>
          <w:pgSz w:w="11900" w:h="16838" w:orient="portrait"/>
          <w:cols w:equalWidth="0" w:num="1">
            <w:col w:w="10760"/>
          </w:cols>
          <w:pgMar w:left="240" w:top="467" w:right="899" w:bottom="1440" w:gutter="0" w:footer="0" w:header="0"/>
        </w:sectPr>
      </w:pPr>
    </w:p>
    <w:bookmarkStart w:id="3" w:name="page4"/>
    <w:bookmarkEnd w:id="3"/>
    <w:p>
      <w:pPr>
        <w:ind w:left="10240"/>
        <w:spacing w:after="0"/>
        <w:rPr>
          <w:sz w:val="20"/>
          <w:szCs w:val="20"/>
          <w:color w:val="auto"/>
        </w:rPr>
      </w:pPr>
      <w:r>
        <w:rPr>
          <w:rFonts w:ascii="Arial" w:cs="Arial" w:eastAsia="Arial" w:hAnsi="Arial"/>
          <w:sz w:val="19"/>
          <w:szCs w:val="19"/>
          <w:b w:val="1"/>
          <w:bCs w:val="1"/>
          <w:color w:val="auto"/>
        </w:rPr>
        <w:t>EXHIBIT 99.1</w:t>
      </w:r>
    </w:p>
    <w:p>
      <w:pPr>
        <w:sectPr>
          <w:pgSz w:w="11900" w:h="16838" w:orient="portrait"/>
          <w:cols w:equalWidth="0" w:num="1">
            <w:col w:w="11440"/>
          </w:cols>
          <w:pgMar w:left="240" w:top="115" w:right="219" w:bottom="1440" w:gutter="0" w:footer="0" w:header="0"/>
        </w:sectPr>
      </w:pP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color w:val="auto"/>
        </w:rPr>
        <w:t>F I N A N C I A L</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RELATIONS BOARD</w:t>
      </w:r>
    </w:p>
    <w:p>
      <w:pPr>
        <w:spacing w:after="0" w:line="200" w:lineRule="exact"/>
        <w:rPr>
          <w:sz w:val="20"/>
          <w:szCs w:val="20"/>
          <w:color w:val="auto"/>
        </w:rPr>
      </w:pPr>
    </w:p>
    <w:p>
      <w:pPr>
        <w:spacing w:after="0" w:line="27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RE: NN, Inc.</w:t>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2000 Waters Edge Drive</w:t>
      </w:r>
    </w:p>
    <w:p>
      <w:pPr>
        <w:spacing w:after="0" w:line="29"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Johnson City, TN 37604</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47"/>
          <w:szCs w:val="47"/>
          <w:color w:val="auto"/>
        </w:rPr>
        <w:t>n e w s</w:t>
      </w:r>
    </w:p>
    <w:p>
      <w:pPr>
        <w:spacing w:after="0" w:line="1235" w:lineRule="exact"/>
        <w:rPr>
          <w:sz w:val="20"/>
          <w:szCs w:val="20"/>
          <w:color w:val="auto"/>
        </w:rPr>
      </w:pPr>
    </w:p>
    <w:p>
      <w:pPr>
        <w:sectPr>
          <w:pgSz w:w="11900" w:h="16838" w:orient="portrait"/>
          <w:cols w:equalWidth="0" w:num="2">
            <w:col w:w="9200" w:space="720"/>
            <w:col w:w="1520"/>
          </w:cols>
          <w:pgMar w:left="240" w:top="115" w:right="21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80" w:type="dxa"/>
            <w:vAlign w:val="bottom"/>
            <w:gridSpan w:val="2"/>
          </w:tcPr>
          <w:p>
            <w:pPr>
              <w:spacing w:after="0"/>
              <w:rPr>
                <w:sz w:val="20"/>
                <w:szCs w:val="20"/>
                <w:color w:val="auto"/>
              </w:rPr>
            </w:pPr>
            <w:r>
              <w:rPr>
                <w:rFonts w:ascii="Arial" w:cs="Arial" w:eastAsia="Arial" w:hAnsi="Arial"/>
                <w:sz w:val="17"/>
                <w:szCs w:val="17"/>
                <w:color w:val="auto"/>
              </w:rPr>
              <w:t>FOR FURTHER INFORMATION:</w:t>
            </w:r>
          </w:p>
        </w:tc>
        <w:tc>
          <w:tcPr>
            <w:tcW w:w="3260" w:type="dxa"/>
            <w:vAlign w:val="bottom"/>
          </w:tcPr>
          <w:p>
            <w:pPr>
              <w:spacing w:after="0"/>
              <w:rPr>
                <w:sz w:val="19"/>
                <w:szCs w:val="19"/>
                <w:color w:val="auto"/>
              </w:rPr>
            </w:pPr>
          </w:p>
        </w:tc>
      </w:tr>
      <w:tr>
        <w:trPr>
          <w:trHeight w:val="387"/>
        </w:trPr>
        <w:tc>
          <w:tcPr>
            <w:tcW w:w="172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99"/>
              </w:rPr>
              <w:t>AT THE COMPANY</w:t>
            </w:r>
          </w:p>
        </w:tc>
        <w:tc>
          <w:tcPr>
            <w:tcW w:w="2160" w:type="dxa"/>
            <w:vAlign w:val="bottom"/>
          </w:tcPr>
          <w:p>
            <w:pPr>
              <w:spacing w:after="0"/>
              <w:rPr>
                <w:sz w:val="24"/>
                <w:szCs w:val="24"/>
                <w:color w:val="auto"/>
              </w:rPr>
            </w:pPr>
          </w:p>
        </w:tc>
        <w:tc>
          <w:tcPr>
            <w:tcW w:w="32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AT FINANCIAL RELATIONS BOARD</w:t>
            </w:r>
          </w:p>
        </w:tc>
      </w:tr>
      <w:tr>
        <w:trPr>
          <w:trHeight w:val="620"/>
        </w:trPr>
        <w:tc>
          <w:tcPr>
            <w:tcW w:w="3880" w:type="dxa"/>
            <w:vAlign w:val="bottom"/>
            <w:gridSpan w:val="2"/>
          </w:tcPr>
          <w:p>
            <w:pPr>
              <w:ind w:left="40"/>
              <w:spacing w:after="0"/>
              <w:rPr>
                <w:sz w:val="20"/>
                <w:szCs w:val="20"/>
                <w:color w:val="auto"/>
              </w:rPr>
            </w:pPr>
            <w:r>
              <w:rPr>
                <w:rFonts w:ascii="Arial" w:cs="Arial" w:eastAsia="Arial" w:hAnsi="Arial"/>
                <w:sz w:val="16"/>
                <w:szCs w:val="16"/>
                <w:color w:val="auto"/>
              </w:rPr>
              <w:t>Will Kelly</w:t>
            </w:r>
          </w:p>
        </w:tc>
        <w:tc>
          <w:tcPr>
            <w:tcW w:w="3260" w:type="dxa"/>
            <w:vAlign w:val="bottom"/>
          </w:tcPr>
          <w:p>
            <w:pPr>
              <w:ind w:left="500"/>
              <w:spacing w:after="0"/>
              <w:rPr>
                <w:sz w:val="20"/>
                <w:szCs w:val="20"/>
                <w:color w:val="auto"/>
              </w:rPr>
            </w:pPr>
            <w:r>
              <w:rPr>
                <w:rFonts w:ascii="Arial" w:cs="Arial" w:eastAsia="Arial" w:hAnsi="Arial"/>
                <w:sz w:val="16"/>
                <w:szCs w:val="16"/>
                <w:color w:val="auto"/>
              </w:rPr>
              <w:t>Marilynn Meek</w:t>
            </w:r>
          </w:p>
        </w:tc>
      </w:tr>
      <w:tr>
        <w:trPr>
          <w:trHeight w:val="190"/>
        </w:trPr>
        <w:tc>
          <w:tcPr>
            <w:tcW w:w="3880" w:type="dxa"/>
            <w:vAlign w:val="bottom"/>
            <w:gridSpan w:val="2"/>
          </w:tcPr>
          <w:p>
            <w:pPr>
              <w:spacing w:after="0"/>
              <w:rPr>
                <w:sz w:val="20"/>
                <w:szCs w:val="20"/>
                <w:color w:val="auto"/>
              </w:rPr>
            </w:pPr>
            <w:r>
              <w:rPr>
                <w:rFonts w:ascii="Arial" w:cs="Arial" w:eastAsia="Arial" w:hAnsi="Arial"/>
                <w:sz w:val="16"/>
                <w:szCs w:val="16"/>
                <w:color w:val="auto"/>
              </w:rPr>
              <w:t>Vice President and Chief Administrative Officer</w:t>
            </w:r>
          </w:p>
        </w:tc>
        <w:tc>
          <w:tcPr>
            <w:tcW w:w="3260" w:type="dxa"/>
            <w:vAlign w:val="bottom"/>
          </w:tcPr>
          <w:p>
            <w:pPr>
              <w:ind w:left="500"/>
              <w:spacing w:after="0"/>
              <w:rPr>
                <w:sz w:val="20"/>
                <w:szCs w:val="20"/>
                <w:color w:val="auto"/>
              </w:rPr>
            </w:pPr>
            <w:r>
              <w:rPr>
                <w:rFonts w:ascii="Arial" w:cs="Arial" w:eastAsia="Arial" w:hAnsi="Arial"/>
                <w:sz w:val="16"/>
                <w:szCs w:val="16"/>
                <w:color w:val="auto"/>
              </w:rPr>
              <w:t>(General info)</w:t>
            </w:r>
          </w:p>
        </w:tc>
      </w:tr>
      <w:tr>
        <w:trPr>
          <w:trHeight w:val="201"/>
        </w:trPr>
        <w:tc>
          <w:tcPr>
            <w:tcW w:w="1720" w:type="dxa"/>
            <w:vAlign w:val="bottom"/>
          </w:tcPr>
          <w:p>
            <w:pPr>
              <w:ind w:left="40"/>
              <w:spacing w:after="0"/>
              <w:rPr>
                <w:sz w:val="20"/>
                <w:szCs w:val="20"/>
                <w:color w:val="auto"/>
              </w:rPr>
            </w:pPr>
            <w:r>
              <w:rPr>
                <w:rFonts w:ascii="Arial" w:cs="Arial" w:eastAsia="Arial" w:hAnsi="Arial"/>
                <w:sz w:val="16"/>
                <w:szCs w:val="16"/>
                <w:color w:val="auto"/>
              </w:rPr>
              <w:t>(423) 743-9151</w:t>
            </w:r>
          </w:p>
        </w:tc>
        <w:tc>
          <w:tcPr>
            <w:tcW w:w="2160" w:type="dxa"/>
            <w:vAlign w:val="bottom"/>
          </w:tcPr>
          <w:p>
            <w:pPr>
              <w:spacing w:after="0"/>
              <w:rPr>
                <w:sz w:val="17"/>
                <w:szCs w:val="17"/>
                <w:color w:val="auto"/>
              </w:rPr>
            </w:pPr>
          </w:p>
        </w:tc>
        <w:tc>
          <w:tcPr>
            <w:tcW w:w="3260" w:type="dxa"/>
            <w:vAlign w:val="bottom"/>
          </w:tcPr>
          <w:p>
            <w:pPr>
              <w:ind w:left="500"/>
              <w:spacing w:after="0"/>
              <w:rPr>
                <w:sz w:val="20"/>
                <w:szCs w:val="20"/>
                <w:color w:val="auto"/>
              </w:rPr>
            </w:pPr>
            <w:r>
              <w:rPr>
                <w:rFonts w:ascii="Arial" w:cs="Arial" w:eastAsia="Arial" w:hAnsi="Arial"/>
                <w:sz w:val="16"/>
                <w:szCs w:val="16"/>
                <w:color w:val="auto"/>
              </w:rPr>
              <w:t>(212) 827-3773</w:t>
            </w:r>
          </w:p>
        </w:tc>
      </w:tr>
      <w:tr>
        <w:trPr>
          <w:trHeight w:val="378"/>
        </w:trPr>
        <w:tc>
          <w:tcPr>
            <w:tcW w:w="3880" w:type="dxa"/>
            <w:vAlign w:val="bottom"/>
            <w:gridSpan w:val="2"/>
          </w:tcPr>
          <w:p>
            <w:pPr>
              <w:spacing w:after="0"/>
              <w:rPr>
                <w:sz w:val="20"/>
                <w:szCs w:val="20"/>
                <w:color w:val="auto"/>
              </w:rPr>
            </w:pPr>
            <w:r>
              <w:rPr>
                <w:rFonts w:ascii="Arial" w:cs="Arial" w:eastAsia="Arial" w:hAnsi="Arial"/>
                <w:sz w:val="17"/>
                <w:szCs w:val="17"/>
                <w:b w:val="1"/>
                <w:bCs w:val="1"/>
                <w:color w:val="auto"/>
              </w:rPr>
              <w:t>FOR IMMEDIATE RELEASE</w:t>
            </w:r>
          </w:p>
        </w:tc>
        <w:tc>
          <w:tcPr>
            <w:tcW w:w="3260" w:type="dxa"/>
            <w:vAlign w:val="bottom"/>
          </w:tcPr>
          <w:p>
            <w:pPr>
              <w:spacing w:after="0"/>
              <w:rPr>
                <w:sz w:val="24"/>
                <w:szCs w:val="24"/>
                <w:color w:val="auto"/>
              </w:rPr>
            </w:pPr>
          </w:p>
        </w:tc>
      </w:tr>
      <w:tr>
        <w:trPr>
          <w:trHeight w:val="221"/>
        </w:trPr>
        <w:tc>
          <w:tcPr>
            <w:tcW w:w="3880" w:type="dxa"/>
            <w:vAlign w:val="bottom"/>
            <w:gridSpan w:val="2"/>
          </w:tcPr>
          <w:p>
            <w:pPr>
              <w:spacing w:after="0"/>
              <w:rPr>
                <w:sz w:val="20"/>
                <w:szCs w:val="20"/>
                <w:color w:val="auto"/>
              </w:rPr>
            </w:pPr>
            <w:r>
              <w:rPr>
                <w:rFonts w:ascii="Arial" w:cs="Arial" w:eastAsia="Arial" w:hAnsi="Arial"/>
                <w:sz w:val="17"/>
                <w:szCs w:val="17"/>
                <w:color w:val="auto"/>
              </w:rPr>
              <w:t>March 12, 2012</w:t>
            </w:r>
          </w:p>
        </w:tc>
        <w:tc>
          <w:tcPr>
            <w:tcW w:w="3260" w:type="dxa"/>
            <w:vAlign w:val="bottom"/>
          </w:tcPr>
          <w:p>
            <w:pPr>
              <w:spacing w:after="0"/>
              <w:rPr>
                <w:sz w:val="19"/>
                <w:szCs w:val="19"/>
                <w:color w:val="auto"/>
              </w:rPr>
            </w:pPr>
          </w:p>
        </w:tc>
      </w:tr>
    </w:tbl>
    <w:p>
      <w:pPr>
        <w:spacing w:after="0" w:line="382"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NN, INC. REPORTS 2011 FOURTH QUARTER AND RECORD FULL YEAR RESULTS</w:t>
      </w:r>
    </w:p>
    <w:p>
      <w:pPr>
        <w:spacing w:after="0" w:line="219" w:lineRule="exact"/>
        <w:rPr>
          <w:sz w:val="20"/>
          <w:szCs w:val="20"/>
          <w:color w:val="auto"/>
        </w:rPr>
      </w:pPr>
    </w:p>
    <w:p>
      <w:pPr>
        <w:ind w:left="560" w:hanging="114"/>
        <w:spacing w:after="0"/>
        <w:tabs>
          <w:tab w:leader="none" w:pos="5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Sales rose 16% for the full year and flat for the quarter based upon Europe revenue impact</w:t>
      </w:r>
    </w:p>
    <w:p>
      <w:pPr>
        <w:spacing w:after="0" w:line="20" w:lineRule="exact"/>
        <w:rPr>
          <w:rFonts w:ascii="Arial" w:cs="Arial" w:eastAsia="Arial" w:hAnsi="Arial"/>
          <w:sz w:val="16"/>
          <w:szCs w:val="16"/>
          <w:b w:val="1"/>
          <w:bCs w:val="1"/>
          <w:color w:val="auto"/>
        </w:rPr>
      </w:pPr>
    </w:p>
    <w:p>
      <w:pPr>
        <w:ind w:left="560" w:hanging="114"/>
        <w:spacing w:after="0"/>
        <w:tabs>
          <w:tab w:leader="none" w:pos="56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Net income from normal operations $3.5 million for the quarter and $18.6 million for the full year, up 14% and 68% respectively, from the same periods in 2010</w:t>
      </w:r>
    </w:p>
    <w:p>
      <w:pPr>
        <w:spacing w:after="0" w:line="28" w:lineRule="exact"/>
        <w:rPr>
          <w:rFonts w:ascii="Arial" w:cs="Arial" w:eastAsia="Arial" w:hAnsi="Arial"/>
          <w:sz w:val="14"/>
          <w:szCs w:val="14"/>
          <w:b w:val="1"/>
          <w:bCs w:val="1"/>
          <w:color w:val="auto"/>
        </w:rPr>
      </w:pPr>
    </w:p>
    <w:p>
      <w:pPr>
        <w:ind w:left="560" w:hanging="114"/>
        <w:spacing w:after="0"/>
        <w:tabs>
          <w:tab w:leader="none" w:pos="5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Full Year Earnings from normal operations per share of $1.10 up 64% from 2010</w:t>
      </w:r>
    </w:p>
    <w:p>
      <w:pPr>
        <w:spacing w:after="0" w:line="204"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b w:val="1"/>
          <w:bCs w:val="1"/>
          <w:color w:val="auto"/>
        </w:rPr>
        <w:t xml:space="preserve">Johnson City, Tenn, March 12, 2012 </w:t>
      </w:r>
      <w:r>
        <w:rPr>
          <w:rFonts w:ascii="Arial" w:cs="Arial" w:eastAsia="Arial" w:hAnsi="Arial"/>
          <w:sz w:val="16"/>
          <w:szCs w:val="16"/>
          <w:color w:val="auto"/>
        </w:rPr>
        <w:t>– NN, Inc. (Nasdaq: NNBR) today reported its financial results for the fourth quarter and year ended December 31, 2011. Net sales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fourth quarter were $96.3 million, flat with $96.3 million for the comparable period of 2010. The positive impact of raw material pass through and price increases of $3.4 million were offset by unfavorable mix issues and foreign currency translation of $3.1 million. Decreased revenues of $7.7 million at our European operations due to the European economy were offset by increased demand for our products at the Precision Metals segment of $6.6 million and increased sales volumes at our China operations of the Metal Bearings segment of $1.0 million.</w:t>
      </w:r>
    </w:p>
    <w:p>
      <w:pPr>
        <w:spacing w:after="0" w:line="193" w:lineRule="exact"/>
        <w:rPr>
          <w:sz w:val="20"/>
          <w:szCs w:val="20"/>
          <w:color w:val="auto"/>
        </w:rPr>
      </w:pPr>
    </w:p>
    <w:p>
      <w:pPr>
        <w:ind w:right="260"/>
        <w:spacing w:after="0" w:line="283" w:lineRule="auto"/>
        <w:rPr>
          <w:sz w:val="20"/>
          <w:szCs w:val="20"/>
          <w:color w:val="auto"/>
        </w:rPr>
      </w:pPr>
      <w:r>
        <w:rPr>
          <w:rFonts w:ascii="Arial" w:cs="Arial" w:eastAsia="Arial" w:hAnsi="Arial"/>
          <w:sz w:val="15"/>
          <w:szCs w:val="15"/>
          <w:color w:val="auto"/>
        </w:rPr>
        <w:t>Reported net income for the fourth quarter of 2011 of $4.9 million, or $0.29 per diluted share, included $0.8 million net of tax non-operating foreign currency exchange gains on intercompany loans and $0.6 million in other non-operating income. Net income from normal operations in the fourth quarter of 2011 was $3.5 million, up 14%, or $0.21 per diluted share compared to net income from normal operations of $3.1 million, or $0.18 per diluted share for the same period in 2010.</w:t>
      </w:r>
    </w:p>
    <w:p>
      <w:pPr>
        <w:spacing w:after="0" w:line="173" w:lineRule="exact"/>
        <w:rPr>
          <w:sz w:val="20"/>
          <w:szCs w:val="20"/>
          <w:color w:val="auto"/>
        </w:rPr>
      </w:pPr>
    </w:p>
    <w:p>
      <w:pPr>
        <w:ind w:right="440"/>
        <w:spacing w:after="0" w:line="269" w:lineRule="auto"/>
        <w:rPr>
          <w:sz w:val="20"/>
          <w:szCs w:val="20"/>
          <w:color w:val="auto"/>
        </w:rPr>
      </w:pPr>
      <w:r>
        <w:rPr>
          <w:rFonts w:ascii="Arial" w:cs="Arial" w:eastAsia="Arial" w:hAnsi="Arial"/>
          <w:sz w:val="16"/>
          <w:szCs w:val="16"/>
          <w:color w:val="auto"/>
        </w:rPr>
        <w:t>Net sales for the full year of 2011 were $424.7 million, an increase of $59.3 million or 16% as compared to $365.4 million for the same period of 2010. Approximately $34.9 million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6821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type w:val="continuous"/>
        </w:sectPr>
      </w:pPr>
    </w:p>
    <w:bookmarkStart w:id="4" w:name="page5"/>
    <w:bookmarkEnd w:id="4"/>
    <w:p>
      <w:pPr>
        <w:jc w:val="both"/>
        <w:spacing w:after="0" w:line="258" w:lineRule="auto"/>
        <w:rPr>
          <w:sz w:val="20"/>
          <w:szCs w:val="20"/>
          <w:color w:val="auto"/>
        </w:rPr>
      </w:pPr>
      <w:r>
        <w:rPr>
          <w:rFonts w:ascii="Arial" w:cs="Arial" w:eastAsia="Arial" w:hAnsi="Arial"/>
          <w:sz w:val="16"/>
          <w:szCs w:val="16"/>
          <w:color w:val="auto"/>
        </w:rPr>
        <w:t>increase was attributable to increased demand for NN’s products, particularly in industrial and automotive end markets as well as new sales programs at Whirlaway. Price increases and the material pass through accounted for another $17.5 million and the net positive effect of foreign currency translation and mix issues accounted for the remaining $6.9 million of the increase.</w:t>
      </w:r>
    </w:p>
    <w:p>
      <w:pPr>
        <w:spacing w:after="0" w:line="190" w:lineRule="exact"/>
        <w:rPr>
          <w:sz w:val="20"/>
          <w:szCs w:val="20"/>
          <w:color w:val="auto"/>
        </w:rPr>
      </w:pPr>
    </w:p>
    <w:p>
      <w:pPr>
        <w:ind w:right="160"/>
        <w:spacing w:after="0" w:line="283" w:lineRule="auto"/>
        <w:rPr>
          <w:sz w:val="20"/>
          <w:szCs w:val="20"/>
          <w:color w:val="auto"/>
        </w:rPr>
      </w:pPr>
      <w:r>
        <w:rPr>
          <w:rFonts w:ascii="Arial" w:cs="Arial" w:eastAsia="Arial" w:hAnsi="Arial"/>
          <w:sz w:val="15"/>
          <w:szCs w:val="15"/>
          <w:color w:val="auto"/>
        </w:rPr>
        <w:t>Reported net income for the full year of 2011 of $20.9 million, or $1.24 per diluted share included $0.9 million net of tax non-operating foreign currency exchange gains on intercompany loans and $1.4 million in other non-operating income. Net income from normal operations for the full year of 2011 was $18.6 million, up 68%, or $1.10 per diluted share, compared to a net income from normal operations of $11.1 million, or $0.67 per diluted share for the full year of 2010.</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5"/>
          <w:szCs w:val="15"/>
          <w:color w:val="auto"/>
        </w:rPr>
        <w:t>James H. Dorton, Senior Vice President and Chief Financial Officer, commented, “Our fourth quarter revenues and earnings reflect the continued improved performance and profitability of our Whirlaway operation. However, the negative impact of the weak European automotive and industrial markets offset these improvements during the fourth quarter and second half of the year. As a percentage of net sales, cost of products sold of 82.1% in the fourth quarter of 2011 was flat as compared to 82.0% in the fourth quarter of 2010. For the years 2011 and 2010, cost of products sold as a percentage of net sales was 81.9% and 81.1%, respectively.”</w:t>
      </w:r>
    </w:p>
    <w:p>
      <w:pPr>
        <w:spacing w:after="0" w:line="177"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“Our debt, net of cash at December 31, 2011 was $73.6 million. This represents an increase of $5.8 million over the December 31, 2010 amount of $67.8 million. Positive cash flow generated by improved earnings during 2011 was offset by the funding of working capital increases associated with higher sales levels, the timing of payments of account payable balances and the funding of capital projects during the year.”</w:t>
      </w:r>
    </w:p>
    <w:p>
      <w:pPr>
        <w:spacing w:after="0" w:line="186" w:lineRule="exact"/>
        <w:rPr>
          <w:sz w:val="20"/>
          <w:szCs w:val="20"/>
          <w:color w:val="auto"/>
        </w:rPr>
      </w:pPr>
    </w:p>
    <w:p>
      <w:pPr>
        <w:ind w:right="160"/>
        <w:spacing w:after="0" w:line="279" w:lineRule="auto"/>
        <w:rPr>
          <w:sz w:val="20"/>
          <w:szCs w:val="20"/>
          <w:color w:val="auto"/>
        </w:rPr>
      </w:pPr>
      <w:r>
        <w:rPr>
          <w:rFonts w:ascii="Arial" w:cs="Arial" w:eastAsia="Arial" w:hAnsi="Arial"/>
          <w:sz w:val="15"/>
          <w:szCs w:val="15"/>
          <w:color w:val="auto"/>
        </w:rPr>
        <w:t>Roderick R. Baty, Chairman and Chief Executive Officer</w:t>
      </w:r>
      <w:r>
        <w:rPr>
          <w:rFonts w:ascii="Arial" w:cs="Arial" w:eastAsia="Arial" w:hAnsi="Arial"/>
          <w:sz w:val="15"/>
          <w:szCs w:val="15"/>
          <w:b w:val="1"/>
          <w:bCs w:val="1"/>
          <w:color w:val="auto"/>
        </w:rPr>
        <w:t>,</w:t>
      </w:r>
      <w:r>
        <w:rPr>
          <w:rFonts w:ascii="Arial" w:cs="Arial" w:eastAsia="Arial" w:hAnsi="Arial"/>
          <w:sz w:val="15"/>
          <w:szCs w:val="15"/>
          <w:color w:val="auto"/>
        </w:rPr>
        <w:t xml:space="preserve"> commented, “We are encouraged by our record results for 2011. Our restructured base business, Metal Bearing Components, performed well during 2011 and delivered excellent profitability to the bottom line. In addition, the continual quarter over quarter reductions in start-up cost issues, combined with operational improvements at Whirlaway culminated in positive fourth quarter profitability as compared to previous quarterly losses at this operation during 2011. Whirlaway has now been profitable for five consecutive months and we expect this momentum to continue into 2012.”</w:t>
      </w:r>
    </w:p>
    <w:p>
      <w:pPr>
        <w:spacing w:after="0" w:line="171" w:lineRule="exact"/>
        <w:rPr>
          <w:sz w:val="20"/>
          <w:szCs w:val="20"/>
          <w:color w:val="auto"/>
        </w:rPr>
      </w:pPr>
    </w:p>
    <w:p>
      <w:pPr>
        <w:ind w:right="120"/>
        <w:spacing w:after="0" w:line="304" w:lineRule="auto"/>
        <w:rPr>
          <w:sz w:val="20"/>
          <w:szCs w:val="20"/>
          <w:color w:val="auto"/>
        </w:rPr>
      </w:pPr>
      <w:r>
        <w:rPr>
          <w:rFonts w:ascii="Arial" w:cs="Arial" w:eastAsia="Arial" w:hAnsi="Arial"/>
          <w:sz w:val="14"/>
          <w:szCs w:val="14"/>
          <w:color w:val="auto"/>
        </w:rPr>
        <w:t>Mr. Baty</w:t>
      </w:r>
      <w:r>
        <w:rPr>
          <w:rFonts w:ascii="Arial" w:cs="Arial" w:eastAsia="Arial" w:hAnsi="Arial"/>
          <w:sz w:val="14"/>
          <w:szCs w:val="14"/>
          <w:b w:val="1"/>
          <w:bCs w:val="1"/>
          <w:color w:val="auto"/>
        </w:rPr>
        <w:t>,</w:t>
      </w:r>
      <w:r>
        <w:rPr>
          <w:rFonts w:ascii="Arial" w:cs="Arial" w:eastAsia="Arial" w:hAnsi="Arial"/>
          <w:sz w:val="14"/>
          <w:szCs w:val="14"/>
          <w:color w:val="auto"/>
        </w:rPr>
        <w:t xml:space="preserve"> concluded, “In regards to 2012, we are currently forecasting revenues to be in the range of $415 million to $425 million, relatively consistent with our 2011 revenues of $425 million after adjusting for currency. In building our 2012 forecast, we assumed good economic growth in North America and Asia, offset by reductions in Europe. Even though we are forecasting revenues in the same relative range as 2011, we are anticipating solid improvement in margins, net income and EPS for 2012. Our earnings outlook is based upon a significant swing in profitability at Whirlaway along with good operational improvements at our Metal Bearing and Plastic and Rubber Components business units.”</w:t>
      </w:r>
    </w:p>
    <w:p>
      <w:pPr>
        <w:spacing w:after="0" w:line="161"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NN, Inc. manufacturers and supplies high precision metal bearing components, industrial plastic and rubber products and precision metal components to a variety of markets on a global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26821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00"/>
          </w:cols>
          <w:pgMar w:left="240" w:top="637" w:right="259" w:bottom="1440" w:gutter="0" w:footer="0" w:header="0"/>
        </w:sectPr>
      </w:pPr>
    </w:p>
    <w:bookmarkStart w:id="5" w:name="page6"/>
    <w:bookmarkEnd w:id="5"/>
    <w:p>
      <w:pPr>
        <w:ind w:right="420"/>
        <w:spacing w:after="0" w:line="269" w:lineRule="auto"/>
        <w:rPr>
          <w:sz w:val="20"/>
          <w:szCs w:val="20"/>
          <w:color w:val="auto"/>
        </w:rPr>
      </w:pPr>
      <w:r>
        <w:rPr>
          <w:rFonts w:ascii="Arial" w:cs="Arial" w:eastAsia="Arial" w:hAnsi="Arial"/>
          <w:sz w:val="16"/>
          <w:szCs w:val="16"/>
          <w:color w:val="auto"/>
        </w:rPr>
        <w:t>Headquartered in Johnson City, Tennessee, NN has 10 manufacturing plants in the United States, Western Europe, Eastern Europe and China. NN, Inc. had sales of US $425 million in 2011.</w:t>
      </w:r>
    </w:p>
    <w:p>
      <w:pPr>
        <w:spacing w:after="0" w:line="181" w:lineRule="exact"/>
        <w:rPr>
          <w:sz w:val="20"/>
          <w:szCs w:val="20"/>
          <w:color w:val="auto"/>
        </w:rPr>
      </w:pPr>
    </w:p>
    <w:p>
      <w:pPr>
        <w:spacing w:after="0" w:line="267" w:lineRule="auto"/>
        <w:rPr>
          <w:sz w:val="20"/>
          <w:szCs w:val="20"/>
          <w:color w:val="auto"/>
        </w:rPr>
      </w:pPr>
      <w:r>
        <w:rPr>
          <w:rFonts w:ascii="Arial" w:cs="Arial" w:eastAsia="Arial" w:hAnsi="Arial"/>
          <w:sz w:val="15"/>
          <w:szCs w:val="15"/>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Form 10-K for the fiscal year ended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26821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380"/>
          </w:cols>
          <w:pgMar w:left="240" w:top="447" w:right="27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NN,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Statements of Income</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per diluted share amounts)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5"/>
          </w:tcPr>
          <w:p>
            <w:pPr>
              <w:jc w:val="right"/>
              <w:ind w:right="21"/>
              <w:spacing w:after="0"/>
              <w:rPr>
                <w:sz w:val="20"/>
                <w:szCs w:val="20"/>
                <w:color w:val="auto"/>
              </w:rPr>
            </w:pPr>
            <w:r>
              <w:rPr>
                <w:rFonts w:ascii="Arial" w:cs="Arial" w:eastAsia="Arial" w:hAnsi="Arial"/>
                <w:sz w:val="16"/>
                <w:szCs w:val="16"/>
                <w:b w:val="1"/>
                <w:bCs w:val="1"/>
                <w:color w:val="auto"/>
                <w:w w:val="89"/>
              </w:rPr>
              <w:t>Three Months Ended</w:t>
            </w:r>
          </w:p>
        </w:tc>
        <w:tc>
          <w:tcPr>
            <w:tcW w:w="4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18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89"/>
              </w:rPr>
              <w:t>Twelve Months Ended</w:t>
            </w:r>
          </w:p>
        </w:tc>
      </w:tr>
      <w:tr>
        <w:trPr>
          <w:trHeight w:val="205"/>
        </w:trPr>
        <w:tc>
          <w:tcPr>
            <w:tcW w:w="5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4"/>
          </w:tcPr>
          <w:p>
            <w:pPr>
              <w:ind w:left="320"/>
              <w:spacing w:after="0"/>
              <w:rPr>
                <w:sz w:val="20"/>
                <w:szCs w:val="20"/>
                <w:color w:val="auto"/>
              </w:rPr>
            </w:pPr>
            <w:r>
              <w:rPr>
                <w:rFonts w:ascii="Arial" w:cs="Arial" w:eastAsia="Arial" w:hAnsi="Arial"/>
                <w:sz w:val="16"/>
                <w:szCs w:val="16"/>
                <w:b w:val="1"/>
                <w:bCs w:val="1"/>
                <w:color w:val="auto"/>
                <w:w w:val="94"/>
              </w:rPr>
              <w:t>December 31,</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720" w:type="dxa"/>
            <w:vAlign w:val="bottom"/>
            <w:gridSpan w:val="3"/>
          </w:tcPr>
          <w:p>
            <w:pPr>
              <w:jc w:val="center"/>
              <w:ind w:left="321"/>
              <w:spacing w:after="0"/>
              <w:rPr>
                <w:sz w:val="20"/>
                <w:szCs w:val="20"/>
                <w:color w:val="auto"/>
              </w:rPr>
            </w:pPr>
            <w:r>
              <w:rPr>
                <w:rFonts w:ascii="Arial" w:cs="Arial" w:eastAsia="Arial" w:hAnsi="Arial"/>
                <w:sz w:val="16"/>
                <w:szCs w:val="16"/>
                <w:b w:val="1"/>
                <w:bCs w:val="1"/>
                <w:color w:val="auto"/>
                <w:w w:val="88"/>
              </w:rPr>
              <w:t>December 31,</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5020" w:type="dxa"/>
            <w:vAlign w:val="bottom"/>
          </w:tcPr>
          <w:p>
            <w:pPr>
              <w:spacing w:after="0"/>
              <w:rPr>
                <w:sz w:val="24"/>
                <w:szCs w:val="24"/>
                <w:color w:val="auto"/>
              </w:rPr>
            </w:pPr>
          </w:p>
        </w:tc>
        <w:tc>
          <w:tcPr>
            <w:tcW w:w="80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2011</w:t>
            </w:r>
          </w:p>
        </w:tc>
        <w:tc>
          <w:tcPr>
            <w:tcW w:w="6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6"/>
                <w:szCs w:val="16"/>
                <w:b w:val="1"/>
                <w:bCs w:val="1"/>
                <w:color w:val="auto"/>
              </w:rPr>
              <w:t>2010</w:t>
            </w:r>
          </w:p>
        </w:tc>
        <w:tc>
          <w:tcPr>
            <w:tcW w:w="1920" w:type="dxa"/>
            <w:vAlign w:val="bottom"/>
          </w:tcPr>
          <w:p>
            <w:pPr>
              <w:spacing w:after="0"/>
              <w:rPr>
                <w:sz w:val="24"/>
                <w:szCs w:val="24"/>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2011</w:t>
            </w:r>
          </w:p>
        </w:tc>
        <w:tc>
          <w:tcPr>
            <w:tcW w:w="680" w:type="dxa"/>
            <w:vAlign w:val="bottom"/>
          </w:tcPr>
          <w:p>
            <w:pPr>
              <w:spacing w:after="0"/>
              <w:rPr>
                <w:sz w:val="24"/>
                <w:szCs w:val="24"/>
                <w:color w:val="auto"/>
              </w:rPr>
            </w:pPr>
          </w:p>
        </w:tc>
        <w:tc>
          <w:tcPr>
            <w:tcW w:w="6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2010</w:t>
            </w:r>
          </w:p>
        </w:tc>
        <w:tc>
          <w:tcPr>
            <w:tcW w:w="20" w:type="dxa"/>
            <w:vAlign w:val="bottom"/>
          </w:tcPr>
          <w:p>
            <w:pPr>
              <w:spacing w:after="0"/>
              <w:rPr>
                <w:sz w:val="24"/>
                <w:szCs w:val="24"/>
                <w:color w:val="auto"/>
              </w:rPr>
            </w:pPr>
          </w:p>
        </w:tc>
      </w:tr>
      <w:tr>
        <w:trPr>
          <w:trHeight w:val="367"/>
        </w:trPr>
        <w:tc>
          <w:tcPr>
            <w:tcW w:w="5020" w:type="dxa"/>
            <w:vAlign w:val="bottom"/>
          </w:tcPr>
          <w:p>
            <w:pPr>
              <w:spacing w:after="0"/>
              <w:rPr>
                <w:sz w:val="20"/>
                <w:szCs w:val="20"/>
                <w:color w:val="auto"/>
              </w:rPr>
            </w:pPr>
            <w:r>
              <w:rPr>
                <w:rFonts w:ascii="Arial" w:cs="Arial" w:eastAsia="Arial" w:hAnsi="Arial"/>
                <w:sz w:val="16"/>
                <w:szCs w:val="16"/>
                <w:color w:val="auto"/>
              </w:rPr>
              <w:t>Net sales</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96,319</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380" w:type="dxa"/>
            <w:vAlign w:val="bottom"/>
            <w:gridSpan w:val="2"/>
          </w:tcPr>
          <w:p>
            <w:pPr>
              <w:jc w:val="right"/>
              <w:ind w:right="1920"/>
              <w:spacing w:after="0"/>
              <w:rPr>
                <w:sz w:val="20"/>
                <w:szCs w:val="20"/>
                <w:color w:val="auto"/>
              </w:rPr>
            </w:pPr>
            <w:r>
              <w:rPr>
                <w:rFonts w:ascii="Arial" w:cs="Arial" w:eastAsia="Arial" w:hAnsi="Arial"/>
                <w:sz w:val="16"/>
                <w:szCs w:val="16"/>
                <w:color w:val="auto"/>
                <w:w w:val="89"/>
              </w:rPr>
              <w:t>96,340</w:t>
            </w:r>
          </w:p>
        </w:tc>
        <w:tc>
          <w:tcPr>
            <w:tcW w:w="800" w:type="dxa"/>
            <w:vAlign w:val="bottom"/>
          </w:tcPr>
          <w:p>
            <w:pPr>
              <w:jc w:val="right"/>
              <w:spacing w:after="0"/>
              <w:rPr>
                <w:sz w:val="20"/>
                <w:szCs w:val="20"/>
                <w:color w:val="auto"/>
              </w:rPr>
            </w:pPr>
            <w:r>
              <w:rPr>
                <w:rFonts w:ascii="Arial" w:cs="Arial" w:eastAsia="Arial" w:hAnsi="Arial"/>
                <w:sz w:val="16"/>
                <w:szCs w:val="16"/>
                <w:color w:val="auto"/>
              </w:rPr>
              <w:t>$ 424,691</w:t>
            </w:r>
          </w:p>
        </w:tc>
        <w:tc>
          <w:tcPr>
            <w:tcW w:w="6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w w:val="92"/>
              </w:rPr>
              <w:t>$ 365,369</w:t>
            </w:r>
          </w:p>
        </w:tc>
        <w:tc>
          <w:tcPr>
            <w:tcW w:w="20" w:type="dxa"/>
            <w:vAlign w:val="bottom"/>
          </w:tcPr>
          <w:p>
            <w:pPr>
              <w:spacing w:after="0"/>
              <w:rPr>
                <w:sz w:val="24"/>
                <w:szCs w:val="24"/>
                <w:color w:val="auto"/>
              </w:rPr>
            </w:pPr>
          </w:p>
        </w:tc>
      </w:tr>
      <w:tr>
        <w:trPr>
          <w:trHeight w:val="190"/>
        </w:trPr>
        <w:tc>
          <w:tcPr>
            <w:tcW w:w="5020" w:type="dxa"/>
            <w:vAlign w:val="bottom"/>
          </w:tcPr>
          <w:p>
            <w:pPr>
              <w:spacing w:after="0"/>
              <w:rPr>
                <w:sz w:val="20"/>
                <w:szCs w:val="20"/>
                <w:color w:val="auto"/>
              </w:rPr>
            </w:pPr>
            <w:r>
              <w:rPr>
                <w:rFonts w:ascii="Arial" w:cs="Arial" w:eastAsia="Arial" w:hAnsi="Arial"/>
                <w:sz w:val="16"/>
                <w:szCs w:val="16"/>
                <w:color w:val="auto"/>
              </w:rPr>
              <w:t>Cost of products sold (exclusive of</w:t>
            </w: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5020" w:type="dxa"/>
            <w:vAlign w:val="bottom"/>
          </w:tcPr>
          <w:p>
            <w:pPr>
              <w:ind w:left="40"/>
              <w:spacing w:after="0"/>
              <w:rPr>
                <w:sz w:val="20"/>
                <w:szCs w:val="20"/>
                <w:color w:val="auto"/>
              </w:rPr>
            </w:pPr>
            <w:r>
              <w:rPr>
                <w:rFonts w:ascii="Arial" w:cs="Arial" w:eastAsia="Arial" w:hAnsi="Arial"/>
                <w:sz w:val="16"/>
                <w:szCs w:val="16"/>
                <w:color w:val="auto"/>
              </w:rPr>
              <w:t>depreciation shown separately below)</w:t>
            </w:r>
          </w:p>
        </w:tc>
        <w:tc>
          <w:tcPr>
            <w:tcW w:w="3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79,092</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2"/>
          </w:tcPr>
          <w:p>
            <w:pPr>
              <w:jc w:val="right"/>
              <w:ind w:right="1920"/>
              <w:spacing w:after="0"/>
              <w:rPr>
                <w:sz w:val="20"/>
                <w:szCs w:val="20"/>
                <w:color w:val="auto"/>
              </w:rPr>
            </w:pPr>
            <w:r>
              <w:rPr>
                <w:rFonts w:ascii="Arial" w:cs="Arial" w:eastAsia="Arial" w:hAnsi="Arial"/>
                <w:sz w:val="16"/>
                <w:szCs w:val="16"/>
                <w:color w:val="auto"/>
                <w:w w:val="89"/>
              </w:rPr>
              <w:t>79,019</w:t>
            </w:r>
          </w:p>
        </w:tc>
        <w:tc>
          <w:tcPr>
            <w:tcW w:w="800" w:type="dxa"/>
            <w:vAlign w:val="bottom"/>
          </w:tcPr>
          <w:p>
            <w:pPr>
              <w:jc w:val="right"/>
              <w:spacing w:after="0"/>
              <w:rPr>
                <w:sz w:val="20"/>
                <w:szCs w:val="20"/>
                <w:color w:val="auto"/>
              </w:rPr>
            </w:pPr>
            <w:r>
              <w:rPr>
                <w:rFonts w:ascii="Arial" w:cs="Arial" w:eastAsia="Arial" w:hAnsi="Arial"/>
                <w:sz w:val="16"/>
                <w:szCs w:val="16"/>
                <w:color w:val="auto"/>
              </w:rPr>
              <w:t>347,622</w:t>
            </w:r>
          </w:p>
        </w:tc>
        <w:tc>
          <w:tcPr>
            <w:tcW w:w="680" w:type="dxa"/>
            <w:vAlign w:val="bottom"/>
          </w:tcPr>
          <w:p>
            <w:pPr>
              <w:spacing w:after="0"/>
              <w:rPr>
                <w:sz w:val="16"/>
                <w:szCs w:val="16"/>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6"/>
                <w:szCs w:val="16"/>
                <w:color w:val="auto"/>
              </w:rPr>
              <w:t>296,422</w:t>
            </w:r>
          </w:p>
        </w:tc>
      </w:tr>
      <w:tr>
        <w:trPr>
          <w:trHeight w:val="190"/>
        </w:trPr>
        <w:tc>
          <w:tcPr>
            <w:tcW w:w="502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7,473</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8,051</w:t>
            </w:r>
          </w:p>
        </w:tc>
        <w:tc>
          <w:tcPr>
            <w:tcW w:w="1920" w:type="dxa"/>
            <w:vAlign w:val="bottom"/>
          </w:tcPr>
          <w:p>
            <w:pPr>
              <w:spacing w:after="0"/>
              <w:rPr>
                <w:sz w:val="16"/>
                <w:szCs w:val="16"/>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6"/>
                <w:szCs w:val="16"/>
                <w:color w:val="auto"/>
              </w:rPr>
              <w:t>30,657</w:t>
            </w:r>
          </w:p>
        </w:tc>
        <w:tc>
          <w:tcPr>
            <w:tcW w:w="24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w w:val="85"/>
              </w:rPr>
              <w:t>30,407</w:t>
            </w:r>
          </w:p>
        </w:tc>
      </w:tr>
      <w:tr>
        <w:trPr>
          <w:trHeight w:val="190"/>
        </w:trPr>
        <w:tc>
          <w:tcPr>
            <w:tcW w:w="50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4,392</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4,043</w:t>
            </w:r>
          </w:p>
        </w:tc>
        <w:tc>
          <w:tcPr>
            <w:tcW w:w="1920" w:type="dxa"/>
            <w:vAlign w:val="bottom"/>
          </w:tcPr>
          <w:p>
            <w:pPr>
              <w:spacing w:after="0"/>
              <w:rPr>
                <w:sz w:val="16"/>
                <w:szCs w:val="16"/>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6"/>
                <w:szCs w:val="16"/>
                <w:color w:val="auto"/>
              </w:rPr>
              <w:t>17,016</w:t>
            </w:r>
          </w:p>
        </w:tc>
        <w:tc>
          <w:tcPr>
            <w:tcW w:w="24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w w:val="85"/>
              </w:rPr>
              <w:t>19,195</w:t>
            </w:r>
          </w:p>
        </w:tc>
      </w:tr>
      <w:tr>
        <w:trPr>
          <w:trHeight w:val="190"/>
        </w:trPr>
        <w:tc>
          <w:tcPr>
            <w:tcW w:w="5020" w:type="dxa"/>
            <w:vAlign w:val="bottom"/>
          </w:tcPr>
          <w:p>
            <w:pPr>
              <w:spacing w:after="0"/>
              <w:rPr>
                <w:sz w:val="20"/>
                <w:szCs w:val="20"/>
                <w:color w:val="auto"/>
              </w:rPr>
            </w:pPr>
            <w:r>
              <w:rPr>
                <w:rFonts w:ascii="Arial" w:cs="Arial" w:eastAsia="Arial" w:hAnsi="Arial"/>
                <w:sz w:val="16"/>
                <w:szCs w:val="16"/>
                <w:color w:val="auto"/>
              </w:rPr>
              <w:t>(Gain) Loss on disposal of assets</w:t>
            </w:r>
          </w:p>
        </w:tc>
        <w:tc>
          <w:tcPr>
            <w:tcW w:w="3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2"/>
          </w:tcPr>
          <w:p>
            <w:pPr>
              <w:jc w:val="right"/>
              <w:ind w:right="1920"/>
              <w:spacing w:after="0"/>
              <w:rPr>
                <w:sz w:val="20"/>
                <w:szCs w:val="20"/>
                <w:color w:val="auto"/>
              </w:rPr>
            </w:pPr>
            <w:r>
              <w:rPr>
                <w:rFonts w:ascii="Arial" w:cs="Arial" w:eastAsia="Arial" w:hAnsi="Arial"/>
                <w:sz w:val="16"/>
                <w:szCs w:val="16"/>
                <w:color w:val="auto"/>
              </w:rPr>
              <w:t>129</w:t>
            </w:r>
          </w:p>
        </w:tc>
        <w:tc>
          <w:tcPr>
            <w:tcW w:w="800" w:type="dxa"/>
            <w:vAlign w:val="bottom"/>
          </w:tcPr>
          <w:p>
            <w:pPr>
              <w:jc w:val="right"/>
              <w:spacing w:after="0"/>
              <w:rPr>
                <w:sz w:val="20"/>
                <w:szCs w:val="20"/>
                <w:color w:val="auto"/>
              </w:rPr>
            </w:pPr>
            <w:r>
              <w:rPr>
                <w:rFonts w:ascii="Arial" w:cs="Arial" w:eastAsia="Arial" w:hAnsi="Arial"/>
                <w:sz w:val="16"/>
                <w:szCs w:val="16"/>
                <w:color w:val="auto"/>
              </w:rPr>
              <w:t>(36)</w:t>
            </w: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808</w:t>
            </w:r>
          </w:p>
        </w:tc>
      </w:tr>
      <w:tr>
        <w:trPr>
          <w:trHeight w:val="206"/>
        </w:trPr>
        <w:tc>
          <w:tcPr>
            <w:tcW w:w="5020" w:type="dxa"/>
            <w:vAlign w:val="bottom"/>
          </w:tcPr>
          <w:p>
            <w:pPr>
              <w:spacing w:after="0"/>
              <w:rPr>
                <w:sz w:val="20"/>
                <w:szCs w:val="20"/>
                <w:color w:val="auto"/>
              </w:rPr>
            </w:pPr>
            <w:r>
              <w:rPr>
                <w:rFonts w:ascii="Arial" w:cs="Arial" w:eastAsia="Arial" w:hAnsi="Arial"/>
                <w:sz w:val="16"/>
                <w:szCs w:val="16"/>
                <w:color w:val="auto"/>
              </w:rPr>
              <w:t>Restructuring and impairment costs</w:t>
            </w:r>
          </w:p>
        </w:tc>
        <w:tc>
          <w:tcPr>
            <w:tcW w:w="3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209</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2"/>
          </w:tcPr>
          <w:p>
            <w:pPr>
              <w:jc w:val="right"/>
              <w:ind w:right="1920"/>
              <w:spacing w:after="0"/>
              <w:rPr>
                <w:sz w:val="20"/>
                <w:szCs w:val="20"/>
                <w:color w:val="auto"/>
              </w:rPr>
            </w:pPr>
            <w:r>
              <w:rPr>
                <w:rFonts w:ascii="Arial" w:cs="Arial" w:eastAsia="Arial" w:hAnsi="Arial"/>
                <w:sz w:val="16"/>
                <w:szCs w:val="16"/>
                <w:color w:val="auto"/>
              </w:rPr>
              <w:t>229</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2,289</w:t>
            </w:r>
          </w:p>
        </w:tc>
      </w:tr>
      <w:tr>
        <w:trPr>
          <w:trHeight w:val="201"/>
        </w:trPr>
        <w:tc>
          <w:tcPr>
            <w:tcW w:w="5020" w:type="dxa"/>
            <w:vAlign w:val="bottom"/>
          </w:tcPr>
          <w:p>
            <w:pPr>
              <w:spacing w:after="0"/>
              <w:rPr>
                <w:sz w:val="20"/>
                <w:szCs w:val="20"/>
                <w:color w:val="auto"/>
              </w:rPr>
            </w:pPr>
            <w:r>
              <w:rPr>
                <w:rFonts w:ascii="Arial" w:cs="Arial" w:eastAsia="Arial" w:hAnsi="Arial"/>
                <w:sz w:val="16"/>
                <w:szCs w:val="16"/>
                <w:color w:val="auto"/>
              </w:rPr>
              <w:t>Income from operations</w:t>
            </w:r>
          </w:p>
        </w:tc>
        <w:tc>
          <w:tcPr>
            <w:tcW w:w="3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5,169</w:t>
            </w:r>
          </w:p>
        </w:tc>
        <w:tc>
          <w:tcPr>
            <w:tcW w:w="6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4,869</w:t>
            </w:r>
          </w:p>
        </w:tc>
        <w:tc>
          <w:tcPr>
            <w:tcW w:w="192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29,432</w:t>
            </w:r>
          </w:p>
        </w:tc>
        <w:tc>
          <w:tcPr>
            <w:tcW w:w="6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5"/>
              </w:rPr>
              <w:t>16,248</w:t>
            </w:r>
          </w:p>
        </w:tc>
        <w:tc>
          <w:tcPr>
            <w:tcW w:w="20" w:type="dxa"/>
            <w:vAlign w:val="bottom"/>
          </w:tcPr>
          <w:p>
            <w:pPr>
              <w:spacing w:after="0"/>
              <w:rPr>
                <w:sz w:val="17"/>
                <w:szCs w:val="17"/>
                <w:color w:val="auto"/>
              </w:rPr>
            </w:pPr>
          </w:p>
        </w:tc>
      </w:tr>
      <w:tr>
        <w:trPr>
          <w:trHeight w:val="546"/>
        </w:trPr>
        <w:tc>
          <w:tcPr>
            <w:tcW w:w="5020" w:type="dxa"/>
            <w:vAlign w:val="bottom"/>
          </w:tcPr>
          <w:p>
            <w:pPr>
              <w:spacing w:after="0"/>
              <w:rPr>
                <w:sz w:val="20"/>
                <w:szCs w:val="20"/>
                <w:color w:val="auto"/>
              </w:rPr>
            </w:pPr>
            <w:r>
              <w:rPr>
                <w:rFonts w:ascii="Arial" w:cs="Arial" w:eastAsia="Arial" w:hAnsi="Arial"/>
                <w:sz w:val="16"/>
                <w:szCs w:val="16"/>
                <w:color w:val="auto"/>
              </w:rPr>
              <w:t>Interest expense, net</w:t>
            </w:r>
          </w:p>
        </w:tc>
        <w:tc>
          <w:tcPr>
            <w:tcW w:w="3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1,102</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1,557</w:t>
            </w:r>
          </w:p>
        </w:tc>
        <w:tc>
          <w:tcPr>
            <w:tcW w:w="19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4,715</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6,815</w:t>
            </w:r>
          </w:p>
        </w:tc>
      </w:tr>
      <w:tr>
        <w:trPr>
          <w:trHeight w:val="206"/>
        </w:trPr>
        <w:tc>
          <w:tcPr>
            <w:tcW w:w="5020" w:type="dxa"/>
            <w:vAlign w:val="bottom"/>
          </w:tcPr>
          <w:p>
            <w:pPr>
              <w:spacing w:after="0"/>
              <w:rPr>
                <w:sz w:val="20"/>
                <w:szCs w:val="20"/>
                <w:color w:val="auto"/>
              </w:rPr>
            </w:pPr>
            <w:r>
              <w:rPr>
                <w:rFonts w:ascii="Arial" w:cs="Arial" w:eastAsia="Arial" w:hAnsi="Arial"/>
                <w:sz w:val="16"/>
                <w:szCs w:val="16"/>
                <w:color w:val="auto"/>
              </w:rPr>
              <w:t>Other income</w:t>
            </w:r>
          </w:p>
        </w:tc>
        <w:tc>
          <w:tcPr>
            <w:tcW w:w="3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6"/>
              </w:rPr>
              <w:t>(1,115)</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2"/>
          </w:tcPr>
          <w:p>
            <w:pPr>
              <w:jc w:val="right"/>
              <w:ind w:right="1920"/>
              <w:spacing w:after="0"/>
              <w:rPr>
                <w:sz w:val="20"/>
                <w:szCs w:val="20"/>
                <w:color w:val="auto"/>
              </w:rPr>
            </w:pPr>
            <w:r>
              <w:rPr>
                <w:rFonts w:ascii="Arial" w:cs="Arial" w:eastAsia="Arial" w:hAnsi="Arial"/>
                <w:sz w:val="16"/>
                <w:szCs w:val="16"/>
                <w:color w:val="auto"/>
              </w:rPr>
              <w:t>(113)</w:t>
            </w:r>
          </w:p>
        </w:tc>
        <w:tc>
          <w:tcPr>
            <w:tcW w:w="1480" w:type="dxa"/>
            <w:vAlign w:val="bottom"/>
            <w:gridSpan w:val="2"/>
          </w:tcPr>
          <w:p>
            <w:pPr>
              <w:jc w:val="right"/>
              <w:ind w:right="680"/>
              <w:spacing w:after="0"/>
              <w:rPr>
                <w:sz w:val="20"/>
                <w:szCs w:val="20"/>
                <w:color w:val="auto"/>
              </w:rPr>
            </w:pPr>
            <w:r>
              <w:rPr>
                <w:rFonts w:ascii="Arial" w:cs="Arial" w:eastAsia="Arial" w:hAnsi="Arial"/>
                <w:sz w:val="16"/>
                <w:szCs w:val="16"/>
                <w:color w:val="auto"/>
              </w:rPr>
              <w:t>(1,388)</w:t>
            </w:r>
          </w:p>
        </w:tc>
        <w:tc>
          <w:tcPr>
            <w:tcW w:w="700" w:type="dxa"/>
            <w:vAlign w:val="bottom"/>
            <w:gridSpan w:val="3"/>
          </w:tcPr>
          <w:p>
            <w:pPr>
              <w:jc w:val="right"/>
              <w:ind w:right="20"/>
              <w:spacing w:after="0"/>
              <w:rPr>
                <w:sz w:val="20"/>
                <w:szCs w:val="20"/>
                <w:color w:val="auto"/>
              </w:rPr>
            </w:pPr>
            <w:r>
              <w:rPr>
                <w:rFonts w:ascii="Arial" w:cs="Arial" w:eastAsia="Arial" w:hAnsi="Arial"/>
                <w:sz w:val="16"/>
                <w:szCs w:val="16"/>
                <w:color w:val="auto"/>
              </w:rPr>
              <w:t>(1,552)</w:t>
            </w:r>
          </w:p>
        </w:tc>
      </w:tr>
      <w:tr>
        <w:trPr>
          <w:trHeight w:val="177"/>
        </w:trPr>
        <w:tc>
          <w:tcPr>
            <w:tcW w:w="5020" w:type="dxa"/>
            <w:vAlign w:val="bottom"/>
          </w:tcPr>
          <w:p>
            <w:pPr>
              <w:spacing w:after="0" w:line="178" w:lineRule="exact"/>
              <w:rPr>
                <w:sz w:val="20"/>
                <w:szCs w:val="20"/>
                <w:color w:val="auto"/>
              </w:rPr>
            </w:pPr>
            <w:r>
              <w:rPr>
                <w:rFonts w:ascii="Arial" w:cs="Arial" w:eastAsia="Arial" w:hAnsi="Arial"/>
                <w:sz w:val="16"/>
                <w:szCs w:val="16"/>
                <w:color w:val="auto"/>
              </w:rPr>
              <w:t>Income before provision for income taxes</w:t>
            </w:r>
          </w:p>
        </w:tc>
        <w:tc>
          <w:tcPr>
            <w:tcW w:w="3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5,182</w:t>
            </w:r>
          </w:p>
        </w:tc>
        <w:tc>
          <w:tcPr>
            <w:tcW w:w="6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3,425</w:t>
            </w:r>
          </w:p>
        </w:tc>
        <w:tc>
          <w:tcPr>
            <w:tcW w:w="1920" w:type="dxa"/>
            <w:vAlign w:val="bottom"/>
          </w:tcPr>
          <w:p>
            <w:pPr>
              <w:spacing w:after="0"/>
              <w:rPr>
                <w:sz w:val="15"/>
                <w:szCs w:val="15"/>
                <w:color w:val="auto"/>
              </w:rPr>
            </w:pPr>
          </w:p>
        </w:tc>
        <w:tc>
          <w:tcPr>
            <w:tcW w:w="8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26,105</w:t>
            </w:r>
          </w:p>
        </w:tc>
        <w:tc>
          <w:tcPr>
            <w:tcW w:w="6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w w:val="85"/>
              </w:rPr>
              <w:t>10,985</w:t>
            </w:r>
          </w:p>
        </w:tc>
        <w:tc>
          <w:tcPr>
            <w:tcW w:w="20" w:type="dxa"/>
            <w:vAlign w:val="bottom"/>
          </w:tcPr>
          <w:p>
            <w:pPr>
              <w:spacing w:after="0"/>
              <w:rPr>
                <w:sz w:val="15"/>
                <w:szCs w:val="15"/>
                <w:color w:val="auto"/>
              </w:rPr>
            </w:pPr>
          </w:p>
        </w:tc>
      </w:tr>
      <w:tr>
        <w:trPr>
          <w:trHeight w:val="206"/>
        </w:trPr>
        <w:tc>
          <w:tcPr>
            <w:tcW w:w="50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w:t>
            </w:r>
          </w:p>
        </w:tc>
        <w:tc>
          <w:tcPr>
            <w:tcW w:w="19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5,168</w:t>
            </w:r>
          </w:p>
        </w:tc>
        <w:tc>
          <w:tcPr>
            <w:tcW w:w="6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4,569</w:t>
            </w:r>
          </w:p>
        </w:tc>
        <w:tc>
          <w:tcPr>
            <w:tcW w:w="20" w:type="dxa"/>
            <w:vAlign w:val="bottom"/>
          </w:tcPr>
          <w:p>
            <w:pPr>
              <w:spacing w:after="0"/>
              <w:rPr>
                <w:sz w:val="17"/>
                <w:szCs w:val="17"/>
                <w:color w:val="auto"/>
              </w:rPr>
            </w:pPr>
          </w:p>
        </w:tc>
      </w:tr>
      <w:tr>
        <w:trPr>
          <w:trHeight w:val="379"/>
        </w:trPr>
        <w:tc>
          <w:tcPr>
            <w:tcW w:w="5020" w:type="dxa"/>
            <w:vAlign w:val="bottom"/>
          </w:tcPr>
          <w:p>
            <w:pPr>
              <w:spacing w:after="0"/>
              <w:rPr>
                <w:sz w:val="20"/>
                <w:szCs w:val="20"/>
                <w:color w:val="auto"/>
              </w:rPr>
            </w:pPr>
            <w:r>
              <w:rPr>
                <w:rFonts w:ascii="Arial" w:cs="Arial" w:eastAsia="Arial" w:hAnsi="Arial"/>
                <w:sz w:val="16"/>
                <w:szCs w:val="16"/>
                <w:color w:val="auto"/>
              </w:rPr>
              <w:t>Net income</w:t>
            </w:r>
          </w:p>
        </w:tc>
        <w:tc>
          <w:tcPr>
            <w:tcW w:w="340" w:type="dxa"/>
            <w:vAlign w:val="bottom"/>
          </w:tcPr>
          <w:p>
            <w:pPr>
              <w:ind w:left="240"/>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4,901</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2,076</w:t>
            </w:r>
          </w:p>
        </w:tc>
        <w:tc>
          <w:tcPr>
            <w:tcW w:w="1920" w:type="dxa"/>
            <w:vAlign w:val="bottom"/>
          </w:tcPr>
          <w:p>
            <w:pPr>
              <w:spacing w:after="0"/>
              <w:rPr>
                <w:sz w:val="24"/>
                <w:szCs w:val="24"/>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6"/>
                <w:szCs w:val="16"/>
                <w:color w:val="auto"/>
              </w:rPr>
              <w:t>$ 20,937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6,416</w:t>
            </w:r>
          </w:p>
        </w:tc>
      </w:tr>
      <w:tr>
        <w:trPr>
          <w:trHeight w:val="20"/>
        </w:trPr>
        <w:tc>
          <w:tcPr>
            <w:tcW w:w="5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7"/>
        </w:trPr>
        <w:tc>
          <w:tcPr>
            <w:tcW w:w="5020" w:type="dxa"/>
            <w:vAlign w:val="bottom"/>
          </w:tcPr>
          <w:p>
            <w:pPr>
              <w:spacing w:after="0"/>
              <w:rPr>
                <w:sz w:val="20"/>
                <w:szCs w:val="20"/>
                <w:color w:val="auto"/>
              </w:rPr>
            </w:pPr>
            <w:r>
              <w:rPr>
                <w:rFonts w:ascii="Arial" w:cs="Arial" w:eastAsia="Arial" w:hAnsi="Arial"/>
                <w:sz w:val="16"/>
                <w:szCs w:val="16"/>
                <w:color w:val="auto"/>
              </w:rPr>
              <w:t>Diluted income per common share</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0.29</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0.12</w:t>
            </w:r>
          </w:p>
        </w:tc>
        <w:tc>
          <w:tcPr>
            <w:tcW w:w="1920" w:type="dxa"/>
            <w:vAlign w:val="bottom"/>
          </w:tcPr>
          <w:p>
            <w:pPr>
              <w:spacing w:after="0"/>
              <w:rPr>
                <w:sz w:val="24"/>
                <w:szCs w:val="24"/>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6"/>
                <w:szCs w:val="16"/>
                <w:color w:val="auto"/>
              </w:rPr>
              <w:t>$   1.24</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0.39</w:t>
            </w:r>
          </w:p>
        </w:tc>
      </w:tr>
      <w:tr>
        <w:trPr>
          <w:trHeight w:val="20"/>
        </w:trPr>
        <w:tc>
          <w:tcPr>
            <w:tcW w:w="5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7"/>
        </w:trPr>
        <w:tc>
          <w:tcPr>
            <w:tcW w:w="5020" w:type="dxa"/>
            <w:vAlign w:val="bottom"/>
          </w:tcPr>
          <w:p>
            <w:pPr>
              <w:spacing w:after="0"/>
              <w:rPr>
                <w:sz w:val="20"/>
                <w:szCs w:val="20"/>
                <w:color w:val="auto"/>
              </w:rPr>
            </w:pPr>
            <w:r>
              <w:rPr>
                <w:rFonts w:ascii="Arial" w:cs="Arial" w:eastAsia="Arial" w:hAnsi="Arial"/>
                <w:sz w:val="16"/>
                <w:szCs w:val="16"/>
                <w:color w:val="auto"/>
              </w:rPr>
              <w:t>Weighted average diluted shares</w:t>
            </w:r>
          </w:p>
        </w:tc>
        <w:tc>
          <w:tcPr>
            <w:tcW w:w="3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17,057</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2"/>
          </w:tcPr>
          <w:p>
            <w:pPr>
              <w:jc w:val="right"/>
              <w:ind w:right="1920"/>
              <w:spacing w:after="0"/>
              <w:rPr>
                <w:sz w:val="20"/>
                <w:szCs w:val="20"/>
                <w:color w:val="auto"/>
              </w:rPr>
            </w:pPr>
            <w:r>
              <w:rPr>
                <w:rFonts w:ascii="Arial" w:cs="Arial" w:eastAsia="Arial" w:hAnsi="Arial"/>
                <w:sz w:val="16"/>
                <w:szCs w:val="16"/>
                <w:color w:val="auto"/>
                <w:w w:val="89"/>
              </w:rPr>
              <w:t>16,768</w:t>
            </w:r>
          </w:p>
        </w:tc>
        <w:tc>
          <w:tcPr>
            <w:tcW w:w="1480" w:type="dxa"/>
            <w:vAlign w:val="bottom"/>
            <w:gridSpan w:val="2"/>
          </w:tcPr>
          <w:p>
            <w:pPr>
              <w:jc w:val="right"/>
              <w:ind w:right="680"/>
              <w:spacing w:after="0"/>
              <w:rPr>
                <w:sz w:val="20"/>
                <w:szCs w:val="20"/>
                <w:color w:val="auto"/>
              </w:rPr>
            </w:pPr>
            <w:r>
              <w:rPr>
                <w:rFonts w:ascii="Arial" w:cs="Arial" w:eastAsia="Arial" w:hAnsi="Arial"/>
                <w:sz w:val="16"/>
                <w:szCs w:val="16"/>
                <w:color w:val="auto"/>
              </w:rPr>
              <w:t>16,953</w:t>
            </w:r>
          </w:p>
        </w:tc>
        <w:tc>
          <w:tcPr>
            <w:tcW w:w="24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w w:val="85"/>
              </w:rPr>
              <w:t>16,570</w:t>
            </w:r>
          </w:p>
        </w:tc>
      </w:tr>
      <w:tr>
        <w:trPr>
          <w:trHeight w:val="20"/>
        </w:trPr>
        <w:tc>
          <w:tcPr>
            <w:tcW w:w="5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79"/>
        </w:trPr>
        <w:tc>
          <w:tcPr>
            <w:tcW w:w="50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67" w:right="219" w:bottom="1440" w:gutter="0" w:footer="0" w:header="0"/>
        </w:sectPr>
      </w:pPr>
    </w:p>
    <w:bookmarkStart w:id="7" w:name="page8"/>
    <w:bookmarkEnd w:id="7"/>
    <w:p>
      <w:pPr>
        <w:ind w:left="5440"/>
        <w:spacing w:after="0"/>
        <w:rPr>
          <w:sz w:val="20"/>
          <w:szCs w:val="20"/>
          <w:color w:val="auto"/>
        </w:rPr>
      </w:pPr>
      <w:r>
        <w:rPr>
          <w:rFonts w:ascii="Arial" w:cs="Arial" w:eastAsia="Arial" w:hAnsi="Arial"/>
          <w:sz w:val="16"/>
          <w:szCs w:val="16"/>
          <w:b w:val="1"/>
          <w:bCs w:val="1"/>
          <w:color w:val="auto"/>
        </w:rPr>
        <w:t>NN, Inc.</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6"/>
          <w:szCs w:val="16"/>
          <w:b w:val="1"/>
          <w:bCs w:val="1"/>
          <w:color w:val="auto"/>
        </w:rPr>
        <w:t>Condensed Balance Sheets</w:t>
      </w:r>
    </w:p>
    <w:p>
      <w:pPr>
        <w:spacing w:after="0" w:line="6"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(In Thousands)</w:t>
      </w:r>
    </w:p>
    <w:p>
      <w:pPr>
        <w:spacing w:after="0" w:line="6" w:lineRule="exact"/>
        <w:rPr>
          <w:sz w:val="20"/>
          <w:szCs w:val="20"/>
          <w:color w:val="auto"/>
        </w:rPr>
      </w:pPr>
    </w:p>
    <w:p>
      <w:pPr>
        <w:ind w:left="5420"/>
        <w:spacing w:after="0"/>
        <w:rPr>
          <w:sz w:val="20"/>
          <w:szCs w:val="20"/>
          <w:color w:val="auto"/>
        </w:rPr>
      </w:pPr>
      <w:r>
        <w:rPr>
          <w:rFonts w:ascii="Arial" w:cs="Arial" w:eastAsia="Arial" w:hAnsi="Arial"/>
          <w:sz w:val="16"/>
          <w:szCs w:val="16"/>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40" w:type="dxa"/>
            <w:vAlign w:val="bottom"/>
            <w:gridSpan w:val="3"/>
          </w:tcPr>
          <w:p>
            <w:pPr>
              <w:ind w:left="40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18"/>
                <w:szCs w:val="18"/>
                <w:color w:val="auto"/>
              </w:rPr>
            </w:pPr>
          </w:p>
        </w:tc>
        <w:tc>
          <w:tcPr>
            <w:tcW w:w="15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2011</w:t>
            </w:r>
          </w:p>
        </w:tc>
        <w:tc>
          <w:tcPr>
            <w:tcW w:w="5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2010</w:t>
            </w:r>
          </w:p>
        </w:tc>
        <w:tc>
          <w:tcPr>
            <w:tcW w:w="5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59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960" w:type="dxa"/>
            <w:vAlign w:val="bottom"/>
          </w:tcPr>
          <w:p>
            <w:pPr>
              <w:spacing w:after="0"/>
              <w:rPr>
                <w:sz w:val="20"/>
                <w:szCs w:val="20"/>
                <w:color w:val="auto"/>
              </w:rPr>
            </w:pPr>
            <w:r>
              <w:rPr>
                <w:rFonts w:ascii="Arial" w:cs="Arial" w:eastAsia="Arial" w:hAnsi="Arial"/>
                <w:sz w:val="16"/>
                <w:szCs w:val="16"/>
                <w:color w:val="auto"/>
              </w:rPr>
              <w:t>Current Assets:</w:t>
            </w:r>
          </w:p>
        </w:tc>
        <w:tc>
          <w:tcPr>
            <w:tcW w:w="1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60" w:type="dxa"/>
            <w:vAlign w:val="bottom"/>
          </w:tcPr>
          <w:p>
            <w:pPr>
              <w:spacing w:after="0"/>
              <w:rPr>
                <w:sz w:val="20"/>
                <w:szCs w:val="20"/>
                <w:color w:val="auto"/>
              </w:rPr>
            </w:pPr>
            <w:r>
              <w:rPr>
                <w:rFonts w:ascii="Arial" w:cs="Arial" w:eastAsia="Arial" w:hAnsi="Arial"/>
                <w:sz w:val="16"/>
                <w:szCs w:val="16"/>
                <w:color w:val="auto"/>
              </w:rPr>
              <w:t>Cash</w:t>
            </w:r>
          </w:p>
        </w:tc>
        <w:tc>
          <w:tcPr>
            <w:tcW w:w="15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4,536</w:t>
            </w: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5,556</w:t>
            </w:r>
          </w:p>
        </w:tc>
        <w:tc>
          <w:tcPr>
            <w:tcW w:w="0" w:type="dxa"/>
            <w:vAlign w:val="bottom"/>
          </w:tcPr>
          <w:p>
            <w:pPr>
              <w:spacing w:after="0"/>
              <w:rPr>
                <w:sz w:val="1"/>
                <w:szCs w:val="1"/>
                <w:color w:val="auto"/>
              </w:rPr>
            </w:pPr>
          </w:p>
        </w:tc>
      </w:tr>
      <w:tr>
        <w:trPr>
          <w:trHeight w:val="190"/>
        </w:trPr>
        <w:tc>
          <w:tcPr>
            <w:tcW w:w="596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15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66,707</w:t>
            </w: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63,331</w:t>
            </w:r>
          </w:p>
        </w:tc>
        <w:tc>
          <w:tcPr>
            <w:tcW w:w="0" w:type="dxa"/>
            <w:vAlign w:val="bottom"/>
          </w:tcPr>
          <w:p>
            <w:pPr>
              <w:spacing w:after="0"/>
              <w:rPr>
                <w:sz w:val="1"/>
                <w:szCs w:val="1"/>
                <w:color w:val="auto"/>
              </w:rPr>
            </w:pPr>
          </w:p>
        </w:tc>
      </w:tr>
      <w:tr>
        <w:trPr>
          <w:trHeight w:val="190"/>
        </w:trPr>
        <w:tc>
          <w:tcPr>
            <w:tcW w:w="5960" w:type="dxa"/>
            <w:vAlign w:val="bottom"/>
          </w:tcPr>
          <w:p>
            <w:pPr>
              <w:spacing w:after="0"/>
              <w:rPr>
                <w:sz w:val="20"/>
                <w:szCs w:val="20"/>
                <w:color w:val="auto"/>
              </w:rPr>
            </w:pPr>
            <w:r>
              <w:rPr>
                <w:rFonts w:ascii="Arial" w:cs="Arial" w:eastAsia="Arial" w:hAnsi="Arial"/>
                <w:sz w:val="16"/>
                <w:szCs w:val="16"/>
                <w:color w:val="auto"/>
              </w:rPr>
              <w:t>Inventories, net</w:t>
            </w:r>
          </w:p>
        </w:tc>
        <w:tc>
          <w:tcPr>
            <w:tcW w:w="15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46,023</w:t>
            </w: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41,882</w:t>
            </w:r>
          </w:p>
        </w:tc>
        <w:tc>
          <w:tcPr>
            <w:tcW w:w="0" w:type="dxa"/>
            <w:vAlign w:val="bottom"/>
          </w:tcPr>
          <w:p>
            <w:pPr>
              <w:spacing w:after="0"/>
              <w:rPr>
                <w:sz w:val="1"/>
                <w:szCs w:val="1"/>
                <w:color w:val="auto"/>
              </w:rPr>
            </w:pPr>
          </w:p>
        </w:tc>
      </w:tr>
      <w:tr>
        <w:trPr>
          <w:trHeight w:val="206"/>
        </w:trPr>
        <w:tc>
          <w:tcPr>
            <w:tcW w:w="5960" w:type="dxa"/>
            <w:vAlign w:val="bottom"/>
          </w:tcPr>
          <w:p>
            <w:pPr>
              <w:spacing w:after="0"/>
              <w:rPr>
                <w:sz w:val="20"/>
                <w:szCs w:val="20"/>
                <w:color w:val="auto"/>
              </w:rPr>
            </w:pPr>
            <w:r>
              <w:rPr>
                <w:rFonts w:ascii="Arial" w:cs="Arial" w:eastAsia="Arial" w:hAnsi="Arial"/>
                <w:sz w:val="16"/>
                <w:szCs w:val="16"/>
                <w:color w:val="auto"/>
              </w:rPr>
              <w:t>Other current assets</w:t>
            </w:r>
          </w:p>
        </w:tc>
        <w:tc>
          <w:tcPr>
            <w:tcW w:w="15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6,759</w:t>
            </w: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4,901</w:t>
            </w:r>
          </w:p>
        </w:tc>
        <w:tc>
          <w:tcPr>
            <w:tcW w:w="0" w:type="dxa"/>
            <w:vAlign w:val="bottom"/>
          </w:tcPr>
          <w:p>
            <w:pPr>
              <w:spacing w:after="0"/>
              <w:rPr>
                <w:sz w:val="1"/>
                <w:szCs w:val="1"/>
                <w:color w:val="auto"/>
              </w:rPr>
            </w:pPr>
          </w:p>
        </w:tc>
      </w:tr>
      <w:tr>
        <w:trPr>
          <w:trHeight w:val="201"/>
        </w:trPr>
        <w:tc>
          <w:tcPr>
            <w:tcW w:w="5960" w:type="dxa"/>
            <w:vAlign w:val="bottom"/>
          </w:tcPr>
          <w:p>
            <w:pPr>
              <w:ind w:left="120"/>
              <w:spacing w:after="0"/>
              <w:rPr>
                <w:sz w:val="20"/>
                <w:szCs w:val="20"/>
                <w:color w:val="auto"/>
              </w:rPr>
            </w:pPr>
            <w:r>
              <w:rPr>
                <w:rFonts w:ascii="Arial" w:cs="Arial" w:eastAsia="Arial" w:hAnsi="Arial"/>
                <w:sz w:val="16"/>
                <w:szCs w:val="16"/>
                <w:color w:val="auto"/>
              </w:rPr>
              <w:t>Total current assets</w:t>
            </w:r>
          </w:p>
        </w:tc>
        <w:tc>
          <w:tcPr>
            <w:tcW w:w="15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2"/>
              </w:rPr>
              <w:t>124,025</w:t>
            </w: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6"/>
              </w:rPr>
              <w:t>115,670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596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2"/>
              </w:rPr>
              <w:t>120,528</w:t>
            </w: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w w:val="86"/>
              </w:rPr>
              <w:t>118,488</w:t>
            </w:r>
          </w:p>
        </w:tc>
        <w:tc>
          <w:tcPr>
            <w:tcW w:w="0" w:type="dxa"/>
            <w:vAlign w:val="bottom"/>
          </w:tcPr>
          <w:p>
            <w:pPr>
              <w:spacing w:after="0"/>
              <w:rPr>
                <w:sz w:val="1"/>
                <w:szCs w:val="1"/>
                <w:color w:val="auto"/>
              </w:rPr>
            </w:pPr>
          </w:p>
        </w:tc>
      </w:tr>
      <w:tr>
        <w:trPr>
          <w:trHeight w:val="190"/>
        </w:trPr>
        <w:tc>
          <w:tcPr>
            <w:tcW w:w="5960" w:type="dxa"/>
            <w:vAlign w:val="bottom"/>
          </w:tcPr>
          <w:p>
            <w:pPr>
              <w:spacing w:after="0"/>
              <w:rPr>
                <w:sz w:val="20"/>
                <w:szCs w:val="20"/>
                <w:color w:val="auto"/>
              </w:rPr>
            </w:pPr>
            <w:r>
              <w:rPr>
                <w:rFonts w:ascii="Arial" w:cs="Arial" w:eastAsia="Arial" w:hAnsi="Arial"/>
                <w:sz w:val="16"/>
                <w:szCs w:val="16"/>
                <w:color w:val="auto"/>
              </w:rPr>
              <w:t>Goodwill and intangible assets, net</w:t>
            </w:r>
          </w:p>
        </w:tc>
        <w:tc>
          <w:tcPr>
            <w:tcW w:w="15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8,939</w:t>
            </w: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9,296</w:t>
            </w:r>
          </w:p>
        </w:tc>
        <w:tc>
          <w:tcPr>
            <w:tcW w:w="0" w:type="dxa"/>
            <w:vAlign w:val="bottom"/>
          </w:tcPr>
          <w:p>
            <w:pPr>
              <w:spacing w:after="0"/>
              <w:rPr>
                <w:sz w:val="1"/>
                <w:szCs w:val="1"/>
                <w:color w:val="auto"/>
              </w:rPr>
            </w:pPr>
          </w:p>
        </w:tc>
      </w:tr>
      <w:tr>
        <w:trPr>
          <w:trHeight w:val="206"/>
        </w:trPr>
        <w:tc>
          <w:tcPr>
            <w:tcW w:w="596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5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5,969</w:t>
            </w: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5,101</w:t>
            </w:r>
          </w:p>
        </w:tc>
        <w:tc>
          <w:tcPr>
            <w:tcW w:w="0" w:type="dxa"/>
            <w:vAlign w:val="bottom"/>
          </w:tcPr>
          <w:p>
            <w:pPr>
              <w:spacing w:after="0"/>
              <w:rPr>
                <w:sz w:val="1"/>
                <w:szCs w:val="1"/>
                <w:color w:val="auto"/>
              </w:rPr>
            </w:pPr>
          </w:p>
        </w:tc>
      </w:tr>
      <w:tr>
        <w:trPr>
          <w:trHeight w:val="190"/>
        </w:trPr>
        <w:tc>
          <w:tcPr>
            <w:tcW w:w="5960" w:type="dxa"/>
            <w:vAlign w:val="bottom"/>
          </w:tcPr>
          <w:p>
            <w:pPr>
              <w:ind w:left="120"/>
              <w:spacing w:after="0"/>
              <w:rPr>
                <w:sz w:val="20"/>
                <w:szCs w:val="20"/>
                <w:color w:val="auto"/>
              </w:rPr>
            </w:pPr>
            <w:r>
              <w:rPr>
                <w:rFonts w:ascii="Arial" w:cs="Arial" w:eastAsia="Arial" w:hAnsi="Arial"/>
                <w:sz w:val="16"/>
                <w:szCs w:val="16"/>
                <w:color w:val="auto"/>
              </w:rPr>
              <w:t>Total assets</w:t>
            </w:r>
          </w:p>
        </w:tc>
        <w:tc>
          <w:tcPr>
            <w:tcW w:w="15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2"/>
              </w:rPr>
              <w:t>259,461</w:t>
            </w: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248,555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596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960" w:type="dxa"/>
            <w:vAlign w:val="bottom"/>
          </w:tcPr>
          <w:p>
            <w:pPr>
              <w:spacing w:after="0"/>
              <w:rPr>
                <w:sz w:val="20"/>
                <w:szCs w:val="20"/>
                <w:color w:val="auto"/>
              </w:rPr>
            </w:pPr>
            <w:r>
              <w:rPr>
                <w:rFonts w:ascii="Arial" w:cs="Arial" w:eastAsia="Arial" w:hAnsi="Arial"/>
                <w:sz w:val="16"/>
                <w:szCs w:val="16"/>
                <w:color w:val="auto"/>
              </w:rPr>
              <w:t>Current liabilities:</w:t>
            </w:r>
          </w:p>
        </w:tc>
        <w:tc>
          <w:tcPr>
            <w:tcW w:w="1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60" w:type="dxa"/>
            <w:vAlign w:val="bottom"/>
          </w:tcPr>
          <w:p>
            <w:pPr>
              <w:spacing w:after="0"/>
              <w:rPr>
                <w:sz w:val="20"/>
                <w:szCs w:val="20"/>
                <w:color w:val="auto"/>
              </w:rPr>
            </w:pPr>
            <w:r>
              <w:rPr>
                <w:rFonts w:ascii="Arial" w:cs="Arial" w:eastAsia="Arial" w:hAnsi="Arial"/>
                <w:sz w:val="16"/>
                <w:szCs w:val="16"/>
                <w:color w:val="auto"/>
              </w:rPr>
              <w:t>Accounts payable</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48,217</w:t>
            </w: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55,549</w:t>
            </w:r>
          </w:p>
        </w:tc>
        <w:tc>
          <w:tcPr>
            <w:tcW w:w="0" w:type="dxa"/>
            <w:vAlign w:val="bottom"/>
          </w:tcPr>
          <w:p>
            <w:pPr>
              <w:spacing w:after="0"/>
              <w:rPr>
                <w:sz w:val="1"/>
                <w:szCs w:val="1"/>
                <w:color w:val="auto"/>
              </w:rPr>
            </w:pPr>
          </w:p>
        </w:tc>
      </w:tr>
      <w:tr>
        <w:trPr>
          <w:trHeight w:val="190"/>
        </w:trPr>
        <w:tc>
          <w:tcPr>
            <w:tcW w:w="5960" w:type="dxa"/>
            <w:vAlign w:val="bottom"/>
          </w:tcPr>
          <w:p>
            <w:pPr>
              <w:spacing w:after="0"/>
              <w:rPr>
                <w:sz w:val="20"/>
                <w:szCs w:val="20"/>
                <w:color w:val="auto"/>
              </w:rPr>
            </w:pPr>
            <w:r>
              <w:rPr>
                <w:rFonts w:ascii="Arial" w:cs="Arial" w:eastAsia="Arial" w:hAnsi="Arial"/>
                <w:sz w:val="16"/>
                <w:szCs w:val="16"/>
                <w:color w:val="auto"/>
              </w:rPr>
              <w:t>Accrued salaries and wages</w:t>
            </w:r>
          </w:p>
        </w:tc>
        <w:tc>
          <w:tcPr>
            <w:tcW w:w="15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11,697</w:t>
            </w: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13,548</w:t>
            </w:r>
          </w:p>
        </w:tc>
        <w:tc>
          <w:tcPr>
            <w:tcW w:w="0" w:type="dxa"/>
            <w:vAlign w:val="bottom"/>
          </w:tcPr>
          <w:p>
            <w:pPr>
              <w:spacing w:after="0"/>
              <w:rPr>
                <w:sz w:val="1"/>
                <w:szCs w:val="1"/>
                <w:color w:val="auto"/>
              </w:rPr>
            </w:pPr>
          </w:p>
        </w:tc>
      </w:tr>
      <w:tr>
        <w:trPr>
          <w:trHeight w:val="190"/>
        </w:trPr>
        <w:tc>
          <w:tcPr>
            <w:tcW w:w="5960" w:type="dxa"/>
            <w:vAlign w:val="bottom"/>
          </w:tcPr>
          <w:p>
            <w:pPr>
              <w:spacing w:after="0"/>
              <w:rPr>
                <w:sz w:val="20"/>
                <w:szCs w:val="20"/>
                <w:color w:val="auto"/>
              </w:rPr>
            </w:pPr>
            <w:r>
              <w:rPr>
                <w:rFonts w:ascii="Arial" w:cs="Arial" w:eastAsia="Arial" w:hAnsi="Arial"/>
                <w:sz w:val="16"/>
                <w:szCs w:val="16"/>
                <w:color w:val="auto"/>
              </w:rPr>
              <w:t>Current portion of long-term debt</w:t>
            </w:r>
          </w:p>
        </w:tc>
        <w:tc>
          <w:tcPr>
            <w:tcW w:w="15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6,503</w:t>
            </w: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5,714</w:t>
            </w:r>
          </w:p>
        </w:tc>
        <w:tc>
          <w:tcPr>
            <w:tcW w:w="0" w:type="dxa"/>
            <w:vAlign w:val="bottom"/>
          </w:tcPr>
          <w:p>
            <w:pPr>
              <w:spacing w:after="0"/>
              <w:rPr>
                <w:sz w:val="1"/>
                <w:szCs w:val="1"/>
                <w:color w:val="auto"/>
              </w:rPr>
            </w:pPr>
          </w:p>
        </w:tc>
      </w:tr>
      <w:tr>
        <w:trPr>
          <w:trHeight w:val="206"/>
        </w:trPr>
        <w:tc>
          <w:tcPr>
            <w:tcW w:w="5960" w:type="dxa"/>
            <w:vAlign w:val="bottom"/>
          </w:tcPr>
          <w:p>
            <w:pPr>
              <w:spacing w:after="0"/>
              <w:rPr>
                <w:sz w:val="20"/>
                <w:szCs w:val="20"/>
                <w:color w:val="auto"/>
              </w:rPr>
            </w:pPr>
            <w:r>
              <w:rPr>
                <w:rFonts w:ascii="Arial" w:cs="Arial" w:eastAsia="Arial" w:hAnsi="Arial"/>
                <w:sz w:val="16"/>
                <w:szCs w:val="16"/>
                <w:color w:val="auto"/>
              </w:rPr>
              <w:t>Other current liabilities</w:t>
            </w:r>
          </w:p>
        </w:tc>
        <w:tc>
          <w:tcPr>
            <w:tcW w:w="15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6,624</w:t>
            </w: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8,776</w:t>
            </w:r>
          </w:p>
        </w:tc>
        <w:tc>
          <w:tcPr>
            <w:tcW w:w="0" w:type="dxa"/>
            <w:vAlign w:val="bottom"/>
          </w:tcPr>
          <w:p>
            <w:pPr>
              <w:spacing w:after="0"/>
              <w:rPr>
                <w:sz w:val="1"/>
                <w:szCs w:val="1"/>
                <w:color w:val="auto"/>
              </w:rPr>
            </w:pPr>
          </w:p>
        </w:tc>
      </w:tr>
      <w:tr>
        <w:trPr>
          <w:trHeight w:val="201"/>
        </w:trPr>
        <w:tc>
          <w:tcPr>
            <w:tcW w:w="5960" w:type="dxa"/>
            <w:vAlign w:val="bottom"/>
          </w:tcPr>
          <w:p>
            <w:pPr>
              <w:ind w:left="120"/>
              <w:spacing w:after="0"/>
              <w:rPr>
                <w:sz w:val="20"/>
                <w:szCs w:val="20"/>
                <w:color w:val="auto"/>
              </w:rPr>
            </w:pPr>
            <w:r>
              <w:rPr>
                <w:rFonts w:ascii="Arial" w:cs="Arial" w:eastAsia="Arial" w:hAnsi="Arial"/>
                <w:sz w:val="16"/>
                <w:szCs w:val="16"/>
                <w:color w:val="auto"/>
              </w:rPr>
              <w:t>Total current liabilities</w:t>
            </w:r>
          </w:p>
        </w:tc>
        <w:tc>
          <w:tcPr>
            <w:tcW w:w="15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73,041</w:t>
            </w: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83,587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5960" w:type="dxa"/>
            <w:vAlign w:val="bottom"/>
          </w:tcPr>
          <w:p>
            <w:pPr>
              <w:spacing w:after="0"/>
              <w:rPr>
                <w:sz w:val="20"/>
                <w:szCs w:val="20"/>
                <w:color w:val="auto"/>
              </w:rPr>
            </w:pPr>
            <w:r>
              <w:rPr>
                <w:rFonts w:ascii="Arial" w:cs="Arial" w:eastAsia="Arial" w:hAnsi="Arial"/>
                <w:sz w:val="16"/>
                <w:szCs w:val="16"/>
                <w:color w:val="auto"/>
              </w:rPr>
              <w:t>Non-current deferred income tax liabilities</w:t>
            </w:r>
          </w:p>
        </w:tc>
        <w:tc>
          <w:tcPr>
            <w:tcW w:w="1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3,810</w:t>
            </w: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3,954</w:t>
            </w:r>
          </w:p>
        </w:tc>
        <w:tc>
          <w:tcPr>
            <w:tcW w:w="0" w:type="dxa"/>
            <w:vAlign w:val="bottom"/>
          </w:tcPr>
          <w:p>
            <w:pPr>
              <w:spacing w:after="0"/>
              <w:rPr>
                <w:sz w:val="1"/>
                <w:szCs w:val="1"/>
                <w:color w:val="auto"/>
              </w:rPr>
            </w:pPr>
          </w:p>
        </w:tc>
      </w:tr>
      <w:tr>
        <w:trPr>
          <w:trHeight w:val="190"/>
        </w:trPr>
        <w:tc>
          <w:tcPr>
            <w:tcW w:w="5960" w:type="dxa"/>
            <w:vAlign w:val="bottom"/>
          </w:tcPr>
          <w:p>
            <w:pPr>
              <w:spacing w:after="0"/>
              <w:rPr>
                <w:sz w:val="20"/>
                <w:szCs w:val="20"/>
                <w:color w:val="auto"/>
              </w:rPr>
            </w:pPr>
            <w:r>
              <w:rPr>
                <w:rFonts w:ascii="Arial" w:cs="Arial" w:eastAsia="Arial" w:hAnsi="Arial"/>
                <w:sz w:val="16"/>
                <w:szCs w:val="16"/>
                <w:color w:val="auto"/>
              </w:rPr>
              <w:t>Long-term debt, net of current portion</w:t>
            </w:r>
          </w:p>
        </w:tc>
        <w:tc>
          <w:tcPr>
            <w:tcW w:w="15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71,629</w:t>
            </w: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67,643</w:t>
            </w:r>
          </w:p>
        </w:tc>
        <w:tc>
          <w:tcPr>
            <w:tcW w:w="0" w:type="dxa"/>
            <w:vAlign w:val="bottom"/>
          </w:tcPr>
          <w:p>
            <w:pPr>
              <w:spacing w:after="0"/>
              <w:rPr>
                <w:sz w:val="1"/>
                <w:szCs w:val="1"/>
                <w:color w:val="auto"/>
              </w:rPr>
            </w:pPr>
          </w:p>
        </w:tc>
      </w:tr>
      <w:tr>
        <w:trPr>
          <w:trHeight w:val="206"/>
        </w:trPr>
        <w:tc>
          <w:tcPr>
            <w:tcW w:w="59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5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11,305</w:t>
            </w: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15,264</w:t>
            </w:r>
          </w:p>
        </w:tc>
        <w:tc>
          <w:tcPr>
            <w:tcW w:w="0" w:type="dxa"/>
            <w:vAlign w:val="bottom"/>
          </w:tcPr>
          <w:p>
            <w:pPr>
              <w:spacing w:after="0"/>
              <w:rPr>
                <w:sz w:val="1"/>
                <w:szCs w:val="1"/>
                <w:color w:val="auto"/>
              </w:rPr>
            </w:pPr>
          </w:p>
        </w:tc>
      </w:tr>
      <w:tr>
        <w:trPr>
          <w:trHeight w:val="201"/>
        </w:trPr>
        <w:tc>
          <w:tcPr>
            <w:tcW w:w="5960" w:type="dxa"/>
            <w:vAlign w:val="bottom"/>
          </w:tcPr>
          <w:p>
            <w:pPr>
              <w:spacing w:after="0"/>
              <w:rPr>
                <w:sz w:val="20"/>
                <w:szCs w:val="20"/>
                <w:color w:val="auto"/>
              </w:rPr>
            </w:pPr>
            <w:r>
              <w:rPr>
                <w:rFonts w:ascii="Arial" w:cs="Arial" w:eastAsia="Arial" w:hAnsi="Arial"/>
                <w:sz w:val="16"/>
                <w:szCs w:val="16"/>
                <w:color w:val="auto"/>
              </w:rPr>
              <w:t>Total liabilities</w:t>
            </w:r>
          </w:p>
        </w:tc>
        <w:tc>
          <w:tcPr>
            <w:tcW w:w="15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2"/>
              </w:rPr>
              <w:t>159,785</w:t>
            </w: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6"/>
              </w:rPr>
              <w:t>170,448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96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15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99,676</w:t>
            </w:r>
          </w:p>
        </w:tc>
        <w:tc>
          <w:tcPr>
            <w:tcW w:w="20" w:type="dxa"/>
            <w:vAlign w:val="bottom"/>
            <w:tcBorders>
              <w:bottom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596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w w:val="86"/>
              </w:rPr>
              <w:t>259,461</w:t>
            </w:r>
          </w:p>
        </w:tc>
        <w:tc>
          <w:tcPr>
            <w:tcW w:w="1700" w:type="dxa"/>
            <w:vAlign w:val="bottom"/>
          </w:tcPr>
          <w:p>
            <w:pPr>
              <w:spacing w:after="0"/>
              <w:rPr>
                <w:sz w:val="24"/>
                <w:szCs w:val="24"/>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w w:val="86"/>
              </w:rPr>
              <w:t>248,555</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6"/>
        </w:trPr>
        <w:tc>
          <w:tcPr>
            <w:tcW w:w="59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67" w:right="21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NN,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Reconciliation of Non-GAAP to GAAP Financial Measures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2640" w:type="dxa"/>
            <w:vAlign w:val="bottom"/>
            <w:gridSpan w:val="4"/>
          </w:tcPr>
          <w:p>
            <w:pPr>
              <w:jc w:val="center"/>
              <w:ind w:left="321"/>
              <w:spacing w:after="0"/>
              <w:rPr>
                <w:sz w:val="20"/>
                <w:szCs w:val="20"/>
                <w:color w:val="auto"/>
              </w:rPr>
            </w:pPr>
            <w:r>
              <w:rPr>
                <w:rFonts w:ascii="Arial" w:cs="Arial" w:eastAsia="Arial" w:hAnsi="Arial"/>
                <w:sz w:val="16"/>
                <w:szCs w:val="16"/>
                <w:b w:val="1"/>
                <w:bCs w:val="1"/>
                <w:color w:val="auto"/>
                <w:w w:val="90"/>
              </w:rPr>
              <w:t>Three Months Ended</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20" w:type="dxa"/>
            <w:vAlign w:val="bottom"/>
            <w:gridSpan w:val="3"/>
          </w:tcPr>
          <w:p>
            <w:pPr>
              <w:jc w:val="center"/>
              <w:ind w:left="321"/>
              <w:spacing w:after="0"/>
              <w:rPr>
                <w:sz w:val="20"/>
                <w:szCs w:val="20"/>
                <w:color w:val="auto"/>
              </w:rPr>
            </w:pPr>
            <w:r>
              <w:rPr>
                <w:rFonts w:ascii="Arial" w:cs="Arial" w:eastAsia="Arial" w:hAnsi="Arial"/>
                <w:sz w:val="16"/>
                <w:szCs w:val="16"/>
                <w:b w:val="1"/>
                <w:bCs w:val="1"/>
                <w:color w:val="auto"/>
                <w:w w:val="88"/>
              </w:rPr>
              <w:t>Year Ended</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4800" w:type="dxa"/>
            <w:vAlign w:val="bottom"/>
          </w:tcPr>
          <w:p>
            <w:pPr>
              <w:spacing w:after="0"/>
              <w:rPr>
                <w:sz w:val="16"/>
                <w:szCs w:val="16"/>
                <w:color w:val="auto"/>
              </w:rPr>
            </w:pPr>
          </w:p>
        </w:tc>
        <w:tc>
          <w:tcPr>
            <w:tcW w:w="2640" w:type="dxa"/>
            <w:vAlign w:val="bottom"/>
            <w:gridSpan w:val="4"/>
          </w:tcPr>
          <w:p>
            <w:pPr>
              <w:jc w:val="center"/>
              <w:ind w:left="321"/>
              <w:spacing w:after="0"/>
              <w:rPr>
                <w:sz w:val="20"/>
                <w:szCs w:val="20"/>
                <w:color w:val="auto"/>
              </w:rPr>
            </w:pPr>
            <w:r>
              <w:rPr>
                <w:rFonts w:ascii="Arial" w:cs="Arial" w:eastAsia="Arial" w:hAnsi="Arial"/>
                <w:sz w:val="16"/>
                <w:szCs w:val="16"/>
                <w:b w:val="1"/>
                <w:bCs w:val="1"/>
                <w:color w:val="auto"/>
                <w:w w:val="88"/>
              </w:rPr>
              <w:t>December 31, 2011</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20" w:type="dxa"/>
            <w:vAlign w:val="bottom"/>
            <w:gridSpan w:val="3"/>
          </w:tcPr>
          <w:p>
            <w:pPr>
              <w:jc w:val="center"/>
              <w:ind w:left="321"/>
              <w:spacing w:after="0"/>
              <w:rPr>
                <w:sz w:val="20"/>
                <w:szCs w:val="20"/>
                <w:color w:val="auto"/>
              </w:rPr>
            </w:pPr>
            <w:r>
              <w:rPr>
                <w:rFonts w:ascii="Arial" w:cs="Arial" w:eastAsia="Arial" w:hAnsi="Arial"/>
                <w:sz w:val="16"/>
                <w:szCs w:val="16"/>
                <w:b w:val="1"/>
                <w:bCs w:val="1"/>
                <w:color w:val="auto"/>
                <w:w w:val="87"/>
              </w:rPr>
              <w:t>December 31, 2011</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4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Diluted Earnings</w:t>
            </w:r>
          </w:p>
        </w:tc>
        <w:tc>
          <w:tcPr>
            <w:tcW w:w="1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1"/>
              </w:rPr>
              <w:t>Diluted Earnings</w:t>
            </w:r>
          </w:p>
        </w:tc>
      </w:tr>
      <w:tr>
        <w:trPr>
          <w:trHeight w:val="210"/>
        </w:trPr>
        <w:tc>
          <w:tcPr>
            <w:tcW w:w="4800" w:type="dxa"/>
            <w:vAlign w:val="bottom"/>
          </w:tcPr>
          <w:p>
            <w:pPr>
              <w:spacing w:after="0"/>
              <w:rPr>
                <w:sz w:val="18"/>
                <w:szCs w:val="18"/>
                <w:color w:val="auto"/>
              </w:rPr>
            </w:pPr>
          </w:p>
        </w:tc>
        <w:tc>
          <w:tcPr>
            <w:tcW w:w="1700" w:type="dxa"/>
            <w:vAlign w:val="bottom"/>
            <w:gridSpan w:val="3"/>
          </w:tcPr>
          <w:p>
            <w:pPr>
              <w:ind w:left="200"/>
              <w:spacing w:after="0"/>
              <w:rPr>
                <w:sz w:val="20"/>
                <w:szCs w:val="20"/>
                <w:color w:val="auto"/>
              </w:rPr>
            </w:pPr>
            <w:r>
              <w:rPr>
                <w:rFonts w:ascii="Arial" w:cs="Arial" w:eastAsia="Arial" w:hAnsi="Arial"/>
                <w:sz w:val="16"/>
                <w:szCs w:val="16"/>
                <w:b w:val="1"/>
                <w:bCs w:val="1"/>
                <w:color w:val="auto"/>
              </w:rPr>
              <w:t>In Thousands</w:t>
            </w:r>
          </w:p>
        </w:tc>
        <w:tc>
          <w:tcPr>
            <w:tcW w:w="172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88"/>
              </w:rPr>
              <w:t>Per Share</w:t>
            </w:r>
          </w:p>
        </w:tc>
        <w:tc>
          <w:tcPr>
            <w:tcW w:w="188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In Thousands</w:t>
            </w:r>
          </w:p>
        </w:tc>
        <w:tc>
          <w:tcPr>
            <w:tcW w:w="136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0"/>
              </w:rPr>
              <w:t>Per Share</w:t>
            </w:r>
          </w:p>
        </w:tc>
      </w:tr>
      <w:tr>
        <w:trPr>
          <w:trHeight w:val="177"/>
        </w:trPr>
        <w:tc>
          <w:tcPr>
            <w:tcW w:w="4800" w:type="dxa"/>
            <w:vAlign w:val="bottom"/>
          </w:tcPr>
          <w:p>
            <w:pPr>
              <w:spacing w:after="0" w:line="178" w:lineRule="exact"/>
              <w:rPr>
                <w:sz w:val="20"/>
                <w:szCs w:val="20"/>
                <w:color w:val="auto"/>
              </w:rPr>
            </w:pPr>
            <w:r>
              <w:rPr>
                <w:rFonts w:ascii="Arial" w:cs="Arial" w:eastAsia="Arial" w:hAnsi="Arial"/>
                <w:sz w:val="16"/>
                <w:szCs w:val="16"/>
                <w:color w:val="auto"/>
              </w:rPr>
              <w:t>Net Income</w:t>
            </w:r>
          </w:p>
        </w:tc>
        <w:tc>
          <w:tcPr>
            <w:tcW w:w="13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$ 4,901</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0.29</w:t>
            </w:r>
          </w:p>
        </w:tc>
        <w:tc>
          <w:tcPr>
            <w:tcW w:w="380" w:type="dxa"/>
            <w:vAlign w:val="bottom"/>
          </w:tcPr>
          <w:p>
            <w:pPr>
              <w:spacing w:after="0"/>
              <w:rPr>
                <w:sz w:val="15"/>
                <w:szCs w:val="15"/>
                <w:color w:val="auto"/>
              </w:rPr>
            </w:pPr>
          </w:p>
        </w:tc>
        <w:tc>
          <w:tcPr>
            <w:tcW w:w="14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$ 20,937</w:t>
            </w:r>
          </w:p>
        </w:tc>
        <w:tc>
          <w:tcPr>
            <w:tcW w:w="400" w:type="dxa"/>
            <w:vAlign w:val="bottom"/>
          </w:tcPr>
          <w:p>
            <w:pPr>
              <w:spacing w:after="0"/>
              <w:rPr>
                <w:sz w:val="15"/>
                <w:szCs w:val="15"/>
                <w:color w:val="auto"/>
              </w:rPr>
            </w:pPr>
          </w:p>
        </w:tc>
        <w:tc>
          <w:tcPr>
            <w:tcW w:w="9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1.24</w:t>
            </w:r>
          </w:p>
        </w:tc>
        <w:tc>
          <w:tcPr>
            <w:tcW w:w="20" w:type="dxa"/>
            <w:vAlign w:val="bottom"/>
          </w:tcPr>
          <w:p>
            <w:pPr>
              <w:spacing w:after="0"/>
              <w:rPr>
                <w:sz w:val="15"/>
                <w:szCs w:val="15"/>
                <w:color w:val="auto"/>
              </w:rPr>
            </w:pPr>
          </w:p>
        </w:tc>
      </w:tr>
      <w:tr>
        <w:trPr>
          <w:trHeight w:val="190"/>
        </w:trPr>
        <w:tc>
          <w:tcPr>
            <w:tcW w:w="4800" w:type="dxa"/>
            <w:vAlign w:val="bottom"/>
          </w:tcPr>
          <w:p>
            <w:pPr>
              <w:spacing w:after="0"/>
              <w:rPr>
                <w:sz w:val="20"/>
                <w:szCs w:val="20"/>
                <w:color w:val="auto"/>
              </w:rPr>
            </w:pPr>
            <w:r>
              <w:rPr>
                <w:rFonts w:ascii="Arial" w:cs="Arial" w:eastAsia="Arial" w:hAnsi="Arial"/>
                <w:sz w:val="16"/>
                <w:szCs w:val="16"/>
                <w:color w:val="auto"/>
              </w:rPr>
              <w:t>After-tax restructuring, impairment and costs for plant closing</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218</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6"/>
                <w:szCs w:val="16"/>
                <w:color w:val="auto"/>
              </w:rPr>
              <w:t>0.01</w:t>
            </w:r>
          </w:p>
        </w:tc>
        <w:tc>
          <w:tcPr>
            <w:tcW w:w="1880" w:type="dxa"/>
            <w:vAlign w:val="bottom"/>
            <w:gridSpan w:val="2"/>
          </w:tcPr>
          <w:p>
            <w:pPr>
              <w:jc w:val="right"/>
              <w:ind w:right="400"/>
              <w:spacing w:after="0"/>
              <w:rPr>
                <w:sz w:val="20"/>
                <w:szCs w:val="20"/>
                <w:color w:val="auto"/>
              </w:rPr>
            </w:pPr>
            <w:r>
              <w:rPr>
                <w:rFonts w:ascii="Arial" w:cs="Arial" w:eastAsia="Arial" w:hAnsi="Arial"/>
                <w:sz w:val="16"/>
                <w:szCs w:val="16"/>
                <w:color w:val="auto"/>
              </w:rPr>
              <w:t>(621)</w:t>
            </w:r>
          </w:p>
        </w:tc>
        <w:tc>
          <w:tcPr>
            <w:tcW w:w="94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w w:val="90"/>
              </w:rPr>
              <w:t>(0.04)</w:t>
            </w:r>
          </w:p>
        </w:tc>
      </w:tr>
      <w:tr>
        <w:trPr>
          <w:trHeight w:val="190"/>
        </w:trPr>
        <w:tc>
          <w:tcPr>
            <w:tcW w:w="4800" w:type="dxa"/>
            <w:vAlign w:val="bottom"/>
          </w:tcPr>
          <w:p>
            <w:pPr>
              <w:spacing w:after="0"/>
              <w:rPr>
                <w:sz w:val="20"/>
                <w:szCs w:val="20"/>
                <w:color w:val="auto"/>
              </w:rPr>
            </w:pPr>
            <w:r>
              <w:rPr>
                <w:rFonts w:ascii="Arial" w:cs="Arial" w:eastAsia="Arial" w:hAnsi="Arial"/>
                <w:sz w:val="16"/>
                <w:szCs w:val="16"/>
                <w:color w:val="auto"/>
              </w:rPr>
              <w:t>After-tax foreign exchange (gain) loss on  intercompany loans</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(849)</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6"/>
                <w:szCs w:val="16"/>
                <w:color w:val="auto"/>
                <w:w w:val="90"/>
              </w:rPr>
              <w:t>(0.05)</w:t>
            </w:r>
          </w:p>
        </w:tc>
        <w:tc>
          <w:tcPr>
            <w:tcW w:w="1880" w:type="dxa"/>
            <w:vAlign w:val="bottom"/>
            <w:gridSpan w:val="2"/>
          </w:tcPr>
          <w:p>
            <w:pPr>
              <w:jc w:val="right"/>
              <w:ind w:right="400"/>
              <w:spacing w:after="0"/>
              <w:rPr>
                <w:sz w:val="20"/>
                <w:szCs w:val="20"/>
                <w:color w:val="auto"/>
              </w:rPr>
            </w:pPr>
            <w:r>
              <w:rPr>
                <w:rFonts w:ascii="Arial" w:cs="Arial" w:eastAsia="Arial" w:hAnsi="Arial"/>
                <w:sz w:val="16"/>
                <w:szCs w:val="16"/>
                <w:color w:val="auto"/>
              </w:rPr>
              <w:t>(943)</w:t>
            </w:r>
          </w:p>
        </w:tc>
        <w:tc>
          <w:tcPr>
            <w:tcW w:w="94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w w:val="90"/>
              </w:rPr>
              <w:t>(0.06)</w:t>
            </w:r>
          </w:p>
        </w:tc>
      </w:tr>
      <w:tr>
        <w:trPr>
          <w:trHeight w:val="202"/>
        </w:trPr>
        <w:tc>
          <w:tcPr>
            <w:tcW w:w="4800" w:type="dxa"/>
            <w:vAlign w:val="bottom"/>
          </w:tcPr>
          <w:p>
            <w:pPr>
              <w:spacing w:after="0"/>
              <w:rPr>
                <w:sz w:val="20"/>
                <w:szCs w:val="20"/>
                <w:color w:val="auto"/>
              </w:rPr>
            </w:pPr>
            <w:r>
              <w:rPr>
                <w:rFonts w:ascii="Arial" w:cs="Arial" w:eastAsia="Arial" w:hAnsi="Arial"/>
                <w:sz w:val="16"/>
                <w:szCs w:val="16"/>
                <w:color w:val="auto"/>
              </w:rPr>
              <w:t>After-tax other charges</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(770)</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0"/>
              </w:rPr>
              <w:t>(0.04)</w:t>
            </w:r>
          </w:p>
        </w:tc>
        <w:tc>
          <w:tcPr>
            <w:tcW w:w="380" w:type="dxa"/>
            <w:vAlign w:val="bottom"/>
          </w:tcPr>
          <w:p>
            <w:pPr>
              <w:spacing w:after="0"/>
              <w:rPr>
                <w:sz w:val="17"/>
                <w:szCs w:val="17"/>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6"/>
                <w:szCs w:val="16"/>
                <w:color w:val="auto"/>
              </w:rPr>
              <w:t>(770)</w:t>
            </w:r>
          </w:p>
        </w:tc>
        <w:tc>
          <w:tcPr>
            <w:tcW w:w="94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w w:val="90"/>
              </w:rPr>
              <w:t>(0.04)</w:t>
            </w:r>
          </w:p>
        </w:tc>
      </w:tr>
      <w:tr>
        <w:trPr>
          <w:trHeight w:val="24"/>
        </w:trPr>
        <w:tc>
          <w:tcPr>
            <w:tcW w:w="4800" w:type="dxa"/>
            <w:vAlign w:val="bottom"/>
          </w:tcPr>
          <w:p>
            <w:pPr>
              <w:spacing w:after="0"/>
              <w:rPr>
                <w:sz w:val="2"/>
                <w:szCs w:val="2"/>
                <w:color w:val="auto"/>
              </w:rPr>
            </w:pPr>
          </w:p>
        </w:tc>
        <w:tc>
          <w:tcPr>
            <w:tcW w:w="1340" w:type="dxa"/>
            <w:vAlign w:val="bottom"/>
            <w:gridSpan w:val="2"/>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379"/>
        </w:trPr>
        <w:tc>
          <w:tcPr>
            <w:tcW w:w="4800" w:type="dxa"/>
            <w:vAlign w:val="bottom"/>
          </w:tcPr>
          <w:p>
            <w:pPr>
              <w:spacing w:after="0"/>
              <w:rPr>
                <w:sz w:val="20"/>
                <w:szCs w:val="20"/>
                <w:color w:val="auto"/>
              </w:rPr>
            </w:pPr>
            <w:r>
              <w:rPr>
                <w:rFonts w:ascii="Arial" w:cs="Arial" w:eastAsia="Arial" w:hAnsi="Arial"/>
                <w:sz w:val="16"/>
                <w:szCs w:val="16"/>
                <w:color w:val="auto"/>
              </w:rPr>
              <w:t>Net income from normal operations</w:t>
            </w: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$ 3,500</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0.21</w:t>
            </w: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6"/>
                <w:szCs w:val="16"/>
                <w:color w:val="auto"/>
              </w:rPr>
              <w:t>$ 18,603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20" w:type="dxa"/>
            <w:vAlign w:val="bottom"/>
          </w:tcPr>
          <w:p>
            <w:pPr>
              <w:spacing w:after="0"/>
              <w:rPr>
                <w:sz w:val="24"/>
                <w:szCs w:val="24"/>
                <w:color w:val="auto"/>
              </w:rPr>
            </w:pPr>
          </w:p>
        </w:tc>
      </w:tr>
      <w:tr>
        <w:trPr>
          <w:trHeight w:val="20"/>
        </w:trPr>
        <w:tc>
          <w:tcPr>
            <w:tcW w:w="4800" w:type="dxa"/>
            <w:vAlign w:val="bottom"/>
          </w:tcPr>
          <w:p>
            <w:pPr>
              <w:spacing w:after="0" w:line="20" w:lineRule="exact"/>
              <w:rPr>
                <w:sz w:val="1"/>
                <w:szCs w:val="1"/>
                <w:color w:val="auto"/>
              </w:rPr>
            </w:pPr>
          </w:p>
        </w:tc>
        <w:tc>
          <w:tcPr>
            <w:tcW w:w="2640" w:type="dxa"/>
            <w:vAlign w:val="bottom"/>
            <w:tcBorders>
              <w:bottom w:val="single" w:sz="8" w:color="auto"/>
            </w:tcBorders>
            <w:gridSpan w:val="4"/>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gridSpan w:val="3"/>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02"/>
        </w:trPr>
        <w:tc>
          <w:tcPr>
            <w:tcW w:w="4800" w:type="dxa"/>
            <w:vAlign w:val="bottom"/>
          </w:tcPr>
          <w:p>
            <w:pPr>
              <w:spacing w:after="0"/>
              <w:rPr>
                <w:sz w:val="24"/>
                <w:szCs w:val="24"/>
                <w:color w:val="auto"/>
              </w:rPr>
            </w:pPr>
          </w:p>
        </w:tc>
        <w:tc>
          <w:tcPr>
            <w:tcW w:w="2640" w:type="dxa"/>
            <w:vAlign w:val="bottom"/>
            <w:gridSpan w:val="4"/>
          </w:tcPr>
          <w:p>
            <w:pPr>
              <w:jc w:val="center"/>
              <w:ind w:left="321"/>
              <w:spacing w:after="0"/>
              <w:rPr>
                <w:sz w:val="20"/>
                <w:szCs w:val="20"/>
                <w:color w:val="auto"/>
              </w:rPr>
            </w:pPr>
            <w:r>
              <w:rPr>
                <w:rFonts w:ascii="Arial" w:cs="Arial" w:eastAsia="Arial" w:hAnsi="Arial"/>
                <w:sz w:val="16"/>
                <w:szCs w:val="16"/>
                <w:b w:val="1"/>
                <w:bCs w:val="1"/>
                <w:color w:val="auto"/>
                <w:w w:val="90"/>
              </w:rPr>
              <w:t>Three Months Ended</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20" w:type="dxa"/>
            <w:vAlign w:val="bottom"/>
            <w:gridSpan w:val="3"/>
          </w:tcPr>
          <w:p>
            <w:pPr>
              <w:jc w:val="center"/>
              <w:ind w:left="321"/>
              <w:spacing w:after="0"/>
              <w:rPr>
                <w:sz w:val="20"/>
                <w:szCs w:val="20"/>
                <w:color w:val="auto"/>
              </w:rPr>
            </w:pPr>
            <w:r>
              <w:rPr>
                <w:rFonts w:ascii="Arial" w:cs="Arial" w:eastAsia="Arial" w:hAnsi="Arial"/>
                <w:sz w:val="16"/>
                <w:szCs w:val="16"/>
                <w:b w:val="1"/>
                <w:bCs w:val="1"/>
                <w:color w:val="auto"/>
                <w:w w:val="88"/>
              </w:rPr>
              <w:t>Year Ended</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4800" w:type="dxa"/>
            <w:vAlign w:val="bottom"/>
          </w:tcPr>
          <w:p>
            <w:pPr>
              <w:spacing w:after="0"/>
              <w:rPr>
                <w:sz w:val="16"/>
                <w:szCs w:val="16"/>
                <w:color w:val="auto"/>
              </w:rPr>
            </w:pPr>
          </w:p>
        </w:tc>
        <w:tc>
          <w:tcPr>
            <w:tcW w:w="2640" w:type="dxa"/>
            <w:vAlign w:val="bottom"/>
            <w:gridSpan w:val="4"/>
          </w:tcPr>
          <w:p>
            <w:pPr>
              <w:jc w:val="center"/>
              <w:ind w:left="321"/>
              <w:spacing w:after="0"/>
              <w:rPr>
                <w:sz w:val="20"/>
                <w:szCs w:val="20"/>
                <w:color w:val="auto"/>
              </w:rPr>
            </w:pPr>
            <w:r>
              <w:rPr>
                <w:rFonts w:ascii="Arial" w:cs="Arial" w:eastAsia="Arial" w:hAnsi="Arial"/>
                <w:sz w:val="16"/>
                <w:szCs w:val="16"/>
                <w:b w:val="1"/>
                <w:bCs w:val="1"/>
                <w:color w:val="auto"/>
                <w:w w:val="88"/>
              </w:rPr>
              <w:t>December 31, 2010</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20" w:type="dxa"/>
            <w:vAlign w:val="bottom"/>
            <w:gridSpan w:val="3"/>
          </w:tcPr>
          <w:p>
            <w:pPr>
              <w:jc w:val="center"/>
              <w:ind w:left="341"/>
              <w:spacing w:after="0"/>
              <w:rPr>
                <w:sz w:val="20"/>
                <w:szCs w:val="20"/>
                <w:color w:val="auto"/>
              </w:rPr>
            </w:pPr>
            <w:r>
              <w:rPr>
                <w:rFonts w:ascii="Arial" w:cs="Arial" w:eastAsia="Arial" w:hAnsi="Arial"/>
                <w:sz w:val="16"/>
                <w:szCs w:val="16"/>
                <w:b w:val="1"/>
                <w:bCs w:val="1"/>
                <w:color w:val="auto"/>
                <w:w w:val="88"/>
              </w:rPr>
              <w:t>December 31, 2010</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4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Diluted Earnings</w:t>
            </w:r>
          </w:p>
        </w:tc>
        <w:tc>
          <w:tcPr>
            <w:tcW w:w="1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1"/>
              </w:rPr>
              <w:t>Diluted Earnings</w:t>
            </w:r>
          </w:p>
        </w:tc>
      </w:tr>
      <w:tr>
        <w:trPr>
          <w:trHeight w:val="210"/>
        </w:trPr>
        <w:tc>
          <w:tcPr>
            <w:tcW w:w="4800" w:type="dxa"/>
            <w:vAlign w:val="bottom"/>
          </w:tcPr>
          <w:p>
            <w:pPr>
              <w:spacing w:after="0"/>
              <w:rPr>
                <w:sz w:val="18"/>
                <w:szCs w:val="18"/>
                <w:color w:val="auto"/>
              </w:rPr>
            </w:pPr>
          </w:p>
        </w:tc>
        <w:tc>
          <w:tcPr>
            <w:tcW w:w="1700" w:type="dxa"/>
            <w:vAlign w:val="bottom"/>
            <w:gridSpan w:val="3"/>
          </w:tcPr>
          <w:p>
            <w:pPr>
              <w:ind w:left="200"/>
              <w:spacing w:after="0"/>
              <w:rPr>
                <w:sz w:val="20"/>
                <w:szCs w:val="20"/>
                <w:color w:val="auto"/>
              </w:rPr>
            </w:pPr>
            <w:r>
              <w:rPr>
                <w:rFonts w:ascii="Arial" w:cs="Arial" w:eastAsia="Arial" w:hAnsi="Arial"/>
                <w:sz w:val="16"/>
                <w:szCs w:val="16"/>
                <w:b w:val="1"/>
                <w:bCs w:val="1"/>
                <w:color w:val="auto"/>
              </w:rPr>
              <w:t>In Thousands</w:t>
            </w:r>
          </w:p>
        </w:tc>
        <w:tc>
          <w:tcPr>
            <w:tcW w:w="172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88"/>
              </w:rPr>
              <w:t>Per Share</w:t>
            </w:r>
          </w:p>
        </w:tc>
        <w:tc>
          <w:tcPr>
            <w:tcW w:w="188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In Thousands</w:t>
            </w:r>
          </w:p>
        </w:tc>
        <w:tc>
          <w:tcPr>
            <w:tcW w:w="136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0"/>
              </w:rPr>
              <w:t>Per Share</w:t>
            </w:r>
          </w:p>
        </w:tc>
      </w:tr>
      <w:tr>
        <w:trPr>
          <w:trHeight w:val="177"/>
        </w:trPr>
        <w:tc>
          <w:tcPr>
            <w:tcW w:w="4800" w:type="dxa"/>
            <w:vAlign w:val="bottom"/>
          </w:tcPr>
          <w:p>
            <w:pPr>
              <w:spacing w:after="0" w:line="178" w:lineRule="exact"/>
              <w:rPr>
                <w:sz w:val="20"/>
                <w:szCs w:val="20"/>
                <w:color w:val="auto"/>
              </w:rPr>
            </w:pPr>
            <w:r>
              <w:rPr>
                <w:rFonts w:ascii="Arial" w:cs="Arial" w:eastAsia="Arial" w:hAnsi="Arial"/>
                <w:sz w:val="16"/>
                <w:szCs w:val="16"/>
                <w:color w:val="auto"/>
              </w:rPr>
              <w:t>Net Income</w:t>
            </w:r>
          </w:p>
        </w:tc>
        <w:tc>
          <w:tcPr>
            <w:tcW w:w="13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$ 2,076</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Borders>
              <w:top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$ 0.12</w:t>
            </w:r>
          </w:p>
        </w:tc>
        <w:tc>
          <w:tcPr>
            <w:tcW w:w="380" w:type="dxa"/>
            <w:vAlign w:val="bottom"/>
          </w:tcPr>
          <w:p>
            <w:pPr>
              <w:spacing w:after="0"/>
              <w:rPr>
                <w:sz w:val="15"/>
                <w:szCs w:val="15"/>
                <w:color w:val="auto"/>
              </w:rPr>
            </w:pPr>
          </w:p>
        </w:tc>
        <w:tc>
          <w:tcPr>
            <w:tcW w:w="148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$ 6,416</w:t>
            </w:r>
          </w:p>
        </w:tc>
        <w:tc>
          <w:tcPr>
            <w:tcW w:w="400" w:type="dxa"/>
            <w:vAlign w:val="bottom"/>
          </w:tcPr>
          <w:p>
            <w:pPr>
              <w:spacing w:after="0"/>
              <w:rPr>
                <w:sz w:val="15"/>
                <w:szCs w:val="15"/>
                <w:color w:val="auto"/>
              </w:rPr>
            </w:pPr>
          </w:p>
        </w:tc>
        <w:tc>
          <w:tcPr>
            <w:tcW w:w="9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color w:val="auto"/>
              </w:rPr>
              <w:t>0.39</w:t>
            </w:r>
          </w:p>
        </w:tc>
        <w:tc>
          <w:tcPr>
            <w:tcW w:w="20" w:type="dxa"/>
            <w:vAlign w:val="bottom"/>
          </w:tcPr>
          <w:p>
            <w:pPr>
              <w:spacing w:after="0"/>
              <w:rPr>
                <w:sz w:val="15"/>
                <w:szCs w:val="15"/>
                <w:color w:val="auto"/>
              </w:rPr>
            </w:pPr>
          </w:p>
        </w:tc>
      </w:tr>
      <w:tr>
        <w:trPr>
          <w:trHeight w:val="190"/>
        </w:trPr>
        <w:tc>
          <w:tcPr>
            <w:tcW w:w="4800" w:type="dxa"/>
            <w:vAlign w:val="bottom"/>
          </w:tcPr>
          <w:p>
            <w:pPr>
              <w:spacing w:after="0"/>
              <w:rPr>
                <w:sz w:val="20"/>
                <w:szCs w:val="20"/>
                <w:color w:val="auto"/>
              </w:rPr>
            </w:pPr>
            <w:r>
              <w:rPr>
                <w:rFonts w:ascii="Arial" w:cs="Arial" w:eastAsia="Arial" w:hAnsi="Arial"/>
                <w:sz w:val="16"/>
                <w:szCs w:val="16"/>
                <w:color w:val="auto"/>
              </w:rPr>
              <w:t>After-tax restructuring, impairment and costs for plant closing</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1,127</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6"/>
                <w:szCs w:val="16"/>
                <w:color w:val="auto"/>
              </w:rPr>
              <w:t>0.07</w:t>
            </w:r>
          </w:p>
        </w:tc>
        <w:tc>
          <w:tcPr>
            <w:tcW w:w="1880" w:type="dxa"/>
            <w:vAlign w:val="bottom"/>
            <w:gridSpan w:val="2"/>
          </w:tcPr>
          <w:p>
            <w:pPr>
              <w:jc w:val="right"/>
              <w:ind w:right="400"/>
              <w:spacing w:after="0"/>
              <w:rPr>
                <w:sz w:val="20"/>
                <w:szCs w:val="20"/>
                <w:color w:val="auto"/>
              </w:rPr>
            </w:pPr>
            <w:r>
              <w:rPr>
                <w:rFonts w:ascii="Arial" w:cs="Arial" w:eastAsia="Arial" w:hAnsi="Arial"/>
                <w:sz w:val="16"/>
                <w:szCs w:val="16"/>
                <w:color w:val="auto"/>
              </w:rPr>
              <w:t>5,778</w:t>
            </w:r>
          </w:p>
        </w:tc>
        <w:tc>
          <w:tcPr>
            <w:tcW w:w="94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0.35</w:t>
            </w:r>
          </w:p>
        </w:tc>
      </w:tr>
      <w:tr>
        <w:trPr>
          <w:trHeight w:val="202"/>
        </w:trPr>
        <w:tc>
          <w:tcPr>
            <w:tcW w:w="4800" w:type="dxa"/>
            <w:vAlign w:val="bottom"/>
          </w:tcPr>
          <w:p>
            <w:pPr>
              <w:spacing w:after="0"/>
              <w:rPr>
                <w:sz w:val="20"/>
                <w:szCs w:val="20"/>
                <w:color w:val="auto"/>
              </w:rPr>
            </w:pPr>
            <w:r>
              <w:rPr>
                <w:rFonts w:ascii="Arial" w:cs="Arial" w:eastAsia="Arial" w:hAnsi="Arial"/>
                <w:sz w:val="16"/>
                <w:szCs w:val="16"/>
                <w:color w:val="auto"/>
              </w:rPr>
              <w:t>After-tax foreign exchange gain on  intercompany loans</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(138)</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0"/>
              </w:rPr>
              <w:t>(0.01)</w:t>
            </w:r>
          </w:p>
        </w:tc>
        <w:tc>
          <w:tcPr>
            <w:tcW w:w="380" w:type="dxa"/>
            <w:vAlign w:val="bottom"/>
          </w:tcPr>
          <w:p>
            <w:pPr>
              <w:spacing w:after="0"/>
              <w:rPr>
                <w:sz w:val="17"/>
                <w:szCs w:val="17"/>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6"/>
                <w:szCs w:val="16"/>
                <w:color w:val="auto"/>
              </w:rPr>
              <w:t>(1,101)</w:t>
            </w:r>
          </w:p>
        </w:tc>
        <w:tc>
          <w:tcPr>
            <w:tcW w:w="94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w w:val="90"/>
              </w:rPr>
              <w:t>(0.07)</w:t>
            </w:r>
          </w:p>
        </w:tc>
      </w:tr>
      <w:tr>
        <w:trPr>
          <w:trHeight w:val="24"/>
        </w:trPr>
        <w:tc>
          <w:tcPr>
            <w:tcW w:w="4800" w:type="dxa"/>
            <w:vAlign w:val="bottom"/>
          </w:tcPr>
          <w:p>
            <w:pPr>
              <w:spacing w:after="0"/>
              <w:rPr>
                <w:sz w:val="2"/>
                <w:szCs w:val="2"/>
                <w:color w:val="auto"/>
              </w:rPr>
            </w:pPr>
          </w:p>
        </w:tc>
        <w:tc>
          <w:tcPr>
            <w:tcW w:w="1340" w:type="dxa"/>
            <w:vAlign w:val="bottom"/>
            <w:gridSpan w:val="2"/>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gridSpan w:val="2"/>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379"/>
        </w:trPr>
        <w:tc>
          <w:tcPr>
            <w:tcW w:w="4800" w:type="dxa"/>
            <w:vAlign w:val="bottom"/>
          </w:tcPr>
          <w:p>
            <w:pPr>
              <w:spacing w:after="0"/>
              <w:rPr>
                <w:sz w:val="20"/>
                <w:szCs w:val="20"/>
                <w:color w:val="auto"/>
              </w:rPr>
            </w:pPr>
            <w:r>
              <w:rPr>
                <w:rFonts w:ascii="Arial" w:cs="Arial" w:eastAsia="Arial" w:hAnsi="Arial"/>
                <w:sz w:val="16"/>
                <w:szCs w:val="16"/>
                <w:color w:val="auto"/>
              </w:rPr>
              <w:t>Net income from normal operations</w:t>
            </w: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$ 3,065</w:t>
            </w: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$ 0.18</w:t>
            </w: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6"/>
                <w:szCs w:val="16"/>
                <w:color w:val="auto"/>
              </w:rPr>
              <w:t>$ 11,093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0.67</w:t>
            </w:r>
          </w:p>
        </w:tc>
        <w:tc>
          <w:tcPr>
            <w:tcW w:w="20" w:type="dxa"/>
            <w:vAlign w:val="bottom"/>
          </w:tcPr>
          <w:p>
            <w:pPr>
              <w:spacing w:after="0"/>
              <w:rPr>
                <w:sz w:val="24"/>
                <w:szCs w:val="24"/>
                <w:color w:val="auto"/>
              </w:rPr>
            </w:pPr>
          </w:p>
        </w:tc>
      </w:tr>
      <w:tr>
        <w:trPr>
          <w:trHeight w:val="20"/>
        </w:trPr>
        <w:tc>
          <w:tcPr>
            <w:tcW w:w="48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Company’s management evaluates operating performance excluding unusual and/or nonrecurring items. The Company believes excluding such items provides a more effective and comparable measure of performance and a clearer view of underlying trends. Since net income excluding these items is not a measure calculated in accordance with GAAP, this should not be considered as a substitute for other GAAP measures, including net income, as an indicator of performance. Accordingly, net income/loss excluding the above items is reconciled to net income/loss on a GAAP basis.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sectPr>
      <w:pgSz w:w="11900" w:h="16838" w:orient="portrait"/>
      <w:cols w:equalWidth="0" w:num="1">
        <w:col w:w="11440"/>
      </w:cols>
      <w:pgMar w:left="240" w:top="89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2019-12-09T11:52:12Z</dcterms:created>
  <dcterms:modified xsi:type="dcterms:W3CDTF">2019-12-09T11:52:12Z</dcterms:modified>
</cp:coreProperties>
</file>