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November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421005</wp:posOffset>
            </wp:positionV>
            <wp:extent cx="623570" cy="63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570" cy="631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43" w:lineRule="exact"/>
        <w:rPr>
          <w:sz w:val="24"/>
          <w:szCs w:val="24"/>
          <w:color w:val="auto"/>
        </w:rPr>
      </w:pPr>
    </w:p>
    <w:p>
      <w:pPr>
        <w:sectPr>
          <w:pgSz w:w="11900" w:h="16838" w:orient="portrait"/>
          <w:cols w:equalWidth="0" w:num="3">
            <w:col w:w="4820" w:space="720"/>
            <w:col w:w="2920" w:space="720"/>
            <w:col w:w="2080"/>
          </w:cols>
          <w:pgMar w:left="240" w:top="360" w:right="3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720" w:space="720"/>
            <w:col w:w="2900" w:space="720"/>
            <w:col w:w="2200"/>
          </w:cols>
          <w:pgMar w:left="240" w:top="360" w:right="399" w:bottom="1440" w:gutter="0" w:footer="0" w:header="0"/>
          <w:type w:val="continuous"/>
        </w:sectPr>
      </w:pPr>
    </w:p>
    <w:p>
      <w:pPr>
        <w:spacing w:after="0" w:line="20" w:lineRule="exact"/>
        <w:rPr>
          <w:sz w:val="24"/>
          <w:szCs w:val="24"/>
          <w:color w:val="auto"/>
        </w:rPr>
      </w:pPr>
    </w:p>
    <w:p>
      <w:pPr>
        <w:ind w:left="1040"/>
        <w:spacing w:after="0"/>
        <w:rPr>
          <w:sz w:val="20"/>
          <w:szCs w:val="20"/>
          <w:color w:val="auto"/>
        </w:rPr>
      </w:pPr>
      <w:r>
        <w:rPr>
          <w:rFonts w:ascii="Arial" w:cs="Arial" w:eastAsia="Arial" w:hAnsi="Arial"/>
          <w:sz w:val="15"/>
          <w:szCs w:val="15"/>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55" w:lineRule="exact"/>
        <w:rPr>
          <w:sz w:val="24"/>
          <w:szCs w:val="24"/>
          <w:color w:val="auto"/>
        </w:rPr>
      </w:pPr>
    </w:p>
    <w:p>
      <w:pPr>
        <w:sectPr>
          <w:pgSz w:w="11900" w:h="16838" w:orient="portrait"/>
          <w:cols w:equalWidth="0" w:num="2">
            <w:col w:w="7720" w:space="720"/>
            <w:col w:w="2820"/>
          </w:cols>
          <w:pgMar w:left="240" w:top="360" w:right="39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8" w:lineRule="exact"/>
        <w:rPr>
          <w:sz w:val="24"/>
          <w:szCs w:val="24"/>
          <w:color w:val="auto"/>
        </w:rPr>
      </w:pPr>
    </w:p>
    <w:p>
      <w:pPr>
        <w:sectPr>
          <w:pgSz w:w="11900" w:h="16838" w:orient="portrait"/>
          <w:cols w:equalWidth="0" w:num="2">
            <w:col w:w="7620" w:space="720"/>
            <w:col w:w="2920"/>
          </w:cols>
          <w:pgMar w:left="240" w:top="360" w:right="3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Attached as Exhibit 99.1 to this Current Report on Form 8-K is a PowerPoint presentation, which provides an update to investors. The attached presentation updates NN, Inc.’s previously provided investor presentation.</w:t>
      </w:r>
    </w:p>
    <w:p>
      <w:pPr>
        <w:spacing w:after="0" w:line="158" w:lineRule="exact"/>
        <w:rPr>
          <w:sz w:val="20"/>
          <w:szCs w:val="20"/>
          <w:color w:val="auto"/>
        </w:rPr>
      </w:pPr>
    </w:p>
    <w:p>
      <w:pPr>
        <w:ind w:right="80" w:firstLine="457"/>
        <w:spacing w:after="0" w:line="297" w:lineRule="auto"/>
        <w:rPr>
          <w:sz w:val="20"/>
          <w:szCs w:val="20"/>
          <w:color w:val="auto"/>
        </w:rPr>
      </w:pPr>
      <w:r>
        <w:rPr>
          <w:rFonts w:ascii="Arial" w:cs="Arial" w:eastAsia="Arial" w:hAnsi="Arial"/>
          <w:sz w:val="16"/>
          <w:szCs w:val="16"/>
          <w:color w:val="auto"/>
        </w:rPr>
        <w:t>The information presented in Item 7.01 to this Current Report on Form 8-K is being furnished in accordance with Rule 101(e)(1) under Regulation FD and shall not be deemed to be “filed” for purposes of Section 18 of the Securities Exchange Act of 1934, as amended, and will not be incorporated by reference into any registration statement filed under the Securities Act of 1933, as amended, unless specifically identified therein as being incorporated by reference.</w:t>
      </w:r>
    </w:p>
    <w:p>
      <w:pPr>
        <w:spacing w:after="0" w:line="29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6"/>
          <w:szCs w:val="16"/>
          <w:color w:val="auto"/>
        </w:rPr>
        <w:t>Investor Presentation of NN, Inc.</w:t>
      </w:r>
    </w:p>
    <w:p>
      <w:pPr>
        <w:sectPr>
          <w:pgSz w:w="11900" w:h="16838" w:orient="portrait"/>
          <w:cols w:equalWidth="0" w:num="1">
            <w:col w:w="11360"/>
          </w:cols>
          <w:pgMar w:left="240" w:top="265" w:right="299" w:bottom="1440" w:gutter="0" w:footer="0" w:header="0"/>
        </w:sectPr>
      </w:pPr>
    </w:p>
    <w:bookmarkStart w:id="2" w:name="page3"/>
    <w:bookmarkEnd w:id="2"/>
    <w:p>
      <w:pPr>
        <w:ind w:left="5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18, 2014</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William C. Kelly, Jr.</w:t>
      </w:r>
    </w:p>
    <w:p>
      <w:pPr>
        <w:spacing w:after="0" w:line="26"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Title:</w:t>
        <w:tab/>
        <w:t>Vice President and</w:t>
      </w:r>
    </w:p>
    <w:p>
      <w:pPr>
        <w:spacing w:after="0" w:line="14"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Chief Administrative Officer</w:t>
      </w:r>
    </w:p>
    <w:p>
      <w:pPr>
        <w:sectPr>
          <w:pgSz w:w="11900" w:h="16838" w:orient="portrait"/>
          <w:cols w:equalWidth="0" w:num="1">
            <w:col w:w="10860"/>
          </w:cols>
          <w:pgMar w:left="240" w:top="265" w:right="79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6"/>
          <w:szCs w:val="16"/>
          <w:color w:val="auto"/>
        </w:rPr>
        <w:t>Investor Presentation of NN, Inc.</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4116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FFFFFF"/>
        </w:rPr>
        <w:t>Exhibit 99.1</w:t>
      </w:r>
    </w:p>
    <w:p>
      <w:pPr>
        <w:spacing w:after="0" w:line="204" w:lineRule="auto"/>
        <w:rPr>
          <w:sz w:val="20"/>
          <w:szCs w:val="20"/>
          <w:color w:val="auto"/>
        </w:rPr>
      </w:pPr>
      <w:r>
        <w:rPr>
          <w:rFonts w:ascii="Arial" w:cs="Arial" w:eastAsia="Arial" w:hAnsi="Arial"/>
          <w:sz w:val="4"/>
          <w:szCs w:val="4"/>
          <w:color w:val="FFFFFF"/>
        </w:rPr>
        <w:t>Investor Presentation</w:t>
      </w:r>
    </w:p>
    <w:p>
      <w:pPr>
        <w:spacing w:after="0"/>
        <w:rPr>
          <w:sz w:val="20"/>
          <w:szCs w:val="20"/>
          <w:color w:val="auto"/>
        </w:rPr>
      </w:pPr>
      <w:r>
        <w:rPr>
          <w:rFonts w:ascii="Arial" w:cs="Arial" w:eastAsia="Arial" w:hAnsi="Arial"/>
          <w:sz w:val="13"/>
          <w:szCs w:val="13"/>
          <w:color w:val="FFFFFF"/>
        </w:rPr>
        <w:t>November 19-20, 2014</w:t>
      </w:r>
    </w:p>
    <w:p>
      <w:pPr>
        <w:sectPr>
          <w:pgSz w:w="11900" w:h="16838" w:orient="portrait"/>
          <w:cols w:equalWidth="0" w:num="1">
            <w:col w:w="11520"/>
          </w:cols>
          <w:pgMar w:left="240" w:top="127" w:right="1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20"/>
                <w:szCs w:val="20"/>
                <w:color w:val="auto"/>
              </w:rPr>
            </w:pPr>
            <w:r>
              <w:rPr>
                <w:rFonts w:ascii="Arial" w:cs="Arial" w:eastAsia="Arial" w:hAnsi="Arial"/>
                <w:sz w:val="13"/>
                <w:szCs w:val="13"/>
                <w:color w:val="FFFFFF"/>
              </w:rPr>
              <w:t>Forward Looking Statement</w:t>
            </w:r>
          </w:p>
        </w:tc>
        <w:tc>
          <w:tcPr>
            <w:tcW w:w="6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Except for specific historical informatio , many of the matters discuss d in this presentation may express or imply projections of revenues or expenditures, statements of plans and objectives or future operations</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statements of future economic performance. These, and similar statements, are forward-looking statements concerning matters that involve risks, uncertainties and other factors which may cause the actual performance</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of NN, Inc. and its subsidiaries to differ materially from those expressed or implied by this discussion. All forward-looking information is provided by the Company pursuant to the safe harbor established under the</w:t>
            </w: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Private Securities Litigation Reform Act of 1995 and should be evaluated in the context of these factors. Forward-looking statements generally can   identified by the use of forward-looking</w:t>
            </w:r>
          </w:p>
        </w:tc>
        <w:tc>
          <w:tcPr>
            <w:tcW w:w="1020" w:type="dxa"/>
            <w:vAlign w:val="bottom"/>
          </w:tcPr>
          <w:p>
            <w:pPr>
              <w:jc w:val="right"/>
              <w:ind w:right="278"/>
              <w:spacing w:after="0" w:line="40" w:lineRule="exact"/>
              <w:rPr>
                <w:sz w:val="20"/>
                <w:szCs w:val="20"/>
                <w:color w:val="auto"/>
              </w:rPr>
            </w:pPr>
            <w:r>
              <w:rPr>
                <w:rFonts w:ascii="Arial" w:cs="Arial" w:eastAsia="Arial" w:hAnsi="Arial"/>
                <w:sz w:val="4"/>
                <w:szCs w:val="4"/>
                <w:color w:val="FFFFFF"/>
              </w:rPr>
              <w:t>such as</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 ssumptions”, “target”, “guidance”, “outlook”, “plans”, “projection”, “may”, “will”, “would”, “expect”, “intend”, “estimate”, “anticipate”, “believe”, “potential” or “continue” (or the negativeterminologyorothderivatives of</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each of these terms) or similar terminology. Factors which could materially affect actual results include, but are not limited to: general economic conditions and economic conditions in the industrial sector, inventory</w:t>
            </w:r>
          </w:p>
        </w:tc>
      </w:tr>
      <w:tr>
        <w:trPr>
          <w:trHeight w:val="39"/>
        </w:trPr>
        <w:tc>
          <w:tcPr>
            <w:tcW w:w="9300" w:type="dxa"/>
            <w:vAlign w:val="bottom"/>
            <w:gridSpan w:val="3"/>
          </w:tcPr>
          <w:p>
            <w:pPr>
              <w:spacing w:after="0" w:line="40" w:lineRule="exact"/>
              <w:rPr>
                <w:sz w:val="20"/>
                <w:szCs w:val="20"/>
                <w:color w:val="auto"/>
              </w:rPr>
            </w:pPr>
            <w:r>
              <w:rPr>
                <w:rFonts w:ascii="Arial" w:cs="Arial" w:eastAsia="Arial" w:hAnsi="Arial"/>
                <w:sz w:val="4"/>
                <w:szCs w:val="4"/>
                <w:color w:val="FFFFFF"/>
              </w:rPr>
              <w:t>levels, regulatory compliance costs and the Company’s ability to manage these costs, start-up costs for new operations, debt reduction, competitive influences, risks that current</w:t>
            </w:r>
          </w:p>
        </w:tc>
        <w:tc>
          <w:tcPr>
            <w:tcW w:w="2080" w:type="dxa"/>
            <w:vAlign w:val="bottom"/>
            <w:gridSpan w:val="2"/>
          </w:tcPr>
          <w:p>
            <w:pPr>
              <w:jc w:val="right"/>
              <w:ind w:right="138"/>
              <w:spacing w:after="0" w:line="40" w:lineRule="exact"/>
              <w:rPr>
                <w:sz w:val="20"/>
                <w:szCs w:val="20"/>
                <w:color w:val="auto"/>
              </w:rPr>
            </w:pPr>
            <w:r>
              <w:rPr>
                <w:rFonts w:ascii="Arial" w:cs="Arial" w:eastAsia="Arial" w:hAnsi="Arial"/>
                <w:sz w:val="4"/>
                <w:szCs w:val="4"/>
                <w:color w:val="FFFFFF"/>
              </w:rPr>
              <w:t>will commence or increase</w:t>
            </w:r>
          </w:p>
        </w:tc>
      </w:tr>
      <w:tr>
        <w:trPr>
          <w:trHeight w:val="39"/>
        </w:trPr>
        <w:tc>
          <w:tcPr>
            <w:tcW w:w="10360" w:type="dxa"/>
            <w:vAlign w:val="bottom"/>
            <w:gridSpan w:val="4"/>
          </w:tcPr>
          <w:p>
            <w:pPr>
              <w:ind w:left="60"/>
              <w:spacing w:after="0" w:line="40" w:lineRule="exact"/>
              <w:rPr>
                <w:sz w:val="20"/>
                <w:szCs w:val="20"/>
                <w:color w:val="auto"/>
              </w:rPr>
            </w:pPr>
            <w:r>
              <w:rPr>
                <w:rFonts w:ascii="Arial" w:cs="Arial" w:eastAsia="Arial" w:hAnsi="Arial"/>
                <w:sz w:val="4"/>
                <w:szCs w:val="4"/>
                <w:color w:val="FFFFFF"/>
              </w:rPr>
              <w:t>aptive production, risks of capacity underutilization, quality issues, availability and price of raw materials, currency and other risks associated with international trade, the Company’customersdependence</w:t>
            </w:r>
          </w:p>
        </w:tc>
        <w:tc>
          <w:tcPr>
            <w:tcW w:w="1020" w:type="dxa"/>
            <w:vAlign w:val="bottom"/>
          </w:tcPr>
          <w:p>
            <w:pPr>
              <w:jc w:val="right"/>
              <w:ind w:right="218"/>
              <w:spacing w:after="0" w:line="40" w:lineRule="exact"/>
              <w:rPr>
                <w:sz w:val="20"/>
                <w:szCs w:val="20"/>
                <w:color w:val="auto"/>
              </w:rPr>
            </w:pPr>
            <w:r>
              <w:rPr>
                <w:rFonts w:ascii="Arial" w:cs="Arial" w:eastAsia="Arial" w:hAnsi="Arial"/>
                <w:sz w:val="4"/>
                <w:szCs w:val="4"/>
                <w:color w:val="FFFFFF"/>
              </w:rPr>
              <w:t>certain major</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customers, and the successful implementation of the global growth plan including development of new products. Similarly, statements made herein and elsewhere regarding pending or completed acquisitions are also</w:t>
            </w:r>
          </w:p>
        </w:tc>
      </w:tr>
      <w:tr>
        <w:trPr>
          <w:trHeight w:val="39"/>
        </w:trPr>
        <w:tc>
          <w:tcPr>
            <w:tcW w:w="9300" w:type="dxa"/>
            <w:vAlign w:val="bottom"/>
            <w:gridSpan w:val="3"/>
          </w:tcPr>
          <w:p>
            <w:pPr>
              <w:spacing w:after="0" w:line="40" w:lineRule="exact"/>
              <w:rPr>
                <w:sz w:val="20"/>
                <w:szCs w:val="20"/>
                <w:color w:val="auto"/>
              </w:rPr>
            </w:pPr>
            <w:r>
              <w:rPr>
                <w:rFonts w:ascii="Arial" w:cs="Arial" w:eastAsia="Arial" w:hAnsi="Arial"/>
                <w:sz w:val="4"/>
                <w:szCs w:val="4"/>
                <w:color w:val="FFFFFF"/>
              </w:rPr>
              <w:t>forward-looking statements, including tatements relating to the anticipated closing date of an acquisition, the Company’s ability to obtain required regulatory approvals or</w:t>
            </w:r>
          </w:p>
        </w:tc>
        <w:tc>
          <w:tcPr>
            <w:tcW w:w="2080" w:type="dxa"/>
            <w:vAlign w:val="bottom"/>
            <w:gridSpan w:val="2"/>
          </w:tcPr>
          <w:p>
            <w:pPr>
              <w:jc w:val="right"/>
              <w:ind w:right="198"/>
              <w:spacing w:after="0" w:line="40" w:lineRule="exact"/>
              <w:rPr>
                <w:sz w:val="20"/>
                <w:szCs w:val="20"/>
                <w:color w:val="auto"/>
              </w:rPr>
            </w:pPr>
            <w:r>
              <w:rPr>
                <w:rFonts w:ascii="Arial" w:cs="Arial" w:eastAsia="Arial" w:hAnsi="Arial"/>
                <w:sz w:val="4"/>
                <w:szCs w:val="4"/>
                <w:color w:val="FFFFFF"/>
              </w:rPr>
              <w:t>closing conditions, the costs of an</w:t>
            </w:r>
          </w:p>
        </w:tc>
      </w:tr>
      <w:tr>
        <w:trPr>
          <w:trHeight w:val="39"/>
        </w:trPr>
        <w:tc>
          <w:tcPr>
            <w:tcW w:w="11380" w:type="dxa"/>
            <w:vAlign w:val="bottom"/>
            <w:gridSpan w:val="5"/>
          </w:tcPr>
          <w:p>
            <w:pPr>
              <w:ind w:left="60"/>
              <w:spacing w:after="0" w:line="40" w:lineRule="exact"/>
              <w:rPr>
                <w:sz w:val="20"/>
                <w:szCs w:val="20"/>
                <w:color w:val="auto"/>
              </w:rPr>
            </w:pPr>
            <w:r>
              <w:rPr>
                <w:rFonts w:ascii="Arial" w:cs="Arial" w:eastAsia="Arial" w:hAnsi="Arial"/>
                <w:sz w:val="4"/>
                <w:szCs w:val="4"/>
                <w:color w:val="FFFFFF"/>
              </w:rPr>
              <w:t>cquisition and the Company’ source(s) of financing, the future performance and prospects of an acquired business, the expected benefits of an acquisition on the Company’satisfyfuture business and operations and the</w:t>
            </w:r>
          </w:p>
        </w:tc>
      </w:tr>
      <w:tr>
        <w:trPr>
          <w:trHeight w:val="39"/>
        </w:trPr>
        <w:tc>
          <w:tcPr>
            <w:tcW w:w="4100" w:type="dxa"/>
            <w:vAlign w:val="bottom"/>
            <w:gridSpan w:val="2"/>
          </w:tcPr>
          <w:p>
            <w:pPr>
              <w:spacing w:after="0" w:line="40" w:lineRule="exact"/>
              <w:rPr>
                <w:sz w:val="20"/>
                <w:szCs w:val="20"/>
                <w:color w:val="auto"/>
              </w:rPr>
            </w:pPr>
            <w:r>
              <w:rPr>
                <w:rFonts w:ascii="Arial" w:cs="Arial" w:eastAsia="Arial" w:hAnsi="Arial"/>
                <w:sz w:val="4"/>
                <w:szCs w:val="4"/>
                <w:color w:val="FFFFFF"/>
              </w:rPr>
              <w:t>ability of the Company to successfully integrate recently acquired businesses.</w:t>
            </w:r>
          </w:p>
        </w:tc>
        <w:tc>
          <w:tcPr>
            <w:tcW w:w="5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9"/>
        </w:trPr>
        <w:tc>
          <w:tcPr>
            <w:tcW w:w="3440" w:type="dxa"/>
            <w:vAlign w:val="bottom"/>
          </w:tcPr>
          <w:p>
            <w:pPr>
              <w:spacing w:after="0" w:line="40" w:lineRule="exact"/>
              <w:rPr>
                <w:sz w:val="20"/>
                <w:szCs w:val="20"/>
                <w:color w:val="auto"/>
              </w:rPr>
            </w:pPr>
            <w:r>
              <w:rPr>
                <w:rFonts w:ascii="Arial" w:cs="Arial" w:eastAsia="Arial" w:hAnsi="Arial"/>
                <w:sz w:val="4"/>
                <w:szCs w:val="4"/>
                <w:color w:val="FFFFFF"/>
              </w:rPr>
              <w:t>For additional information concerning such risk factors and</w:t>
            </w:r>
          </w:p>
        </w:tc>
        <w:tc>
          <w:tcPr>
            <w:tcW w:w="7940" w:type="dxa"/>
            <w:vAlign w:val="bottom"/>
            <w:gridSpan w:val="4"/>
          </w:tcPr>
          <w:p>
            <w:pPr>
              <w:jc w:val="right"/>
              <w:ind w:right="178"/>
              <w:spacing w:after="0" w:line="40" w:lineRule="exact"/>
              <w:rPr>
                <w:sz w:val="20"/>
                <w:szCs w:val="20"/>
                <w:color w:val="auto"/>
              </w:rPr>
            </w:pPr>
            <w:r>
              <w:rPr>
                <w:rFonts w:ascii="Arial" w:cs="Arial" w:eastAsia="Arial" w:hAnsi="Arial"/>
                <w:sz w:val="4"/>
                <w:szCs w:val="4"/>
                <w:color w:val="FFFFFF"/>
              </w:rPr>
              <w:t>statements, please see the section titled “Risk Factors” in the Company’s periodic reports filed with the Securities and Exchange Commission,</w:t>
            </w:r>
          </w:p>
        </w:tc>
      </w:tr>
      <w:tr>
        <w:trPr>
          <w:trHeight w:val="39"/>
        </w:trPr>
        <w:tc>
          <w:tcPr>
            <w:tcW w:w="4100" w:type="dxa"/>
            <w:vAlign w:val="bottom"/>
            <w:gridSpan w:val="2"/>
          </w:tcPr>
          <w:p>
            <w:pPr>
              <w:spacing w:after="0" w:line="40" w:lineRule="exact"/>
              <w:rPr>
                <w:sz w:val="20"/>
                <w:szCs w:val="20"/>
                <w:color w:val="auto"/>
              </w:rPr>
            </w:pPr>
            <w:r>
              <w:rPr>
                <w:rFonts w:ascii="Arial" w:cs="Arial" w:eastAsia="Arial" w:hAnsi="Arial"/>
                <w:sz w:val="4"/>
                <w:szCs w:val="4"/>
                <w:color w:val="FFFFFF"/>
              </w:rPr>
              <w:t>including, but not limited to, the Company’s Annual Report cautionaryForm10-K</w:t>
            </w:r>
          </w:p>
        </w:tc>
        <w:tc>
          <w:tcPr>
            <w:tcW w:w="7280" w:type="dxa"/>
            <w:vAlign w:val="bottom"/>
            <w:gridSpan w:val="3"/>
          </w:tcPr>
          <w:p>
            <w:pPr>
              <w:jc w:val="right"/>
              <w:ind w:right="58"/>
              <w:spacing w:after="0" w:line="40" w:lineRule="exact"/>
              <w:rPr>
                <w:sz w:val="20"/>
                <w:szCs w:val="20"/>
                <w:color w:val="auto"/>
              </w:rPr>
            </w:pPr>
            <w:r>
              <w:rPr>
                <w:rFonts w:ascii="Arial" w:cs="Arial" w:eastAsia="Arial" w:hAnsi="Arial"/>
                <w:sz w:val="4"/>
                <w:szCs w:val="4"/>
                <w:color w:val="FFFFFF"/>
              </w:rPr>
              <w:t>the fiscal year ended December 31, 2013. Except as required by law, we undertake no obligation to update or revise any forward-looking</w:t>
            </w:r>
          </w:p>
        </w:tc>
      </w:tr>
      <w:tr>
        <w:trPr>
          <w:trHeight w:val="204"/>
        </w:trPr>
        <w:tc>
          <w:tcPr>
            <w:tcW w:w="9300" w:type="dxa"/>
            <w:vAlign w:val="bottom"/>
            <w:gridSpan w:val="3"/>
          </w:tcPr>
          <w:p>
            <w:pPr>
              <w:spacing w:after="0"/>
              <w:rPr>
                <w:sz w:val="20"/>
                <w:szCs w:val="20"/>
                <w:color w:val="auto"/>
              </w:rPr>
            </w:pPr>
            <w:r>
              <w:rPr>
                <w:rFonts w:ascii="Arial" w:cs="Arial" w:eastAsia="Arial" w:hAnsi="Arial"/>
                <w:sz w:val="13"/>
                <w:szCs w:val="13"/>
                <w:color w:val="FFFFFF"/>
              </w:rPr>
              <w:t>statements we make in our press releases, whether as a result of new information, future events or otherwise</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ectPr>
          <w:pgSz w:w="11900" w:h="16838" w:orient="portrait"/>
          <w:cols w:equalWidth="0" w:num="1">
            <w:col w:w="11380"/>
          </w:cols>
          <w:pgMar w:left="240" w:top="1440" w:right="2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Vision &amp; </w:t>
      </w:r>
      <w:r>
        <w:rPr>
          <w:rFonts w:ascii="Arial" w:cs="Arial" w:eastAsia="Arial" w:hAnsi="Arial"/>
          <w:sz w:val="26"/>
          <w:szCs w:val="26"/>
          <w:color w:val="FFFFFF"/>
          <w:vertAlign w:val="subscript"/>
        </w:rPr>
        <w:t>Mission</w:t>
      </w:r>
    </w:p>
    <w:p>
      <w:pPr>
        <w:spacing w:after="0" w:line="191" w:lineRule="auto"/>
        <w:rPr>
          <w:sz w:val="20"/>
          <w:szCs w:val="20"/>
          <w:color w:val="auto"/>
        </w:rPr>
      </w:pPr>
      <w:r>
        <w:rPr>
          <w:rFonts w:ascii="Arial" w:cs="Arial" w:eastAsia="Arial" w:hAnsi="Arial"/>
          <w:sz w:val="9"/>
          <w:szCs w:val="9"/>
          <w:color w:val="FFFFFF"/>
          <w:vertAlign w:val="superscript"/>
        </w:rPr>
        <w:t>Our</w:t>
      </w:r>
    </w:p>
    <w:p>
      <w:pPr>
        <w:ind w:left="240"/>
        <w:spacing w:after="0"/>
        <w:rPr>
          <w:sz w:val="20"/>
          <w:szCs w:val="20"/>
          <w:color w:val="auto"/>
        </w:rPr>
      </w:pPr>
      <w:r>
        <w:rPr>
          <w:rFonts w:ascii="Arial" w:cs="Arial" w:eastAsia="Arial" w:hAnsi="Arial"/>
          <w:sz w:val="8"/>
          <w:szCs w:val="8"/>
          <w:color w:val="FFFFFF"/>
        </w:rPr>
        <w:t>visionmission totobeprovidetheleadinghigh-manufacturerqualityproductsofhighand-superiorperformancecustomerprecisionservicecomponents.thatcontinuously exceed our customers’ expectations while providing enhanced value for our stakeholders.</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AEstimatedHistory ofrevenueGrowthof $700M</w:t>
      </w:r>
    </w:p>
    <w:p>
      <w:pPr>
        <w:spacing w:after="0" w:line="182" w:lineRule="auto"/>
        <w:rPr>
          <w:sz w:val="20"/>
          <w:szCs w:val="20"/>
          <w:color w:val="auto"/>
        </w:rPr>
      </w:pPr>
      <w:r>
        <w:rPr>
          <w:rFonts w:ascii="Arial" w:cs="Arial" w:eastAsia="Arial" w:hAnsi="Arial"/>
          <w:sz w:val="9"/>
          <w:szCs w:val="9"/>
          <w:color w:val="FFFFFF"/>
        </w:rPr>
        <w:t>GlobalTraded reach,onNasdaqlocal(NNBR)depth</w:t>
      </w:r>
    </w:p>
    <w:p>
      <w:pPr>
        <w:spacing w:after="0" w:line="205" w:lineRule="auto"/>
        <w:rPr>
          <w:sz w:val="20"/>
          <w:szCs w:val="20"/>
          <w:color w:val="auto"/>
        </w:rPr>
      </w:pPr>
      <w:r>
        <w:rPr>
          <w:rFonts w:ascii="Arial" w:cs="Arial" w:eastAsia="Arial" w:hAnsi="Arial"/>
          <w:sz w:val="4"/>
          <w:szCs w:val="4"/>
          <w:color w:val="FFFFFF"/>
        </w:rPr>
        <w:t>Approximately25manufacturing4,200facilitiesemployeeswithoperations in 10 countries</w:t>
      </w:r>
    </w:p>
    <w:p>
      <w:pPr>
        <w:spacing w:after="0" w:line="205" w:lineRule="auto"/>
        <w:rPr>
          <w:sz w:val="20"/>
          <w:szCs w:val="20"/>
          <w:color w:val="auto"/>
        </w:rPr>
      </w:pPr>
      <w:r>
        <w:rPr>
          <w:rFonts w:ascii="Arial" w:cs="Arial" w:eastAsia="Arial" w:hAnsi="Arial"/>
          <w:sz w:val="4"/>
          <w:szCs w:val="4"/>
          <w:color w:val="FFFFFF"/>
        </w:rPr>
        <w:t>Continuous investment in technology leadership</w:t>
      </w:r>
    </w:p>
    <w:p>
      <w:pPr>
        <w:spacing w:after="0" w:line="182" w:lineRule="auto"/>
        <w:rPr>
          <w:sz w:val="20"/>
          <w:szCs w:val="20"/>
          <w:color w:val="auto"/>
        </w:rPr>
      </w:pPr>
      <w:r>
        <w:rPr>
          <w:rFonts w:ascii="Arial" w:cs="Arial" w:eastAsia="Arial" w:hAnsi="Arial"/>
          <w:sz w:val="9"/>
          <w:szCs w:val="9"/>
          <w:color w:val="FFFFFF"/>
        </w:rPr>
        <w:t>Supplying to diversified blue chip customers in over 30 countries</w:t>
      </w:r>
    </w:p>
    <w:p>
      <w:pPr>
        <w:spacing w:after="0" w:line="205" w:lineRule="auto"/>
        <w:rPr>
          <w:sz w:val="20"/>
          <w:szCs w:val="20"/>
          <w:color w:val="auto"/>
        </w:rPr>
      </w:pPr>
      <w:r>
        <w:rPr>
          <w:rFonts w:ascii="Arial" w:cs="Arial" w:eastAsia="Arial" w:hAnsi="Arial"/>
          <w:sz w:val="4"/>
          <w:szCs w:val="4"/>
          <w:color w:val="FFFFFF"/>
        </w:rPr>
        <w:t>Industrial1980MetalVeenendaalBearing1999Components2000SNRBallWhirlaway2001V-S 2003Chelsea2005 2006 2014…</w:t>
      </w:r>
    </w:p>
    <w:p>
      <w:pPr>
        <w:spacing w:after="0" w:line="182" w:lineRule="auto"/>
        <w:rPr>
          <w:sz w:val="20"/>
          <w:szCs w:val="20"/>
          <w:color w:val="auto"/>
        </w:rPr>
      </w:pPr>
      <w:r>
        <w:rPr>
          <w:rFonts w:ascii="Arial" w:cs="Arial" w:eastAsia="Arial" w:hAnsi="Arial"/>
          <w:sz w:val="9"/>
          <w:szCs w:val="9"/>
          <w:color w:val="FFFFFF"/>
        </w:rPr>
        <w:t>NN founded Molding Euroball Delta Rubber RFK Autocam</w:t>
      </w:r>
    </w:p>
    <w:p>
      <w:pPr>
        <w:spacing w:after="0"/>
        <w:rPr>
          <w:sz w:val="20"/>
          <w:szCs w:val="20"/>
          <w:color w:val="auto"/>
        </w:rPr>
      </w:pPr>
      <w:r>
        <w:rPr>
          <w:rFonts w:ascii="Arial" w:cs="Arial" w:eastAsia="Arial" w:hAnsi="Arial"/>
          <w:sz w:val="12"/>
          <w:szCs w:val="12"/>
          <w:color w:val="FFFFFF"/>
        </w:rPr>
        <w:t>CorporationinErwin,TNCompanyAssetsCorporation Industries Grinding</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NN,RichardInc.D.PresidentHolder &amp; CEO</w:t>
      </w:r>
    </w:p>
    <w:p>
      <w:pPr>
        <w:spacing w:after="0"/>
        <w:rPr>
          <w:sz w:val="20"/>
          <w:szCs w:val="20"/>
          <w:color w:val="auto"/>
        </w:rPr>
      </w:pPr>
      <w:r>
        <w:rPr>
          <w:rFonts w:ascii="Arial" w:cs="Arial" w:eastAsia="Arial" w:hAnsi="Arial"/>
          <w:sz w:val="7"/>
          <w:szCs w:val="7"/>
          <w:color w:val="FFFFFF"/>
        </w:rPr>
        <w:t>JoinsHighlyNNsuccessfulfromEatonhistory of growingwhereprofitableheheldorganizationsseveralleadershipbyacquisition,positions organicmostrecentlygrowth,servingandadjacentasPresidentmarketofgrowthEatonElectrical Components Group</w:t>
      </w:r>
    </w:p>
    <w:p>
      <w:pPr>
        <w:spacing w:after="0" w:line="70" w:lineRule="exact"/>
        <w:rPr>
          <w:sz w:val="20"/>
          <w:szCs w:val="20"/>
          <w:color w:val="auto"/>
        </w:rPr>
      </w:pPr>
    </w:p>
    <w:p>
      <w:pPr>
        <w:spacing w:after="0"/>
        <w:rPr>
          <w:sz w:val="20"/>
          <w:szCs w:val="20"/>
          <w:color w:val="auto"/>
        </w:rPr>
      </w:pPr>
      <w:r>
        <w:rPr>
          <w:rFonts w:ascii="Arial" w:cs="Arial" w:eastAsia="Arial" w:hAnsi="Arial"/>
          <w:sz w:val="9"/>
          <w:szCs w:val="9"/>
          <w:color w:val="FFFFFF"/>
        </w:rPr>
        <w:t>Held leadership positionsCorporationUSAirways,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FFFFFF"/>
        </w:rPr>
        <w:t>AlliedSignal and Parker Hannifin Corporation prior to joining Eaton</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gridSpan w:val="2"/>
          </w:tcPr>
          <w:p>
            <w:pPr>
              <w:spacing w:after="0"/>
              <w:rPr>
                <w:sz w:val="20"/>
                <w:szCs w:val="20"/>
                <w:color w:val="auto"/>
              </w:rPr>
            </w:pPr>
            <w:r>
              <w:rPr>
                <w:rFonts w:ascii="Arial" w:cs="Arial" w:eastAsia="Arial" w:hAnsi="Arial"/>
                <w:sz w:val="13"/>
                <w:szCs w:val="13"/>
                <w:color w:val="FFFFFF"/>
              </w:rPr>
              <w:t>The New NN – Global Market Leader</w:t>
            </w: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NN is</w:t>
            </w:r>
          </w:p>
        </w:tc>
        <w:tc>
          <w:tcPr>
            <w:tcW w:w="4900" w:type="dxa"/>
            <w:vAlign w:val="bottom"/>
          </w:tcPr>
          <w:p>
            <w:pPr>
              <w:ind w:left="40"/>
              <w:spacing w:after="0" w:line="40" w:lineRule="exact"/>
              <w:rPr>
                <w:sz w:val="20"/>
                <w:szCs w:val="20"/>
                <w:color w:val="auto"/>
              </w:rPr>
            </w:pPr>
            <w:r>
              <w:rPr>
                <w:rFonts w:ascii="Arial" w:cs="Arial" w:eastAsia="Arial" w:hAnsi="Arial"/>
                <w:sz w:val="4"/>
                <w:szCs w:val="4"/>
                <w:color w:val="FFFFFF"/>
              </w:rPr>
              <w:t>$700+ million public company with three platforms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Metal Bearing Components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Autocam Precision Components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Plastics and Rubber Components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NN has a world leading market position in Metal Bearing Components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Top 3 in precision balls, Number 1 in tapered rollers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Low number of competitors; high market share; high barrier to entry</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Stable market position thr ughout the cycle; organic growth limited due to high, stable market shares</w:t>
            </w:r>
          </w:p>
        </w:tc>
      </w:tr>
      <w:tr>
        <w:trPr>
          <w:trHeight w:val="39"/>
        </w:trPr>
        <w:tc>
          <w:tcPr>
            <w:tcW w:w="5300" w:type="dxa"/>
            <w:vAlign w:val="bottom"/>
            <w:gridSpan w:val="2"/>
          </w:tcPr>
          <w:p>
            <w:pPr>
              <w:ind w:left="80"/>
              <w:spacing w:after="0" w:line="40" w:lineRule="exact"/>
              <w:rPr>
                <w:sz w:val="20"/>
                <w:szCs w:val="20"/>
                <w:color w:val="auto"/>
              </w:rPr>
            </w:pPr>
            <w:r>
              <w:rPr>
                <w:rFonts w:ascii="Arial" w:cs="Arial" w:eastAsia="Arial" w:hAnsi="Arial"/>
                <w:sz w:val="4"/>
                <w:szCs w:val="4"/>
                <w:color w:val="FFFFFF"/>
              </w:rPr>
              <w:t>he Autocam Precision Components platform has high growth opportunities</w:t>
            </w:r>
          </w:p>
        </w:tc>
      </w:tr>
      <w:tr>
        <w:trPr>
          <w:trHeight w:val="39"/>
        </w:trPr>
        <w:tc>
          <w:tcPr>
            <w:tcW w:w="5300" w:type="dxa"/>
            <w:vAlign w:val="bottom"/>
            <w:gridSpan w:val="2"/>
          </w:tcPr>
          <w:p>
            <w:pPr>
              <w:spacing w:after="0" w:line="40" w:lineRule="exact"/>
              <w:rPr>
                <w:sz w:val="20"/>
                <w:szCs w:val="20"/>
                <w:color w:val="auto"/>
              </w:rPr>
            </w:pPr>
            <w:r>
              <w:rPr>
                <w:rFonts w:ascii="Arial" w:cs="Arial" w:eastAsia="Arial" w:hAnsi="Arial"/>
                <w:sz w:val="4"/>
                <w:szCs w:val="4"/>
                <w:color w:val="FFFFFF"/>
              </w:rPr>
              <w:t>Top 3 in existing precision markets</w:t>
            </w:r>
          </w:p>
        </w:tc>
      </w:tr>
      <w:tr>
        <w:trPr>
          <w:trHeight w:val="0"/>
        </w:trPr>
        <w:tc>
          <w:tcPr>
            <w:tcW w:w="400" w:type="dxa"/>
            <w:vAlign w:val="bottom"/>
          </w:tcPr>
          <w:p>
            <w:pPr>
              <w:spacing w:after="0" w:line="78" w:lineRule="exact"/>
              <w:rPr>
                <w:sz w:val="20"/>
                <w:szCs w:val="20"/>
                <w:color w:val="auto"/>
              </w:rPr>
            </w:pPr>
            <w:r>
              <w:rPr>
                <w:rFonts w:ascii="Arial" w:cs="Arial" w:eastAsia="Arial" w:hAnsi="Arial"/>
                <w:sz w:val="8"/>
                <w:szCs w:val="8"/>
                <w:color w:val="FFFFFF"/>
              </w:rPr>
              <w:t>Highly</w:t>
            </w:r>
          </w:p>
        </w:tc>
        <w:tc>
          <w:tcPr>
            <w:tcW w:w="4900" w:type="dxa"/>
            <w:vAlign w:val="bottom"/>
          </w:tcPr>
          <w:p>
            <w:pPr>
              <w:ind w:left="760"/>
              <w:spacing w:after="0" w:line="78" w:lineRule="exact"/>
              <w:rPr>
                <w:sz w:val="20"/>
                <w:szCs w:val="20"/>
                <w:color w:val="auto"/>
              </w:rPr>
            </w:pPr>
            <w:r>
              <w:rPr>
                <w:rFonts w:ascii="Arial" w:cs="Arial" w:eastAsia="Arial" w:hAnsi="Arial"/>
                <w:sz w:val="8"/>
                <w:szCs w:val="8"/>
                <w:color w:val="FFFFFF"/>
              </w:rPr>
              <w:t>global market</w:t>
            </w:r>
          </w:p>
        </w:tc>
      </w:tr>
    </w:tbl>
    <w:p>
      <w:pPr>
        <w:spacing w:after="0" w:line="24" w:lineRule="auto"/>
        <w:rPr>
          <w:sz w:val="20"/>
          <w:szCs w:val="20"/>
          <w:color w:val="auto"/>
        </w:rPr>
      </w:pPr>
      <w:r>
        <w:rPr>
          <w:rFonts w:ascii="Arial" w:cs="Arial" w:eastAsia="Arial" w:hAnsi="Arial"/>
          <w:sz w:val="1"/>
          <w:szCs w:val="1"/>
          <w:color w:val="FFFFFF"/>
        </w:rPr>
        <w:t>Few globaldisaggregatedplayers the high precision range are in an excellent position to gain market share</w:t>
      </w:r>
    </w:p>
    <w:p>
      <w:pPr>
        <w:ind w:right="2439"/>
        <w:spacing w:after="0"/>
        <w:rPr>
          <w:sz w:val="20"/>
          <w:szCs w:val="20"/>
          <w:color w:val="auto"/>
        </w:rPr>
      </w:pPr>
      <w:r>
        <w:rPr>
          <w:rFonts w:ascii="Arial" w:cs="Arial" w:eastAsia="Arial" w:hAnsi="Arial"/>
          <w:sz w:val="5"/>
          <w:szCs w:val="5"/>
          <w:color w:val="FFFFFF"/>
        </w:rPr>
        <w:t>NN’s Plastic &amp; Rubber Components group specializes in high-precision plastic injection and rubber molded products for auto and industrial markets Global reach is critical in our product platforms and with production in 10 countries, NN is able to serve all key customers.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FFFFFF"/>
        </w:rPr>
        <w:t>NN is now top 3 globally in both Metal Bearing Components and Precision Metal Components</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MetalTheNewBearingNN–ComponentsGlobalMarket Leader</w:t>
      </w:r>
    </w:p>
    <w:p>
      <w:pPr>
        <w:ind w:right="4879"/>
        <w:spacing w:after="0"/>
        <w:rPr>
          <w:sz w:val="20"/>
          <w:szCs w:val="20"/>
          <w:color w:val="auto"/>
        </w:rPr>
      </w:pPr>
      <w:r>
        <w:rPr>
          <w:rFonts w:ascii="Arial" w:cs="Arial" w:eastAsia="Arial" w:hAnsi="Arial"/>
          <w:sz w:val="8"/>
          <w:szCs w:val="8"/>
          <w:color w:val="FFFFFF"/>
        </w:rPr>
        <w:t>Steel Balls Tapered Rollers Cylindrical Rollers Bearing Cages Miscellaneous stamped metal products Autocam Precision Components</w:t>
      </w:r>
    </w:p>
    <w:p>
      <w:pPr>
        <w:spacing w:after="0" w:line="194" w:lineRule="auto"/>
        <w:rPr>
          <w:sz w:val="20"/>
          <w:szCs w:val="20"/>
          <w:color w:val="auto"/>
        </w:rPr>
      </w:pPr>
      <w:r>
        <w:rPr>
          <w:rFonts w:ascii="Arial" w:cs="Arial" w:eastAsia="Arial" w:hAnsi="Arial"/>
          <w:sz w:val="7"/>
          <w:szCs w:val="7"/>
          <w:color w:val="FFFFFF"/>
        </w:rPr>
        <w:t>FuelComplex,systemshigh precision components for :</w:t>
      </w:r>
    </w:p>
    <w:p>
      <w:pPr>
        <w:spacing w:after="0" w:line="189" w:lineRule="auto"/>
        <w:rPr>
          <w:sz w:val="20"/>
          <w:szCs w:val="20"/>
          <w:color w:val="auto"/>
        </w:rPr>
      </w:pPr>
      <w:r>
        <w:rPr>
          <w:rFonts w:ascii="Arial" w:cs="Arial" w:eastAsia="Arial" w:hAnsi="Arial"/>
          <w:sz w:val="13"/>
          <w:szCs w:val="13"/>
          <w:color w:val="FFFFFF"/>
        </w:rPr>
        <w:t>SteeringTransmissionssystems</w:t>
      </w:r>
    </w:p>
    <w:p>
      <w:pPr>
        <w:spacing w:after="0" w:line="182" w:lineRule="auto"/>
        <w:rPr>
          <w:sz w:val="20"/>
          <w:szCs w:val="20"/>
          <w:color w:val="auto"/>
        </w:rPr>
      </w:pPr>
      <w:r>
        <w:rPr>
          <w:rFonts w:ascii="Arial" w:cs="Arial" w:eastAsia="Arial" w:hAnsi="Arial"/>
          <w:sz w:val="9"/>
          <w:szCs w:val="9"/>
          <w:color w:val="FFFFFF"/>
          <w:vertAlign w:val="subscript"/>
        </w:rPr>
        <w:t>Plastic</w:t>
      </w:r>
      <w:r>
        <w:rPr>
          <w:rFonts w:ascii="Arial" w:cs="Arial" w:eastAsia="Arial" w:hAnsi="Arial"/>
          <w:sz w:val="7"/>
          <w:szCs w:val="7"/>
          <w:color w:val="FFFFFF"/>
        </w:rPr>
        <w:t>HVACower toolscompressors</w:t>
      </w:r>
    </w:p>
    <w:p>
      <w:pPr>
        <w:spacing w:after="0" w:line="206" w:lineRule="auto"/>
        <w:rPr>
          <w:sz w:val="20"/>
          <w:szCs w:val="20"/>
          <w:color w:val="auto"/>
        </w:rPr>
      </w:pPr>
      <w:r>
        <w:rPr>
          <w:rFonts w:ascii="Arial" w:cs="Arial" w:eastAsia="Arial" w:hAnsi="Arial"/>
          <w:sz w:val="4"/>
          <w:szCs w:val="4"/>
          <w:color w:val="FFFFFF"/>
        </w:rPr>
        <w:t>Bearing&amp;sealsRubber Components</w:t>
      </w:r>
    </w:p>
    <w:p>
      <w:pPr>
        <w:spacing w:after="0"/>
        <w:rPr>
          <w:sz w:val="20"/>
          <w:szCs w:val="20"/>
          <w:color w:val="auto"/>
        </w:rPr>
      </w:pPr>
      <w:r>
        <w:rPr>
          <w:rFonts w:ascii="Arial" w:cs="Arial" w:eastAsia="Arial" w:hAnsi="Arial"/>
          <w:sz w:val="13"/>
          <w:szCs w:val="13"/>
          <w:color w:val="FFFFFF"/>
        </w:rPr>
        <w:t>Custom molded rubber seals Plastic retainers Precision plastic components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Global Footprint</w:t>
      </w:r>
    </w:p>
    <w:p>
      <w:pPr>
        <w:ind w:right="3599"/>
        <w:spacing w:after="0" w:line="184" w:lineRule="auto"/>
        <w:rPr>
          <w:sz w:val="20"/>
          <w:szCs w:val="20"/>
          <w:color w:val="auto"/>
        </w:rPr>
      </w:pPr>
      <w:r>
        <w:rPr>
          <w:rFonts w:ascii="Arial" w:cs="Arial" w:eastAsia="Arial" w:hAnsi="Arial"/>
          <w:sz w:val="11"/>
          <w:szCs w:val="11"/>
          <w:color w:val="FFFFFF"/>
        </w:rPr>
        <w:t>—Metal Bearing Components —Autocam Precision Components —Plastic &amp; Rubber Components —Corporate Headquarters Established global presence with profitable operations in North America, Europe, Brazil and China</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Megatrends</w:t>
      </w:r>
    </w:p>
    <w:p>
      <w:pPr>
        <w:ind w:right="40"/>
        <w:spacing w:after="0" w:line="182" w:lineRule="auto"/>
        <w:rPr>
          <w:sz w:val="20"/>
          <w:szCs w:val="20"/>
          <w:color w:val="auto"/>
        </w:rPr>
      </w:pPr>
      <w:r>
        <w:rPr>
          <w:rFonts w:ascii="Arial" w:cs="Arial" w:eastAsia="Arial" w:hAnsi="Arial"/>
          <w:sz w:val="9"/>
          <w:szCs w:val="9"/>
          <w:color w:val="FFFFFF"/>
        </w:rPr>
        <w:t>New Capital Cycle: the manufacturing world is coming off of a low period in capital investment. As customers consider make vs. buy decisions, NN is positioned to become the feeder company of choice in our markets.</w:t>
      </w:r>
    </w:p>
    <w:p>
      <w:pPr>
        <w:spacing w:after="0" w:line="205" w:lineRule="auto"/>
        <w:rPr>
          <w:sz w:val="20"/>
          <w:szCs w:val="20"/>
          <w:color w:val="auto"/>
        </w:rPr>
      </w:pPr>
      <w:r>
        <w:rPr>
          <w:rFonts w:ascii="Arial" w:cs="Arial" w:eastAsia="Arial" w:hAnsi="Arial"/>
          <w:sz w:val="2"/>
          <w:szCs w:val="2"/>
          <w:color w:val="FFFFFF"/>
        </w:rPr>
        <w:t xml:space="preserve">Tier 1 and Tier 2 auto suppliers are concentrating on </w:t>
      </w:r>
      <w:r>
        <w:rPr>
          <w:rFonts w:ascii="Arial" w:cs="Arial" w:eastAsia="Arial" w:hAnsi="Arial"/>
          <w:sz w:val="4"/>
          <w:szCs w:val="4"/>
          <w:color w:val="FFFFFF"/>
          <w:vertAlign w:val="subscript"/>
        </w:rPr>
        <w:t>purchasing</w:t>
      </w:r>
      <w:r>
        <w:rPr>
          <w:rFonts w:ascii="Arial" w:cs="Arial" w:eastAsia="Arial" w:hAnsi="Arial"/>
          <w:sz w:val="2"/>
          <w:szCs w:val="2"/>
          <w:color w:val="FFFFFF"/>
        </w:rPr>
        <w:t xml:space="preserve"> with fewer, larger suppliers.</w:t>
      </w:r>
    </w:p>
    <w:p>
      <w:pPr>
        <w:spacing w:after="0" w:line="182" w:lineRule="auto"/>
        <w:rPr>
          <w:sz w:val="20"/>
          <w:szCs w:val="20"/>
          <w:color w:val="auto"/>
        </w:rPr>
      </w:pPr>
      <w:r>
        <w:rPr>
          <w:rFonts w:ascii="Arial" w:cs="Arial" w:eastAsia="Arial" w:hAnsi="Arial"/>
          <w:sz w:val="9"/>
          <w:szCs w:val="9"/>
          <w:color w:val="FFFFFF"/>
        </w:rPr>
        <w:t>Offshore sourcing is changing as logistics are becoming growing factor. Supply Chain localization is gaining momentum with all manufacturers. Healthy U.S. automotive industry is providing opportunities for growth.</w:t>
      </w:r>
    </w:p>
    <w:p>
      <w:pPr>
        <w:spacing w:after="0" w:line="205" w:lineRule="auto"/>
        <w:rPr>
          <w:sz w:val="20"/>
          <w:szCs w:val="20"/>
          <w:color w:val="auto"/>
        </w:rPr>
      </w:pPr>
      <w:r>
        <w:rPr>
          <w:rFonts w:ascii="Arial" w:cs="Arial" w:eastAsia="Arial" w:hAnsi="Arial"/>
          <w:sz w:val="4"/>
          <w:szCs w:val="4"/>
          <w:color w:val="FFFFFF"/>
        </w:rPr>
        <w:t>China is now the world’s largest market for personal cars.</w:t>
      </w:r>
    </w:p>
    <w:p>
      <w:pPr>
        <w:spacing w:after="0"/>
        <w:rPr>
          <w:sz w:val="20"/>
          <w:szCs w:val="20"/>
          <w:color w:val="auto"/>
        </w:rPr>
      </w:pPr>
      <w:r>
        <w:rPr>
          <w:rFonts w:ascii="Arial" w:cs="Arial" w:eastAsia="Arial" w:hAnsi="Arial"/>
          <w:sz w:val="13"/>
          <w:szCs w:val="13"/>
          <w:color w:val="FFFFFF"/>
        </w:rPr>
        <w:t>Rigorous global gas mileage requirements assure growing demand for NN products</w:t>
      </w:r>
    </w:p>
    <w:p>
      <w:pPr>
        <w:sectPr>
          <w:pgSz w:w="11900" w:h="16838" w:orient="portrait"/>
          <w:cols w:equalWidth="0" w:num="1">
            <w:col w:w="11040"/>
          </w:cols>
          <w:pgMar w:left="240" w:top="1440" w:right="6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GDIMegatrends—HighHPDieselVCT/VVTGrowthMultiProduct-SpeedSegmentsTrans EPS</w:t>
      </w:r>
    </w:p>
    <w:p>
      <w:pPr>
        <w:spacing w:after="0" w:line="204" w:lineRule="auto"/>
        <w:rPr>
          <w:sz w:val="20"/>
          <w:szCs w:val="20"/>
          <w:color w:val="auto"/>
        </w:rPr>
      </w:pPr>
      <w:r>
        <w:rPr>
          <w:rFonts w:ascii="Arial" w:cs="Arial" w:eastAsia="Arial" w:hAnsi="Arial"/>
          <w:sz w:val="4"/>
          <w:szCs w:val="4"/>
          <w:color w:val="FFFFFF"/>
        </w:rPr>
        <w:t>ContentMPGIncreasePerVehicle+15 —20% (1) + 20 —30% (1) + 4 —6% (2) + 5 —10% (3) + 3 —5% (4)</w:t>
      </w:r>
    </w:p>
    <w:p>
      <w:pPr>
        <w:spacing w:after="0" w:line="182" w:lineRule="auto"/>
        <w:rPr>
          <w:sz w:val="20"/>
          <w:szCs w:val="20"/>
          <w:color w:val="auto"/>
        </w:rPr>
      </w:pPr>
      <w:r>
        <w:rPr>
          <w:rFonts w:ascii="Arial" w:cs="Arial" w:eastAsia="Arial" w:hAnsi="Arial"/>
          <w:sz w:val="9"/>
          <w:szCs w:val="9"/>
          <w:color w:val="FFFFFF"/>
        </w:rPr>
        <w:t>Impact + $54 (1) + $89 (1) + $10 (2) + $20 (3) + $4 (4)</w:t>
      </w:r>
    </w:p>
    <w:p>
      <w:pPr>
        <w:spacing w:after="0" w:line="206" w:lineRule="auto"/>
        <w:rPr>
          <w:sz w:val="20"/>
          <w:szCs w:val="20"/>
          <w:color w:val="auto"/>
        </w:rPr>
      </w:pPr>
      <w:r>
        <w:rPr>
          <w:rFonts w:ascii="Arial" w:cs="Arial" w:eastAsia="Arial" w:hAnsi="Arial"/>
          <w:sz w:val="4"/>
          <w:szCs w:val="4"/>
          <w:color w:val="FFFFFF"/>
        </w:rPr>
        <w:t>KeyMarketRegions/MarketsGrowth&gt;17% CAGR &gt; 10% CAGR &gt; 10% CAGR &gt; 15% CAGR &gt;10% CAGR</w:t>
      </w:r>
    </w:p>
    <w:p>
      <w:pPr>
        <w:spacing w:after="0" w:line="182" w:lineRule="auto"/>
        <w:rPr>
          <w:sz w:val="20"/>
          <w:szCs w:val="20"/>
          <w:color w:val="auto"/>
        </w:rPr>
      </w:pPr>
      <w:r>
        <w:rPr>
          <w:rFonts w:ascii="Arial" w:cs="Arial" w:eastAsia="Arial" w:hAnsi="Arial"/>
          <w:sz w:val="9"/>
          <w:szCs w:val="9"/>
          <w:color w:val="FFFFFF"/>
        </w:rPr>
        <w:t>Technologies needed on a global scale to meet fuel economy regulations Conversion/implementation rates will outpace market growth All of these technologies require numerous high precision metal components Source: Based on IHS Automotive and internal estimates</w:t>
      </w:r>
    </w:p>
    <w:p>
      <w:pPr>
        <w:spacing w:after="0" w:line="219" w:lineRule="auto"/>
        <w:tabs>
          <w:tab w:leader="none" w:pos="440" w:val="left"/>
        </w:tabs>
        <w:rPr>
          <w:sz w:val="20"/>
          <w:szCs w:val="20"/>
          <w:color w:val="auto"/>
        </w:rPr>
      </w:pPr>
      <w:r>
        <w:rPr>
          <w:rFonts w:ascii="Arial" w:cs="Arial" w:eastAsia="Arial" w:hAnsi="Arial"/>
          <w:sz w:val="5"/>
          <w:szCs w:val="5"/>
          <w:color w:val="FFFFFF"/>
        </w:rPr>
        <w:t>(1)</w:t>
      </w:r>
      <w:r>
        <w:rPr>
          <w:sz w:val="20"/>
          <w:szCs w:val="20"/>
          <w:color w:val="auto"/>
        </w:rPr>
        <w:tab/>
      </w:r>
      <w:r>
        <w:rPr>
          <w:rFonts w:ascii="Arial" w:cs="Arial" w:eastAsia="Arial" w:hAnsi="Arial"/>
          <w:sz w:val="5"/>
          <w:szCs w:val="5"/>
          <w:color w:val="FFFFFF"/>
        </w:rPr>
        <w:t>Relative to base engine with MPFI fuel system</w:t>
      </w:r>
    </w:p>
    <w:p>
      <w:pPr>
        <w:spacing w:after="0" w:line="218" w:lineRule="auto"/>
        <w:tabs>
          <w:tab w:leader="none" w:pos="440" w:val="left"/>
        </w:tabs>
        <w:rPr>
          <w:sz w:val="20"/>
          <w:szCs w:val="20"/>
          <w:color w:val="auto"/>
        </w:rPr>
      </w:pPr>
      <w:r>
        <w:rPr>
          <w:rFonts w:ascii="Arial" w:cs="Arial" w:eastAsia="Arial" w:hAnsi="Arial"/>
          <w:sz w:val="5"/>
          <w:szCs w:val="5"/>
          <w:color w:val="FFFFFF"/>
        </w:rPr>
        <w:t>(3)</w:t>
      </w:r>
      <w:r>
        <w:rPr>
          <w:sz w:val="20"/>
          <w:szCs w:val="20"/>
          <w:color w:val="auto"/>
        </w:rPr>
        <w:tab/>
      </w:r>
      <w:r>
        <w:rPr>
          <w:rFonts w:ascii="Arial" w:cs="Arial" w:eastAsia="Arial" w:hAnsi="Arial"/>
          <w:sz w:val="5"/>
          <w:szCs w:val="5"/>
          <w:color w:val="FFFFFF"/>
        </w:rPr>
        <w:t>Relative to base 5-speed transmission</w:t>
      </w:r>
    </w:p>
    <w:p>
      <w:pPr>
        <w:spacing w:after="0" w:line="219" w:lineRule="auto"/>
        <w:tabs>
          <w:tab w:leader="none" w:pos="440" w:val="left"/>
        </w:tabs>
        <w:rPr>
          <w:sz w:val="20"/>
          <w:szCs w:val="20"/>
          <w:color w:val="auto"/>
        </w:rPr>
      </w:pPr>
      <w:r>
        <w:rPr>
          <w:rFonts w:ascii="Arial" w:cs="Arial" w:eastAsia="Arial" w:hAnsi="Arial"/>
          <w:sz w:val="5"/>
          <w:szCs w:val="5"/>
          <w:color w:val="FFFFFF"/>
        </w:rPr>
        <w:t>(2)</w:t>
      </w:r>
      <w:r>
        <w:rPr>
          <w:sz w:val="20"/>
          <w:szCs w:val="20"/>
          <w:color w:val="auto"/>
        </w:rPr>
        <w:tab/>
      </w:r>
      <w:r>
        <w:rPr>
          <w:rFonts w:ascii="Arial" w:cs="Arial" w:eastAsia="Arial" w:hAnsi="Arial"/>
          <w:sz w:val="5"/>
          <w:szCs w:val="5"/>
          <w:color w:val="FFFFFF"/>
        </w:rPr>
        <w:t>Relative to base engine without VVT/VCT</w:t>
      </w:r>
    </w:p>
    <w:p>
      <w:pPr>
        <w:spacing w:after="0"/>
        <w:tabs>
          <w:tab w:leader="none" w:pos="440" w:val="left"/>
        </w:tabs>
        <w:rPr>
          <w:sz w:val="20"/>
          <w:szCs w:val="20"/>
          <w:color w:val="auto"/>
        </w:rPr>
      </w:pPr>
      <w:r>
        <w:rPr>
          <w:rFonts w:ascii="Arial" w:cs="Arial" w:eastAsia="Arial" w:hAnsi="Arial"/>
          <w:sz w:val="13"/>
          <w:szCs w:val="13"/>
          <w:color w:val="FFFFFF"/>
        </w:rPr>
        <w:t>(4)</w:t>
      </w:r>
      <w:r>
        <w:rPr>
          <w:sz w:val="20"/>
          <w:szCs w:val="20"/>
          <w:color w:val="auto"/>
        </w:rPr>
        <w:tab/>
      </w:r>
      <w:r>
        <w:rPr>
          <w:rFonts w:ascii="Arial" w:cs="Arial" w:eastAsia="Arial" w:hAnsi="Arial"/>
          <w:sz w:val="13"/>
          <w:szCs w:val="13"/>
          <w:color w:val="FFFFFF"/>
        </w:rPr>
        <w:t>Relative to base Hydraulic Power Steering system</w:t>
      </w:r>
    </w:p>
    <w:p>
      <w:pPr>
        <w:sectPr>
          <w:pgSz w:w="11900" w:h="16838" w:orient="portrait"/>
          <w:cols w:equalWidth="0" w:num="1">
            <w:col w:w="11100"/>
          </w:cols>
          <w:pgMar w:left="240" w:top="1440" w:right="5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GDI:MPFIIncreasedV6GDIV6APC Content per Vehicle</w:t>
      </w:r>
    </w:p>
    <w:p>
      <w:pPr>
        <w:spacing w:after="0" w:line="218" w:lineRule="auto"/>
        <w:rPr>
          <w:sz w:val="20"/>
          <w:szCs w:val="20"/>
          <w:color w:val="auto"/>
        </w:rPr>
      </w:pPr>
      <w:r>
        <w:rPr>
          <w:rFonts w:ascii="Arial" w:cs="Arial" w:eastAsia="Arial" w:hAnsi="Arial"/>
          <w:sz w:val="5"/>
          <w:szCs w:val="5"/>
          <w:color w:val="FFFFFF"/>
        </w:rPr>
        <w:t>Precision Turned Part content:</w:t>
      </w:r>
    </w:p>
    <w:p>
      <w:pPr>
        <w:spacing w:after="0" w:line="182" w:lineRule="auto"/>
        <w:rPr>
          <w:sz w:val="20"/>
          <w:szCs w:val="20"/>
          <w:color w:val="auto"/>
        </w:rPr>
      </w:pPr>
      <w:r>
        <w:rPr>
          <w:rFonts w:ascii="Arial" w:cs="Arial" w:eastAsia="Arial" w:hAnsi="Arial"/>
          <w:sz w:val="9"/>
          <w:szCs w:val="9"/>
          <w:color w:val="FFFFFF"/>
        </w:rPr>
        <w:t>$66.00 perinjectorsvehicle</w:t>
      </w:r>
    </w:p>
    <w:p>
      <w:pPr>
        <w:spacing w:after="0" w:line="182" w:lineRule="auto"/>
        <w:rPr>
          <w:sz w:val="20"/>
          <w:szCs w:val="20"/>
          <w:color w:val="auto"/>
        </w:rPr>
      </w:pPr>
      <w:r>
        <w:rPr>
          <w:rFonts w:ascii="Arial" w:cs="Arial" w:eastAsia="Arial" w:hAnsi="Arial"/>
          <w:sz w:val="12"/>
          <w:szCs w:val="12"/>
          <w:color w:val="FFFFFF"/>
        </w:rPr>
        <w:t>6PrecisionInjectorsTurned Part content:</w:t>
      </w:r>
    </w:p>
    <w:p>
      <w:pPr>
        <w:spacing w:after="0" w:line="220" w:lineRule="auto"/>
        <w:tabs>
          <w:tab w:leader="none" w:pos="440" w:val="left"/>
        </w:tabs>
        <w:rPr>
          <w:sz w:val="20"/>
          <w:szCs w:val="20"/>
          <w:color w:val="auto"/>
        </w:rPr>
      </w:pPr>
      <w:r>
        <w:rPr>
          <w:rFonts w:ascii="Arial" w:cs="Arial" w:eastAsia="Arial" w:hAnsi="Arial"/>
          <w:sz w:val="5"/>
          <w:szCs w:val="5"/>
          <w:color w:val="FFFFFF"/>
        </w:rPr>
        <w:t>21</w:t>
      </w:r>
      <w:r>
        <w:rPr>
          <w:sz w:val="20"/>
          <w:szCs w:val="20"/>
          <w:color w:val="auto"/>
        </w:rPr>
        <w:tab/>
      </w:r>
      <w:r>
        <w:rPr>
          <w:rFonts w:ascii="Arial" w:cs="Arial" w:eastAsia="Arial" w:hAnsi="Arial"/>
          <w:sz w:val="5"/>
          <w:szCs w:val="5"/>
          <w:color w:val="FFFFFF"/>
        </w:rPr>
        <w:t>HighHigh pressurepressure fittingsfuelpump</w:t>
      </w:r>
    </w:p>
    <w:p>
      <w:pPr>
        <w:spacing w:after="0" w:line="205" w:lineRule="auto"/>
        <w:rPr>
          <w:sz w:val="20"/>
          <w:szCs w:val="20"/>
          <w:color w:val="auto"/>
        </w:rPr>
      </w:pPr>
      <w:r>
        <w:rPr>
          <w:rFonts w:ascii="Arial" w:cs="Arial" w:eastAsia="Arial" w:hAnsi="Arial"/>
          <w:sz w:val="4"/>
          <w:szCs w:val="4"/>
          <w:color w:val="FFFFFF"/>
        </w:rPr>
        <w:t>$60 per vehicle</w:t>
      </w:r>
    </w:p>
    <w:p>
      <w:pPr>
        <w:spacing w:after="0" w:line="205" w:lineRule="auto"/>
        <w:rPr>
          <w:sz w:val="20"/>
          <w:szCs w:val="20"/>
          <w:color w:val="auto"/>
        </w:rPr>
      </w:pPr>
      <w:r>
        <w:rPr>
          <w:rFonts w:ascii="Arial" w:cs="Arial" w:eastAsia="Arial" w:hAnsi="Arial"/>
          <w:sz w:val="4"/>
          <w:szCs w:val="4"/>
          <w:color w:val="FFFFFF"/>
        </w:rPr>
        <w:t>Technology requires more precision, tighter tolerances</w:t>
      </w:r>
    </w:p>
    <w:p>
      <w:pPr>
        <w:spacing w:after="0" w:line="205" w:lineRule="auto"/>
        <w:rPr>
          <w:sz w:val="20"/>
          <w:szCs w:val="20"/>
          <w:color w:val="auto"/>
        </w:rPr>
      </w:pPr>
      <w:r>
        <w:rPr>
          <w:rFonts w:ascii="Arial" w:cs="Arial" w:eastAsia="Arial" w:hAnsi="Arial"/>
          <w:sz w:val="4"/>
          <w:szCs w:val="4"/>
          <w:color w:val="FFFFFF"/>
          <w:vertAlign w:val="superscript"/>
        </w:rPr>
        <w:t>GDI</w:t>
      </w:r>
    </w:p>
    <w:p>
      <w:pPr>
        <w:ind w:left="280"/>
        <w:spacing w:after="0"/>
        <w:rPr>
          <w:sz w:val="20"/>
          <w:szCs w:val="20"/>
          <w:color w:val="auto"/>
        </w:rPr>
      </w:pPr>
      <w:r>
        <w:rPr>
          <w:rFonts w:ascii="Arial" w:cs="Arial" w:eastAsia="Arial" w:hAnsi="Arial"/>
          <w:sz w:val="10"/>
          <w:szCs w:val="10"/>
          <w:color w:val="FFFFFF"/>
        </w:rPr>
        <w:t>Fuelwill haveSystemaVERY long life: 10-15+ years (MPFI lived for 30+ years)</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8879"/>
        <w:spacing w:after="0"/>
        <w:rPr>
          <w:sz w:val="20"/>
          <w:szCs w:val="20"/>
          <w:color w:val="auto"/>
        </w:rPr>
      </w:pPr>
      <w:r>
        <w:rPr>
          <w:rFonts w:ascii="Arial" w:cs="Arial" w:eastAsia="Arial" w:hAnsi="Arial"/>
          <w:sz w:val="6"/>
          <w:szCs w:val="6"/>
          <w:color w:val="FFFFFF"/>
        </w:rPr>
        <w:t>Our80</w:t>
      </w:r>
      <w:r>
        <w:rPr>
          <w:rFonts w:ascii="Arial" w:cs="Arial" w:eastAsia="Arial" w:hAnsi="Arial"/>
          <w:sz w:val="7"/>
          <w:szCs w:val="7"/>
          <w:color w:val="FFFFFF"/>
          <w:vertAlign w:val="subscript"/>
        </w:rPr>
        <w:t>270</w:t>
      </w:r>
      <w:r>
        <w:rPr>
          <w:rFonts w:ascii="Arial" w:cs="Arial" w:eastAsia="Arial" w:hAnsi="Arial"/>
          <w:sz w:val="6"/>
          <w:szCs w:val="6"/>
          <w:color w:val="FFFFFF"/>
        </w:rPr>
        <w:t>Future+millionVision:inrevenue2018</w:t>
      </w:r>
    </w:p>
    <w:p>
      <w:pPr>
        <w:spacing w:after="0" w:line="109" w:lineRule="exact"/>
        <w:rPr>
          <w:sz w:val="20"/>
          <w:szCs w:val="20"/>
          <w:color w:val="auto"/>
        </w:rPr>
      </w:pPr>
    </w:p>
    <w:p>
      <w:pPr>
        <w:ind w:left="3460"/>
        <w:spacing w:after="0"/>
        <w:rPr>
          <w:sz w:val="20"/>
          <w:szCs w:val="20"/>
          <w:color w:val="auto"/>
        </w:rPr>
      </w:pPr>
      <w:r>
        <w:rPr>
          <w:rFonts w:ascii="Arial" w:cs="Arial" w:eastAsia="Arial" w:hAnsi="Arial"/>
          <w:sz w:val="5"/>
          <w:szCs w:val="5"/>
          <w:color w:val="FFFFFF"/>
        </w:rPr>
        <w:t>in revenue from acquisitions – $280 million already completed</w:t>
      </w:r>
    </w:p>
    <w:p>
      <w:pPr>
        <w:spacing w:after="0" w:line="26" w:lineRule="exact"/>
        <w:rPr>
          <w:sz w:val="20"/>
          <w:szCs w:val="20"/>
          <w:color w:val="auto"/>
        </w:rPr>
      </w:pPr>
    </w:p>
    <w:p>
      <w:pPr>
        <w:ind w:right="4899"/>
        <w:spacing w:after="0" w:line="239" w:lineRule="auto"/>
        <w:rPr>
          <w:sz w:val="20"/>
          <w:szCs w:val="20"/>
          <w:color w:val="auto"/>
        </w:rPr>
      </w:pPr>
      <w:r>
        <w:rPr>
          <w:rFonts w:ascii="Arial" w:cs="Arial" w:eastAsia="Arial" w:hAnsi="Arial"/>
          <w:sz w:val="8"/>
          <w:szCs w:val="8"/>
          <w:color w:val="FFFFFF"/>
        </w:rPr>
        <w:t>$145 million from organic and adjacent market growth based on enhanced R&amp;D and market presence Improving segment operating margins</w:t>
      </w:r>
    </w:p>
    <w:p>
      <w:pPr>
        <w:spacing w:after="0" w:line="182" w:lineRule="auto"/>
        <w:rPr>
          <w:sz w:val="20"/>
          <w:szCs w:val="20"/>
          <w:color w:val="auto"/>
        </w:rPr>
      </w:pPr>
      <w:r>
        <w:rPr>
          <w:rFonts w:ascii="Arial" w:cs="Arial" w:eastAsia="Arial" w:hAnsi="Arial"/>
          <w:sz w:val="7"/>
          <w:szCs w:val="7"/>
          <w:color w:val="FFFFFF"/>
        </w:rPr>
        <w:t>M</w:t>
      </w:r>
      <w:r>
        <w:rPr>
          <w:rFonts w:ascii="Arial" w:cs="Arial" w:eastAsia="Arial" w:hAnsi="Arial"/>
          <w:sz w:val="9"/>
          <w:szCs w:val="9"/>
          <w:color w:val="FFFFFF"/>
          <w:vertAlign w:val="subscript"/>
        </w:rPr>
        <w:t>recision</w:t>
      </w:r>
      <w:r>
        <w:rPr>
          <w:rFonts w:ascii="Arial" w:cs="Arial" w:eastAsia="Arial" w:hAnsi="Arial"/>
          <w:sz w:val="7"/>
          <w:szCs w:val="7"/>
          <w:color w:val="FFFFFF"/>
        </w:rPr>
        <w:t>talBearing Components: 13.5%</w:t>
      </w:r>
    </w:p>
    <w:p>
      <w:pPr>
        <w:spacing w:after="0" w:line="206" w:lineRule="auto"/>
        <w:rPr>
          <w:sz w:val="20"/>
          <w:szCs w:val="20"/>
          <w:color w:val="auto"/>
        </w:rPr>
      </w:pPr>
      <w:r>
        <w:rPr>
          <w:rFonts w:ascii="Arial" w:cs="Arial" w:eastAsia="Arial" w:hAnsi="Arial"/>
          <w:sz w:val="4"/>
          <w:szCs w:val="4"/>
          <w:color w:val="FFFFFF"/>
          <w:vertAlign w:val="subscript"/>
        </w:rPr>
        <w:t>Plastic</w:t>
      </w:r>
      <w:r>
        <w:rPr>
          <w:rFonts w:ascii="Arial" w:cs="Arial" w:eastAsia="Arial" w:hAnsi="Arial"/>
          <w:sz w:val="2"/>
          <w:szCs w:val="2"/>
          <w:color w:val="FFFFFF"/>
        </w:rPr>
        <w:t xml:space="preserve"> andMetalRubberComponents:Components:12.0%8.5%</w:t>
      </w:r>
    </w:p>
    <w:p>
      <w:pPr>
        <w:spacing w:after="0"/>
        <w:rPr>
          <w:sz w:val="20"/>
          <w:szCs w:val="20"/>
          <w:color w:val="auto"/>
        </w:rPr>
      </w:pPr>
      <w:r>
        <w:rPr>
          <w:rFonts w:ascii="Arial" w:cs="Arial" w:eastAsia="Arial" w:hAnsi="Arial"/>
          <w:sz w:val="12"/>
          <w:szCs w:val="12"/>
          <w:color w:val="FFFFFF"/>
        </w:rPr>
        <w:t>Established global presence with profitable operations in North America, Europe, Brazil and China</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Road to $800M</w:t>
      </w:r>
    </w:p>
    <w:p>
      <w:pPr>
        <w:spacing w:after="0" w:line="204" w:lineRule="auto"/>
        <w:rPr>
          <w:sz w:val="20"/>
          <w:szCs w:val="20"/>
          <w:color w:val="auto"/>
        </w:rPr>
      </w:pPr>
      <w:r>
        <w:rPr>
          <w:rFonts w:ascii="Arial" w:cs="Arial" w:eastAsia="Arial" w:hAnsi="Arial"/>
          <w:sz w:val="4"/>
          <w:szCs w:val="4"/>
          <w:color w:val="FFFFFF"/>
        </w:rPr>
        <w:t>$OutpaceMillionsthe Market with Expanded Focus and Investment</w:t>
      </w:r>
    </w:p>
    <w:p>
      <w:pPr>
        <w:spacing w:after="0" w:line="205" w:lineRule="auto"/>
        <w:rPr>
          <w:sz w:val="20"/>
          <w:szCs w:val="20"/>
          <w:color w:val="auto"/>
        </w:rPr>
      </w:pPr>
      <w:r>
        <w:rPr>
          <w:rFonts w:ascii="Arial" w:cs="Arial" w:eastAsia="Arial" w:hAnsi="Arial"/>
          <w:sz w:val="4"/>
          <w:szCs w:val="4"/>
          <w:color w:val="FFFFFF"/>
        </w:rPr>
        <w:t>European Economic</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8</w:t>
      </w:r>
      <w:r>
        <w:rPr>
          <w:rFonts w:ascii="Arial" w:cs="Arial" w:eastAsia="Arial" w:hAnsi="Arial"/>
          <w:sz w:val="9"/>
          <w:szCs w:val="9"/>
          <w:color w:val="FFFFFF"/>
          <w:vertAlign w:val="superscript"/>
        </w:rPr>
        <w:t>700</w:t>
      </w:r>
      <w:r>
        <w:rPr>
          <w:rFonts w:ascii="Arial" w:cs="Arial" w:eastAsia="Arial" w:hAnsi="Arial"/>
          <w:sz w:val="7"/>
          <w:szCs w:val="7"/>
          <w:color w:val="FFFFFF"/>
        </w:rPr>
        <w:t xml:space="preserve"> $800 $800 Recovery</w:t>
      </w:r>
    </w:p>
    <w:p>
      <w:pPr>
        <w:spacing w:after="0" w:line="206" w:lineRule="auto"/>
        <w:rPr>
          <w:sz w:val="20"/>
          <w:szCs w:val="20"/>
          <w:color w:val="auto"/>
        </w:rPr>
      </w:pPr>
      <w:r>
        <w:rPr>
          <w:rFonts w:ascii="Arial" w:cs="Arial" w:eastAsia="Arial" w:hAnsi="Arial"/>
          <w:sz w:val="4"/>
          <w:szCs w:val="4"/>
          <w:color w:val="FFFFFF"/>
        </w:rPr>
        <w:t>Organic Growth</w:t>
      </w:r>
    </w:p>
    <w:p>
      <w:pPr>
        <w:spacing w:after="0" w:line="182" w:lineRule="auto"/>
        <w:rPr>
          <w:sz w:val="20"/>
          <w:szCs w:val="20"/>
          <w:color w:val="auto"/>
        </w:rPr>
      </w:pPr>
      <w:r>
        <w:rPr>
          <w:rFonts w:ascii="Arial" w:cs="Arial" w:eastAsia="Arial" w:hAnsi="Arial"/>
          <w:sz w:val="9"/>
          <w:szCs w:val="9"/>
          <w:color w:val="FFFFFF"/>
        </w:rPr>
        <w:t>3% per Year</w:t>
      </w:r>
    </w:p>
    <w:p>
      <w:pPr>
        <w:spacing w:after="0" w:line="189" w:lineRule="auto"/>
        <w:rPr>
          <w:sz w:val="20"/>
          <w:szCs w:val="20"/>
          <w:color w:val="auto"/>
        </w:rPr>
      </w:pPr>
      <w:r>
        <w:rPr>
          <w:rFonts w:ascii="Arial" w:cs="Arial" w:eastAsia="Arial" w:hAnsi="Arial"/>
          <w:sz w:val="8"/>
          <w:szCs w:val="8"/>
          <w:color w:val="FFFFFF"/>
        </w:rPr>
        <w:t>$600500</w:t>
      </w:r>
      <w:r>
        <w:rPr>
          <w:rFonts w:ascii="Arial" w:cs="Arial" w:eastAsia="Arial" w:hAnsi="Arial"/>
          <w:sz w:val="13"/>
          <w:szCs w:val="13"/>
          <w:color w:val="FFFFFF"/>
          <w:vertAlign w:val="subscript"/>
        </w:rPr>
        <w:t>40</w:t>
      </w:r>
    </w:p>
    <w:p>
      <w:pPr>
        <w:spacing w:after="0" w:line="206" w:lineRule="auto"/>
        <w:rPr>
          <w:sz w:val="20"/>
          <w:szCs w:val="20"/>
          <w:color w:val="auto"/>
        </w:rPr>
      </w:pPr>
      <w:r>
        <w:rPr>
          <w:rFonts w:ascii="Arial" w:cs="Arial" w:eastAsia="Arial" w:hAnsi="Arial"/>
          <w:sz w:val="4"/>
          <w:szCs w:val="4"/>
          <w:color w:val="FFFFFF"/>
        </w:rPr>
        <w:t>$Adjacent450 Markets</w:t>
      </w:r>
    </w:p>
    <w:p>
      <w:pPr>
        <w:spacing w:after="0" w:line="205" w:lineRule="auto"/>
        <w:rPr>
          <w:sz w:val="20"/>
          <w:szCs w:val="20"/>
          <w:color w:val="auto"/>
        </w:rPr>
      </w:pPr>
      <w:r>
        <w:rPr>
          <w:rFonts w:ascii="Arial" w:cs="Arial" w:eastAsia="Arial" w:hAnsi="Arial"/>
          <w:sz w:val="4"/>
          <w:szCs w:val="4"/>
          <w:color w:val="FFFFFF"/>
        </w:rPr>
        <w:t>5% per Year</w:t>
      </w:r>
    </w:p>
    <w:p>
      <w:pPr>
        <w:spacing w:after="0" w:line="189" w:lineRule="auto"/>
        <w:rPr>
          <w:sz w:val="20"/>
          <w:szCs w:val="20"/>
          <w:color w:val="auto"/>
        </w:rPr>
      </w:pPr>
      <w:r>
        <w:rPr>
          <w:rFonts w:ascii="Arial" w:cs="Arial" w:eastAsia="Arial" w:hAnsi="Arial"/>
          <w:sz w:val="8"/>
          <w:szCs w:val="8"/>
          <w:color w:val="FFFFFF"/>
        </w:rPr>
        <w:t>$400300</w:t>
      </w:r>
      <w:r>
        <w:rPr>
          <w:rFonts w:ascii="Arial" w:cs="Arial" w:eastAsia="Arial" w:hAnsi="Arial"/>
          <w:sz w:val="13"/>
          <w:szCs w:val="13"/>
          <w:color w:val="FFFFFF"/>
          <w:vertAlign w:val="subscript"/>
        </w:rPr>
        <w:t>73</w:t>
      </w:r>
      <w:r>
        <w:rPr>
          <w:rFonts w:ascii="Arial" w:cs="Arial" w:eastAsia="Arial" w:hAnsi="Arial"/>
          <w:sz w:val="8"/>
          <w:szCs w:val="8"/>
          <w:color w:val="FFFFFF"/>
        </w:rPr>
        <w:t xml:space="preserve"> $390</w:t>
      </w:r>
    </w:p>
    <w:p>
      <w:pPr>
        <w:spacing w:after="0" w:line="206" w:lineRule="auto"/>
        <w:rPr>
          <w:sz w:val="20"/>
          <w:szCs w:val="20"/>
          <w:color w:val="auto"/>
        </w:rPr>
      </w:pPr>
      <w:r>
        <w:rPr>
          <w:rFonts w:ascii="Arial" w:cs="Arial" w:eastAsia="Arial" w:hAnsi="Arial"/>
          <w:sz w:val="4"/>
          <w:szCs w:val="4"/>
          <w:color w:val="FFFFFF"/>
        </w:rPr>
        <w:t>Acquisitions</w:t>
      </w:r>
    </w:p>
    <w:p>
      <w:pPr>
        <w:ind w:left="80"/>
        <w:spacing w:after="0" w:line="182" w:lineRule="auto"/>
        <w:rPr>
          <w:sz w:val="20"/>
          <w:szCs w:val="20"/>
          <w:color w:val="auto"/>
        </w:rPr>
      </w:pPr>
      <w:r>
        <w:rPr>
          <w:rFonts w:ascii="Arial" w:cs="Arial" w:eastAsia="Arial" w:hAnsi="Arial"/>
          <w:sz w:val="9"/>
          <w:szCs w:val="9"/>
          <w:color w:val="FFFFFF"/>
          <w:vertAlign w:val="superscript"/>
        </w:rPr>
        <w:t>2</w:t>
      </w:r>
      <w:r>
        <w:rPr>
          <w:rFonts w:ascii="Arial" w:cs="Arial" w:eastAsia="Arial" w:hAnsi="Arial"/>
          <w:sz w:val="7"/>
          <w:szCs w:val="7"/>
          <w:color w:val="FFFFFF"/>
        </w:rPr>
        <w:t>60 million in Sales</w:t>
      </w:r>
    </w:p>
    <w:p>
      <w:pPr>
        <w:spacing w:after="0" w:line="182" w:lineRule="auto"/>
        <w:rPr>
          <w:sz w:val="20"/>
          <w:szCs w:val="20"/>
          <w:color w:val="auto"/>
        </w:rPr>
      </w:pPr>
      <w:r>
        <w:rPr>
          <w:rFonts w:ascii="Arial" w:cs="Arial" w:eastAsia="Arial" w:hAnsi="Arial"/>
          <w:sz w:val="9"/>
          <w:szCs w:val="9"/>
          <w:color w:val="FFFFFF"/>
        </w:rPr>
        <w:t>$1000</w:t>
      </w:r>
    </w:p>
    <w:p>
      <w:pPr>
        <w:spacing w:after="0" w:line="182" w:lineRule="auto"/>
        <w:rPr>
          <w:sz w:val="20"/>
          <w:szCs w:val="20"/>
          <w:color w:val="auto"/>
        </w:rPr>
      </w:pPr>
      <w:r>
        <w:rPr>
          <w:rFonts w:ascii="Arial" w:cs="Arial" w:eastAsia="Arial" w:hAnsi="Arial"/>
          <w:sz w:val="9"/>
          <w:szCs w:val="9"/>
          <w:color w:val="FFFFFF"/>
        </w:rPr>
        <w:t>2013 Base 2018 SP</w:t>
      </w:r>
    </w:p>
    <w:p>
      <w:pPr>
        <w:spacing w:after="0"/>
        <w:rPr>
          <w:sz w:val="20"/>
          <w:szCs w:val="20"/>
          <w:color w:val="auto"/>
        </w:rPr>
      </w:pPr>
      <w:r>
        <w:rPr>
          <w:rFonts w:ascii="Arial" w:cs="Arial" w:eastAsia="Arial" w:hAnsi="Arial"/>
          <w:sz w:val="11"/>
          <w:szCs w:val="11"/>
          <w:color w:val="FFFFFF"/>
        </w:rPr>
        <w:t>NN will be growing revenue at 26% CAGR over the Strategic Plan Years</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FFFFFF"/>
          <w:vertAlign w:val="superscript"/>
        </w:rPr>
        <w:t>End</w:t>
      </w:r>
      <w:r>
        <w:rPr>
          <w:rFonts w:ascii="Arial" w:cs="Arial" w:eastAsia="Arial" w:hAnsi="Arial"/>
          <w:sz w:val="10"/>
          <w:szCs w:val="10"/>
          <w:color w:val="FFFFFF"/>
        </w:rPr>
        <w:t>ThegineNewComponentsNN–ProductsFuel&amp;SystemsGeography</w:t>
      </w:r>
    </w:p>
    <w:p>
      <w:pPr>
        <w:spacing w:after="0" w:line="204" w:lineRule="auto"/>
        <w:rPr>
          <w:sz w:val="20"/>
          <w:szCs w:val="20"/>
          <w:color w:val="auto"/>
        </w:rPr>
      </w:pPr>
      <w:r>
        <w:rPr>
          <w:rFonts w:ascii="Arial" w:cs="Arial" w:eastAsia="Arial" w:hAnsi="Arial"/>
          <w:sz w:val="4"/>
          <w:szCs w:val="4"/>
          <w:color w:val="FFFFFF"/>
        </w:rPr>
        <w:t>Use TransmissionProductCooling System Fans Driveline</w:t>
      </w:r>
    </w:p>
    <w:p>
      <w:pPr>
        <w:spacing w:after="0" w:line="182" w:lineRule="auto"/>
        <w:rPr>
          <w:sz w:val="20"/>
          <w:szCs w:val="20"/>
          <w:color w:val="auto"/>
        </w:rPr>
      </w:pPr>
      <w:r>
        <w:rPr>
          <w:rFonts w:ascii="Arial" w:cs="Arial" w:eastAsia="Arial" w:hAnsi="Arial"/>
          <w:sz w:val="9"/>
          <w:szCs w:val="9"/>
          <w:color w:val="FFFFFF"/>
        </w:rPr>
        <w:t>Plastic &amp; Rubber</w:t>
      </w:r>
    </w:p>
    <w:p>
      <w:pPr>
        <w:spacing w:after="0" w:line="206" w:lineRule="auto"/>
        <w:rPr>
          <w:sz w:val="20"/>
          <w:szCs w:val="20"/>
          <w:color w:val="auto"/>
        </w:rPr>
      </w:pPr>
      <w:r>
        <w:rPr>
          <w:rFonts w:ascii="Arial" w:cs="Arial" w:eastAsia="Arial" w:hAnsi="Arial"/>
          <w:sz w:val="4"/>
          <w:szCs w:val="4"/>
          <w:color w:val="FFFFFF"/>
        </w:rPr>
        <w:t>9%Components</w:t>
      </w:r>
    </w:p>
    <w:p>
      <w:pPr>
        <w:spacing w:after="0" w:line="182" w:lineRule="auto"/>
        <w:rPr>
          <w:sz w:val="20"/>
          <w:szCs w:val="20"/>
          <w:color w:val="auto"/>
        </w:rPr>
      </w:pPr>
      <w:r>
        <w:rPr>
          <w:rFonts w:ascii="Arial" w:cs="Arial" w:eastAsia="Arial" w:hAnsi="Arial"/>
          <w:sz w:val="9"/>
          <w:szCs w:val="9"/>
          <w:color w:val="FFFFFF"/>
        </w:rPr>
        <w:t>Precision</w:t>
      </w:r>
    </w:p>
    <w:p>
      <w:pPr>
        <w:spacing w:after="0" w:line="182" w:lineRule="auto"/>
        <w:rPr>
          <w:sz w:val="20"/>
          <w:szCs w:val="20"/>
          <w:color w:val="auto"/>
        </w:rPr>
      </w:pPr>
      <w:r>
        <w:rPr>
          <w:rFonts w:ascii="Arial" w:cs="Arial" w:eastAsia="Arial" w:hAnsi="Arial"/>
          <w:sz w:val="9"/>
          <w:szCs w:val="9"/>
          <w:color w:val="FFFFFF"/>
        </w:rPr>
        <w:t>Metal21%</w:t>
      </w:r>
    </w:p>
    <w:p>
      <w:pPr>
        <w:spacing w:after="0" w:line="206" w:lineRule="auto"/>
        <w:rPr>
          <w:sz w:val="20"/>
          <w:szCs w:val="20"/>
          <w:color w:val="auto"/>
        </w:rPr>
      </w:pPr>
      <w:r>
        <w:rPr>
          <w:rFonts w:ascii="Arial" w:cs="Arial" w:eastAsia="Arial" w:hAnsi="Arial"/>
          <w:sz w:val="4"/>
          <w:szCs w:val="4"/>
          <w:color w:val="FFFFFF"/>
        </w:rPr>
        <w:t>70%Product Mix Components</w:t>
      </w:r>
    </w:p>
    <w:p>
      <w:pPr>
        <w:spacing w:after="0" w:line="205" w:lineRule="auto"/>
        <w:rPr>
          <w:sz w:val="20"/>
          <w:szCs w:val="20"/>
          <w:color w:val="auto"/>
        </w:rPr>
      </w:pPr>
      <w:r>
        <w:rPr>
          <w:rFonts w:ascii="Arial" w:cs="Arial" w:eastAsia="Arial" w:hAnsi="Arial"/>
          <w:sz w:val="4"/>
          <w:szCs w:val="4"/>
          <w:color w:val="FFFFFF"/>
        </w:rPr>
        <w:t>Metal Bearing</w:t>
      </w:r>
    </w:p>
    <w:p>
      <w:pPr>
        <w:spacing w:after="0" w:line="182" w:lineRule="auto"/>
        <w:rPr>
          <w:sz w:val="20"/>
          <w:szCs w:val="20"/>
          <w:color w:val="auto"/>
        </w:rPr>
      </w:pPr>
      <w:r>
        <w:rPr>
          <w:rFonts w:ascii="Arial" w:cs="Arial" w:eastAsia="Arial" w:hAnsi="Arial"/>
          <w:sz w:val="9"/>
          <w:szCs w:val="9"/>
          <w:color w:val="FFFFFF"/>
        </w:rPr>
        <w:t>Components</w:t>
      </w:r>
    </w:p>
    <w:p>
      <w:pPr>
        <w:spacing w:after="0" w:line="189" w:lineRule="auto"/>
        <w:rPr>
          <w:sz w:val="20"/>
          <w:szCs w:val="20"/>
          <w:color w:val="auto"/>
        </w:rPr>
      </w:pPr>
      <w:r>
        <w:rPr>
          <w:rFonts w:ascii="Arial" w:cs="Arial" w:eastAsia="Arial" w:hAnsi="Arial"/>
          <w:sz w:val="13"/>
          <w:szCs w:val="13"/>
          <w:color w:val="FFFFFF"/>
          <w:vertAlign w:val="subscript"/>
        </w:rPr>
        <w:t>Asia</w:t>
      </w:r>
      <w:r>
        <w:rPr>
          <w:rFonts w:ascii="Arial" w:cs="Arial" w:eastAsia="Arial" w:hAnsi="Arial"/>
          <w:sz w:val="8"/>
          <w:szCs w:val="8"/>
          <w:color w:val="FFFFFF"/>
        </w:rPr>
        <w:t>Southmerica</w:t>
      </w:r>
    </w:p>
    <w:p>
      <w:pPr>
        <w:spacing w:after="0" w:line="206" w:lineRule="auto"/>
        <w:rPr>
          <w:sz w:val="20"/>
          <w:szCs w:val="20"/>
          <w:color w:val="auto"/>
        </w:rPr>
      </w:pPr>
      <w:r>
        <w:rPr>
          <w:rFonts w:ascii="Arial" w:cs="Arial" w:eastAsia="Arial" w:hAnsi="Arial"/>
          <w:sz w:val="4"/>
          <w:szCs w:val="4"/>
          <w:color w:val="FFFFFF"/>
        </w:rPr>
        <w:t>10%3%</w:t>
      </w:r>
    </w:p>
    <w:p>
      <w:pPr>
        <w:spacing w:after="0" w:line="182" w:lineRule="auto"/>
        <w:rPr>
          <w:sz w:val="20"/>
          <w:szCs w:val="20"/>
          <w:color w:val="auto"/>
        </w:rPr>
      </w:pPr>
      <w:r>
        <w:rPr>
          <w:rFonts w:ascii="Arial" w:cs="Arial" w:eastAsia="Arial" w:hAnsi="Arial"/>
          <w:sz w:val="9"/>
          <w:szCs w:val="9"/>
          <w:color w:val="FFFFFF"/>
        </w:rPr>
        <w:t>Geography 47% North</w:t>
      </w:r>
    </w:p>
    <w:p>
      <w:pPr>
        <w:spacing w:after="0" w:line="205" w:lineRule="auto"/>
        <w:rPr>
          <w:sz w:val="20"/>
          <w:szCs w:val="20"/>
          <w:color w:val="auto"/>
        </w:rPr>
      </w:pPr>
      <w:r>
        <w:rPr>
          <w:rFonts w:ascii="Arial" w:cs="Arial" w:eastAsia="Arial" w:hAnsi="Arial"/>
          <w:sz w:val="4"/>
          <w:szCs w:val="4"/>
          <w:color w:val="FFFFFF"/>
        </w:rPr>
        <w:t>40%Europe America</w:t>
      </w:r>
    </w:p>
    <w:p>
      <w:pPr>
        <w:spacing w:after="0" w:line="182" w:lineRule="auto"/>
        <w:rPr>
          <w:sz w:val="20"/>
          <w:szCs w:val="20"/>
          <w:color w:val="auto"/>
        </w:rPr>
      </w:pPr>
      <w:r>
        <w:rPr>
          <w:rFonts w:ascii="Arial" w:cs="Arial" w:eastAsia="Arial" w:hAnsi="Arial"/>
          <w:sz w:val="9"/>
          <w:szCs w:val="9"/>
          <w:color w:val="FFFFFF"/>
        </w:rPr>
        <w:t>Fuel Systems Power Steering</w:t>
      </w:r>
    </w:p>
    <w:p>
      <w:pPr>
        <w:spacing w:after="0" w:line="182" w:lineRule="auto"/>
        <w:rPr>
          <w:sz w:val="20"/>
          <w:szCs w:val="20"/>
          <w:color w:val="auto"/>
        </w:rPr>
      </w:pPr>
      <w:r>
        <w:rPr>
          <w:rFonts w:ascii="Arial" w:cs="Arial" w:eastAsia="Arial" w:hAnsi="Arial"/>
          <w:sz w:val="7"/>
          <w:szCs w:val="7"/>
          <w:color w:val="FFFFFF"/>
        </w:rPr>
        <w:t>MetalEl</w:t>
      </w:r>
      <w:r>
        <w:rPr>
          <w:rFonts w:ascii="Arial" w:cs="Arial" w:eastAsia="Arial" w:hAnsi="Arial"/>
          <w:sz w:val="9"/>
          <w:szCs w:val="9"/>
          <w:color w:val="FFFFFF"/>
          <w:vertAlign w:val="subscript"/>
        </w:rPr>
        <w:t>Prcision</w:t>
      </w:r>
      <w:r>
        <w:rPr>
          <w:rFonts w:ascii="Arial" w:cs="Arial" w:eastAsia="Arial" w:hAnsi="Arial"/>
          <w:sz w:val="7"/>
          <w:szCs w:val="7"/>
          <w:color w:val="FFFFFF"/>
        </w:rPr>
        <w:t>tricMotors Powertrain</w:t>
      </w:r>
    </w:p>
    <w:p>
      <w:pPr>
        <w:spacing w:after="0" w:line="182" w:lineRule="auto"/>
        <w:rPr>
          <w:sz w:val="20"/>
          <w:szCs w:val="20"/>
          <w:color w:val="auto"/>
        </w:rPr>
      </w:pPr>
      <w:r>
        <w:rPr>
          <w:rFonts w:ascii="Arial" w:cs="Arial" w:eastAsia="Arial" w:hAnsi="Arial"/>
          <w:sz w:val="9"/>
          <w:szCs w:val="9"/>
          <w:color w:val="FFFFFF"/>
        </w:rPr>
        <w:t>Components</w:t>
      </w:r>
    </w:p>
    <w:p>
      <w:pPr>
        <w:spacing w:after="0" w:line="183" w:lineRule="auto"/>
        <w:rPr>
          <w:sz w:val="20"/>
          <w:szCs w:val="20"/>
          <w:color w:val="auto"/>
        </w:rPr>
      </w:pPr>
      <w:r>
        <w:rPr>
          <w:rFonts w:ascii="Arial" w:cs="Arial" w:eastAsia="Arial" w:hAnsi="Arial"/>
          <w:sz w:val="9"/>
          <w:szCs w:val="9"/>
          <w:color w:val="FFFFFF"/>
        </w:rPr>
        <w:t>Asia100%</w:t>
      </w:r>
    </w:p>
    <w:p>
      <w:pPr>
        <w:spacing w:after="0" w:line="205" w:lineRule="auto"/>
        <w:rPr>
          <w:sz w:val="20"/>
          <w:szCs w:val="20"/>
          <w:color w:val="auto"/>
        </w:rPr>
      </w:pPr>
      <w:r>
        <w:rPr>
          <w:rFonts w:ascii="Arial" w:cs="Arial" w:eastAsia="Arial" w:hAnsi="Arial"/>
          <w:sz w:val="4"/>
          <w:szCs w:val="4"/>
          <w:color w:val="FFFFFF"/>
        </w:rPr>
        <w:t>Europe7%</w:t>
      </w:r>
    </w:p>
    <w:p>
      <w:pPr>
        <w:spacing w:after="0" w:line="182" w:lineRule="auto"/>
        <w:rPr>
          <w:sz w:val="20"/>
          <w:szCs w:val="20"/>
          <w:color w:val="auto"/>
        </w:rPr>
      </w:pPr>
      <w:r>
        <w:rPr>
          <w:rFonts w:ascii="Arial" w:cs="Arial" w:eastAsia="Arial" w:hAnsi="Arial"/>
          <w:sz w:val="7"/>
          <w:szCs w:val="7"/>
          <w:color w:val="FFFFFF"/>
        </w:rPr>
        <w:t>58%</w:t>
      </w:r>
      <w:r>
        <w:rPr>
          <w:rFonts w:ascii="Arial" w:cs="Arial" w:eastAsia="Arial" w:hAnsi="Arial"/>
          <w:sz w:val="9"/>
          <w:szCs w:val="9"/>
          <w:color w:val="FFFFFF"/>
          <w:vertAlign w:val="superscript"/>
        </w:rPr>
        <w:t>16%</w:t>
      </w:r>
      <w:r>
        <w:rPr>
          <w:rFonts w:ascii="Arial" w:cs="Arial" w:eastAsia="Arial" w:hAnsi="Arial"/>
          <w:sz w:val="7"/>
          <w:szCs w:val="7"/>
          <w:color w:val="FFFFFF"/>
        </w:rPr>
        <w:t xml:space="preserve"> North</w:t>
      </w:r>
    </w:p>
    <w:p>
      <w:pPr>
        <w:spacing w:after="0" w:line="205" w:lineRule="auto"/>
        <w:rPr>
          <w:sz w:val="20"/>
          <w:szCs w:val="20"/>
          <w:color w:val="auto"/>
        </w:rPr>
      </w:pPr>
      <w:r>
        <w:rPr>
          <w:rFonts w:ascii="Arial" w:cs="Arial" w:eastAsia="Arial" w:hAnsi="Arial"/>
          <w:sz w:val="4"/>
          <w:szCs w:val="4"/>
          <w:color w:val="FFFFFF"/>
        </w:rPr>
        <w:t>America</w:t>
      </w:r>
    </w:p>
    <w:p>
      <w:pPr>
        <w:spacing w:after="0" w:line="205" w:lineRule="auto"/>
        <w:rPr>
          <w:sz w:val="20"/>
          <w:szCs w:val="20"/>
          <w:color w:val="auto"/>
        </w:rPr>
      </w:pPr>
      <w:r>
        <w:rPr>
          <w:rFonts w:ascii="Arial" w:cs="Arial" w:eastAsia="Arial" w:hAnsi="Arial"/>
          <w:sz w:val="4"/>
          <w:szCs w:val="4"/>
          <w:color w:val="FFFFFF"/>
        </w:rPr>
        <w:t>South 19%</w:t>
      </w:r>
    </w:p>
    <w:p>
      <w:pPr>
        <w:spacing w:after="0" w:line="205" w:lineRule="auto"/>
        <w:rPr>
          <w:sz w:val="20"/>
          <w:szCs w:val="20"/>
          <w:color w:val="auto"/>
        </w:rPr>
      </w:pPr>
      <w:r>
        <w:rPr>
          <w:rFonts w:ascii="Arial" w:cs="Arial" w:eastAsia="Arial" w:hAnsi="Arial"/>
          <w:sz w:val="4"/>
          <w:szCs w:val="4"/>
          <w:color w:val="FFFFFF"/>
        </w:rPr>
        <w:t>America</w:t>
      </w:r>
    </w:p>
    <w:p>
      <w:pPr>
        <w:spacing w:after="0" w:line="205" w:lineRule="auto"/>
        <w:rPr>
          <w:sz w:val="20"/>
          <w:szCs w:val="20"/>
          <w:color w:val="auto"/>
        </w:rPr>
      </w:pPr>
      <w:r>
        <w:rPr>
          <w:rFonts w:ascii="Arial" w:cs="Arial" w:eastAsia="Arial" w:hAnsi="Arial"/>
          <w:sz w:val="4"/>
          <w:szCs w:val="4"/>
          <w:color w:val="FFFFFF"/>
        </w:rPr>
        <w:t>+</w:t>
      </w:r>
    </w:p>
    <w:p>
      <w:pPr>
        <w:spacing w:after="0" w:line="205" w:lineRule="auto"/>
        <w:rPr>
          <w:sz w:val="20"/>
          <w:szCs w:val="20"/>
          <w:color w:val="auto"/>
        </w:rPr>
      </w:pPr>
      <w:r>
        <w:rPr>
          <w:rFonts w:ascii="Arial" w:cs="Arial" w:eastAsia="Arial" w:hAnsi="Arial"/>
          <w:sz w:val="4"/>
          <w:szCs w:val="4"/>
          <w:color w:val="FFFFFF"/>
        </w:rPr>
        <w:t>Engine Components Steering</w:t>
      </w:r>
    </w:p>
    <w:p>
      <w:pPr>
        <w:spacing w:after="0" w:line="205" w:lineRule="auto"/>
        <w:rPr>
          <w:sz w:val="20"/>
          <w:szCs w:val="20"/>
          <w:color w:val="auto"/>
        </w:rPr>
      </w:pPr>
      <w:r>
        <w:rPr>
          <w:rFonts w:ascii="Arial" w:cs="Arial" w:eastAsia="Arial" w:hAnsi="Arial"/>
          <w:sz w:val="4"/>
          <w:szCs w:val="4"/>
          <w:color w:val="FFFFFF"/>
        </w:rPr>
        <w:t>Fuel Systems Transmission</w:t>
      </w:r>
    </w:p>
    <w:p>
      <w:pPr>
        <w:spacing w:after="0" w:line="205" w:lineRule="auto"/>
        <w:rPr>
          <w:sz w:val="20"/>
          <w:szCs w:val="20"/>
          <w:color w:val="auto"/>
        </w:rPr>
      </w:pPr>
      <w:r>
        <w:rPr>
          <w:rFonts w:ascii="Arial" w:cs="Arial" w:eastAsia="Arial" w:hAnsi="Arial"/>
          <w:sz w:val="4"/>
          <w:szCs w:val="4"/>
          <w:color w:val="FFFFFF"/>
        </w:rPr>
        <w:t>Plastic &amp; Rubber</w:t>
      </w:r>
    </w:p>
    <w:p>
      <w:pPr>
        <w:spacing w:after="0" w:line="205" w:lineRule="auto"/>
        <w:rPr>
          <w:sz w:val="20"/>
          <w:szCs w:val="20"/>
          <w:color w:val="auto"/>
        </w:rPr>
      </w:pPr>
      <w:r>
        <w:rPr>
          <w:rFonts w:ascii="Arial" w:cs="Arial" w:eastAsia="Arial" w:hAnsi="Arial"/>
          <w:sz w:val="4"/>
          <w:szCs w:val="4"/>
          <w:color w:val="FFFFFF"/>
        </w:rPr>
        <w:t>Components</w:t>
      </w:r>
    </w:p>
    <w:p>
      <w:pPr>
        <w:spacing w:after="0" w:line="205" w:lineRule="auto"/>
        <w:rPr>
          <w:sz w:val="20"/>
          <w:szCs w:val="20"/>
          <w:color w:val="auto"/>
        </w:rPr>
      </w:pPr>
      <w:r>
        <w:rPr>
          <w:rFonts w:ascii="Arial" w:cs="Arial" w:eastAsia="Arial" w:hAnsi="Arial"/>
          <w:sz w:val="4"/>
          <w:szCs w:val="4"/>
          <w:color w:val="FFFFFF"/>
        </w:rPr>
        <w:t>6%</w:t>
      </w:r>
    </w:p>
    <w:p>
      <w:pPr>
        <w:spacing w:after="0" w:line="205" w:lineRule="auto"/>
        <w:rPr>
          <w:sz w:val="20"/>
          <w:szCs w:val="20"/>
          <w:color w:val="auto"/>
        </w:rPr>
      </w:pPr>
      <w:r>
        <w:rPr>
          <w:rFonts w:ascii="Arial" w:cs="Arial" w:eastAsia="Arial" w:hAnsi="Arial"/>
          <w:sz w:val="4"/>
          <w:szCs w:val="4"/>
          <w:color w:val="FFFFFF"/>
        </w:rPr>
        <w:t>43% Metal Bearing</w:t>
      </w:r>
    </w:p>
    <w:p>
      <w:pPr>
        <w:spacing w:after="0" w:line="182" w:lineRule="auto"/>
        <w:rPr>
          <w:sz w:val="20"/>
          <w:szCs w:val="20"/>
          <w:color w:val="auto"/>
        </w:rPr>
      </w:pPr>
      <w:r>
        <w:rPr>
          <w:rFonts w:ascii="Arial" w:cs="Arial" w:eastAsia="Arial" w:hAnsi="Arial"/>
          <w:sz w:val="7"/>
          <w:szCs w:val="7"/>
          <w:color w:val="FFFFFF"/>
        </w:rPr>
        <w:t>Pr</w:t>
      </w:r>
      <w:r>
        <w:rPr>
          <w:rFonts w:ascii="Arial" w:cs="Arial" w:eastAsia="Arial" w:hAnsi="Arial"/>
          <w:sz w:val="9"/>
          <w:szCs w:val="9"/>
          <w:color w:val="FFFFFF"/>
          <w:vertAlign w:val="superscript"/>
        </w:rPr>
        <w:t>Metal</w:t>
      </w:r>
      <w:r>
        <w:rPr>
          <w:rFonts w:ascii="Arial" w:cs="Arial" w:eastAsia="Arial" w:hAnsi="Arial"/>
          <w:sz w:val="7"/>
          <w:szCs w:val="7"/>
          <w:color w:val="FFFFFF"/>
        </w:rPr>
        <w:t>cision 51% Components</w:t>
      </w:r>
    </w:p>
    <w:p>
      <w:pPr>
        <w:spacing w:after="0" w:line="206" w:lineRule="auto"/>
        <w:rPr>
          <w:sz w:val="20"/>
          <w:szCs w:val="20"/>
          <w:color w:val="auto"/>
        </w:rPr>
      </w:pPr>
      <w:r>
        <w:rPr>
          <w:rFonts w:ascii="Arial" w:cs="Arial" w:eastAsia="Arial" w:hAnsi="Arial"/>
          <w:sz w:val="4"/>
          <w:szCs w:val="4"/>
          <w:color w:val="FFFFFF"/>
        </w:rPr>
        <w:t>Components</w:t>
      </w:r>
    </w:p>
    <w:p>
      <w:pPr>
        <w:spacing w:after="0" w:line="189" w:lineRule="auto"/>
        <w:rPr>
          <w:sz w:val="20"/>
          <w:szCs w:val="20"/>
          <w:color w:val="auto"/>
        </w:rPr>
      </w:pPr>
      <w:r>
        <w:rPr>
          <w:rFonts w:ascii="Arial" w:cs="Arial" w:eastAsia="Arial" w:hAnsi="Arial"/>
          <w:sz w:val="13"/>
          <w:szCs w:val="13"/>
          <w:color w:val="FFFFFF"/>
        </w:rPr>
        <w:t>AsiaSouth 7%</w:t>
      </w:r>
    </w:p>
    <w:p>
      <w:pPr>
        <w:spacing w:after="0" w:line="205" w:lineRule="auto"/>
        <w:rPr>
          <w:sz w:val="20"/>
          <w:szCs w:val="20"/>
          <w:color w:val="auto"/>
        </w:rPr>
      </w:pPr>
      <w:r>
        <w:rPr>
          <w:rFonts w:ascii="Arial" w:cs="Arial" w:eastAsia="Arial" w:hAnsi="Arial"/>
          <w:sz w:val="4"/>
          <w:szCs w:val="4"/>
          <w:color w:val="FFFFFF"/>
        </w:rPr>
        <w:t>11%America</w:t>
      </w:r>
    </w:p>
    <w:p>
      <w:pPr>
        <w:spacing w:after="0" w:line="182" w:lineRule="auto"/>
        <w:rPr>
          <w:sz w:val="20"/>
          <w:szCs w:val="20"/>
          <w:color w:val="auto"/>
        </w:rPr>
      </w:pPr>
      <w:r>
        <w:rPr>
          <w:rFonts w:ascii="Arial" w:cs="Arial" w:eastAsia="Arial" w:hAnsi="Arial"/>
          <w:sz w:val="9"/>
          <w:szCs w:val="9"/>
          <w:color w:val="FFFFFF"/>
        </w:rPr>
        <w:t>50% North</w:t>
      </w:r>
    </w:p>
    <w:p>
      <w:pPr>
        <w:spacing w:after="0" w:line="206" w:lineRule="auto"/>
        <w:rPr>
          <w:sz w:val="20"/>
          <w:szCs w:val="20"/>
          <w:color w:val="auto"/>
        </w:rPr>
      </w:pPr>
      <w:r>
        <w:rPr>
          <w:rFonts w:ascii="Arial" w:cs="Arial" w:eastAsia="Arial" w:hAnsi="Arial"/>
          <w:sz w:val="4"/>
          <w:szCs w:val="4"/>
          <w:color w:val="FFFFFF"/>
        </w:rPr>
        <w:t>EuropeAmerica32%</w:t>
      </w:r>
    </w:p>
    <w:p>
      <w:pPr>
        <w:spacing w:after="0"/>
        <w:rPr>
          <w:sz w:val="20"/>
          <w:szCs w:val="20"/>
          <w:color w:val="auto"/>
        </w:rPr>
      </w:pPr>
      <w:r>
        <w:rPr>
          <w:rFonts w:ascii="Arial" w:cs="Arial" w:eastAsia="Arial" w:hAnsi="Arial"/>
          <w:sz w:val="11"/>
          <w:szCs w:val="11"/>
          <w:color w:val="FFFFFF"/>
        </w:rPr>
        <w:t>Improved balance among geographic focus and product mix</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NexteerTheNew NN – Customers &amp; Markets</w:t>
      </w:r>
    </w:p>
    <w:p>
      <w:pPr>
        <w:spacing w:after="0" w:line="204" w:lineRule="auto"/>
        <w:rPr>
          <w:sz w:val="20"/>
          <w:szCs w:val="20"/>
          <w:color w:val="auto"/>
        </w:rPr>
      </w:pPr>
      <w:r>
        <w:rPr>
          <w:rFonts w:ascii="Arial" w:cs="Arial" w:eastAsia="Arial" w:hAnsi="Arial"/>
          <w:sz w:val="4"/>
          <w:szCs w:val="4"/>
          <w:color w:val="FFFFFF"/>
        </w:rPr>
        <w:t>IljinTimken</w:t>
      </w:r>
    </w:p>
    <w:p>
      <w:pPr>
        <w:spacing w:after="0" w:line="189" w:lineRule="auto"/>
        <w:rPr>
          <w:sz w:val="20"/>
          <w:szCs w:val="20"/>
          <w:color w:val="auto"/>
        </w:rPr>
      </w:pPr>
      <w:r>
        <w:rPr>
          <w:rFonts w:ascii="Arial" w:cs="Arial" w:eastAsia="Arial" w:hAnsi="Arial"/>
          <w:sz w:val="13"/>
          <w:szCs w:val="13"/>
          <w:color w:val="FFFFFF"/>
        </w:rPr>
        <w:t>2%GKN1%3%</w:t>
      </w:r>
    </w:p>
    <w:p>
      <w:pPr>
        <w:spacing w:after="0" w:line="182" w:lineRule="auto"/>
        <w:rPr>
          <w:sz w:val="20"/>
          <w:szCs w:val="20"/>
          <w:color w:val="auto"/>
        </w:rPr>
      </w:pPr>
      <w:r>
        <w:rPr>
          <w:rFonts w:ascii="Arial" w:cs="Arial" w:eastAsia="Arial" w:hAnsi="Arial"/>
          <w:sz w:val="9"/>
          <w:szCs w:val="9"/>
          <w:color w:val="FFFFFF"/>
        </w:rPr>
        <w:t>HILITE3%</w:t>
      </w:r>
    </w:p>
    <w:p>
      <w:pPr>
        <w:spacing w:after="0" w:line="183" w:lineRule="auto"/>
        <w:rPr>
          <w:sz w:val="20"/>
          <w:szCs w:val="20"/>
          <w:color w:val="auto"/>
        </w:rPr>
      </w:pPr>
      <w:r>
        <w:rPr>
          <w:rFonts w:ascii="Arial" w:cs="Arial" w:eastAsia="Arial" w:hAnsi="Arial"/>
          <w:sz w:val="9"/>
          <w:szCs w:val="9"/>
          <w:color w:val="FFFFFF"/>
        </w:rPr>
        <w:t>SKF6%</w:t>
      </w:r>
    </w:p>
    <w:p>
      <w:pPr>
        <w:spacing w:after="0" w:line="205" w:lineRule="auto"/>
        <w:rPr>
          <w:sz w:val="20"/>
          <w:szCs w:val="20"/>
          <w:color w:val="auto"/>
        </w:rPr>
      </w:pPr>
      <w:r>
        <w:rPr>
          <w:rFonts w:ascii="Arial" w:cs="Arial" w:eastAsia="Arial" w:hAnsi="Arial"/>
          <w:sz w:val="4"/>
          <w:szCs w:val="4"/>
          <w:color w:val="FFFFFF"/>
        </w:rPr>
        <w:t>CustomersTopTen(Copeland) Emerson 6% 36%</w:t>
      </w:r>
    </w:p>
    <w:p>
      <w:pPr>
        <w:spacing w:after="0" w:line="205" w:lineRule="auto"/>
        <w:rPr>
          <w:sz w:val="20"/>
          <w:szCs w:val="20"/>
          <w:color w:val="auto"/>
        </w:rPr>
      </w:pPr>
      <w:r>
        <w:rPr>
          <w:rFonts w:ascii="Arial" w:cs="Arial" w:eastAsia="Arial" w:hAnsi="Arial"/>
          <w:sz w:val="4"/>
          <w:szCs w:val="4"/>
          <w:color w:val="FFFFFF"/>
        </w:rPr>
        <w:t>7%</w:t>
      </w:r>
    </w:p>
    <w:p>
      <w:pPr>
        <w:spacing w:after="0" w:line="182" w:lineRule="auto"/>
        <w:rPr>
          <w:sz w:val="20"/>
          <w:szCs w:val="20"/>
          <w:color w:val="auto"/>
        </w:rPr>
      </w:pPr>
      <w:r>
        <w:rPr>
          <w:rFonts w:ascii="Arial" w:cs="Arial" w:eastAsia="Arial" w:hAnsi="Arial"/>
          <w:sz w:val="9"/>
          <w:szCs w:val="9"/>
          <w:color w:val="FFFFFF"/>
        </w:rPr>
        <w:t>Schaeffler/</w:t>
      </w:r>
    </w:p>
    <w:p>
      <w:pPr>
        <w:spacing w:after="0" w:line="205" w:lineRule="auto"/>
        <w:rPr>
          <w:sz w:val="20"/>
          <w:szCs w:val="20"/>
          <w:color w:val="auto"/>
        </w:rPr>
      </w:pPr>
      <w:r>
        <w:rPr>
          <w:rFonts w:ascii="Arial" w:cs="Arial" w:eastAsia="Arial" w:hAnsi="Arial"/>
          <w:sz w:val="4"/>
          <w:szCs w:val="4"/>
          <w:color w:val="FFFFFF"/>
        </w:rPr>
        <w:t>INA/FAG</w:t>
      </w:r>
    </w:p>
    <w:p>
      <w:pPr>
        <w:spacing w:after="0" w:line="182" w:lineRule="auto"/>
        <w:rPr>
          <w:sz w:val="20"/>
          <w:szCs w:val="20"/>
          <w:color w:val="auto"/>
        </w:rPr>
      </w:pPr>
      <w:r>
        <w:rPr>
          <w:rFonts w:ascii="Arial" w:cs="Arial" w:eastAsia="Arial" w:hAnsi="Arial"/>
          <w:sz w:val="9"/>
          <w:szCs w:val="9"/>
          <w:color w:val="FFFFFF"/>
        </w:rPr>
        <w:t>ZF7% 7%</w:t>
      </w:r>
    </w:p>
    <w:p>
      <w:pPr>
        <w:spacing w:after="0" w:line="182" w:lineRule="auto"/>
        <w:rPr>
          <w:sz w:val="20"/>
          <w:szCs w:val="20"/>
          <w:color w:val="auto"/>
        </w:rPr>
      </w:pPr>
      <w:r>
        <w:rPr>
          <w:rFonts w:ascii="Arial" w:cs="Arial" w:eastAsia="Arial" w:hAnsi="Arial"/>
          <w:sz w:val="9"/>
          <w:szCs w:val="9"/>
          <w:color w:val="FFFFFF"/>
        </w:rPr>
        <w:t>AerospaceNTN/SNR</w:t>
      </w:r>
    </w:p>
    <w:p>
      <w:pPr>
        <w:spacing w:after="0" w:line="206" w:lineRule="auto"/>
        <w:rPr>
          <w:sz w:val="20"/>
          <w:szCs w:val="20"/>
          <w:color w:val="auto"/>
        </w:rPr>
      </w:pPr>
      <w:r>
        <w:rPr>
          <w:rFonts w:ascii="Arial" w:cs="Arial" w:eastAsia="Arial" w:hAnsi="Arial"/>
          <w:sz w:val="4"/>
          <w:szCs w:val="4"/>
          <w:color w:val="FFFFFF"/>
        </w:rPr>
        <w:t>HVAC&lt;1%&lt;1%4% Consumer / Other</w:t>
      </w:r>
    </w:p>
    <w:p>
      <w:pPr>
        <w:spacing w:after="0" w:line="205" w:lineRule="auto"/>
        <w:rPr>
          <w:sz w:val="20"/>
          <w:szCs w:val="20"/>
          <w:color w:val="auto"/>
        </w:rPr>
      </w:pPr>
      <w:r>
        <w:rPr>
          <w:rFonts w:ascii="Arial" w:cs="Arial" w:eastAsia="Arial" w:hAnsi="Arial"/>
          <w:sz w:val="4"/>
          <w:szCs w:val="4"/>
          <w:color w:val="FFFFFF"/>
        </w:rPr>
        <w:t>Commercial 5%</w:t>
      </w:r>
    </w:p>
    <w:p>
      <w:pPr>
        <w:spacing w:after="0" w:line="205" w:lineRule="auto"/>
        <w:rPr>
          <w:sz w:val="20"/>
          <w:szCs w:val="20"/>
          <w:color w:val="auto"/>
        </w:rPr>
      </w:pPr>
      <w:r>
        <w:rPr>
          <w:rFonts w:ascii="Arial" w:cs="Arial" w:eastAsia="Arial" w:hAnsi="Arial"/>
          <w:sz w:val="4"/>
          <w:szCs w:val="4"/>
          <w:color w:val="FFFFFF"/>
        </w:rPr>
        <w:t>Vehicles 5%</w:t>
      </w:r>
    </w:p>
    <w:p>
      <w:pPr>
        <w:spacing w:after="0" w:line="205" w:lineRule="auto"/>
        <w:rPr>
          <w:sz w:val="20"/>
          <w:szCs w:val="20"/>
          <w:color w:val="auto"/>
        </w:rPr>
      </w:pPr>
      <w:r>
        <w:rPr>
          <w:rFonts w:ascii="Arial" w:cs="Arial" w:eastAsia="Arial" w:hAnsi="Arial"/>
          <w:sz w:val="4"/>
          <w:szCs w:val="4"/>
          <w:color w:val="FFFFFF"/>
        </w:rPr>
        <w:t>End Markets</w:t>
      </w:r>
    </w:p>
    <w:p>
      <w:pPr>
        <w:spacing w:after="0" w:line="205" w:lineRule="auto"/>
        <w:rPr>
          <w:sz w:val="20"/>
          <w:szCs w:val="20"/>
          <w:color w:val="auto"/>
        </w:rPr>
      </w:pPr>
      <w:r>
        <w:rPr>
          <w:rFonts w:ascii="Arial" w:cs="Arial" w:eastAsia="Arial" w:hAnsi="Arial"/>
          <w:sz w:val="4"/>
          <w:szCs w:val="4"/>
          <w:color w:val="FFFFFF"/>
        </w:rPr>
        <w:t>General 25%</w:t>
      </w:r>
    </w:p>
    <w:p>
      <w:pPr>
        <w:spacing w:after="0" w:line="205" w:lineRule="auto"/>
        <w:rPr>
          <w:sz w:val="20"/>
          <w:szCs w:val="20"/>
          <w:color w:val="auto"/>
        </w:rPr>
      </w:pPr>
      <w:r>
        <w:rPr>
          <w:rFonts w:ascii="Arial" w:cs="Arial" w:eastAsia="Arial" w:hAnsi="Arial"/>
          <w:sz w:val="4"/>
          <w:szCs w:val="4"/>
          <w:color w:val="FFFFFF"/>
        </w:rPr>
        <w:t>Industrial 59%</w:t>
      </w:r>
    </w:p>
    <w:p>
      <w:pPr>
        <w:spacing w:after="0" w:line="205" w:lineRule="auto"/>
        <w:rPr>
          <w:sz w:val="20"/>
          <w:szCs w:val="20"/>
          <w:color w:val="auto"/>
        </w:rPr>
      </w:pPr>
      <w:r>
        <w:rPr>
          <w:rFonts w:ascii="Arial" w:cs="Arial" w:eastAsia="Arial" w:hAnsi="Arial"/>
          <w:sz w:val="4"/>
          <w:szCs w:val="4"/>
          <w:color w:val="FFFFFF"/>
        </w:rPr>
        <w:t>Light Auto</w:t>
      </w:r>
    </w:p>
    <w:p>
      <w:pPr>
        <w:spacing w:after="0" w:line="205" w:lineRule="auto"/>
        <w:rPr>
          <w:sz w:val="20"/>
          <w:szCs w:val="20"/>
          <w:color w:val="auto"/>
        </w:rPr>
      </w:pPr>
      <w:r>
        <w:rPr>
          <w:rFonts w:ascii="Arial" w:cs="Arial" w:eastAsia="Arial" w:hAnsi="Arial"/>
          <w:sz w:val="4"/>
          <w:szCs w:val="4"/>
          <w:color w:val="FFFFFF"/>
        </w:rPr>
        <w:t>Brose</w:t>
      </w:r>
    </w:p>
    <w:p>
      <w:pPr>
        <w:spacing w:after="0" w:line="205" w:lineRule="auto"/>
        <w:rPr>
          <w:sz w:val="20"/>
          <w:szCs w:val="20"/>
          <w:color w:val="auto"/>
        </w:rPr>
      </w:pPr>
      <w:r>
        <w:rPr>
          <w:rFonts w:ascii="Arial" w:cs="Arial" w:eastAsia="Arial" w:hAnsi="Arial"/>
          <w:sz w:val="4"/>
          <w:szCs w:val="4"/>
          <w:color w:val="FFFFFF"/>
        </w:rPr>
        <w:t>Hitachi</w:t>
      </w:r>
    </w:p>
    <w:p>
      <w:pPr>
        <w:spacing w:after="0" w:line="205" w:lineRule="auto"/>
        <w:rPr>
          <w:sz w:val="20"/>
          <w:szCs w:val="20"/>
          <w:color w:val="auto"/>
        </w:rPr>
      </w:pPr>
      <w:r>
        <w:rPr>
          <w:rFonts w:ascii="Arial" w:cs="Arial" w:eastAsia="Arial" w:hAnsi="Arial"/>
          <w:sz w:val="4"/>
          <w:szCs w:val="4"/>
          <w:color w:val="FFFFFF"/>
        </w:rPr>
        <w:t>Continental 3%</w:t>
      </w:r>
    </w:p>
    <w:p>
      <w:pPr>
        <w:spacing w:after="0" w:line="182" w:lineRule="auto"/>
        <w:rPr>
          <w:sz w:val="20"/>
          <w:szCs w:val="20"/>
          <w:color w:val="auto"/>
        </w:rPr>
      </w:pPr>
      <w:r>
        <w:rPr>
          <w:rFonts w:ascii="Arial" w:cs="Arial" w:eastAsia="Arial" w:hAnsi="Arial"/>
          <w:sz w:val="7"/>
          <w:szCs w:val="7"/>
          <w:color w:val="FFFFFF"/>
        </w:rPr>
        <w:t>4%</w:t>
      </w:r>
      <w:r>
        <w:rPr>
          <w:rFonts w:ascii="Arial" w:cs="Arial" w:eastAsia="Arial" w:hAnsi="Arial"/>
          <w:sz w:val="9"/>
          <w:szCs w:val="9"/>
          <w:color w:val="FFFFFF"/>
          <w:vertAlign w:val="superscript"/>
        </w:rPr>
        <w:t>3%</w:t>
      </w:r>
    </w:p>
    <w:p>
      <w:pPr>
        <w:ind w:left="220"/>
        <w:spacing w:after="0" w:line="205" w:lineRule="auto"/>
        <w:rPr>
          <w:sz w:val="20"/>
          <w:szCs w:val="20"/>
          <w:color w:val="auto"/>
        </w:rPr>
      </w:pPr>
      <w:r>
        <w:rPr>
          <w:rFonts w:ascii="Arial" w:cs="Arial" w:eastAsia="Arial" w:hAnsi="Arial"/>
          <w:sz w:val="4"/>
          <w:szCs w:val="4"/>
          <w:color w:val="FFFFFF"/>
        </w:rPr>
        <w:t>Bosch</w:t>
      </w:r>
    </w:p>
    <w:p>
      <w:pPr>
        <w:spacing w:after="0" w:line="182" w:lineRule="auto"/>
        <w:rPr>
          <w:sz w:val="20"/>
          <w:szCs w:val="20"/>
          <w:color w:val="auto"/>
        </w:rPr>
      </w:pPr>
      <w:r>
        <w:rPr>
          <w:rFonts w:ascii="Arial" w:cs="Arial" w:eastAsia="Arial" w:hAnsi="Arial"/>
          <w:sz w:val="9"/>
          <w:szCs w:val="9"/>
          <w:color w:val="FFFFFF"/>
          <w:vertAlign w:val="subscript"/>
        </w:rPr>
        <w:t>Delphi</w:t>
      </w:r>
      <w:r>
        <w:rPr>
          <w:rFonts w:ascii="Arial" w:cs="Arial" w:eastAsia="Arial" w:hAnsi="Arial"/>
          <w:sz w:val="7"/>
          <w:szCs w:val="7"/>
          <w:color w:val="FFFFFF"/>
        </w:rPr>
        <w:t>nso 3%7% 19%</w:t>
      </w:r>
    </w:p>
    <w:p>
      <w:pPr>
        <w:spacing w:after="0" w:line="206" w:lineRule="auto"/>
        <w:rPr>
          <w:sz w:val="20"/>
          <w:szCs w:val="20"/>
          <w:color w:val="auto"/>
        </w:rPr>
      </w:pPr>
      <w:r>
        <w:rPr>
          <w:rFonts w:ascii="Arial" w:cs="Arial" w:eastAsia="Arial" w:hAnsi="Arial"/>
          <w:sz w:val="2"/>
          <w:szCs w:val="2"/>
          <w:color w:val="FFFFFF"/>
        </w:rPr>
        <w:t>TRW</w:t>
      </w:r>
      <w:r>
        <w:rPr>
          <w:rFonts w:ascii="Arial" w:cs="Arial" w:eastAsia="Arial" w:hAnsi="Arial"/>
          <w:sz w:val="4"/>
          <w:szCs w:val="4"/>
          <w:color w:val="FFFFFF"/>
          <w:vertAlign w:val="subscript"/>
        </w:rPr>
        <w:t>6%</w:t>
      </w:r>
      <w:r>
        <w:rPr>
          <w:rFonts w:ascii="Arial" w:cs="Arial" w:eastAsia="Arial" w:hAnsi="Arial"/>
          <w:sz w:val="2"/>
          <w:szCs w:val="2"/>
          <w:color w:val="FFFFFF"/>
        </w:rPr>
        <w:t xml:space="preserve"> 11%</w:t>
      </w:r>
    </w:p>
    <w:p>
      <w:pPr>
        <w:spacing w:after="0" w:line="189" w:lineRule="auto"/>
        <w:rPr>
          <w:sz w:val="20"/>
          <w:szCs w:val="20"/>
          <w:color w:val="auto"/>
        </w:rPr>
      </w:pPr>
      <w:r>
        <w:rPr>
          <w:rFonts w:ascii="Arial" w:cs="Arial" w:eastAsia="Arial" w:hAnsi="Arial"/>
          <w:sz w:val="13"/>
          <w:szCs w:val="13"/>
          <w:color w:val="FFFFFF"/>
          <w:vertAlign w:val="superscript"/>
        </w:rPr>
        <w:t>8%</w:t>
      </w:r>
      <w:r>
        <w:rPr>
          <w:rFonts w:ascii="Arial" w:cs="Arial" w:eastAsia="Arial" w:hAnsi="Arial"/>
          <w:sz w:val="8"/>
          <w:szCs w:val="8"/>
          <w:color w:val="FFFFFF"/>
        </w:rPr>
        <w:t>7% Fiat</w:t>
      </w:r>
    </w:p>
    <w:p>
      <w:pPr>
        <w:spacing w:after="0" w:line="205" w:lineRule="auto"/>
        <w:rPr>
          <w:sz w:val="20"/>
          <w:szCs w:val="20"/>
          <w:color w:val="auto"/>
        </w:rPr>
      </w:pPr>
      <w:r>
        <w:rPr>
          <w:rFonts w:ascii="Arial" w:cs="Arial" w:eastAsia="Arial" w:hAnsi="Arial"/>
          <w:sz w:val="4"/>
          <w:szCs w:val="4"/>
          <w:color w:val="FFFFFF"/>
        </w:rPr>
        <w:t>GM</w:t>
      </w:r>
    </w:p>
    <w:p>
      <w:pPr>
        <w:spacing w:after="0" w:line="182" w:lineRule="auto"/>
        <w:rPr>
          <w:sz w:val="20"/>
          <w:szCs w:val="20"/>
          <w:color w:val="auto"/>
        </w:rPr>
      </w:pPr>
      <w:r>
        <w:rPr>
          <w:rFonts w:ascii="Arial" w:cs="Arial" w:eastAsia="Arial" w:hAnsi="Arial"/>
          <w:sz w:val="9"/>
          <w:szCs w:val="9"/>
          <w:color w:val="FFFFFF"/>
        </w:rPr>
        <w:t>OtherCummins</w:t>
      </w:r>
    </w:p>
    <w:p>
      <w:pPr>
        <w:spacing w:after="0" w:line="206" w:lineRule="auto"/>
        <w:rPr>
          <w:sz w:val="20"/>
          <w:szCs w:val="20"/>
          <w:color w:val="auto"/>
        </w:rPr>
      </w:pPr>
      <w:r>
        <w:rPr>
          <w:rFonts w:ascii="Arial" w:cs="Arial" w:eastAsia="Arial" w:hAnsi="Arial"/>
          <w:sz w:val="4"/>
          <w:szCs w:val="4"/>
          <w:color w:val="FFFFFF"/>
        </w:rPr>
        <w:t>Commercial</w:t>
      </w:r>
    </w:p>
    <w:p>
      <w:pPr>
        <w:spacing w:after="0" w:line="182" w:lineRule="auto"/>
        <w:rPr>
          <w:sz w:val="20"/>
          <w:szCs w:val="20"/>
          <w:color w:val="auto"/>
        </w:rPr>
      </w:pPr>
      <w:r>
        <w:rPr>
          <w:rFonts w:ascii="Arial" w:cs="Arial" w:eastAsia="Arial" w:hAnsi="Arial"/>
          <w:sz w:val="9"/>
          <w:szCs w:val="9"/>
          <w:color w:val="FFFFFF"/>
        </w:rPr>
        <w:t>9%Vehicles 4%</w:t>
      </w:r>
    </w:p>
    <w:p>
      <w:pPr>
        <w:spacing w:after="0" w:line="205" w:lineRule="auto"/>
        <w:rPr>
          <w:sz w:val="20"/>
          <w:szCs w:val="20"/>
          <w:color w:val="auto"/>
        </w:rPr>
      </w:pPr>
      <w:r>
        <w:rPr>
          <w:rFonts w:ascii="Arial" w:cs="Arial" w:eastAsia="Arial" w:hAnsi="Arial"/>
          <w:sz w:val="4"/>
          <w:szCs w:val="4"/>
          <w:color w:val="FFFFFF"/>
        </w:rPr>
        <w:t>Light87% Auto</w:t>
      </w:r>
    </w:p>
    <w:p>
      <w:pPr>
        <w:spacing w:after="0" w:line="182" w:lineRule="auto"/>
        <w:rPr>
          <w:sz w:val="20"/>
          <w:szCs w:val="20"/>
          <w:color w:val="auto"/>
        </w:rPr>
      </w:pPr>
      <w:r>
        <w:rPr>
          <w:rFonts w:ascii="Arial" w:cs="Arial" w:eastAsia="Arial" w:hAnsi="Arial"/>
          <w:sz w:val="9"/>
          <w:szCs w:val="9"/>
          <w:color w:val="FFFFFF"/>
        </w:rPr>
        <w:t>+</w:t>
      </w:r>
    </w:p>
    <w:p>
      <w:pPr>
        <w:spacing w:after="0" w:line="206" w:lineRule="auto"/>
        <w:rPr>
          <w:sz w:val="20"/>
          <w:szCs w:val="20"/>
          <w:color w:val="auto"/>
        </w:rPr>
      </w:pPr>
      <w:r>
        <w:rPr>
          <w:rFonts w:ascii="Arial" w:cs="Arial" w:eastAsia="Arial" w:hAnsi="Arial"/>
          <w:sz w:val="4"/>
          <w:szCs w:val="4"/>
          <w:color w:val="FFFFFF"/>
        </w:rPr>
        <w:t>TRW</w:t>
      </w:r>
    </w:p>
    <w:p>
      <w:pPr>
        <w:spacing w:after="0" w:line="182" w:lineRule="auto"/>
        <w:rPr>
          <w:sz w:val="20"/>
          <w:szCs w:val="20"/>
          <w:color w:val="auto"/>
        </w:rPr>
      </w:pPr>
      <w:r>
        <w:rPr>
          <w:rFonts w:ascii="Arial" w:cs="Arial" w:eastAsia="Arial" w:hAnsi="Arial"/>
          <w:sz w:val="9"/>
          <w:szCs w:val="9"/>
          <w:color w:val="FFFFFF"/>
        </w:rPr>
        <w:t>HILITECummins3%</w:t>
      </w:r>
    </w:p>
    <w:p>
      <w:pPr>
        <w:spacing w:after="0" w:line="205" w:lineRule="auto"/>
        <w:rPr>
          <w:sz w:val="20"/>
          <w:szCs w:val="20"/>
          <w:color w:val="auto"/>
        </w:rPr>
      </w:pPr>
      <w:r>
        <w:rPr>
          <w:rFonts w:ascii="Arial" w:cs="Arial" w:eastAsia="Arial" w:hAnsi="Arial"/>
          <w:sz w:val="4"/>
          <w:szCs w:val="4"/>
          <w:color w:val="FFFFFF"/>
        </w:rPr>
        <w:t>Emerson3% 3%</w:t>
      </w:r>
    </w:p>
    <w:p>
      <w:pPr>
        <w:spacing w:after="0" w:line="182" w:lineRule="auto"/>
        <w:rPr>
          <w:sz w:val="20"/>
          <w:szCs w:val="20"/>
          <w:color w:val="auto"/>
        </w:rPr>
      </w:pPr>
      <w:r>
        <w:rPr>
          <w:rFonts w:ascii="Arial" w:cs="Arial" w:eastAsia="Arial" w:hAnsi="Arial"/>
          <w:sz w:val="9"/>
          <w:szCs w:val="9"/>
          <w:color w:val="FFFFFF"/>
        </w:rPr>
        <w:t>SKF</w:t>
      </w:r>
    </w:p>
    <w:p>
      <w:pPr>
        <w:spacing w:after="0" w:line="206" w:lineRule="auto"/>
        <w:rPr>
          <w:sz w:val="20"/>
          <w:szCs w:val="20"/>
          <w:color w:val="auto"/>
        </w:rPr>
      </w:pPr>
      <w:r>
        <w:rPr>
          <w:rFonts w:ascii="Arial" w:cs="Arial" w:eastAsia="Arial" w:hAnsi="Arial"/>
          <w:sz w:val="4"/>
          <w:szCs w:val="4"/>
          <w:color w:val="FFFFFF"/>
        </w:rPr>
        <w:t>Schaeffler/(Copeland) 4%4% 22%</w:t>
      </w:r>
    </w:p>
    <w:p>
      <w:pPr>
        <w:spacing w:after="0" w:line="182" w:lineRule="auto"/>
        <w:rPr>
          <w:sz w:val="20"/>
          <w:szCs w:val="20"/>
          <w:color w:val="auto"/>
        </w:rPr>
      </w:pPr>
      <w:r>
        <w:rPr>
          <w:rFonts w:ascii="Arial" w:cs="Arial" w:eastAsia="Arial" w:hAnsi="Arial"/>
          <w:sz w:val="9"/>
          <w:szCs w:val="9"/>
          <w:color w:val="FFFFFF"/>
        </w:rPr>
        <w:t>INA/FAG</w:t>
      </w:r>
    </w:p>
    <w:p>
      <w:pPr>
        <w:spacing w:after="0" w:line="205" w:lineRule="auto"/>
        <w:rPr>
          <w:sz w:val="20"/>
          <w:szCs w:val="20"/>
          <w:color w:val="auto"/>
        </w:rPr>
      </w:pPr>
      <w:r>
        <w:rPr>
          <w:rFonts w:ascii="Arial" w:cs="Arial" w:eastAsia="Arial" w:hAnsi="Arial"/>
          <w:sz w:val="4"/>
          <w:szCs w:val="4"/>
          <w:color w:val="FFFFFF"/>
        </w:rPr>
        <w:t>ZF4%</w:t>
      </w:r>
    </w:p>
    <w:p>
      <w:pPr>
        <w:spacing w:after="0" w:line="182" w:lineRule="auto"/>
        <w:rPr>
          <w:sz w:val="20"/>
          <w:szCs w:val="20"/>
          <w:color w:val="auto"/>
        </w:rPr>
      </w:pPr>
      <w:r>
        <w:rPr>
          <w:rFonts w:ascii="Arial" w:cs="Arial" w:eastAsia="Arial" w:hAnsi="Arial"/>
          <w:sz w:val="7"/>
          <w:szCs w:val="7"/>
          <w:color w:val="FFFFFF"/>
        </w:rPr>
        <w:t>4%</w:t>
      </w:r>
      <w:r>
        <w:rPr>
          <w:rFonts w:ascii="Arial" w:cs="Arial" w:eastAsia="Arial" w:hAnsi="Arial"/>
          <w:sz w:val="9"/>
          <w:szCs w:val="9"/>
          <w:color w:val="FFFFFF"/>
          <w:vertAlign w:val="subscript"/>
        </w:rPr>
        <w:t>5%</w:t>
      </w:r>
      <w:r>
        <w:rPr>
          <w:rFonts w:ascii="Arial" w:cs="Arial" w:eastAsia="Arial" w:hAnsi="Arial"/>
          <w:sz w:val="7"/>
          <w:szCs w:val="7"/>
          <w:color w:val="FFFFFF"/>
        </w:rPr>
        <w:t xml:space="preserve"> 8%</w:t>
      </w:r>
    </w:p>
    <w:p>
      <w:pPr>
        <w:spacing w:after="0" w:line="182" w:lineRule="auto"/>
        <w:rPr>
          <w:sz w:val="20"/>
          <w:szCs w:val="20"/>
          <w:color w:val="auto"/>
        </w:rPr>
      </w:pPr>
      <w:r>
        <w:rPr>
          <w:rFonts w:ascii="Arial" w:cs="Arial" w:eastAsia="Arial" w:hAnsi="Arial"/>
          <w:sz w:val="9"/>
          <w:szCs w:val="9"/>
          <w:color w:val="FFFFFF"/>
        </w:rPr>
        <w:t>NTN/SNR Bosch</w:t>
      </w:r>
    </w:p>
    <w:p>
      <w:pPr>
        <w:spacing w:after="0" w:line="182" w:lineRule="auto"/>
        <w:rPr>
          <w:sz w:val="20"/>
          <w:szCs w:val="20"/>
          <w:color w:val="auto"/>
        </w:rPr>
      </w:pPr>
      <w:r>
        <w:rPr>
          <w:rFonts w:ascii="Arial" w:cs="Arial" w:eastAsia="Arial" w:hAnsi="Arial"/>
          <w:sz w:val="9"/>
          <w:szCs w:val="9"/>
          <w:color w:val="FFFFFF"/>
          <w:vertAlign w:val="subscript"/>
        </w:rPr>
        <w:t>Commercial</w:t>
      </w:r>
      <w:r>
        <w:rPr>
          <w:rFonts w:ascii="Arial" w:cs="Arial" w:eastAsia="Arial" w:hAnsi="Arial"/>
          <w:sz w:val="7"/>
          <w:szCs w:val="7"/>
          <w:color w:val="FFFFFF"/>
        </w:rPr>
        <w:t>Fiatnsumer2% Other</w:t>
      </w:r>
    </w:p>
    <w:p>
      <w:pPr>
        <w:spacing w:after="0" w:line="206" w:lineRule="auto"/>
        <w:rPr>
          <w:sz w:val="20"/>
          <w:szCs w:val="20"/>
          <w:color w:val="auto"/>
        </w:rPr>
      </w:pPr>
      <w:r>
        <w:rPr>
          <w:rFonts w:ascii="Arial" w:cs="Arial" w:eastAsia="Arial" w:hAnsi="Arial"/>
          <w:sz w:val="4"/>
          <w:szCs w:val="4"/>
          <w:color w:val="FFFFFF"/>
        </w:rPr>
        <w:t>Vehicles 3%</w:t>
      </w:r>
    </w:p>
    <w:p>
      <w:pPr>
        <w:spacing w:after="0" w:line="189" w:lineRule="auto"/>
        <w:rPr>
          <w:sz w:val="20"/>
          <w:szCs w:val="20"/>
          <w:color w:val="auto"/>
        </w:rPr>
      </w:pPr>
      <w:r>
        <w:rPr>
          <w:rFonts w:ascii="Arial" w:cs="Arial" w:eastAsia="Arial" w:hAnsi="Arial"/>
          <w:sz w:val="13"/>
          <w:szCs w:val="13"/>
          <w:color w:val="FFFFFF"/>
        </w:rPr>
        <w:t>8%General</w:t>
      </w:r>
    </w:p>
    <w:p>
      <w:pPr>
        <w:spacing w:after="0" w:line="206" w:lineRule="auto"/>
        <w:rPr>
          <w:sz w:val="20"/>
          <w:szCs w:val="20"/>
          <w:color w:val="auto"/>
        </w:rPr>
      </w:pPr>
      <w:r>
        <w:rPr>
          <w:rFonts w:ascii="Arial" w:cs="Arial" w:eastAsia="Arial" w:hAnsi="Arial"/>
          <w:sz w:val="4"/>
          <w:szCs w:val="4"/>
          <w:color w:val="FFFFFF"/>
        </w:rPr>
        <w:t>70%Industrial 17%</w:t>
      </w:r>
    </w:p>
    <w:p>
      <w:pPr>
        <w:spacing w:after="0" w:line="205" w:lineRule="auto"/>
        <w:rPr>
          <w:sz w:val="20"/>
          <w:szCs w:val="20"/>
          <w:color w:val="auto"/>
        </w:rPr>
      </w:pPr>
      <w:r>
        <w:rPr>
          <w:rFonts w:ascii="Arial" w:cs="Arial" w:eastAsia="Arial" w:hAnsi="Arial"/>
          <w:sz w:val="4"/>
          <w:szCs w:val="4"/>
          <w:color w:val="FFFFFF"/>
        </w:rPr>
        <w:t>Light Auto</w:t>
      </w:r>
    </w:p>
    <w:p>
      <w:pPr>
        <w:spacing w:after="0"/>
        <w:rPr>
          <w:sz w:val="20"/>
          <w:szCs w:val="20"/>
          <w:color w:val="auto"/>
        </w:rPr>
      </w:pPr>
      <w:r>
        <w:rPr>
          <w:rFonts w:ascii="Arial" w:cs="Arial" w:eastAsia="Arial" w:hAnsi="Arial"/>
          <w:sz w:val="11"/>
          <w:szCs w:val="11"/>
          <w:color w:val="FFFFFF"/>
        </w:rPr>
        <w:t>Diversified customer base with enhanced end market focus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MixNN TodayShift &amp; Future Vision</w:t>
      </w:r>
    </w:p>
    <w:p>
      <w:pPr>
        <w:spacing w:after="0" w:line="204" w:lineRule="auto"/>
        <w:rPr>
          <w:sz w:val="20"/>
          <w:szCs w:val="20"/>
          <w:color w:val="auto"/>
        </w:rPr>
      </w:pPr>
      <w:r>
        <w:rPr>
          <w:rFonts w:ascii="Arial" w:cs="Arial" w:eastAsia="Arial" w:hAnsi="Arial"/>
          <w:sz w:val="4"/>
          <w:szCs w:val="4"/>
          <w:color w:val="FFFFFF"/>
        </w:rPr>
        <w:t>2014</w:t>
      </w:r>
    </w:p>
    <w:p>
      <w:pPr>
        <w:spacing w:after="0" w:line="205" w:lineRule="auto"/>
        <w:rPr>
          <w:sz w:val="20"/>
          <w:szCs w:val="20"/>
          <w:color w:val="auto"/>
        </w:rPr>
      </w:pPr>
      <w:r>
        <w:rPr>
          <w:rFonts w:ascii="Arial" w:cs="Arial" w:eastAsia="Arial" w:hAnsi="Arial"/>
          <w:sz w:val="4"/>
          <w:szCs w:val="4"/>
          <w:color w:val="FFFFFF"/>
        </w:rPr>
        <w:t>Revenue = $680M*</w:t>
      </w:r>
    </w:p>
    <w:p>
      <w:pPr>
        <w:spacing w:after="0" w:line="205" w:lineRule="auto"/>
        <w:rPr>
          <w:sz w:val="20"/>
          <w:szCs w:val="20"/>
          <w:color w:val="auto"/>
        </w:rPr>
      </w:pPr>
      <w:r>
        <w:rPr>
          <w:rFonts w:ascii="Arial" w:cs="Arial" w:eastAsia="Arial" w:hAnsi="Arial"/>
          <w:sz w:val="4"/>
          <w:szCs w:val="4"/>
          <w:color w:val="FFFFFF"/>
        </w:rPr>
        <w:t>Consumer Other</w:t>
      </w:r>
    </w:p>
    <w:p>
      <w:pPr>
        <w:spacing w:after="0" w:line="205" w:lineRule="auto"/>
        <w:rPr>
          <w:sz w:val="20"/>
          <w:szCs w:val="20"/>
          <w:color w:val="auto"/>
        </w:rPr>
      </w:pPr>
      <w:r>
        <w:rPr>
          <w:rFonts w:ascii="Arial" w:cs="Arial" w:eastAsia="Arial" w:hAnsi="Arial"/>
          <w:sz w:val="4"/>
          <w:szCs w:val="4"/>
          <w:color w:val="FFFFFF"/>
        </w:rPr>
        <w:t>Heavy Truck 2%</w:t>
      </w:r>
    </w:p>
    <w:p>
      <w:pPr>
        <w:spacing w:after="0" w:line="182" w:lineRule="auto"/>
        <w:rPr>
          <w:sz w:val="20"/>
          <w:szCs w:val="20"/>
          <w:color w:val="auto"/>
        </w:rPr>
      </w:pPr>
      <w:r>
        <w:rPr>
          <w:rFonts w:ascii="Arial" w:cs="Arial" w:eastAsia="Arial" w:hAnsi="Arial"/>
          <w:sz w:val="7"/>
          <w:szCs w:val="7"/>
          <w:color w:val="FFFFFF"/>
        </w:rPr>
        <w:t>3%</w:t>
      </w:r>
      <w:r>
        <w:rPr>
          <w:rFonts w:ascii="Arial" w:cs="Arial" w:eastAsia="Arial" w:hAnsi="Arial"/>
          <w:sz w:val="9"/>
          <w:szCs w:val="9"/>
          <w:color w:val="FFFFFF"/>
          <w:vertAlign w:val="subscript"/>
        </w:rPr>
        <w:t>7%</w:t>
      </w:r>
    </w:p>
    <w:p>
      <w:pPr>
        <w:spacing w:after="0" w:line="182" w:lineRule="auto"/>
        <w:rPr>
          <w:sz w:val="20"/>
          <w:szCs w:val="20"/>
          <w:color w:val="auto"/>
        </w:rPr>
      </w:pPr>
      <w:r>
        <w:rPr>
          <w:rFonts w:ascii="Arial" w:cs="Arial" w:eastAsia="Arial" w:hAnsi="Arial"/>
          <w:sz w:val="9"/>
          <w:szCs w:val="9"/>
          <w:color w:val="FFFFFF"/>
        </w:rPr>
        <w:t>General</w:t>
      </w:r>
    </w:p>
    <w:p>
      <w:pPr>
        <w:spacing w:after="0" w:line="206" w:lineRule="auto"/>
        <w:rPr>
          <w:sz w:val="20"/>
          <w:szCs w:val="20"/>
          <w:color w:val="auto"/>
        </w:rPr>
      </w:pPr>
      <w:r>
        <w:rPr>
          <w:rFonts w:ascii="Arial" w:cs="Arial" w:eastAsia="Arial" w:hAnsi="Arial"/>
          <w:sz w:val="4"/>
          <w:szCs w:val="4"/>
          <w:color w:val="FFFFFF"/>
        </w:rPr>
        <w:t>72%Industrial 16%</w:t>
      </w:r>
    </w:p>
    <w:p>
      <w:pPr>
        <w:spacing w:after="0" w:line="182" w:lineRule="auto"/>
        <w:rPr>
          <w:sz w:val="20"/>
          <w:szCs w:val="20"/>
          <w:color w:val="auto"/>
        </w:rPr>
      </w:pPr>
      <w:r>
        <w:rPr>
          <w:rFonts w:ascii="Arial" w:cs="Arial" w:eastAsia="Arial" w:hAnsi="Arial"/>
          <w:sz w:val="9"/>
          <w:szCs w:val="9"/>
          <w:color w:val="FFFFFF"/>
        </w:rPr>
        <w:t>Light</w:t>
      </w:r>
    </w:p>
    <w:p>
      <w:pPr>
        <w:spacing w:after="0" w:line="206" w:lineRule="auto"/>
        <w:rPr>
          <w:sz w:val="20"/>
          <w:szCs w:val="20"/>
          <w:color w:val="auto"/>
        </w:rPr>
      </w:pPr>
      <w:r>
        <w:rPr>
          <w:rFonts w:ascii="Arial" w:cs="Arial" w:eastAsia="Arial" w:hAnsi="Arial"/>
          <w:sz w:val="4"/>
          <w:szCs w:val="4"/>
          <w:color w:val="FFFFFF"/>
        </w:rPr>
        <w:t>2018Auto</w:t>
      </w:r>
    </w:p>
    <w:p>
      <w:pPr>
        <w:spacing w:after="0" w:line="205" w:lineRule="auto"/>
        <w:rPr>
          <w:sz w:val="20"/>
          <w:szCs w:val="20"/>
          <w:color w:val="auto"/>
        </w:rPr>
      </w:pPr>
      <w:r>
        <w:rPr>
          <w:rFonts w:ascii="Arial" w:cs="Arial" w:eastAsia="Arial" w:hAnsi="Arial"/>
          <w:sz w:val="4"/>
          <w:szCs w:val="4"/>
          <w:color w:val="FFFFFF"/>
        </w:rPr>
        <w:t>Revenue = $800M</w:t>
      </w:r>
    </w:p>
    <w:p>
      <w:pPr>
        <w:spacing w:after="0" w:line="205" w:lineRule="auto"/>
        <w:rPr>
          <w:sz w:val="20"/>
          <w:szCs w:val="20"/>
          <w:color w:val="auto"/>
        </w:rPr>
      </w:pPr>
      <w:r>
        <w:rPr>
          <w:rFonts w:ascii="Arial" w:cs="Arial" w:eastAsia="Arial" w:hAnsi="Arial"/>
          <w:sz w:val="4"/>
          <w:szCs w:val="4"/>
          <w:color w:val="FFFFFF"/>
        </w:rPr>
        <w:t>Other</w:t>
      </w:r>
    </w:p>
    <w:p>
      <w:pPr>
        <w:spacing w:after="0" w:line="205" w:lineRule="auto"/>
        <w:rPr>
          <w:sz w:val="20"/>
          <w:szCs w:val="20"/>
          <w:color w:val="auto"/>
        </w:rPr>
      </w:pPr>
      <w:r>
        <w:rPr>
          <w:rFonts w:ascii="Arial" w:cs="Arial" w:eastAsia="Arial" w:hAnsi="Arial"/>
          <w:sz w:val="4"/>
          <w:szCs w:val="4"/>
          <w:color w:val="FFFFFF"/>
        </w:rPr>
        <w:t>Consumer</w:t>
      </w:r>
    </w:p>
    <w:p>
      <w:pPr>
        <w:spacing w:after="0" w:line="182" w:lineRule="auto"/>
        <w:rPr>
          <w:sz w:val="20"/>
          <w:szCs w:val="20"/>
          <w:color w:val="auto"/>
        </w:rPr>
      </w:pPr>
      <w:r>
        <w:rPr>
          <w:rFonts w:ascii="Arial" w:cs="Arial" w:eastAsia="Arial" w:hAnsi="Arial"/>
          <w:sz w:val="9"/>
          <w:szCs w:val="9"/>
          <w:color w:val="FFFFFF"/>
          <w:vertAlign w:val="subscript"/>
        </w:rPr>
        <w:t>7%</w:t>
      </w:r>
      <w:r>
        <w:rPr>
          <w:rFonts w:ascii="Arial" w:cs="Arial" w:eastAsia="Arial" w:hAnsi="Arial"/>
          <w:sz w:val="7"/>
          <w:szCs w:val="7"/>
          <w:color w:val="FFFFFF"/>
        </w:rPr>
        <w:t>3%</w:t>
      </w:r>
    </w:p>
    <w:p>
      <w:pPr>
        <w:spacing w:after="0" w:line="189" w:lineRule="auto"/>
        <w:rPr>
          <w:sz w:val="20"/>
          <w:szCs w:val="20"/>
          <w:color w:val="auto"/>
        </w:rPr>
      </w:pPr>
      <w:r>
        <w:rPr>
          <w:rFonts w:ascii="Arial" w:cs="Arial" w:eastAsia="Arial" w:hAnsi="Arial"/>
          <w:sz w:val="13"/>
          <w:szCs w:val="13"/>
          <w:color w:val="FFFFFF"/>
        </w:rPr>
        <w:t>HeavyTruck15%</w:t>
      </w:r>
    </w:p>
    <w:p>
      <w:pPr>
        <w:spacing w:after="0" w:line="206" w:lineRule="auto"/>
        <w:rPr>
          <w:sz w:val="20"/>
          <w:szCs w:val="20"/>
          <w:color w:val="auto"/>
        </w:rPr>
      </w:pPr>
      <w:r>
        <w:rPr>
          <w:rFonts w:ascii="Arial" w:cs="Arial" w:eastAsia="Arial" w:hAnsi="Arial"/>
          <w:sz w:val="4"/>
          <w:szCs w:val="4"/>
          <w:color w:val="FFFFFF"/>
        </w:rPr>
        <w:t>50% Light</w:t>
      </w:r>
    </w:p>
    <w:p>
      <w:pPr>
        <w:spacing w:after="0" w:line="182" w:lineRule="auto"/>
        <w:rPr>
          <w:sz w:val="20"/>
          <w:szCs w:val="20"/>
          <w:color w:val="auto"/>
        </w:rPr>
      </w:pPr>
      <w:r>
        <w:rPr>
          <w:rFonts w:ascii="Arial" w:cs="Arial" w:eastAsia="Arial" w:hAnsi="Arial"/>
          <w:sz w:val="9"/>
          <w:szCs w:val="9"/>
          <w:color w:val="FFFFFF"/>
        </w:rPr>
        <w:t>25%Auto</w:t>
      </w:r>
    </w:p>
    <w:p>
      <w:pPr>
        <w:spacing w:after="0" w:line="205" w:lineRule="auto"/>
        <w:rPr>
          <w:sz w:val="20"/>
          <w:szCs w:val="20"/>
          <w:color w:val="auto"/>
        </w:rPr>
      </w:pPr>
      <w:r>
        <w:rPr>
          <w:rFonts w:ascii="Arial" w:cs="Arial" w:eastAsia="Arial" w:hAnsi="Arial"/>
          <w:sz w:val="4"/>
          <w:szCs w:val="4"/>
          <w:color w:val="FFFFFF"/>
        </w:rPr>
        <w:t>IndustrialGeneral</w:t>
      </w:r>
    </w:p>
    <w:p>
      <w:pPr>
        <w:spacing w:after="0"/>
        <w:rPr>
          <w:sz w:val="20"/>
          <w:szCs w:val="20"/>
          <w:color w:val="auto"/>
        </w:rPr>
      </w:pPr>
      <w:r>
        <w:rPr>
          <w:rFonts w:ascii="Arial" w:cs="Arial" w:eastAsia="Arial" w:hAnsi="Arial"/>
          <w:sz w:val="12"/>
          <w:szCs w:val="12"/>
          <w:color w:val="FFFFFF"/>
        </w:rPr>
        <w:t>*Proforma full year consolidated revenue</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FFFFFF"/>
          <w:vertAlign w:val="subscript"/>
        </w:rPr>
        <w:t>Corporate</w:t>
      </w:r>
      <w:r>
        <w:rPr>
          <w:rFonts w:ascii="Arial" w:cs="Arial" w:eastAsia="Arial" w:hAnsi="Arial"/>
          <w:sz w:val="10"/>
          <w:szCs w:val="10"/>
          <w:color w:val="FFFFFF"/>
        </w:rPr>
        <w:t>reatinganIdentityIntegratedOneCompanycorporate identity</w:t>
      </w:r>
    </w:p>
    <w:p>
      <w:pPr>
        <w:spacing w:after="0" w:line="192" w:lineRule="auto"/>
        <w:rPr>
          <w:sz w:val="20"/>
          <w:szCs w:val="20"/>
          <w:color w:val="auto"/>
        </w:rPr>
      </w:pPr>
      <w:r>
        <w:rPr>
          <w:rFonts w:ascii="Arial" w:cs="Arial" w:eastAsia="Arial" w:hAnsi="Arial"/>
          <w:sz w:val="9"/>
          <w:szCs w:val="9"/>
          <w:color w:val="FFFFFF"/>
        </w:rPr>
        <w:t>Redesigned website</w:t>
      </w:r>
    </w:p>
    <w:p>
      <w:pPr>
        <w:spacing w:after="0" w:line="205" w:lineRule="auto"/>
        <w:rPr>
          <w:sz w:val="20"/>
          <w:szCs w:val="20"/>
          <w:color w:val="auto"/>
        </w:rPr>
      </w:pPr>
      <w:r>
        <w:rPr>
          <w:rFonts w:ascii="Arial" w:cs="Arial" w:eastAsia="Arial" w:hAnsi="Arial"/>
          <w:sz w:val="4"/>
          <w:szCs w:val="4"/>
          <w:color w:val="FFFFFF"/>
        </w:rPr>
        <w:t>OperationalandBrandingTopCommonDown Strategycustomer solutions</w:t>
      </w:r>
    </w:p>
    <w:p>
      <w:pPr>
        <w:spacing w:after="0" w:line="205" w:lineRule="auto"/>
        <w:rPr>
          <w:sz w:val="20"/>
          <w:szCs w:val="20"/>
          <w:color w:val="auto"/>
        </w:rPr>
      </w:pPr>
      <w:r>
        <w:rPr>
          <w:rFonts w:ascii="Arial" w:cs="Arial" w:eastAsia="Arial" w:hAnsi="Arial"/>
          <w:sz w:val="4"/>
          <w:szCs w:val="4"/>
          <w:color w:val="FFFFFF"/>
        </w:rPr>
        <w:t>New Supply Chain Operations</w:t>
      </w:r>
    </w:p>
    <w:p>
      <w:pPr>
        <w:spacing w:after="0" w:line="205" w:lineRule="auto"/>
        <w:rPr>
          <w:sz w:val="20"/>
          <w:szCs w:val="20"/>
          <w:color w:val="auto"/>
        </w:rPr>
      </w:pPr>
      <w:r>
        <w:rPr>
          <w:rFonts w:ascii="Arial" w:cs="Arial" w:eastAsia="Arial" w:hAnsi="Arial"/>
          <w:sz w:val="4"/>
          <w:szCs w:val="4"/>
          <w:color w:val="FFFFFF"/>
          <w:vertAlign w:val="superscript"/>
        </w:rPr>
        <w:t>Level</w:t>
      </w:r>
    </w:p>
    <w:p>
      <w:pPr>
        <w:spacing w:after="0" w:line="205" w:lineRule="auto"/>
        <w:rPr>
          <w:sz w:val="20"/>
          <w:szCs w:val="20"/>
          <w:color w:val="auto"/>
        </w:rPr>
      </w:pPr>
      <w:r>
        <w:rPr>
          <w:rFonts w:ascii="Arial" w:cs="Arial" w:eastAsia="Arial" w:hAnsi="Arial"/>
          <w:sz w:val="4"/>
          <w:szCs w:val="4"/>
          <w:color w:val="FFFFFF"/>
        </w:rPr>
        <w:t>Exc  lence3:OffsetFinancialEconomicandBusinessCosts Systems Consolidation</w:t>
      </w:r>
    </w:p>
    <w:p>
      <w:pPr>
        <w:spacing w:after="0" w:line="205" w:lineRule="auto"/>
        <w:rPr>
          <w:sz w:val="20"/>
          <w:szCs w:val="20"/>
          <w:color w:val="auto"/>
        </w:rPr>
      </w:pPr>
      <w:r>
        <w:rPr>
          <w:rFonts w:ascii="Arial" w:cs="Arial" w:eastAsia="Arial" w:hAnsi="Arial"/>
          <w:sz w:val="4"/>
          <w:szCs w:val="4"/>
          <w:color w:val="FFFFFF"/>
        </w:rPr>
        <w:t>Functional Quality: Drive a Zero Defect Culture</w:t>
      </w:r>
    </w:p>
    <w:p>
      <w:pPr>
        <w:spacing w:after="0" w:line="205" w:lineRule="auto"/>
        <w:rPr>
          <w:sz w:val="20"/>
          <w:szCs w:val="20"/>
          <w:color w:val="auto"/>
        </w:rPr>
      </w:pPr>
      <w:r>
        <w:rPr>
          <w:rFonts w:ascii="Arial" w:cs="Arial" w:eastAsia="Arial" w:hAnsi="Arial"/>
          <w:sz w:val="4"/>
          <w:szCs w:val="4"/>
          <w:color w:val="FFFFFF"/>
        </w:rPr>
        <w:t>Excellence Safety: Drive a Zero Incident Culture</w:t>
      </w:r>
    </w:p>
    <w:p>
      <w:pPr>
        <w:spacing w:after="0"/>
        <w:rPr>
          <w:sz w:val="20"/>
          <w:szCs w:val="20"/>
          <w:color w:val="auto"/>
        </w:rPr>
      </w:pPr>
      <w:r>
        <w:rPr>
          <w:rFonts w:ascii="Arial" w:cs="Arial" w:eastAsia="Arial" w:hAnsi="Arial"/>
          <w:sz w:val="13"/>
          <w:szCs w:val="13"/>
          <w:color w:val="FFFFFF"/>
        </w:rPr>
        <w:t>Delivery: Exceed Customers’ Expectations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Established</w:t>
      </w:r>
      <w:r>
        <w:rPr>
          <w:rFonts w:ascii="Arial" w:cs="Arial" w:eastAsia="Arial" w:hAnsi="Arial"/>
          <w:sz w:val="13"/>
          <w:szCs w:val="13"/>
          <w:color w:val="FFFFFF"/>
        </w:rPr>
        <w:t>nhancedR&amp;D Efforts</w:t>
      </w:r>
    </w:p>
    <w:p>
      <w:pPr>
        <w:spacing w:after="0" w:line="204" w:lineRule="auto"/>
        <w:rPr>
          <w:sz w:val="20"/>
          <w:szCs w:val="20"/>
          <w:color w:val="auto"/>
        </w:rPr>
      </w:pPr>
      <w:r>
        <w:rPr>
          <w:rFonts w:ascii="Arial" w:cs="Arial" w:eastAsia="Arial" w:hAnsi="Arial"/>
          <w:sz w:val="4"/>
          <w:szCs w:val="4"/>
          <w:color w:val="FFFFFF"/>
        </w:rPr>
        <w:t>Adjacent markets3R&amp;D Centers of Excellence</w:t>
      </w:r>
    </w:p>
    <w:p>
      <w:pPr>
        <w:spacing w:after="0" w:line="182" w:lineRule="auto"/>
        <w:rPr>
          <w:sz w:val="20"/>
          <w:szCs w:val="20"/>
          <w:color w:val="auto"/>
        </w:rPr>
      </w:pPr>
      <w:r>
        <w:rPr>
          <w:rFonts w:ascii="Arial" w:cs="Arial" w:eastAsia="Arial" w:hAnsi="Arial"/>
          <w:sz w:val="9"/>
          <w:szCs w:val="9"/>
          <w:color w:val="FFFFFF"/>
        </w:rPr>
        <w:t>(e.g. spherical rollers, welded cages)</w:t>
      </w:r>
    </w:p>
    <w:p>
      <w:pPr>
        <w:spacing w:after="0" w:line="206" w:lineRule="auto"/>
        <w:rPr>
          <w:sz w:val="20"/>
          <w:szCs w:val="20"/>
          <w:color w:val="auto"/>
        </w:rPr>
      </w:pPr>
      <w:r>
        <w:rPr>
          <w:rFonts w:ascii="Arial" w:cs="Arial" w:eastAsia="Arial" w:hAnsi="Arial"/>
          <w:sz w:val="4"/>
          <w:szCs w:val="4"/>
          <w:color w:val="FFFFFF"/>
        </w:rPr>
        <w:t>(e.g.Gameballchangingcells,robotics)manufacturing processes</w:t>
      </w:r>
    </w:p>
    <w:p>
      <w:pPr>
        <w:spacing w:after="0" w:line="205" w:lineRule="auto"/>
        <w:rPr>
          <w:sz w:val="20"/>
          <w:szCs w:val="20"/>
          <w:color w:val="auto"/>
        </w:rPr>
      </w:pPr>
      <w:r>
        <w:rPr>
          <w:rFonts w:ascii="Arial" w:cs="Arial" w:eastAsia="Arial" w:hAnsi="Arial"/>
          <w:sz w:val="4"/>
          <w:szCs w:val="4"/>
          <w:color w:val="FFFFFF"/>
        </w:rPr>
        <w:t>Enhanced quality</w:t>
      </w:r>
    </w:p>
    <w:p>
      <w:pPr>
        <w:spacing w:after="0"/>
        <w:rPr>
          <w:sz w:val="20"/>
          <w:szCs w:val="20"/>
          <w:color w:val="auto"/>
        </w:rPr>
      </w:pPr>
      <w:r>
        <w:rPr>
          <w:rFonts w:ascii="Arial" w:cs="Arial" w:eastAsia="Arial" w:hAnsi="Arial"/>
          <w:sz w:val="13"/>
          <w:szCs w:val="13"/>
          <w:color w:val="FFFFFF"/>
        </w:rPr>
        <w:t>(e.g. noise reduced product)</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Results of 5 Year Strategic Plan – First 9 Months</w:t>
      </w:r>
    </w:p>
    <w:p>
      <w:pPr>
        <w:spacing w:after="0" w:line="182" w:lineRule="auto"/>
        <w:rPr>
          <w:sz w:val="20"/>
          <w:szCs w:val="20"/>
          <w:color w:val="auto"/>
        </w:rPr>
      </w:pPr>
      <w:r>
        <w:rPr>
          <w:rFonts w:ascii="Arial" w:cs="Arial" w:eastAsia="Arial" w:hAnsi="Arial"/>
          <w:sz w:val="9"/>
          <w:szCs w:val="9"/>
          <w:color w:val="FFFFFF"/>
        </w:rPr>
        <w:t>ByInJanuarySeptemberof2014,of2014,NN weannouncedhadcompleteditsstrategic4acquisitionsplanwithtotaling$270million$280 millionofplannedinrevenueacquisitions–3yearsplus aheadorganicofandschedule.adjacent market growth.</w:t>
      </w:r>
    </w:p>
    <w:p>
      <w:pPr>
        <w:spacing w:after="0" w:line="205" w:lineRule="auto"/>
        <w:rPr>
          <w:sz w:val="20"/>
          <w:szCs w:val="20"/>
          <w:color w:val="auto"/>
        </w:rPr>
      </w:pPr>
      <w:r>
        <w:rPr>
          <w:rFonts w:ascii="Arial" w:cs="Arial" w:eastAsia="Arial" w:hAnsi="Arial"/>
          <w:sz w:val="2"/>
          <w:szCs w:val="2"/>
          <w:color w:val="FFFFFF"/>
        </w:rPr>
        <w:t>W</w:t>
      </w:r>
      <w:r>
        <w:rPr>
          <w:rFonts w:ascii="Arial" w:cs="Arial" w:eastAsia="Arial" w:hAnsi="Arial"/>
          <w:sz w:val="4"/>
          <w:szCs w:val="4"/>
          <w:color w:val="FFFFFF"/>
          <w:vertAlign w:val="subscript"/>
        </w:rPr>
        <w:t>Meanwhile,</w:t>
      </w:r>
      <w:r>
        <w:rPr>
          <w:rFonts w:ascii="Arial" w:cs="Arial" w:eastAsia="Arial" w:hAnsi="Arial"/>
          <w:sz w:val="2"/>
          <w:szCs w:val="2"/>
          <w:color w:val="FFFFFF"/>
        </w:rPr>
        <w:t>areinthetheprocessNNstockofupdatingpricehastheappreciatedstrategicplan.50% since we announced the strategy in January.</w:t>
      </w:r>
    </w:p>
    <w:p>
      <w:pPr>
        <w:spacing w:after="0"/>
        <w:rPr>
          <w:sz w:val="20"/>
          <w:szCs w:val="20"/>
          <w:color w:val="auto"/>
        </w:rPr>
      </w:pPr>
      <w:r>
        <w:rPr>
          <w:rFonts w:ascii="Arial" w:cs="Arial" w:eastAsia="Arial" w:hAnsi="Arial"/>
          <w:sz w:val="12"/>
          <w:szCs w:val="12"/>
          <w:color w:val="FFFFFF"/>
        </w:rPr>
        <w:t>NN, Inc. is now a $700 million public company with two industry-leading platforms in metal bearing components and precision metal components (rebranded as NN Autocam Precision Components Group).</w:t>
      </w:r>
    </w:p>
    <w:p>
      <w:pPr>
        <w:sectPr>
          <w:pgSz w:w="11900" w:h="16838" w:orient="portrait"/>
          <w:cols w:equalWidth="0" w:num="1">
            <w:col w:w="10840"/>
          </w:cols>
          <w:pgMar w:left="240" w:top="1440" w:right="8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Financial </w:t>
      </w:r>
      <w:r>
        <w:rPr>
          <w:rFonts w:ascii="Arial" w:cs="Arial" w:eastAsia="Arial" w:hAnsi="Arial"/>
          <w:sz w:val="26"/>
          <w:szCs w:val="26"/>
          <w:color w:val="FFFFFF"/>
          <w:vertAlign w:val="subscript"/>
        </w:rPr>
        <w:t>Strategy</w:t>
      </w:r>
      <w:r>
        <w:rPr>
          <w:rFonts w:ascii="Arial" w:cs="Arial" w:eastAsia="Arial" w:hAnsi="Arial"/>
          <w:sz w:val="13"/>
          <w:szCs w:val="13"/>
          <w:color w:val="FFFFFF"/>
        </w:rPr>
        <w:t xml:space="preserve"> / Policy</w:t>
      </w:r>
    </w:p>
    <w:p>
      <w:pPr>
        <w:spacing w:after="0" w:line="182" w:lineRule="auto"/>
        <w:tabs>
          <w:tab w:leader="none" w:pos="700" w:val="left"/>
        </w:tabs>
        <w:rPr>
          <w:sz w:val="20"/>
          <w:szCs w:val="20"/>
          <w:color w:val="auto"/>
        </w:rPr>
      </w:pPr>
      <w:r>
        <w:rPr>
          <w:rFonts w:ascii="Arial" w:cs="Arial" w:eastAsia="Arial" w:hAnsi="Arial"/>
          <w:sz w:val="9"/>
          <w:szCs w:val="9"/>
          <w:color w:val="FFFFFF"/>
        </w:rPr>
        <w:t>Build upon</w:t>
        <w:tab/>
        <w:t>strong, global operating platform while maintaining financial strength and flexibility Financial policy:</w:t>
      </w:r>
    </w:p>
    <w:p>
      <w:pPr>
        <w:spacing w:after="0" w:line="205" w:lineRule="auto"/>
        <w:rPr>
          <w:sz w:val="20"/>
          <w:szCs w:val="20"/>
          <w:color w:val="auto"/>
        </w:rPr>
      </w:pPr>
      <w:r>
        <w:rPr>
          <w:rFonts w:ascii="Arial" w:cs="Arial" w:eastAsia="Arial" w:hAnsi="Arial"/>
          <w:sz w:val="4"/>
          <w:szCs w:val="4"/>
          <w:color w:val="FFFFFF"/>
        </w:rPr>
        <w:t>CashMaintainflowhealthypriorities:leverage over business cycles and strategic growth period: Debt to EBITDA 2.0x – 3.0x, &lt; 4.0x at peak</w:t>
      </w:r>
    </w:p>
    <w:p>
      <w:pPr>
        <w:spacing w:after="0" w:line="205" w:lineRule="auto"/>
        <w:rPr>
          <w:sz w:val="20"/>
          <w:szCs w:val="20"/>
          <w:color w:val="auto"/>
        </w:rPr>
      </w:pPr>
      <w:r>
        <w:rPr>
          <w:rFonts w:ascii="Arial" w:cs="Arial" w:eastAsia="Arial" w:hAnsi="Arial"/>
          <w:sz w:val="2"/>
          <w:szCs w:val="2"/>
          <w:color w:val="FFFFFF"/>
        </w:rPr>
        <w:t>1)</w:t>
      </w:r>
      <w:r>
        <w:rPr>
          <w:rFonts w:ascii="Arial" w:cs="Arial" w:eastAsia="Arial" w:hAnsi="Arial"/>
          <w:sz w:val="4"/>
          <w:szCs w:val="4"/>
          <w:color w:val="FFFFFF"/>
          <w:vertAlign w:val="superscript"/>
        </w:rPr>
        <w:t>2)</w:t>
      </w:r>
      <w:r>
        <w:rPr>
          <w:rFonts w:ascii="Arial" w:cs="Arial" w:eastAsia="Arial" w:hAnsi="Arial"/>
          <w:sz w:val="2"/>
          <w:szCs w:val="2"/>
          <w:color w:val="FFFFFF"/>
        </w:rPr>
        <w:t xml:space="preserve"> Debt repayment to achieve target leverage</w:t>
      </w:r>
    </w:p>
    <w:p>
      <w:pPr>
        <w:spacing w:after="0" w:line="205"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 xml:space="preserve"> Capex to achieve operational excellence and growth</w:t>
      </w:r>
    </w:p>
    <w:p>
      <w:pPr>
        <w:spacing w:after="0" w:line="205" w:lineRule="auto"/>
        <w:rPr>
          <w:sz w:val="20"/>
          <w:szCs w:val="20"/>
          <w:color w:val="auto"/>
        </w:rPr>
      </w:pPr>
      <w:r>
        <w:rPr>
          <w:rFonts w:ascii="Arial" w:cs="Arial" w:eastAsia="Arial" w:hAnsi="Arial"/>
          <w:sz w:val="4"/>
          <w:szCs w:val="4"/>
          <w:color w:val="FFFFFF"/>
          <w:vertAlign w:val="subscript"/>
        </w:rPr>
        <w:t>4) Strategic</w:t>
      </w:r>
      <w:r>
        <w:rPr>
          <w:rFonts w:ascii="Arial" w:cs="Arial" w:eastAsia="Arial" w:hAnsi="Arial"/>
          <w:sz w:val="2"/>
          <w:szCs w:val="2"/>
          <w:color w:val="FFFFFF"/>
        </w:rPr>
        <w:t>ablecommon dividends to shareholders (&lt; 20% free cash flow).</w:t>
      </w:r>
    </w:p>
    <w:p>
      <w:pPr>
        <w:ind w:left="640"/>
        <w:spacing w:after="0" w:line="205" w:lineRule="auto"/>
        <w:rPr>
          <w:sz w:val="20"/>
          <w:szCs w:val="20"/>
          <w:color w:val="auto"/>
        </w:rPr>
      </w:pPr>
      <w:r>
        <w:rPr>
          <w:rFonts w:ascii="Arial" w:cs="Arial" w:eastAsia="Arial" w:hAnsi="Arial"/>
          <w:sz w:val="4"/>
          <w:szCs w:val="4"/>
          <w:color w:val="FFFFFF"/>
        </w:rPr>
        <w:t>acquisitions financed by debt and equity issuance to maintain leverage target</w:t>
      </w:r>
    </w:p>
    <w:p>
      <w:pPr>
        <w:ind w:right="3279"/>
        <w:spacing w:after="0" w:line="182" w:lineRule="auto"/>
        <w:rPr>
          <w:sz w:val="20"/>
          <w:szCs w:val="20"/>
          <w:color w:val="auto"/>
        </w:rPr>
      </w:pPr>
      <w:r>
        <w:rPr>
          <w:rFonts w:ascii="Arial" w:cs="Arial" w:eastAsia="Arial" w:hAnsi="Arial"/>
          <w:sz w:val="7"/>
          <w:szCs w:val="7"/>
          <w:color w:val="FFFFFF"/>
        </w:rPr>
        <w:t xml:space="preserve">Generate above-market-average revenue growth and capture market share in key areas of new technology over Strategic Plan period </w:t>
      </w:r>
      <w:r>
        <w:rPr>
          <w:rFonts w:ascii="Arial" w:cs="Arial" w:eastAsia="Arial" w:hAnsi="Arial"/>
          <w:sz w:val="9"/>
          <w:szCs w:val="9"/>
          <w:color w:val="FFFFFF"/>
          <w:vertAlign w:val="subscript"/>
        </w:rPr>
        <w:t>Increase</w:t>
      </w:r>
      <w:r>
        <w:rPr>
          <w:rFonts w:ascii="Arial" w:cs="Arial" w:eastAsia="Arial" w:hAnsi="Arial"/>
          <w:sz w:val="7"/>
          <w:szCs w:val="7"/>
          <w:color w:val="FFFFFF"/>
        </w:rPr>
        <w:t>mprove market mix by decreasing auto exposure from 70% to 50%</w:t>
      </w:r>
    </w:p>
    <w:p>
      <w:pPr>
        <w:ind w:left="480"/>
        <w:spacing w:after="0" w:line="205" w:lineRule="auto"/>
        <w:rPr>
          <w:sz w:val="20"/>
          <w:szCs w:val="20"/>
          <w:color w:val="auto"/>
        </w:rPr>
      </w:pPr>
      <w:r>
        <w:rPr>
          <w:rFonts w:ascii="Arial" w:cs="Arial" w:eastAsia="Arial" w:hAnsi="Arial"/>
          <w:sz w:val="4"/>
          <w:szCs w:val="4"/>
          <w:color w:val="FFFFFF"/>
        </w:rPr>
        <w:t>industrial /aerospace/medical offerings in existing product lines</w:t>
      </w:r>
    </w:p>
    <w:p>
      <w:pPr>
        <w:ind w:right="3339"/>
        <w:spacing w:after="0" w:line="184" w:lineRule="auto"/>
        <w:rPr>
          <w:sz w:val="20"/>
          <w:szCs w:val="20"/>
          <w:color w:val="auto"/>
        </w:rPr>
      </w:pPr>
      <w:r>
        <w:rPr>
          <w:rFonts w:ascii="Arial" w:cs="Arial" w:eastAsia="Arial" w:hAnsi="Arial"/>
          <w:sz w:val="11"/>
          <w:szCs w:val="11"/>
          <w:color w:val="FFFFFF"/>
        </w:rPr>
        <w:t>Expand segment gross and operating margins (optimize mix, operational improvement, cost reductions) Continue to invest in R&amp;D Continue to pursue selective strategic acquisitions to diversify end markets and expand global reach, within leverage targets</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FFFFFF"/>
        </w:rPr>
        <w:t>2015 Updat</w:t>
      </w:r>
      <w:r>
        <w:rPr>
          <w:rFonts w:ascii="Arial" w:cs="Arial" w:eastAsia="Arial" w:hAnsi="Arial"/>
          <w:sz w:val="26"/>
          <w:szCs w:val="26"/>
          <w:color w:val="FFFFFF"/>
          <w:vertAlign w:val="subscript"/>
        </w:rPr>
        <w:t>Forecasted</w:t>
      </w:r>
      <w:r>
        <w:rPr>
          <w:rFonts w:ascii="Arial" w:cs="Arial" w:eastAsia="Arial" w:hAnsi="Arial"/>
          <w:sz w:val="13"/>
          <w:szCs w:val="13"/>
          <w:color w:val="FFFFFF"/>
        </w:rPr>
        <w:t>Forecast</w:t>
      </w:r>
    </w:p>
    <w:p>
      <w:pPr>
        <w:spacing w:after="0" w:line="193" w:lineRule="auto"/>
        <w:rPr>
          <w:sz w:val="20"/>
          <w:szCs w:val="20"/>
          <w:color w:val="auto"/>
        </w:rPr>
      </w:pPr>
      <w:r>
        <w:rPr>
          <w:rFonts w:ascii="Arial" w:cs="Arial" w:eastAsia="Arial" w:hAnsi="Arial"/>
          <w:sz w:val="11"/>
          <w:szCs w:val="11"/>
          <w:color w:val="FFFFFF"/>
        </w:rPr>
        <w:t>SolidMetricscore growth temperedTargetAnalysisbyforeign</w:t>
      </w:r>
    </w:p>
    <w:p>
      <w:pPr>
        <w:spacing w:after="0" w:line="206" w:lineRule="auto"/>
        <w:rPr>
          <w:sz w:val="20"/>
          <w:szCs w:val="20"/>
          <w:color w:val="auto"/>
        </w:rPr>
      </w:pPr>
      <w:r>
        <w:rPr>
          <w:rFonts w:ascii="Arial" w:cs="Arial" w:eastAsia="Arial" w:hAnsi="Arial"/>
          <w:sz w:val="4"/>
          <w:szCs w:val="4"/>
          <w:color w:val="FFFFFF"/>
        </w:rPr>
        <w:t>slowingRevenueEuropean$690—$710and BrazilianMillioncurrencyeconomies.exchange (FX) translation, and</w:t>
      </w:r>
    </w:p>
    <w:p>
      <w:pPr>
        <w:spacing w:after="0" w:line="182" w:lineRule="auto"/>
        <w:rPr>
          <w:sz w:val="20"/>
          <w:szCs w:val="20"/>
          <w:color w:val="auto"/>
        </w:rPr>
      </w:pPr>
      <w:r>
        <w:rPr>
          <w:rFonts w:ascii="Arial" w:cs="Arial" w:eastAsia="Arial" w:hAnsi="Arial"/>
          <w:sz w:val="9"/>
          <w:szCs w:val="9"/>
          <w:color w:val="FFFFFF"/>
        </w:rPr>
        <w:t>Margins remain in line, we are pulling</w:t>
      </w:r>
    </w:p>
    <w:p>
      <w:pPr>
        <w:spacing w:after="0" w:line="206" w:lineRule="auto"/>
        <w:rPr>
          <w:sz w:val="20"/>
          <w:szCs w:val="20"/>
          <w:color w:val="auto"/>
        </w:rPr>
      </w:pPr>
      <w:r>
        <w:rPr>
          <w:rFonts w:ascii="Arial" w:cs="Arial" w:eastAsia="Arial" w:hAnsi="Arial"/>
          <w:sz w:val="4"/>
          <w:szCs w:val="4"/>
          <w:color w:val="FFFFFF"/>
        </w:rPr>
        <w:t>continueEBITDA to$110—invest$in120ourMillionfuture.forward strategic investments as we</w:t>
      </w:r>
    </w:p>
    <w:p>
      <w:pPr>
        <w:spacing w:after="0" w:line="205" w:lineRule="auto"/>
        <w:rPr>
          <w:sz w:val="20"/>
          <w:szCs w:val="20"/>
          <w:color w:val="auto"/>
        </w:rPr>
      </w:pPr>
      <w:r>
        <w:rPr>
          <w:rFonts w:ascii="Arial" w:cs="Arial" w:eastAsia="Arial" w:hAnsi="Arial"/>
          <w:sz w:val="4"/>
          <w:szCs w:val="4"/>
          <w:color w:val="FFFFFF"/>
          <w:vertAlign w:val="superscript"/>
        </w:rPr>
        <w:t>Capital</w:t>
      </w:r>
    </w:p>
    <w:p>
      <w:pPr>
        <w:ind w:left="420"/>
        <w:spacing w:after="0" w:line="182" w:lineRule="auto"/>
        <w:rPr>
          <w:sz w:val="20"/>
          <w:szCs w:val="20"/>
          <w:color w:val="auto"/>
        </w:rPr>
      </w:pPr>
      <w:r>
        <w:rPr>
          <w:rFonts w:ascii="Arial" w:cs="Arial" w:eastAsia="Arial" w:hAnsi="Arial"/>
          <w:sz w:val="9"/>
          <w:szCs w:val="9"/>
          <w:color w:val="FFFFFF"/>
        </w:rPr>
        <w:t>SpendingInvestment$45—remains$55aMillionkey</w:t>
      </w:r>
    </w:p>
    <w:p>
      <w:pPr>
        <w:spacing w:after="0" w:line="182" w:lineRule="auto"/>
        <w:rPr>
          <w:sz w:val="20"/>
          <w:szCs w:val="20"/>
          <w:color w:val="auto"/>
        </w:rPr>
      </w:pPr>
      <w:r>
        <w:rPr>
          <w:rFonts w:ascii="Arial" w:cs="Arial" w:eastAsia="Arial" w:hAnsi="Arial"/>
          <w:sz w:val="9"/>
          <w:szCs w:val="9"/>
          <w:color w:val="FFFFFF"/>
        </w:rPr>
        <w:t>CashcomponentAvailableofourforgrowth strategy.</w:t>
      </w:r>
    </w:p>
    <w:p>
      <w:pPr>
        <w:spacing w:after="0" w:line="206" w:lineRule="auto"/>
        <w:rPr>
          <w:sz w:val="20"/>
          <w:szCs w:val="20"/>
          <w:color w:val="auto"/>
        </w:rPr>
      </w:pPr>
      <w:r>
        <w:rPr>
          <w:rFonts w:ascii="Arial" w:cs="Arial" w:eastAsia="Arial" w:hAnsi="Arial"/>
          <w:sz w:val="4"/>
          <w:szCs w:val="4"/>
          <w:color w:val="FFFFFF"/>
        </w:rPr>
        <w:t>Debt$25—Repayment$35Million Excess cash flow remains strong.</w:t>
      </w:r>
    </w:p>
    <w:p>
      <w:pPr>
        <w:spacing w:after="0"/>
        <w:rPr>
          <w:sz w:val="20"/>
          <w:szCs w:val="20"/>
          <w:color w:val="auto"/>
        </w:rPr>
      </w:pPr>
      <w:r>
        <w:rPr>
          <w:rFonts w:ascii="Arial" w:cs="Arial" w:eastAsia="Arial" w:hAnsi="Arial"/>
          <w:sz w:val="12"/>
          <w:szCs w:val="12"/>
          <w:color w:val="FFFFFF"/>
        </w:rPr>
        <w:t>* Includes all completed acquisitions, organic growth and adjacent market growth per NN’s long-range strategic plan. EBITDA estimate assumes full realization of synergies and full integration of new operations.</w:t>
      </w:r>
    </w:p>
    <w:sectPr>
      <w:pgSz w:w="11900" w:h="16838" w:orient="portrait"/>
      <w:cols w:equalWidth="0" w:num="1">
        <w:col w:w="11140"/>
      </w:cols>
      <w:pgMar w:left="24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2019-12-06T09:29:32Z</dcterms:created>
  <dcterms:modified xsi:type="dcterms:W3CDTF">2019-12-06T09:29:32Z</dcterms:modified>
</cp:coreProperties>
</file>