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March 12, 2021 (March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324485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7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On March 11, 2021, NN, Inc. (the “Company”) issued a press release announcing the Company’s financial results for the quarter and year ended December 31, 2020. The full text of the press release is furnished as Exhibit 99.1 and is incorporated herein by reference.</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NN, Inc., dated March 11, 2021</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865505" cy="840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5505" cy="8401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171450</wp:posOffset>
            </wp:positionV>
            <wp:extent cx="177482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8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FOURTH QUARTER AND FULL YEAR 2020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Net Sales Increased 7.5% Over Prior Year, Driving EBITDA to $16.8 million on an Adjusted Basis</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Charlotte, N.C., March 11, 2021 – </w:t>
      </w:r>
      <w:r>
        <w:rPr>
          <w:rFonts w:ascii="Arial" w:cs="Arial" w:eastAsia="Arial" w:hAnsi="Arial"/>
          <w:sz w:val="18"/>
          <w:szCs w:val="18"/>
          <w:color w:val="auto"/>
        </w:rPr>
        <w:t>NN, Inc., (NASDAQ: NNBR), a diversified industrial company, today reported its financial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full year ended December 31,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Results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fourth quarter, NN posted solid improvements in sales and profitability as the Company’s core markets continued to recover from the impact of the COVID-19 pandemic. Key highlights from the quarter include:</w:t>
      </w:r>
    </w:p>
    <w:p>
      <w:pPr>
        <w:spacing w:after="0" w:line="76" w:lineRule="exact"/>
        <w:rPr>
          <w:sz w:val="20"/>
          <w:szCs w:val="20"/>
          <w:color w:val="auto"/>
        </w:rPr>
      </w:pPr>
    </w:p>
    <w:p>
      <w:pPr>
        <w:ind w:left="960" w:right="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increased $8.3 million, or 7.5%, to $119.0 million, compared to $110.7 million for the fourth quarter of 2019, driven primarily by 11.8% growth in Mobile Solutions net sales and a 0.8% increase in Power Solutions net sales.</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loss was reduced by 90.4% to $1.0 million from an operating loss of $10.1 million in the fourth quarter of 2019, driven by higher sales volume, improved gross margin, and lower SG&amp;A expenses.</w:t>
      </w:r>
    </w:p>
    <w:p>
      <w:pPr>
        <w:spacing w:after="0" w:line="75" w:lineRule="exact"/>
        <w:rPr>
          <w:rFonts w:ascii="Arial" w:cs="Arial" w:eastAsia="Arial" w:hAnsi="Arial"/>
          <w:sz w:val="18"/>
          <w:szCs w:val="18"/>
          <w:color w:val="auto"/>
        </w:rPr>
      </w:pPr>
    </w:p>
    <w:p>
      <w:pPr>
        <w:ind w:left="960" w:right="8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from continuing operations increased to $15.5 million from a loss from continuing operations of $9.9 million in the fourth quarter of 2019, due mainly to the discontinuation of hedge accounting related to an interest rate swap subsequent to the prepayment of debt, resulting in an unrealized loss of $14.8 million within the quarter.</w:t>
      </w:r>
    </w:p>
    <w:p>
      <w:pPr>
        <w:spacing w:after="0" w:line="89" w:lineRule="exact"/>
        <w:rPr>
          <w:rFonts w:ascii="Arial" w:cs="Arial" w:eastAsia="Arial" w:hAnsi="Arial"/>
          <w:sz w:val="18"/>
          <w:szCs w:val="18"/>
          <w:color w:val="auto"/>
        </w:rPr>
      </w:pPr>
    </w:p>
    <w:p>
      <w:pPr>
        <w:ind w:left="960" w:right="20" w:hanging="424"/>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on a GAAP basis for the fourth quarter of 2020 was $147.4 million, or $3.41 per diluted share, compared to net loss on a GAAP basis of $14.1 million, or ($0.35) per diluted share, in the fourth quarter of 2019. Net income for the fourth quarter of 2020 included the gain on sale of the Life Sciences business, which was included in results from discontinued operations.</w:t>
      </w:r>
    </w:p>
    <w:p>
      <w:pPr>
        <w:spacing w:after="0" w:line="70" w:lineRule="exact"/>
        <w:rPr>
          <w:rFonts w:ascii="Arial" w:cs="Arial" w:eastAsia="Arial" w:hAnsi="Arial"/>
          <w:sz w:val="17"/>
          <w:szCs w:val="17"/>
          <w:color w:val="auto"/>
        </w:rPr>
      </w:pPr>
    </w:p>
    <w:p>
      <w:pPr>
        <w:ind w:left="960" w:right="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adjusted basis, net income for the fourth quarter was $7.0 million, or $0.17 per diluted share, compared to an adjusted net loss of $0.9 million, or ($0.02) per diluted share, for the same period in 2019. Adjusted EBITDA for the fourth quarter of 2020 was $16.8 million, or 14.2% of sales, versus $11.8 million, or 10.6% of sales, for the same period in 2019.</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NN, Inc. President and CEO Warren Veltman said, “We made strong progress in the fourth quarter toward driving improved operating results, which was enabled in part by the continued recovery in customer demand across our end markets, as we saw sequential increases in activity from the pandemic-related lows in the second quarter. To finish the year, we posted both sequential and year-over-year growth in revenues and solid improvements in profitability on an adjusted basis, which highlight the strong potential of our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Mobile Solutions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fourth quarter of 2020 were $75.1 million, compared to $67.2 million in the fourth quarter of 2019, an increase of 11.8%, or</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$7.9 million. The increase in sales was the result of increased volumes driven by the ongoing recovery from the COVID-19 pandemic as well as the prior year fourth quarter being impacted by a GM strike that did not repeat in the fourth quarter of 2020. GAAP income from operations for the fourth quarter of 2020 was $4.6 million, compared to loss from operations of $0.6 million in the fourth quarter of 2019. Adjusted income from operations for the fourth quarter of 2020 was $6.8 million, compared to $1.5 million of adjusted income from operations in the fourth quarter of 2019. The improvements in both GAAP and adjusted income from operations were primarily due to the increase in net sales, improved efficiencies, and cost controls.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sales for the fourth quarter of 2020 were $44.0 million, compared to $43.6 million in the fourth quarter of 2019, an increase of $0.4 million, or 0.8%. The increase in sales was driven by an increase in precious metal pricing, partially offset by lower overall demand due to the impact of COVID-19 on our customer’s volumes. GAAP income from operations for the fourth quarter of 2020 was $1.8 million, compared to income from operations of $1.0 million in the fourth quarter of 2019. Adjusted income from operations for the quarter was $5.1 million, compared to $5.8 million in the fourth quarter of 2019. The reduction in adjusted income from operations was due primarily to the impact of the precious metals commodity price increases (gold and silver), which are passed through at a lower margin along with lower customer volume due to COVID-19.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Full-Year Results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Tom DeByle, NN Senior Vice President and CFO, commented, “By almost any measure, 2020 was a noteworthy year for our company. We worked to overcome the adverse impact of the COVID-19 pandemic while making significant progress on our business transformation. Throughout the year, we executed on our initiatives to conserve cash and improve our operating performance. By far, the largest accomplishment during the year was the sale of our Life Sciences Group for $825 million, including a potential $70 million earnout based on 2022 performance. The cash received from the sale was used to significantly reduce our debt levels and provide a stronger foundation upon which we will build our Mobile and Power Solutions businesses where we see a great potential for long-term growth and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Key highlights from the year include:</w:t>
      </w:r>
    </w:p>
    <w:p>
      <w:pPr>
        <w:spacing w:after="0" w:line="131" w:lineRule="exact"/>
        <w:rPr>
          <w:sz w:val="20"/>
          <w:szCs w:val="20"/>
          <w:color w:val="auto"/>
        </w:rPr>
      </w:pPr>
    </w:p>
    <w:p>
      <w:pPr>
        <w:ind w:left="960" w:right="2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decreased $62.0 million, or 12.7%, to $427.5 million, compared to $489.5 million for 2019, resulting in a 13.9% decrease in Mobile Solutions net sales and a 10.8% decrease in Power Solutions net sales.</w:t>
      </w:r>
    </w:p>
    <w:p>
      <w:pPr>
        <w:spacing w:after="0" w:line="75"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operating loss was $117.5 million, compared with an operating loss of $17.6 million in 2019, impacted by a non-cash goodwill impairment of $92.9 million.</w:t>
      </w:r>
    </w:p>
    <w:p>
      <w:pPr>
        <w:spacing w:after="0" w:line="75" w:lineRule="exact"/>
        <w:rPr>
          <w:rFonts w:ascii="Arial" w:cs="Arial" w:eastAsia="Arial" w:hAnsi="Arial"/>
          <w:sz w:val="18"/>
          <w:szCs w:val="18"/>
          <w:color w:val="auto"/>
        </w:rPr>
      </w:pPr>
    </w:p>
    <w:p>
      <w:pPr>
        <w:ind w:left="960" w:right="32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loss from continuing operations increased to $139.5 million from a loss from continuing operations of $30.7 million in 2019, due mainly to the impact of lower sales volumes, as well as the goodwill impairment and one-time interest rate swap charge.</w:t>
      </w:r>
    </w:p>
    <w:p>
      <w:pPr>
        <w:spacing w:after="0" w:line="51" w:lineRule="exact"/>
        <w:rPr>
          <w:rFonts w:ascii="Arial" w:cs="Arial" w:eastAsia="Arial" w:hAnsi="Arial"/>
          <w:sz w:val="17"/>
          <w:szCs w:val="17"/>
          <w:color w:val="auto"/>
        </w:rPr>
      </w:pPr>
    </w:p>
    <w:p>
      <w:pPr>
        <w:jc w:val="both"/>
        <w:ind w:left="960" w:right="2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on a GAAP basis was $100.6 million, or ($2.68) per diluted share, compared to net loss on a GAAP basis of $46.7 million, or ($1.13) per diluted share, in 2019. The net loss for 2020 included the gain on sale of the Life Sciences business, which was included in results from discontinued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0" w:right="579" w:bottom="1440" w:gutter="0" w:footer="0" w:header="0"/>
        </w:sectPr>
      </w:pPr>
    </w:p>
    <w:bookmarkStart w:id="5" w:name="page6"/>
    <w:bookmarkEnd w:id="5"/>
    <w:p>
      <w:pPr>
        <w:ind w:left="964" w:right="200" w:hanging="424"/>
        <w:spacing w:after="0" w:line="263"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an adjusted basis, net loss for 2020 was $7.0 million, or ($0.16) per diluted share, compared to adjusted net income of $8.0 million, or $0.19 per diluted share, for 2019. Adjusted EBITDA for 2020 was $46.5 million, or 10.9% of sales, versus $56.4 million, or 11.5% of sales, for 2019.</w:t>
      </w:r>
    </w:p>
    <w:p>
      <w:pPr>
        <w:spacing w:after="0" w:line="184"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Veltman concluded, “We made significant progress in 2020, and we are optimistic for continued success in 2021, based on the momentum in our core markets. Today, NN is a company with strong operating performance, based on unique core technical competencies, addressing exciting, and technologically transformational industries. While COVID-19 and chip shortage uncertainties prevent us from implementing formal guidance for the coming year, we are expecting a return to pre-pandemic volumes in both of our businesses and improved adjusted EBITDA, based on the cost improvement initiatives completed over the past year. We have seen increased volume during the first two months of 2021 and are optimistic that we can continue the operational momentum in the coming year.”</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left="4" w:right="80" w:hanging="4"/>
        <w:spacing w:after="0" w:line="311" w:lineRule="auto"/>
        <w:tabs>
          <w:tab w:leader="none" w:pos="30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on March 12, 2021,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1-877-317-6789 or 1-412-317-6789, Conference ID: 10152502. For those who are unavailable to listen to the live broadcast, a replay will be available shortly after the call until March 26, 2021.</w:t>
      </w:r>
    </w:p>
    <w:p>
      <w:pPr>
        <w:spacing w:after="0" w:line="149" w:lineRule="exact"/>
        <w:rPr>
          <w:sz w:val="20"/>
          <w:szCs w:val="20"/>
          <w:color w:val="auto"/>
        </w:rPr>
      </w:pPr>
    </w:p>
    <w:p>
      <w:pPr>
        <w:ind w:left="4" w:right="60" w:hanging="4"/>
        <w:spacing w:after="0" w:line="257"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EBITDA, adjusted net income (loss), and adjusted net income per diluted share. Each of adjusted income from operations, adjusted EBITDA, adjusted net income (loss), and adjusted net income per diluted share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88" w:lineRule="exact"/>
        <w:rPr>
          <w:sz w:val="20"/>
          <w:szCs w:val="20"/>
          <w:color w:val="auto"/>
        </w:rPr>
      </w:pPr>
    </w:p>
    <w:p>
      <w:pPr>
        <w:jc w:val="both"/>
        <w:ind w:left="4" w:right="280"/>
        <w:spacing w:after="0" w:line="263"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operating margin, adjusted EBITDA, adjusted EBITDA margin, adjusted net income (loss), adjusted net income (loss) per diluted share to the U.S. GAAP financial measures of income from operations, net income (loss), and net income (loss) per diluted share.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84" w:lineRule="exact"/>
        <w:rPr>
          <w:sz w:val="20"/>
          <w:szCs w:val="20"/>
          <w:color w:val="auto"/>
        </w:rPr>
      </w:pPr>
    </w:p>
    <w:p>
      <w:pPr>
        <w:ind w:left="4" w:right="80"/>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6" w:name="page7"/>
    <w:bookmarkEnd w:id="6"/>
    <w:p>
      <w:pPr>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the Company’s Quarterly Report on Form 10-Q for the three months ended September 30, 2020, and, when filed, the Company’s Annual Report on Form 10-K for the fiscal year ended December 31, 2020. Except as required by law, we undertake no obligation to update or revise any forward-looking statements we make in our press releases, whether as a result of new information, future events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 Tryka,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jtryka@lambert.com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258-5766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Financial Tables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181"/>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7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6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427,534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93,982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91,816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343,594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392,482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68,895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11,561</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45,680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92,942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(10,136)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(117,457)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Loss on interest rate swap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11,669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11,669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w w:val="92"/>
              </w:rPr>
              <w:t>Loss from continuing operations before benefit (provision) for income taxes and share of net income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from 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(18,358)</w:t>
            </w: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(14,668)</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(152,088)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(32,125)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(15,487)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(139,490)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(30,749)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162,864</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(15,992)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147,377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(100,592)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(46,741)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Change in fair value,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(10,479)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Reclassification adjustment for losses included in net loss, net of tax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170,440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(59,981)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Basic net loss per common share: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(loss) from discontinued operations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Loss from continuing operations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42,030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84,615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83,240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62,517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67,078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8,800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117,000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11,148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215,218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302,980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223,690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255,977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50,264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45,452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103,065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117,413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26,983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695,054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5,742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624,962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1,541,984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37,435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40,973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wages and benefits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21,296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3,557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4,797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41,546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31,261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103,231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139,481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11,178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24,461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payable</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79,025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757,250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84,199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17,237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40,457</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265,724</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spacing w:after="0" w:line="201" w:lineRule="exact"/>
              <w:rPr>
                <w:sz w:val="20"/>
                <w:szCs w:val="20"/>
                <w:color w:val="auto"/>
              </w:rPr>
            </w:pPr>
            <w:r>
              <w:rPr>
                <w:rFonts w:ascii="Arial" w:cs="Arial" w:eastAsia="Arial" w:hAnsi="Arial"/>
                <w:sz w:val="18"/>
                <w:szCs w:val="18"/>
                <w:color w:val="auto"/>
              </w:rPr>
              <w:t>Series B convertible preferred stock - $0.01 par value per share, 100 shares authorized, 100 shares issued and</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180"/>
              <w:spacing w:after="0"/>
              <w:rPr>
                <w:sz w:val="20"/>
                <w:szCs w:val="20"/>
                <w:color w:val="auto"/>
              </w:rPr>
            </w:pPr>
            <w:r>
              <w:rPr>
                <w:rFonts w:ascii="Arial" w:cs="Arial" w:eastAsia="Arial" w:hAnsi="Arial"/>
                <w:sz w:val="18"/>
                <w:szCs w:val="18"/>
                <w:color w:val="auto"/>
              </w:rPr>
              <w:t>outstanding at December 31, 2019, and December 31, 2020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105,086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93,012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 $0.01 par value per share, 90,000 shares authorized, 42,313 and 42,686 shares issued and</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rPr>
              <w:t>outstanding at December 31, 2019, and December 31, 2020, respectively</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493,332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501,615</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(205,875)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(105,283)</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(33,732)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254,152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353,277</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624,962</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1,541,984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7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8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(100,592)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(46,741)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Depreciation and amortization of continuing operations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45,680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discontinued operations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35,731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46,950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15,692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of continuing operations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92,942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Goodwill impairment of discontinued operations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146,757</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impairments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1,532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derivative loss (gain), net of cash settlements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(3,626)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disposal of discontinued operations, net of tax and cost to sell</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(233,824)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Compensation expense from issuance of share-based awards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4,226</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(21,697)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(4,730)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10,831</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(8,606)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receivable and payable, net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color w:val="auto"/>
              </w:rPr>
              <w:t>10,802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49,208</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property, plant and equipment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(23,773)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(54,003)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liquidation of short-term investment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sale of business, net of cash sold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743,178</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 of interest rate swap</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(4,133)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(39,427)</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debt issuance costs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(11,336)</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preferred stock</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95,741</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66,195</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54,209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(776,331)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(108,157)</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(repayments of) short-term debt, net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(924)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(714,854)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16,435</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 (1)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31,703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at end of period (1)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92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include $13.8 million and $10.2 million of cash and cash equivalents that were included in current assets of discontinued operations as of December 31, 2019 and December 31, 2018, respectively.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sectPr>
      </w:pPr>
    </w:p>
    <w:bookmarkStart w:id="10" w:name="page11"/>
    <w:bookmarkEnd w:id="10"/>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9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Non-GAAP adjusted operating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119,028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110,676</w:t>
            </w:r>
          </w:p>
        </w:tc>
        <w:tc>
          <w:tcPr>
            <w:tcW w:w="0" w:type="dxa"/>
            <w:vAlign w:val="bottom"/>
          </w:tcPr>
          <w:p>
            <w:pPr>
              <w:spacing w:after="0"/>
              <w:rPr>
                <w:sz w:val="1"/>
                <w:szCs w:val="1"/>
                <w:color w:val="auto"/>
              </w:rPr>
            </w:pPr>
          </w:p>
        </w:tc>
      </w:tr>
      <w:tr>
        <w:trPr>
          <w:trHeight w:val="342"/>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9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Non-GAAP adjusted operating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Mobile Solutions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3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joint venture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60" w:type="dxa"/>
            <w:vAlign w:val="bottom"/>
            <w:gridSpan w:val="2"/>
          </w:tcPr>
          <w:p>
            <w:pPr>
              <w:spacing w:after="0"/>
              <w:rPr>
                <w:sz w:val="20"/>
                <w:szCs w:val="20"/>
                <w:color w:val="auto"/>
              </w:rPr>
            </w:pPr>
            <w:r>
              <w:rPr>
                <w:rFonts w:ascii="Arial" w:cs="Arial" w:eastAsia="Arial" w:hAnsi="Arial"/>
                <w:sz w:val="18"/>
                <w:szCs w:val="18"/>
                <w:color w:val="auto"/>
              </w:rPr>
              <w:t>Non-GAAP adjusted income from</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operations with JV</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8,654</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7"/>
              </w:rPr>
              <w:t>Non-GAAP adjusted operating margin (1)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GAAP net sales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75,068</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67,159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6"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177"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20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2020 Includes Capacity &amp; Capabilities Dev - $0.6 / Prof Fees - $0.5 / Integration &amp; Transformation - $2.6 / Acq Transaction Costs - $0.0 / Asset Write-Downs/Inventory Step-Up - $0.0</w:t>
      </w:r>
    </w:p>
    <w:p>
      <w:pPr>
        <w:ind w:left="424" w:right="20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2019 Includes Capacity &amp; Capabilities Dev - $1.6 / Prof Fees - $2.7 / Integration &amp; Transformation - $4.0 / Acq Transaction Costs - $0.0 / Asset Write-Downs/Inventory Step-Up - $0.0</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type w:val="continuous"/>
        </w:sectPr>
      </w:pPr>
    </w:p>
    <w:bookmarkStart w:id="11" w:name="page12"/>
    <w:bookmarkEnd w:id="11"/>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Twelve Months Ended</w:t>
            </w: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20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(117,457)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(17,593)</w:t>
            </w:r>
          </w:p>
        </w:tc>
        <w:tc>
          <w:tcPr>
            <w:tcW w:w="2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24,070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14,347</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14,473</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93,968</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7,797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21,581</w:t>
            </w: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427,534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489,514</w:t>
            </w:r>
          </w:p>
        </w:tc>
      </w:tr>
      <w:tr>
        <w:trPr>
          <w:trHeight w:val="32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Twelve Months Ended</w:t>
            </w: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20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(85,983)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2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10,994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10,994</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92,948</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22,195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32,844</w:t>
            </w: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171,269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192,100</w:t>
            </w: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8"/>
        </w:trPr>
        <w:tc>
          <w:tcPr>
            <w:tcW w:w="31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Mobile Solutions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Impairments (Goodwill and fixed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8"/>
                <w:szCs w:val="18"/>
                <w:color w:val="auto"/>
              </w:rPr>
              <w:t>Non-GAAP adjusted income from</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operations (a)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11,195</w:t>
            </w:r>
          </w:p>
        </w:tc>
        <w:tc>
          <w:tcPr>
            <w:tcW w:w="3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Impairment of joint venture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with JV</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3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margin (1)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256,360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297,749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8"/>
        </w:trPr>
        <w:tc>
          <w:tcPr>
            <w:tcW w:w="31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3"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163"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20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2020 Includes Capacity &amp; Capabilities Dev - $2.4 / Prof Fees - $3.2 / Integration &amp; Transformation - $7.5 / Acq Transaction Costs - $0.0 / Asset Write-Downs/Inventory Step-Up - $3.9</w:t>
      </w:r>
    </w:p>
    <w:p>
      <w:pPr>
        <w:ind w:left="424" w:right="120" w:hanging="424"/>
        <w:spacing w:after="0" w:line="26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2019 Includes Capacity &amp; Capabilities Dev - $7.4 / Prof Fees - $4.5 / Integration &amp; Transformation - $11.8 / Acq Transaction Costs - $0.0 / Asset Write-Downs/Inventory Step-Up - $0.4</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0" w:right="4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6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147,377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(14,085)</w:t>
            </w:r>
          </w:p>
        </w:tc>
        <w:tc>
          <w:tcPr>
            <w:tcW w:w="220" w:type="dxa"/>
            <w:vAlign w:val="bottom"/>
            <w:shd w:val="clear" w:color="auto" w:fill="CCEEFF"/>
          </w:tcPr>
          <w:p>
            <w:pPr>
              <w:spacing w:after="0"/>
              <w:rPr>
                <w:sz w:val="18"/>
                <w:szCs w:val="18"/>
                <w:color w:val="auto"/>
              </w:rPr>
            </w:pPr>
          </w:p>
        </w:tc>
      </w:tr>
      <w:tr>
        <w:trPr>
          <w:trHeight w:val="324"/>
        </w:trPr>
        <w:tc>
          <w:tcPr>
            <w:tcW w:w="67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(3,389)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payments and change in fair value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fair value of preferred stock derivatives and warrants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8,124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divested businesses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(162,864)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4,142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Non-GAAP adjusted EBITDA (b)</w:t>
            </w:r>
          </w:p>
        </w:tc>
        <w:tc>
          <w:tcPr>
            <w:tcW w:w="2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11,779</w:t>
            </w:r>
          </w:p>
        </w:tc>
        <w:tc>
          <w:tcPr>
            <w:tcW w:w="2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margin (2)</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GAAP net sales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119,028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110,676</w:t>
            </w:r>
          </w:p>
        </w:tc>
      </w:tr>
    </w:tbl>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w:t>
        <w:tab/>
        <w:t>Non-GAAP adjusted EBITDA margin = Non-GAAP adjusted EBITDA / GAAP net sales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9"/>
        </w:trPr>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7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(100,592)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(46,741)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18,898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payments and change in fair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Change in fair value of preferred stock derivatives and warrants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45,680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16,850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23,285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Costs related to divested businesses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93,968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56,437</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Non-GAAP adjusted EBITDA margin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427,534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489,514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w:t>
        <w:tab/>
        <w:t>Non-GAAP adjusted EBITDA margin = Non-GAAP adjusted EBITDA / GAAP net sales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14" w:name="page15"/>
    <w:bookmarkEnd w:id="14"/>
    <w:p>
      <w:pPr>
        <w:jc w:val="cente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48"/>
        </w:trPr>
        <w:tc>
          <w:tcPr>
            <w:tcW w:w="5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3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(14,085)</w:t>
            </w:r>
          </w:p>
        </w:tc>
        <w:tc>
          <w:tcPr>
            <w:tcW w:w="60" w:type="dxa"/>
            <w:vAlign w:val="bottom"/>
            <w:shd w:val="clear" w:color="auto" w:fill="CCEEFF"/>
          </w:tcPr>
          <w:p>
            <w:pPr>
              <w:spacing w:after="0"/>
              <w:rPr>
                <w:sz w:val="18"/>
                <w:szCs w:val="18"/>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3,694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8,306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write-off of unamortized debt issuance costs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Pre-tax change in fair value of preferred stock derivatives and warrants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3,951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interest rate swap payments and change in fair value</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costs related to divested businesses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Tax effect of adjustments reflected above (c)</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(2,592)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Non-GAAP discrete tax adjustments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(162,864)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6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(d)</w:t>
            </w:r>
          </w:p>
        </w:tc>
        <w:tc>
          <w:tcPr>
            <w:tcW w:w="3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5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48"/>
        </w:trPr>
        <w:tc>
          <w:tcPr>
            <w:tcW w:w="5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3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write-off of unamortized debt issuance costs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Pre-tax change in fair value of preferred stock derivatives and warrants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interest rate swap payments and change in fair value</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costs related to divested businesses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Tax effect of adjustments reflected above (c)</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Non-GAAP discrete tax adjustments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cumulative dividends and deemed dividends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Non-GAAP adjusted net income (loss) per diluted share (d)</w:t>
            </w:r>
          </w:p>
        </w:tc>
        <w:tc>
          <w:tcPr>
            <w:tcW w:w="3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42,078</w:t>
            </w:r>
          </w:p>
        </w:tc>
      </w:tr>
      <w:tr>
        <w:trPr>
          <w:trHeight w:val="365"/>
        </w:trPr>
        <w:tc>
          <w:tcPr>
            <w:tcW w:w="5260" w:type="dxa"/>
            <w:vAlign w:val="bottom"/>
          </w:tcPr>
          <w:p>
            <w:pPr>
              <w:spacing w:after="0"/>
              <w:rPr>
                <w:sz w:val="24"/>
                <w:szCs w:val="24"/>
                <w:color w:val="auto"/>
              </w:rPr>
            </w:pPr>
          </w:p>
        </w:tc>
        <w:tc>
          <w:tcPr>
            <w:tcW w:w="3900" w:type="dxa"/>
            <w:vAlign w:val="bottom"/>
          </w:tcPr>
          <w:p>
            <w:pPr>
              <w:jc w:val="right"/>
              <w:ind w:right="34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Twelve Months Ended</w:t>
            </w:r>
          </w:p>
        </w:tc>
      </w:tr>
      <w:tr>
        <w:trPr>
          <w:trHeight w:val="148"/>
        </w:trPr>
        <w:tc>
          <w:tcPr>
            <w:tcW w:w="5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3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(46,741)</w:t>
            </w:r>
          </w:p>
        </w:tc>
        <w:tc>
          <w:tcPr>
            <w:tcW w:w="60" w:type="dxa"/>
            <w:vAlign w:val="bottom"/>
            <w:shd w:val="clear" w:color="auto" w:fill="CCEEFF"/>
          </w:tcPr>
          <w:p>
            <w:pPr>
              <w:spacing w:after="0"/>
              <w:rPr>
                <w:sz w:val="18"/>
                <w:szCs w:val="18"/>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16,939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24,070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2"/>
              </w:rPr>
              <w:t>Pre-tax change in fair value of preferred stock derivatives and warrants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interest rate swap payments and change in fair value</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impairments of fixed asset costs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costs related to divested businesses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adjustments reflected above (c)</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Non-GAAP discrete tax adjustments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4,779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6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(d)</w:t>
            </w:r>
          </w:p>
        </w:tc>
        <w:tc>
          <w:tcPr>
            <w:tcW w:w="3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5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Twelve Months Ended</w:t>
            </w:r>
          </w:p>
        </w:tc>
      </w:tr>
      <w:tr>
        <w:trPr>
          <w:trHeight w:val="148"/>
        </w:trPr>
        <w:tc>
          <w:tcPr>
            <w:tcW w:w="5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3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2"/>
              </w:rPr>
              <w:t>Pre-tax change in fair value of preferred stock derivatives and warrants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interest rate swap payments and change in fair value</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Pre-tax impairments of fixed asset costs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Pre-tax costs related to divested businesses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adjustments reflected above (c)</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Non-GAAP discrete tax adjustments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cumulative dividends and deemed dividends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Non-GAAP adjusted net income (loss) per diluted share (d)</w:t>
            </w:r>
          </w:p>
        </w:tc>
        <w:tc>
          <w:tcPr>
            <w:tcW w:w="3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42,030</w:t>
            </w:r>
          </w:p>
        </w:tc>
      </w:tr>
      <w:tr>
        <w:trPr>
          <w:trHeight w:val="365"/>
        </w:trPr>
        <w:tc>
          <w:tcPr>
            <w:tcW w:w="5260" w:type="dxa"/>
            <w:vAlign w:val="bottom"/>
          </w:tcPr>
          <w:p>
            <w:pPr>
              <w:spacing w:after="0"/>
              <w:rPr>
                <w:sz w:val="24"/>
                <w:szCs w:val="24"/>
                <w:color w:val="auto"/>
              </w:rPr>
            </w:pPr>
          </w:p>
        </w:tc>
        <w:tc>
          <w:tcPr>
            <w:tcW w:w="3900" w:type="dxa"/>
            <w:vAlign w:val="bottom"/>
          </w:tcPr>
          <w:p>
            <w:pPr>
              <w:jc w:val="right"/>
              <w:ind w:right="34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ind w:left="4"/>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7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left="4" w:hanging="4"/>
        <w:spacing w:after="0" w:line="254" w:lineRule="auto"/>
        <w:tabs>
          <w:tab w:leader="none" w:pos="259"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94" w:lineRule="exact"/>
        <w:rPr>
          <w:rFonts w:ascii="Arial" w:cs="Arial" w:eastAsia="Arial" w:hAnsi="Arial"/>
          <w:sz w:val="18"/>
          <w:szCs w:val="18"/>
          <w:i w:val="1"/>
          <w:iCs w:val="1"/>
          <w:color w:val="auto"/>
        </w:rPr>
      </w:pPr>
    </w:p>
    <w:p>
      <w:pPr>
        <w:ind w:left="4" w:right="20" w:hanging="4"/>
        <w:spacing w:after="0" w:line="271" w:lineRule="auto"/>
        <w:tabs>
          <w:tab w:leader="none" w:pos="259"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EBITDA represents GAAP net income (loss), adjusted to include income taxes, interest expense,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78" w:lineRule="exact"/>
        <w:rPr>
          <w:rFonts w:ascii="Arial" w:cs="Arial" w:eastAsia="Arial" w:hAnsi="Arial"/>
          <w:sz w:val="17"/>
          <w:szCs w:val="17"/>
          <w:i w:val="1"/>
          <w:iCs w:val="1"/>
          <w:color w:val="auto"/>
        </w:rPr>
      </w:pPr>
    </w:p>
    <w:p>
      <w:pPr>
        <w:ind w:left="4" w:right="300" w:hanging="4"/>
        <w:spacing w:after="0" w:line="286" w:lineRule="auto"/>
        <w:tabs>
          <w:tab w:leader="none" w:pos="249"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65" w:lineRule="exact"/>
        <w:rPr>
          <w:rFonts w:ascii="Arial" w:cs="Arial" w:eastAsia="Arial" w:hAnsi="Arial"/>
          <w:sz w:val="17"/>
          <w:szCs w:val="17"/>
          <w:i w:val="1"/>
          <w:iCs w:val="1"/>
          <w:color w:val="auto"/>
        </w:rPr>
      </w:pPr>
    </w:p>
    <w:p>
      <w:pPr>
        <w:ind w:left="4" w:right="20" w:hanging="4"/>
        <w:spacing w:after="0" w:line="290" w:lineRule="auto"/>
        <w:tabs>
          <w:tab w:leader="none" w:pos="259"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interest rate swap payments and change in fair value, change in fair value of preferred stock derivatives and warrants, costs related to divested businesses and litigation settlements,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upperLetter"/>
      <w:start w:val="40"/>
    </w:lvl>
  </w:abstractNum>
  <w:abstractNum w:abstractNumId="6">
    <w:nsid w:val="4DB127F8"/>
    <w:multiLevelType w:val="hybridMultilevel"/>
    <w:lvl w:ilvl="0">
      <w:lvlJc w:val="left"/>
      <w:lvlText w:val="%1"/>
      <w:numFmt w:val="upperLetter"/>
      <w:start w:val="40"/>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2021-03-12T05:24:35Z</dcterms:created>
  <dcterms:modified xsi:type="dcterms:W3CDTF">2021-03-12T05:24:35Z</dcterms:modified>
</cp:coreProperties>
</file>