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May 10, 2019 (May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444500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 w:gutter="0" w:footer="0" w:header="0"/>
          <w:type w:val="continuous"/>
        </w:sectPr>
      </w:pPr>
    </w:p>
    <w:p>
      <w:pPr>
        <w:spacing w:after="0" w:line="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8320" w:space="720"/>
            <w:col w:w="2000"/>
          </w:cols>
          <w:pgMar w:left="440" w:top="368" w:right="419" w:bottom="144"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0" w:space="720"/>
            <w:col w:w="2120"/>
          </w:cols>
          <w:pgMar w:left="440" w:top="368" w:right="419" w:bottom="144"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40"/>
          </w:cols>
          <w:pgMar w:left="440" w:top="368" w:right="419" w:bottom="144" w:gutter="0" w:footer="0" w:header="0"/>
          <w:type w:val="continuous"/>
        </w:sect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180" w:type="dxa"/>
            <w:vAlign w:val="bottom"/>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Trading symbol</w:t>
            </w:r>
          </w:p>
        </w:tc>
        <w:tc>
          <w:tcPr>
            <w:tcW w:w="3220" w:type="dxa"/>
            <w:vAlign w:val="bottom"/>
          </w:tcPr>
          <w:p>
            <w:pPr>
              <w:jc w:val="center"/>
              <w:ind w:right="25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18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b w:val="1"/>
                <w:bCs w:val="1"/>
                <w:color w:val="auto"/>
                <w:w w:val="89"/>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jc w:val="center"/>
              <w:ind w:right="259"/>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414"/>
        </w:trPr>
        <w:tc>
          <w:tcPr>
            <w:tcW w:w="3180" w:type="dxa"/>
            <w:vAlign w:val="bottom"/>
          </w:tcPr>
          <w:p>
            <w:pPr>
              <w:spacing w:after="0"/>
              <w:rPr>
                <w:sz w:val="24"/>
                <w:szCs w:val="24"/>
                <w:color w:val="auto"/>
              </w:rPr>
            </w:pPr>
          </w:p>
        </w:tc>
        <w:tc>
          <w:tcPr>
            <w:tcW w:w="4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220" w:type="dxa"/>
            <w:vAlign w:val="bottom"/>
          </w:tcPr>
          <w:p>
            <w:pPr>
              <w:spacing w:after="0"/>
              <w:rPr>
                <w:sz w:val="24"/>
                <w:szCs w:val="24"/>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None</w:t>
            </w:r>
          </w:p>
        </w:tc>
        <w:tc>
          <w:tcPr>
            <w:tcW w:w="3220" w:type="dxa"/>
            <w:vAlign w:val="bottom"/>
          </w:tcPr>
          <w:p>
            <w:pPr>
              <w:spacing w:after="0"/>
              <w:rPr>
                <w:sz w:val="24"/>
                <w:szCs w:val="24"/>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(Title of class)</w:t>
            </w:r>
          </w:p>
        </w:tc>
        <w:tc>
          <w:tcPr>
            <w:tcW w:w="3220" w:type="dxa"/>
            <w:vAlign w:val="bottom"/>
          </w:tcPr>
          <w:p>
            <w:pPr>
              <w:spacing w:after="0"/>
              <w:rPr>
                <w:sz w:val="16"/>
                <w:szCs w:val="16"/>
                <w:color w:val="auto"/>
              </w:rPr>
            </w:pPr>
          </w:p>
        </w:tc>
      </w:tr>
      <w:tr>
        <w:trPr>
          <w:trHeight w:val="215"/>
        </w:trPr>
        <w:tc>
          <w:tcPr>
            <w:tcW w:w="3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48"/>
        </w:trPr>
        <w:tc>
          <w:tcPr>
            <w:tcW w:w="3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368" w:right="419" w:bottom="144"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9, 2019, NN, Inc. (the “Company”) issued a press release announcing the Company’s financial results for the quarter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The full text of the press release is furnished as Exhibit 99.1 and is incorporated herein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10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8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NN, Inc., dated May 9, 2019</w:t>
              </w:r>
            </w:hyperlink>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3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8867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78867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9,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FIRST QUARTER 2019 RESULTS</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Charlotte, NC, May 9, 2019 –</w:t>
      </w:r>
      <w:r>
        <w:rPr>
          <w:rFonts w:ascii="Arial" w:cs="Arial" w:eastAsia="Arial" w:hAnsi="Arial"/>
          <w:sz w:val="18"/>
          <w:szCs w:val="18"/>
          <w:color w:val="auto"/>
        </w:rPr>
        <w:t>NN, Inc., (NASDAQ: NNBR), a diversified industrial company, today reported its financial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Net sales for the first quarter of 2019 increased $44.1 million, or 26.1%, to $213.3 million, compared to $169.1 million for the first quarter of 2018. Growth was driven by $55.2 million from acquisitions, partially offset by lower organic volume of $8.0 million and unfavorable foreign currency impacts of $2.8 million.</w:t>
      </w:r>
    </w:p>
    <w:p>
      <w:pPr>
        <w:spacing w:after="0" w:line="18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On a GAAP basis, income from operations for the first quarter of 2019 was $0.6 million, compared to income from operations of $3.7 million for the same period in 2018. In the first quarter of 2019, income from operations included an increase in selling, general and administrative expense of</w:t>
      </w:r>
    </w:p>
    <w:p>
      <w:pPr>
        <w:spacing w:after="0" w:line="255" w:lineRule="auto"/>
        <w:rPr>
          <w:sz w:val="20"/>
          <w:szCs w:val="20"/>
          <w:color w:val="auto"/>
        </w:rPr>
      </w:pPr>
      <w:r>
        <w:rPr>
          <w:rFonts w:ascii="Arial" w:cs="Arial" w:eastAsia="Arial" w:hAnsi="Arial"/>
          <w:sz w:val="18"/>
          <w:szCs w:val="18"/>
          <w:color w:val="auto"/>
        </w:rPr>
        <w:t>$5.9 million, compared to the first quarter of 2018, primarily due to the 2018 business acquisitions which collectively contributed $5.0 million to selling, general and administrative expense. These increases were partially offset by lower costs for professional services and a reduction in acquisition related costs as there was no business acquisition activity during the first quarter of 2019.</w:t>
      </w:r>
    </w:p>
    <w:p>
      <w:pPr>
        <w:spacing w:after="0" w:line="19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loss on a GAAP basis for first quarter of 2019 was $18.6 million, compared to net loss on a GAAP basis of $6.0 million in the first quarter of 2018. The first quarter of 2019 net loss included a discrete tax charge of $6.0 million related to final tax regulations published by the Department of the Treasury and Internal Revenue Service. In addition, the first quarter of 2019 included $2.7 million in debt extinguishment costs.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 GAAP basis, income from operations for first quarter 2019 in the Life Sciences segment was $3.8 million, compared to $4.2 million for the same period in 2018.</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a GAAP basis, income from operations for first quarter 2019 in the Mobile Solutions segment was $4.1 million, compared to income from operations of $9.8 million for the same period in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 GAAP basis, income from operations for first quarter 2019 in the Power Solutions segment was $3.8 million, compared to income from operations of $5.2 million for the same period in 2018.</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Adjusted income from operations for the first quarter of 2019 was $23.1 million, compared to $17.8 million for the same period in 2018. Adjusted net income was $8.5 million, or $0.20 per diluted share, compared to $8.7 million, or $0.32 per diluted share, for the same period in 2018. Adjusted income from operations growth was primarily driven by acquisitions, partially offset by lower organic volume and unfavorable foreign currency impacts. Additionally, first quarter 2019 earnings per share was impacted by the issuance of 14.4 million shares in the third quarter of 2018.</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Richard Holder, President and Chief Executive Officer, commented, “Overall we are very pleased with our performance during the first quarter, bolstered by continued out-performance in our Life Sciences group and a solid operating performance from the Mobile Solutions and Power Solutions groups.”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first quarter of 2019 were $86.0 million, compared to $31.2 million in the first quarter of 2018, an increase of 175.6% or $54.8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income from operations for the quarter was $17.2 million, compared to $6.9 million in 2018.</w:t>
      </w:r>
    </w:p>
    <w:p>
      <w:pPr>
        <w:spacing w:after="0" w:line="2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Mr. Holder commented, “Life Sciences continues to outperform the market and our integration of Paragon remains on track. As the integration progresses, we continue to see the expected improvement of the group’s operating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first quarter of 2019 were $78.1 million, compared to $89.8 million in the first quarter of 2018, a decrease of 13.0% or $11.7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Adjusted income from operations for the quarter decreased $4.5 million to $6.4 million, compared to $11.0 million in the first quarter of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Continued headwinds in the global automotive market impacted sales and adjusted operating income during the quarter.</w:t>
      </w:r>
    </w:p>
    <w:p>
      <w:pPr>
        <w:spacing w:after="0" w:line="21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Mr. Holder commented, “The Mobile Solutions group performed well during the quarter in the face of continued challenges in the global vehicle market. The team’s focus on flexing cost and the continued launch of new platforms mitigated the impact of the lower demand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first quarter of 2019 were $49.7 million, compared to $48.7 million in the first quarter of 2018, an increase of 2.0% or $1.0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income from operations for the quarter was $8.4 million, compared to $9.2 million in 2018.</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Holder commented, “We continued to feel the effects of a customer’s supply chain disruption, which we expect to be resolved during the second quarter. Additionally, we continue to grow and invest in our aerospace and defense business.”</w:t>
      </w:r>
    </w:p>
    <w:p>
      <w:pPr>
        <w:sectPr>
          <w:pgSz w:w="11900" w:h="16838" w:orient="portrait"/>
          <w:cols w:equalWidth="0" w:num="1">
            <w:col w:w="10960"/>
          </w:cols>
          <w:pgMar w:left="440" w:top="270" w:right="49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full set of financial guidance for the first quarter of 2019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20" w:firstLine="4"/>
        <w:spacing w:after="0" w:line="286"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on May 10, 2019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1-800-667-5617 or 1-334-323-0509 Conference ID: 2654598. For those who are unavailable to listen to the live broadcast, a replay will be available shortly after the call for 30 days.</w:t>
      </w:r>
    </w:p>
    <w:p>
      <w:pPr>
        <w:spacing w:after="0" w:line="166" w:lineRule="exact"/>
        <w:rPr>
          <w:sz w:val="20"/>
          <w:szCs w:val="20"/>
          <w:color w:val="auto"/>
        </w:rPr>
      </w:pPr>
    </w:p>
    <w:p>
      <w:pPr>
        <w:ind w:right="20" w:firstLine="4"/>
        <w:spacing w:after="0" w:line="302"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discloses in this press release the non-GAAP financial measures of adjusted income from operations, adjusted net income (loss) and adjusted net income per diluted share. Each of adjusted income from operations, adjusted net income (loss) and adjusted net income per diluted share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net income (loss) and adjusted net income (loss) per diluted share to the U.S. GAAP financial measures of income from operations, net income (loss) and net income (loss) per diluted share.</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Europe, South America and China.</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0980"/>
          </w:cols>
          <w:pgMar w:left="440" w:top="274"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161,269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Loss before (provision) benefit for income taxes and share of net income from joint venture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(16,628)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(18,600)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 net of tax</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Foreign currency translation gain</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(21,194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per share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Net loss per share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loss per share</w:t>
            </w: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share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6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3"/>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NN, Inc. Consolidated</w:t>
            </w:r>
          </w:p>
        </w:tc>
        <w:tc>
          <w:tcPr>
            <w:tcW w:w="3560" w:type="dxa"/>
            <w:vAlign w:val="bottom"/>
            <w:gridSpan w:val="5"/>
          </w:tcPr>
          <w:p>
            <w:pPr>
              <w:ind w:left="30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3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560" w:type="dxa"/>
            <w:vAlign w:val="bottom"/>
            <w:gridSpan w:val="5"/>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28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$ 23,067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$213,256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2"/>
        </w:trPr>
        <w:tc>
          <w:tcPr>
            <w:tcW w:w="6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Mobile Solutions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0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4,107</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306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6,431</w:t>
            </w: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6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$78,075</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2"/>
        </w:trPr>
        <w:tc>
          <w:tcPr>
            <w:tcW w:w="6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Power Solutions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2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3,824</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3120" w:type="dxa"/>
            <w:vAlign w:val="bottom"/>
            <w:gridSpan w:val="3"/>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8,404</w:t>
            </w: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7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$49,657</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2"/>
        </w:trPr>
        <w:tc>
          <w:tcPr>
            <w:tcW w:w="6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Life Sciences</w:t>
            </w:r>
          </w:p>
        </w:tc>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312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3,846</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9,017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fixed assets)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3120" w:type="dxa"/>
            <w:vAlign w:val="bottom"/>
            <w:gridSpan w:val="3"/>
          </w:tcPr>
          <w:p>
            <w:pPr>
              <w:spacing w:after="0"/>
              <w:rPr>
                <w:sz w:val="19"/>
                <w:szCs w:val="19"/>
                <w:color w:val="auto"/>
              </w:rPr>
            </w:pPr>
          </w:p>
        </w:tc>
        <w:tc>
          <w:tcPr>
            <w:tcW w:w="6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17,205</w:t>
            </w: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7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$86,008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880" w:hanging="216"/>
        <w:spacing w:after="0" w:line="25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2019 Includes Capacity &amp; Capabilities Development – $2.9 / Professional Fees – $1.3 / Integration &amp; Transformation – $5.7 / Acquisition Transaction Costs – $0.0</w:t>
      </w:r>
    </w:p>
    <w:p>
      <w:pPr>
        <w:spacing w:after="0" w:line="1" w:lineRule="exact"/>
        <w:rPr>
          <w:rFonts w:ascii="Arial" w:cs="Arial" w:eastAsia="Arial" w:hAnsi="Arial"/>
          <w:sz w:val="18"/>
          <w:szCs w:val="18"/>
          <w:color w:val="auto"/>
        </w:rPr>
      </w:pPr>
    </w:p>
    <w:p>
      <w:pPr>
        <w:ind w:left="220" w:right="880"/>
        <w:spacing w:after="0" w:line="261" w:lineRule="auto"/>
        <w:rPr>
          <w:rFonts w:ascii="Arial" w:cs="Arial" w:eastAsia="Arial" w:hAnsi="Arial"/>
          <w:sz w:val="18"/>
          <w:szCs w:val="18"/>
          <w:color w:val="auto"/>
        </w:rPr>
      </w:pPr>
      <w:r>
        <w:rPr>
          <w:rFonts w:ascii="Arial" w:cs="Arial" w:eastAsia="Arial" w:hAnsi="Arial"/>
          <w:sz w:val="18"/>
          <w:szCs w:val="18"/>
          <w:color w:val="auto"/>
        </w:rPr>
        <w:t>2018 Includes Capacity &amp; Capabilities Development – $1.0 / Professional Fees – $3.0 / Integration &amp; Transformation – $1.6 / Acquisition Transaction Costs – $1.8</w:t>
      </w:r>
    </w:p>
    <w:p>
      <w:pPr>
        <w:sectPr>
          <w:pgSz w:w="11900" w:h="16838" w:orient="portrait"/>
          <w:cols w:equalWidth="0" w:num="1">
            <w:col w:w="11040"/>
          </w:cols>
          <w:pgMar w:left="440" w:top="270" w:right="4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 Net</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Income (Loss) per Diluted Share to Non-GAAP Adjusted Net Income (Loss) per Diluted Share</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699770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Pre-tax foreign exchange (gain) loss on inter-company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integration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gain on change in fair value of interest rate swap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Pre-tax interest expense on cash held from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of adjustments reflected above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Non-GAAP discrete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Impairments (Goodwill and JV)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 due to tax cuts and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Divestiture of Business Segment, exclusive of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699770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 per diluted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Pre-tax foreign exchange (gain) loss on inter-company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Pre-tax restructuring and integration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gain on change in fair value of interest rate swap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Pre-tax interest expense on cash held from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impairments of fixed asset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of adjustments reflected above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Non-GAAP discrete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Impairments (Goodwill and JV)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 due to tax cuts and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Divestiture of Business Segment, exclusive of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Non-GAAP adjusted net income (loss) per diluted share (c)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9"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$(18,600)</w:t>
      </w:r>
      <w:r>
        <w:rPr>
          <w:sz w:val="20"/>
          <w:szCs w:val="20"/>
          <w:color w:val="auto"/>
        </w:rPr>
        <w:tab/>
      </w:r>
      <w:r>
        <w:rPr>
          <w:rFonts w:ascii="Arial" w:cs="Arial" w:eastAsia="Arial" w:hAnsi="Arial"/>
          <w:sz w:val="17"/>
          <w:szCs w:val="17"/>
          <w:color w:val="auto"/>
        </w:rPr>
        <w:t>$(5,983)</w:t>
      </w:r>
    </w:p>
    <w:p>
      <w:pPr>
        <w:spacing w:after="0" w:line="101"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8"/>
          <w:szCs w:val="18"/>
          <w:color w:val="auto"/>
        </w:rPr>
        <w:t>9,828</w:t>
      </w:r>
      <w:r>
        <w:rPr>
          <w:sz w:val="20"/>
          <w:szCs w:val="20"/>
          <w:color w:val="auto"/>
        </w:rPr>
        <w:tab/>
      </w:r>
      <w:r>
        <w:rPr>
          <w:rFonts w:ascii="Arial" w:cs="Arial" w:eastAsia="Arial" w:hAnsi="Arial"/>
          <w:sz w:val="18"/>
          <w:szCs w:val="18"/>
          <w:color w:val="auto"/>
        </w:rPr>
        <w:t>7,338</w:t>
      </w:r>
    </w:p>
    <w:p>
      <w:pPr>
        <w:spacing w:after="0" w:line="23" w:lineRule="exact"/>
        <w:rPr>
          <w:sz w:val="20"/>
          <w:szCs w:val="20"/>
          <w:color w:val="auto"/>
        </w:rPr>
      </w:pPr>
    </w:p>
    <w:p>
      <w:pPr>
        <w:ind w:left="1440" w:hanging="985"/>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98</w:t>
      </w:r>
    </w:p>
    <w:p>
      <w:pPr>
        <w:spacing w:after="0" w:line="9" w:lineRule="exact"/>
        <w:rPr>
          <w:rFonts w:ascii="Arial" w:cs="Arial" w:eastAsia="Arial" w:hAnsi="Arial"/>
          <w:sz w:val="18"/>
          <w:szCs w:val="18"/>
          <w:color w:val="auto"/>
        </w:rPr>
      </w:pPr>
    </w:p>
    <w:p>
      <w:pPr>
        <w:ind w:left="1340" w:hanging="855"/>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755</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2,699—</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18"/>
          <w:szCs w:val="18"/>
          <w:color w:val="auto"/>
        </w:rPr>
        <w:t>13,841</w:t>
      </w:r>
      <w:r>
        <w:rPr>
          <w:sz w:val="20"/>
          <w:szCs w:val="20"/>
          <w:color w:val="auto"/>
        </w:rPr>
        <w:tab/>
      </w:r>
      <w:r>
        <w:rPr>
          <w:rFonts w:ascii="Arial" w:cs="Arial" w:eastAsia="Arial" w:hAnsi="Arial"/>
          <w:sz w:val="18"/>
          <w:szCs w:val="18"/>
          <w:color w:val="auto"/>
        </w:rPr>
        <w:t>7,221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2,728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(5,741)</w:t>
      </w:r>
      <w:r>
        <w:rPr>
          <w:rFonts w:ascii="Arial" w:cs="Arial" w:eastAsia="Arial" w:hAnsi="Arial"/>
          <w:sz w:val="16"/>
          <w:szCs w:val="16"/>
          <w:color w:val="auto"/>
        </w:rPr>
        <w:t>(3,418)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6,000—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60" w:type="dxa"/>
            <w:vAlign w:val="bottom"/>
            <w:gridSpan w:val="2"/>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8,514</w:t>
            </w:r>
          </w:p>
        </w:tc>
        <w:tc>
          <w:tcPr>
            <w:tcW w:w="8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$ 8,739</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3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(0.44)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  (0.22)</w:t>
            </w:r>
          </w:p>
        </w:tc>
        <w:tc>
          <w:tcPr>
            <w:tcW w:w="60" w:type="dxa"/>
            <w:vAlign w:val="bottom"/>
          </w:tcPr>
          <w:p>
            <w:pPr>
              <w:spacing w:after="0"/>
              <w:rPr>
                <w:sz w:val="19"/>
                <w:szCs w:val="19"/>
                <w:color w:val="auto"/>
              </w:rPr>
            </w:pPr>
          </w:p>
        </w:tc>
      </w:tr>
    </w:tbl>
    <w:p>
      <w:pPr>
        <w:spacing w:after="0" w:line="79"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18"/>
          <w:szCs w:val="18"/>
          <w:color w:val="auto"/>
        </w:rPr>
        <w:t>0.23</w:t>
      </w:r>
      <w:r>
        <w:rPr>
          <w:sz w:val="20"/>
          <w:szCs w:val="20"/>
          <w:color w:val="auto"/>
        </w:rPr>
        <w:tab/>
      </w:r>
      <w:r>
        <w:rPr>
          <w:rFonts w:ascii="Arial" w:cs="Arial" w:eastAsia="Arial" w:hAnsi="Arial"/>
          <w:sz w:val="16"/>
          <w:szCs w:val="16"/>
          <w:color w:val="auto"/>
        </w:rPr>
        <w:t>0.27</w:t>
      </w:r>
    </w:p>
    <w:p>
      <w:pPr>
        <w:spacing w:after="0" w:line="23"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18"/>
          <w:szCs w:val="18"/>
          <w:color w:val="auto"/>
        </w:rPr>
        <w:t>0.01</w:t>
      </w:r>
      <w:r>
        <w:rPr>
          <w:sz w:val="20"/>
          <w:szCs w:val="20"/>
          <w:color w:val="auto"/>
        </w:rPr>
        <w:tab/>
      </w:r>
      <w:r>
        <w:rPr>
          <w:rFonts w:ascii="Arial" w:cs="Arial" w:eastAsia="Arial" w:hAnsi="Arial"/>
          <w:sz w:val="16"/>
          <w:szCs w:val="16"/>
          <w:color w:val="auto"/>
        </w:rPr>
        <w:t>0.00</w:t>
      </w:r>
    </w:p>
    <w:p>
      <w:pPr>
        <w:spacing w:after="0" w:line="9" w:lineRule="exact"/>
        <w:rPr>
          <w:sz w:val="20"/>
          <w:szCs w:val="20"/>
          <w:color w:val="auto"/>
        </w:rPr>
      </w:pPr>
    </w:p>
    <w:p>
      <w:pPr>
        <w:ind w:left="220"/>
        <w:spacing w:after="0"/>
        <w:tabs>
          <w:tab w:leader="none" w:pos="1280" w:val="left"/>
        </w:tabs>
        <w:rPr>
          <w:sz w:val="20"/>
          <w:szCs w:val="20"/>
          <w:color w:val="auto"/>
        </w:rPr>
      </w:pPr>
      <w:r>
        <w:rPr>
          <w:rFonts w:ascii="Arial" w:cs="Arial" w:eastAsia="Arial" w:hAnsi="Arial"/>
          <w:sz w:val="18"/>
          <w:szCs w:val="18"/>
          <w:color w:val="auto"/>
        </w:rPr>
        <w:t>(0.00)</w:t>
      </w:r>
      <w:r>
        <w:rPr>
          <w:sz w:val="20"/>
          <w:szCs w:val="20"/>
          <w:color w:val="auto"/>
        </w:rPr>
        <w:tab/>
      </w:r>
      <w:r>
        <w:rPr>
          <w:rFonts w:ascii="Arial" w:cs="Arial" w:eastAsia="Arial" w:hAnsi="Arial"/>
          <w:sz w:val="16"/>
          <w:szCs w:val="16"/>
          <w:color w:val="auto"/>
        </w:rPr>
        <w:t>0.03</w:t>
      </w:r>
    </w:p>
    <w:p>
      <w:pPr>
        <w:spacing w:after="0" w:line="9" w:lineRule="exact"/>
        <w:rPr>
          <w:sz w:val="20"/>
          <w:szCs w:val="20"/>
          <w:color w:val="auto"/>
        </w:rPr>
      </w:pPr>
    </w:p>
    <w:p>
      <w:pPr>
        <w:ind w:left="280"/>
        <w:spacing w:after="0"/>
        <w:tabs>
          <w:tab w:leader="none" w:pos="1320" w:val="left"/>
        </w:tabs>
        <w:rPr>
          <w:sz w:val="20"/>
          <w:szCs w:val="20"/>
          <w:color w:val="auto"/>
        </w:rPr>
      </w:pPr>
      <w:r>
        <w:rPr>
          <w:rFonts w:ascii="Arial" w:cs="Arial" w:eastAsia="Arial" w:hAnsi="Arial"/>
          <w:sz w:val="18"/>
          <w:szCs w:val="18"/>
          <w:color w:val="auto"/>
        </w:rPr>
        <w:t>0.06</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18"/>
          <w:szCs w:val="18"/>
          <w:color w:val="auto"/>
        </w:rPr>
        <w:t>0.33</w:t>
      </w:r>
      <w:r>
        <w:rPr>
          <w:sz w:val="20"/>
          <w:szCs w:val="20"/>
          <w:color w:val="auto"/>
        </w:rPr>
        <w:tab/>
      </w:r>
      <w:r>
        <w:rPr>
          <w:rFonts w:ascii="Arial" w:cs="Arial" w:eastAsia="Arial" w:hAnsi="Arial"/>
          <w:sz w:val="16"/>
          <w:szCs w:val="16"/>
          <w:color w:val="auto"/>
        </w:rPr>
        <w:t>0.26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0.10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(0.14)</w:t>
      </w:r>
      <w:r>
        <w:rPr>
          <w:rFonts w:ascii="Arial" w:cs="Arial" w:eastAsia="Arial" w:hAnsi="Arial"/>
          <w:sz w:val="16"/>
          <w:szCs w:val="16"/>
          <w:color w:val="auto"/>
        </w:rPr>
        <w:t>(0.12)</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0.14—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3771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5715</wp:posOffset>
            </wp:positionV>
            <wp:extent cx="377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spacing w:after="0"/>
        <w:tabs>
          <w:tab w:leader="none" w:pos="260" w:val="left"/>
          <w:tab w:leader="none" w:pos="1000" w:val="left"/>
          <w:tab w:leader="none" w:pos="1280" w:val="left"/>
        </w:tabs>
        <w:rPr>
          <w:sz w:val="20"/>
          <w:szCs w:val="20"/>
          <w:color w:val="auto"/>
        </w:rPr>
      </w:pPr>
      <w:r>
        <w:rPr>
          <w:rFonts w:ascii="Arial" w:cs="Arial" w:eastAsia="Arial" w:hAnsi="Arial"/>
          <w:sz w:val="18"/>
          <w:szCs w:val="18"/>
          <w:u w:val="single" w:color="auto"/>
          <w:color w:val="auto"/>
        </w:rPr>
        <w:t>$</w:t>
        <w:tab/>
        <w:t>0.20</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3771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31750</wp:posOffset>
            </wp:positionV>
            <wp:extent cx="377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43"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8"/>
          <w:szCs w:val="18"/>
          <w:color w:val="auto"/>
        </w:rPr>
        <w:t>41,972</w:t>
      </w:r>
      <w:r>
        <w:rPr>
          <w:sz w:val="20"/>
          <w:szCs w:val="20"/>
          <w:color w:val="auto"/>
        </w:rPr>
        <w:tab/>
      </w:r>
      <w:r>
        <w:rPr>
          <w:rFonts w:ascii="Arial" w:cs="Arial" w:eastAsia="Arial" w:hAnsi="Arial"/>
          <w:sz w:val="18"/>
          <w:szCs w:val="18"/>
          <w:color w:val="auto"/>
        </w:rPr>
        <w:t>27,597</w:t>
      </w:r>
    </w:p>
    <w:p>
      <w:pPr>
        <w:sectPr>
          <w:pgSz w:w="11900" w:h="16838" w:orient="portrait"/>
          <w:cols w:equalWidth="0" w:num="2">
            <w:col w:w="8580" w:space="720"/>
            <w:col w:w="1680"/>
          </w:cols>
          <w:pgMar w:left="440" w:top="270" w:right="479" w:bottom="1440" w:gutter="0" w:footer="0" w:header="0"/>
          <w:type w:val="continuous"/>
        </w:sectPr>
      </w:pPr>
    </w:p>
    <w:bookmarkStart w:id="9" w:name="page10"/>
    <w:bookmarkEnd w:id="9"/>
    <w:p>
      <w:pPr>
        <w:ind w:right="6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adjusted net income (loss), and adjusted net income per diluted share.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net income (loss), and adjusted net income per diluted share provides useful information in assessing our underlying business trends and facilitates comparison of our long-term performance over given periods.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firstLine="4"/>
        <w:spacing w:after="0" w:line="255"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89" w:lineRule="exact"/>
        <w:rPr>
          <w:rFonts w:ascii="Arial" w:cs="Arial" w:eastAsia="Arial" w:hAnsi="Arial"/>
          <w:sz w:val="18"/>
          <w:szCs w:val="18"/>
          <w:color w:val="auto"/>
        </w:rPr>
      </w:pPr>
    </w:p>
    <w:p>
      <w:pPr>
        <w:ind w:right="320" w:firstLine="4"/>
        <w:spacing w:after="0" w:line="286"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65" w:lineRule="exact"/>
        <w:rPr>
          <w:rFonts w:ascii="Arial" w:cs="Arial" w:eastAsia="Arial" w:hAnsi="Arial"/>
          <w:sz w:val="17"/>
          <w:szCs w:val="17"/>
          <w:color w:val="auto"/>
        </w:rPr>
      </w:pPr>
    </w:p>
    <w:p>
      <w:pPr>
        <w:ind w:left="240" w:hanging="236"/>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Non-GAAP adjusted net income (loss) represents GAAP net income (loss) adjusted to exclude the tax-affected effects of restructuring and</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40"/>
    </w:lvl>
  </w:abstractNum>
  <w:abstractNum w:abstractNumId="2">
    <w:nsid w:val="3D1B58BA"/>
    <w:multiLevelType w:val="hybridMultilevel"/>
    <w:lvl w:ilvl="0">
      <w:lvlJc w:val="left"/>
      <w:lvlText w:val="%1"/>
      <w:numFmt w:val="upperLetter"/>
      <w:start w:val="40"/>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499"/>
    </w:lvl>
    <w:lvl w:ilvl="1">
      <w:lvlJc w:val="left"/>
      <w:lvlText w:val="(%2)"/>
      <w:numFmt w:val="decimal"/>
      <w:start w:val="12"/>
    </w:lvl>
  </w:abstractNum>
  <w:abstractNum w:abstractNumId="5">
    <w:nsid w:val="41B71EFB"/>
    <w:multiLevelType w:val="hybridMultilevel"/>
    <w:lvl w:ilvl="0">
      <w:lvlJc w:val="left"/>
      <w:lvlText w:val="\emdash "/>
      <w:numFmt w:val="bullet"/>
      <w:start w:val="1"/>
    </w:lvl>
  </w:abstractNum>
  <w:abstractNum w:abstractNumId="6">
    <w:nsid w:val="79E2A9E3"/>
    <w:multiLevelType w:val="hybridMultilevel"/>
    <w:lvl w:ilvl="0">
      <w:lvlJc w:val="left"/>
      <w:lvlText w:val="\emdash "/>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2019-12-28T12:08:18Z</dcterms:created>
  <dcterms:modified xsi:type="dcterms:W3CDTF">2019-12-28T12:08:18Z</dcterms:modified>
</cp:coreProperties>
</file>