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6" w:lineRule="auto"/>
        <w:framePr w:w="1500" w:h="160" w:wrap="auto" w:vAnchor="page" w:hAnchor="page" w:x="5200" w:y="1060"/>
        <w:rPr>
          <w:rFonts w:ascii="Arial" w:cs="Arial" w:eastAsia="Arial" w:hAnsi="Arial"/>
          <w:sz w:val="17"/>
          <w:szCs w:val="17"/>
          <w:b w:val="1"/>
          <w:bCs w:val="1"/>
          <w:color w:val="auto"/>
        </w:rPr>
      </w:pPr>
      <w:r>
        <w:rPr>
          <w:rFonts w:ascii="Arial" w:cs="Arial" w:eastAsia="Arial" w:hAnsi="Arial"/>
          <w:sz w:val="17"/>
          <w:szCs w:val="17"/>
          <w:b w:val="1"/>
          <w:bCs w:val="1"/>
          <w:color w:val="auto"/>
        </w:rPr>
        <w:t>UNITED STATES</w:t>
      </w:r>
    </w:p>
    <w:p>
      <w:pPr>
        <w:spacing w:after="0" w:line="185" w:lineRule="auto"/>
        <w:framePr w:w="3960" w:h="160" w:wrap="auto" w:vAnchor="page" w:hAnchor="page" w:x="3980" w:y="1276"/>
        <w:rPr>
          <w:rFonts w:ascii="Arial" w:cs="Arial" w:eastAsia="Arial" w:hAnsi="Arial"/>
          <w:sz w:val="18"/>
          <w:szCs w:val="18"/>
          <w:b w:val="1"/>
          <w:bCs w:val="1"/>
          <w:color w:val="auto"/>
        </w:rPr>
      </w:pPr>
      <w:r>
        <w:rPr>
          <w:rFonts w:ascii="Arial" w:cs="Arial" w:eastAsia="Arial" w:hAnsi="Arial"/>
          <w:sz w:val="18"/>
          <w:szCs w:val="18"/>
          <w:b w:val="1"/>
          <w:bCs w:val="1"/>
          <w:color w:val="auto"/>
        </w:rPr>
        <w:t>SECURITIES AND EXCHANGE COMMISSION</w:t>
      </w:r>
    </w:p>
    <w:p>
      <w:pPr>
        <w:spacing w:after="0" w:line="196" w:lineRule="auto"/>
        <w:framePr w:w="2180" w:h="160" w:wrap="auto" w:vAnchor="page" w:hAnchor="page" w:x="4860" w:y="1492"/>
        <w:rPr>
          <w:rFonts w:ascii="Arial" w:cs="Arial" w:eastAsia="Arial" w:hAnsi="Arial"/>
          <w:sz w:val="17"/>
          <w:szCs w:val="17"/>
          <w:b w:val="1"/>
          <w:bCs w:val="1"/>
          <w:color w:val="auto"/>
        </w:rPr>
      </w:pPr>
      <w:r>
        <w:rPr>
          <w:rFonts w:ascii="Arial" w:cs="Arial" w:eastAsia="Arial" w:hAnsi="Arial"/>
          <w:sz w:val="17"/>
          <w:szCs w:val="17"/>
          <w:b w:val="1"/>
          <w:bCs w:val="1"/>
          <w:color w:val="auto"/>
        </w:rPr>
        <w:t>WASHINGTON, DC 20549</w:t>
      </w:r>
    </w:p>
    <w:p>
      <w:pPr>
        <w:spacing w:after="0" w:line="191" w:lineRule="auto"/>
        <w:framePr w:w="1140" w:h="193" w:wrap="auto" w:vAnchor="page" w:hAnchor="page" w:x="5380" w:y="2419"/>
        <w:rPr>
          <w:rFonts w:ascii="Arial" w:cs="Arial" w:eastAsia="Arial" w:hAnsi="Arial"/>
          <w:sz w:val="21"/>
          <w:szCs w:val="21"/>
          <w:b w:val="1"/>
          <w:bCs w:val="1"/>
          <w:color w:val="auto"/>
        </w:rPr>
      </w:pPr>
      <w:r>
        <w:rPr>
          <w:rFonts w:ascii="Arial" w:cs="Arial" w:eastAsia="Arial" w:hAnsi="Arial"/>
          <w:sz w:val="21"/>
          <w:szCs w:val="21"/>
          <w:b w:val="1"/>
          <w:bCs w:val="1"/>
          <w:color w:val="auto"/>
        </w:rPr>
        <w:t>FORM 8-K</w:t>
      </w:r>
    </w:p>
    <w:p>
      <w:pPr>
        <w:spacing w:after="0" w:line="196" w:lineRule="auto"/>
        <w:framePr w:w="3080" w:h="160" w:wrap="auto" w:vAnchor="page" w:hAnchor="page" w:x="4420" w:y="2910"/>
        <w:rPr>
          <w:rFonts w:ascii="Arial" w:cs="Arial" w:eastAsia="Arial" w:hAnsi="Arial"/>
          <w:sz w:val="17"/>
          <w:szCs w:val="17"/>
          <w:b w:val="1"/>
          <w:bCs w:val="1"/>
          <w:color w:val="auto"/>
        </w:rPr>
      </w:pPr>
      <w:r>
        <w:rPr>
          <w:rFonts w:ascii="Arial" w:cs="Arial" w:eastAsia="Arial" w:hAnsi="Arial"/>
          <w:sz w:val="17"/>
          <w:szCs w:val="17"/>
          <w:b w:val="1"/>
          <w:bCs w:val="1"/>
          <w:color w:val="auto"/>
        </w:rPr>
        <w:t>CURRENT REPORT PURSUANT TO</w:t>
      </w:r>
    </w:p>
    <w:p>
      <w:pPr>
        <w:spacing w:after="0" w:line="196" w:lineRule="auto"/>
        <w:framePr w:w="2600" w:h="160" w:wrap="auto" w:vAnchor="page" w:hAnchor="page" w:x="4660" w:y="3126"/>
        <w:rPr>
          <w:rFonts w:ascii="Arial" w:cs="Arial" w:eastAsia="Arial" w:hAnsi="Arial"/>
          <w:sz w:val="17"/>
          <w:szCs w:val="17"/>
          <w:b w:val="1"/>
          <w:bCs w:val="1"/>
          <w:color w:val="auto"/>
        </w:rPr>
      </w:pPr>
      <w:r>
        <w:rPr>
          <w:rFonts w:ascii="Arial" w:cs="Arial" w:eastAsia="Arial" w:hAnsi="Arial"/>
          <w:sz w:val="17"/>
          <w:szCs w:val="17"/>
          <w:b w:val="1"/>
          <w:bCs w:val="1"/>
          <w:color w:val="auto"/>
        </w:rPr>
        <w:t>SECTION 13 OR 15(d) OF THE</w:t>
      </w:r>
    </w:p>
    <w:p>
      <w:pPr>
        <w:spacing w:after="0" w:line="196" w:lineRule="auto"/>
        <w:framePr w:w="3380" w:h="160" w:wrap="auto" w:vAnchor="page" w:hAnchor="page" w:x="4260" w:y="3342"/>
        <w:rPr>
          <w:rFonts w:ascii="Arial" w:cs="Arial" w:eastAsia="Arial" w:hAnsi="Arial"/>
          <w:sz w:val="17"/>
          <w:szCs w:val="17"/>
          <w:b w:val="1"/>
          <w:bCs w:val="1"/>
          <w:color w:val="auto"/>
        </w:rPr>
      </w:pPr>
      <w:r>
        <w:rPr>
          <w:rFonts w:ascii="Arial" w:cs="Arial" w:eastAsia="Arial" w:hAnsi="Arial"/>
          <w:sz w:val="17"/>
          <w:szCs w:val="17"/>
          <w:b w:val="1"/>
          <w:bCs w:val="1"/>
          <w:color w:val="auto"/>
        </w:rPr>
        <w:t>SECURITIES EXCHANGE ACT OF 1934</w:t>
      </w:r>
    </w:p>
    <w:p>
      <w:pPr>
        <w:spacing w:after="0" w:line="209" w:lineRule="auto"/>
        <w:framePr w:w="4580" w:h="160" w:wrap="auto" w:vAnchor="page" w:hAnchor="page" w:x="3660" w:y="4045"/>
        <w:rPr>
          <w:rFonts w:ascii="Arial" w:cs="Arial" w:eastAsia="Arial" w:hAnsi="Arial"/>
          <w:sz w:val="16"/>
          <w:szCs w:val="16"/>
          <w:b w:val="1"/>
          <w:bCs w:val="1"/>
          <w:color w:val="auto"/>
        </w:rPr>
      </w:pPr>
      <w:r>
        <w:rPr>
          <w:rFonts w:ascii="Arial" w:cs="Arial" w:eastAsia="Arial" w:hAnsi="Arial"/>
          <w:sz w:val="16"/>
          <w:szCs w:val="16"/>
          <w:b w:val="1"/>
          <w:bCs w:val="1"/>
          <w:color w:val="auto"/>
        </w:rPr>
        <w:t>Date of Report (Date of earliest event reported): April 2, 2012</w:t>
      </w:r>
    </w:p>
    <w:p>
      <w:pPr>
        <w:spacing w:after="0" w:line="188" w:lineRule="auto"/>
        <w:framePr w:w="1380" w:h="289" w:wrap="auto" w:vAnchor="page" w:hAnchor="page" w:x="5260" w:y="5780"/>
        <w:rPr>
          <w:rFonts w:ascii="Arial" w:cs="Arial" w:eastAsia="Arial" w:hAnsi="Arial"/>
          <w:sz w:val="32"/>
          <w:szCs w:val="32"/>
          <w:b w:val="1"/>
          <w:bCs w:val="1"/>
          <w:u w:val="single" w:color="auto"/>
          <w:color w:val="auto"/>
        </w:rPr>
      </w:pPr>
      <w:r>
        <w:rPr>
          <w:rFonts w:ascii="Arial" w:cs="Arial" w:eastAsia="Arial" w:hAnsi="Arial"/>
          <w:sz w:val="32"/>
          <w:szCs w:val="32"/>
          <w:b w:val="1"/>
          <w:bCs w:val="1"/>
          <w:u w:val="single" w:color="auto"/>
          <w:color w:val="auto"/>
        </w:rPr>
        <w:t>NN, INC.</w:t>
      </w:r>
    </w:p>
    <w:p>
      <w:pPr>
        <w:spacing w:after="0" w:line="200" w:lineRule="exact"/>
        <w:rPr>
          <w:rFonts w:ascii="Arial" w:cs="Arial" w:eastAsia="Arial" w:hAnsi="Arial"/>
          <w:sz w:val="32"/>
          <w:szCs w:val="32"/>
          <w:b w:val="1"/>
          <w:bCs w:val="1"/>
          <w:u w:val="single" w:color="auto"/>
          <w:color w:val="auto"/>
        </w:rPr>
      </w:pPr>
      <w:r>
        <w:rPr>
          <w:rFonts w:ascii="Arial" w:cs="Arial" w:eastAsia="Arial" w:hAnsi="Arial"/>
          <w:sz w:val="32"/>
          <w:szCs w:val="32"/>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page">
              <wp:posOffset>3442335</wp:posOffset>
            </wp:positionH>
            <wp:positionV relativeFrom="page">
              <wp:posOffset>1152525</wp:posOffset>
            </wp:positionV>
            <wp:extent cx="6775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page">
              <wp:posOffset>3484880</wp:posOffset>
            </wp:positionH>
            <wp:positionV relativeFrom="page">
              <wp:posOffset>2704465</wp:posOffset>
            </wp:positionV>
            <wp:extent cx="62611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626110" cy="626110"/>
                    </a:xfrm>
                    <a:prstGeom prst="rect">
                      <a:avLst/>
                    </a:prstGeom>
                    <a:noFill/>
                  </pic:spPr>
                </pic:pic>
              </a:graphicData>
            </a:graphic>
          </wp:anchor>
        </w:drawing>
      </w: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95" w:lineRule="exact"/>
        <w:rPr>
          <w:rFonts w:ascii="Arial" w:cs="Arial" w:eastAsia="Arial" w:hAnsi="Arial"/>
          <w:sz w:val="32"/>
          <w:szCs w:val="32"/>
          <w:b w:val="1"/>
          <w:bCs w:val="1"/>
          <w:u w:val="single" w:color="auto"/>
          <w:color w:val="auto"/>
        </w:rPr>
      </w:pPr>
    </w:p>
    <w:tbl>
      <w:tblPr>
        <w:tblLayout w:type="fixed"/>
        <w:tblInd w:w="26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520" w:type="dxa"/>
            <w:vAlign w:val="bottom"/>
            <w:gridSpan w:val="5"/>
          </w:tcPr>
          <w:p>
            <w:pPr>
              <w:ind w:left="1540"/>
              <w:spacing w:after="0"/>
              <w:rPr>
                <w:sz w:val="20"/>
                <w:szCs w:val="20"/>
                <w:color w:val="auto"/>
              </w:rPr>
            </w:pPr>
            <w:r>
              <w:rPr>
                <w:rFonts w:ascii="Arial" w:cs="Arial" w:eastAsia="Arial" w:hAnsi="Arial"/>
                <w:sz w:val="18"/>
                <w:szCs w:val="18"/>
                <w:color w:val="auto"/>
                <w:w w:val="96"/>
              </w:rPr>
              <w:t>(Exact name of registrant as specified in its charter)</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19"/>
        </w:trPr>
        <w:tc>
          <w:tcPr>
            <w:tcW w:w="13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1960" w:type="dxa"/>
            <w:vAlign w:val="bottom"/>
            <w:gridSpan w:val="2"/>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0-23486</w:t>
            </w:r>
          </w:p>
        </w:tc>
        <w:tc>
          <w:tcPr>
            <w:tcW w:w="1860" w:type="dxa"/>
            <w:vAlign w:val="bottom"/>
          </w:tcPr>
          <w:p>
            <w:pPr>
              <w:spacing w:after="0"/>
              <w:rPr>
                <w:sz w:val="24"/>
                <w:szCs w:val="24"/>
                <w:color w:val="auto"/>
              </w:rPr>
            </w:pPr>
          </w:p>
        </w:tc>
        <w:tc>
          <w:tcPr>
            <w:tcW w:w="2860" w:type="dxa"/>
            <w:vAlign w:val="bottom"/>
            <w:gridSpan w:val="5"/>
          </w:tcPr>
          <w:p>
            <w:pPr>
              <w:jc w:val="right"/>
              <w:ind w:right="880"/>
              <w:spacing w:after="0"/>
              <w:rPr>
                <w:sz w:val="20"/>
                <w:szCs w:val="20"/>
                <w:color w:val="auto"/>
              </w:rPr>
            </w:pPr>
            <w:r>
              <w:rPr>
                <w:rFonts w:ascii="Arial" w:cs="Arial" w:eastAsia="Arial" w:hAnsi="Arial"/>
                <w:sz w:val="18"/>
                <w:szCs w:val="18"/>
                <w:color w:val="auto"/>
              </w:rPr>
              <w:t>62-1096725</w:t>
            </w:r>
          </w:p>
        </w:tc>
      </w:tr>
      <w:tr>
        <w:trPr>
          <w:trHeight w:val="20"/>
        </w:trPr>
        <w:tc>
          <w:tcPr>
            <w:tcW w:w="1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64"/>
        </w:trPr>
        <w:tc>
          <w:tcPr>
            <w:tcW w:w="4040" w:type="dxa"/>
            <w:vAlign w:val="bottom"/>
            <w:gridSpan w:val="4"/>
          </w:tcPr>
          <w:p>
            <w:pPr>
              <w:jc w:val="center"/>
              <w:ind w:right="560"/>
              <w:spacing w:after="0"/>
              <w:rPr>
                <w:sz w:val="20"/>
                <w:szCs w:val="20"/>
                <w:color w:val="auto"/>
              </w:rPr>
            </w:pPr>
            <w:r>
              <w:rPr>
                <w:rFonts w:ascii="Arial" w:cs="Arial" w:eastAsia="Arial" w:hAnsi="Arial"/>
                <w:sz w:val="18"/>
                <w:szCs w:val="18"/>
                <w:color w:val="auto"/>
                <w:w w:val="92"/>
              </w:rPr>
              <w:t>(State or Other Jurisdiction of Incorporation)</w:t>
            </w:r>
          </w:p>
        </w:tc>
        <w:tc>
          <w:tcPr>
            <w:tcW w:w="3560" w:type="dxa"/>
            <w:vAlign w:val="bottom"/>
            <w:gridSpan w:val="3"/>
          </w:tcPr>
          <w:p>
            <w:pPr>
              <w:jc w:val="center"/>
              <w:ind w:right="780"/>
              <w:spacing w:after="0"/>
              <w:rPr>
                <w:sz w:val="20"/>
                <w:szCs w:val="20"/>
                <w:color w:val="auto"/>
              </w:rPr>
            </w:pPr>
            <w:r>
              <w:rPr>
                <w:rFonts w:ascii="Arial" w:cs="Arial" w:eastAsia="Arial" w:hAnsi="Arial"/>
                <w:sz w:val="18"/>
                <w:szCs w:val="18"/>
                <w:color w:val="auto"/>
                <w:w w:val="92"/>
              </w:rPr>
              <w:t>(Commission File Number)</w:t>
            </w:r>
          </w:p>
        </w:tc>
        <w:tc>
          <w:tcPr>
            <w:tcW w:w="2860" w:type="dxa"/>
            <w:vAlign w:val="bottom"/>
            <w:gridSpan w:val="5"/>
          </w:tcPr>
          <w:p>
            <w:pPr>
              <w:jc w:val="center"/>
              <w:ind w:left="15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4040" w:type="dxa"/>
            <w:vAlign w:val="bottom"/>
            <w:gridSpan w:val="4"/>
          </w:tcPr>
          <w:p>
            <w:pPr>
              <w:jc w:val="center"/>
              <w:ind w:right="420"/>
              <w:spacing w:after="0"/>
              <w:rPr>
                <w:sz w:val="20"/>
                <w:szCs w:val="20"/>
                <w:color w:val="auto"/>
              </w:rPr>
            </w:pPr>
            <w:r>
              <w:rPr>
                <w:rFonts w:ascii="Arial" w:cs="Arial" w:eastAsia="Arial" w:hAnsi="Arial"/>
                <w:sz w:val="18"/>
                <w:szCs w:val="18"/>
                <w:color w:val="auto"/>
                <w:w w:val="88"/>
              </w:rPr>
              <w:t>2000 Waters Edge Drive, Johnson City, Tennessee</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80" w:type="dxa"/>
            <w:vAlign w:val="bottom"/>
            <w:gridSpan w:val="4"/>
          </w:tcPr>
          <w:p>
            <w:pPr>
              <w:jc w:val="right"/>
              <w:ind w:right="280"/>
              <w:spacing w:after="0"/>
              <w:rPr>
                <w:sz w:val="20"/>
                <w:szCs w:val="20"/>
                <w:color w:val="auto"/>
              </w:rPr>
            </w:pPr>
            <w:r>
              <w:rPr>
                <w:rFonts w:ascii="Arial" w:cs="Arial" w:eastAsia="Arial" w:hAnsi="Arial"/>
                <w:sz w:val="18"/>
                <w:szCs w:val="18"/>
                <w:color w:val="auto"/>
              </w:rPr>
              <w:t>37604</w:t>
            </w:r>
          </w:p>
        </w:tc>
        <w:tc>
          <w:tcPr>
            <w:tcW w:w="880" w:type="dxa"/>
            <w:vAlign w:val="bottom"/>
          </w:tcPr>
          <w:p>
            <w:pPr>
              <w:spacing w:after="0"/>
              <w:rPr>
                <w:sz w:val="24"/>
                <w:szCs w:val="24"/>
                <w:color w:val="auto"/>
              </w:rPr>
            </w:pPr>
          </w:p>
        </w:tc>
      </w:tr>
      <w:tr>
        <w:trPr>
          <w:trHeight w:val="20"/>
        </w:trPr>
        <w:tc>
          <w:tcPr>
            <w:tcW w:w="3620" w:type="dxa"/>
            <w:vAlign w:val="bottom"/>
            <w:gridSpan w:val="3"/>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26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2860" w:type="dxa"/>
            <w:vAlign w:val="bottom"/>
            <w:gridSpan w:val="5"/>
          </w:tcPr>
          <w:p>
            <w:pPr>
              <w:jc w:val="center"/>
              <w:ind w:left="1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rFonts w:ascii="Arial" w:cs="Arial" w:eastAsia="Arial" w:hAnsi="Arial"/>
          <w:sz w:val="32"/>
          <w:szCs w:val="32"/>
          <w:b w:val="1"/>
          <w:bCs w:val="1"/>
          <w:u w:val="single" w:color="auto"/>
          <w:color w:val="auto"/>
        </w:rPr>
      </w:pPr>
    </w:p>
    <w:p>
      <w:pPr>
        <w:jc w:val="center"/>
        <w:ind w:right="-79"/>
        <w:spacing w:after="0"/>
        <w:rPr>
          <w:sz w:val="20"/>
          <w:szCs w:val="20"/>
          <w:color w:val="auto"/>
        </w:rPr>
      </w:pPr>
      <w:r>
        <w:rPr>
          <w:rFonts w:ascii="Arial" w:cs="Arial" w:eastAsia="Arial" w:hAnsi="Arial"/>
          <w:sz w:val="18"/>
          <w:szCs w:val="18"/>
          <w:u w:val="single" w:color="auto"/>
          <w:color w:val="auto"/>
        </w:rPr>
        <w:t>(423) 743-9151</w:t>
      </w:r>
    </w:p>
    <w:p>
      <w:pPr>
        <w:spacing w:after="0" w:line="23" w:lineRule="exact"/>
        <w:rPr>
          <w:rFonts w:ascii="Arial" w:cs="Arial" w:eastAsia="Arial" w:hAnsi="Arial"/>
          <w:sz w:val="32"/>
          <w:szCs w:val="32"/>
          <w:b w:val="1"/>
          <w:bCs w:val="1"/>
          <w:u w:val="single" w:color="auto"/>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rFonts w:ascii="Arial" w:cs="Arial" w:eastAsia="Arial" w:hAnsi="Arial"/>
          <w:sz w:val="32"/>
          <w:szCs w:val="32"/>
          <w:b w:val="1"/>
          <w:bCs w:val="1"/>
          <w:u w:val="single" w:color="auto"/>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rFonts w:ascii="Arial" w:cs="Arial" w:eastAsia="Arial" w:hAnsi="Arial"/>
          <w:sz w:val="32"/>
          <w:szCs w:val="32"/>
          <w:b w:val="1"/>
          <w:bCs w:val="1"/>
          <w:u w:val="single" w:color="auto"/>
          <w:color w:val="auto"/>
        </w:rPr>
      </w:pPr>
    </w:p>
    <w:p>
      <w:pPr>
        <w:spacing w:after="0" w:line="295" w:lineRule="exact"/>
        <w:rPr>
          <w:rFonts w:ascii="Arial" w:cs="Arial" w:eastAsia="Arial" w:hAnsi="Arial"/>
          <w:sz w:val="32"/>
          <w:szCs w:val="32"/>
          <w:b w:val="1"/>
          <w:bCs w:val="1"/>
          <w:u w:val="single" w:color="auto"/>
          <w:color w:val="auto"/>
        </w:rPr>
      </w:pPr>
    </w:p>
    <w:p>
      <w:pPr>
        <w:ind w:right="60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197" w:lineRule="exact"/>
        <w:rPr>
          <w:rFonts w:ascii="Arial" w:cs="Arial" w:eastAsia="Arial" w:hAnsi="Arial"/>
          <w:sz w:val="32"/>
          <w:szCs w:val="32"/>
          <w:b w:val="1"/>
          <w:bCs w:val="1"/>
          <w:u w:val="single" w:color="auto"/>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0" w:lineRule="exact"/>
        <w:rPr>
          <w:rFonts w:ascii="Arial" w:cs="Arial" w:eastAsia="Arial" w:hAnsi="Arial"/>
          <w:sz w:val="32"/>
          <w:szCs w:val="32"/>
          <w:b w:val="1"/>
          <w:bCs w:val="1"/>
          <w:u w:val="single" w:color="auto"/>
          <w:color w:val="auto"/>
        </w:rPr>
      </w:pPr>
    </w:p>
    <w:tbl>
      <w:tblPr>
        <w:tblLayout w:type="fixed"/>
        <w:tblInd w:w="0" w:type="dxa"/>
        <w:tblCellMar>
          <w:top w:w="0" w:type="dxa"/>
          <w:left w:w="0" w:type="dxa"/>
          <w:bottom w:w="0" w:type="dxa"/>
          <w:right w:w="0" w:type="dxa"/>
        </w:tblCellMar>
      </w:tblPr>
      <w:tr>
        <w:trPr>
          <w:trHeight w:val="283"/>
        </w:trPr>
        <w:tc>
          <w:tcPr>
            <w:tcW w:w="4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8060" w:type="dxa"/>
            <w:vAlign w:val="bottom"/>
          </w:tcPr>
          <w:p>
            <w:pPr>
              <w:ind w:left="240"/>
              <w:spacing w:after="0"/>
              <w:rPr>
                <w:sz w:val="20"/>
                <w:szCs w:val="20"/>
                <w:color w:val="auto"/>
              </w:rPr>
            </w:pPr>
            <w:r>
              <w:rPr>
                <w:rFonts w:ascii="Arial" w:cs="Arial" w:eastAsia="Arial" w:hAnsi="Arial"/>
                <w:sz w:val="18"/>
                <w:szCs w:val="18"/>
                <w:color w:val="auto"/>
                <w:w w:val="91"/>
              </w:rPr>
              <w:t>Pre-commencement communications pursuant to Rule 14d-2(b) under the Exchange Act (17 CFR 240.14d-</w:t>
            </w:r>
          </w:p>
        </w:tc>
        <w:tc>
          <w:tcPr>
            <w:tcW w:w="2940" w:type="dxa"/>
            <w:vAlign w:val="bottom"/>
          </w:tcPr>
          <w:p>
            <w:pPr>
              <w:ind w:left="120"/>
              <w:spacing w:after="0"/>
              <w:rPr>
                <w:sz w:val="20"/>
                <w:szCs w:val="20"/>
                <w:color w:val="auto"/>
              </w:rPr>
            </w:pPr>
            <w:r>
              <w:rPr>
                <w:rFonts w:ascii="Arial" w:cs="Arial" w:eastAsia="Arial" w:hAnsi="Arial"/>
                <w:sz w:val="18"/>
                <w:szCs w:val="18"/>
                <w:color w:val="auto"/>
              </w:rPr>
              <w:t>2(b))</w:t>
            </w:r>
          </w:p>
        </w:tc>
      </w:tr>
      <w:tr>
        <w:trPr>
          <w:trHeight w:val="459"/>
        </w:trPr>
        <w:tc>
          <w:tcPr>
            <w:tcW w:w="4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8060" w:type="dxa"/>
            <w:vAlign w:val="bottom"/>
          </w:tcPr>
          <w:p>
            <w:pPr>
              <w:ind w:left="240"/>
              <w:spacing w:after="0"/>
              <w:rPr>
                <w:sz w:val="20"/>
                <w:szCs w:val="20"/>
                <w:color w:val="auto"/>
              </w:rPr>
            </w:pPr>
            <w:r>
              <w:rPr>
                <w:rFonts w:ascii="Arial" w:cs="Arial" w:eastAsia="Arial" w:hAnsi="Arial"/>
                <w:sz w:val="18"/>
                <w:szCs w:val="18"/>
                <w:color w:val="auto"/>
                <w:w w:val="91"/>
              </w:rPr>
              <w:t>Pre-commencement communications pursuant to Rule 13e-4(c) under the Exchange Act (17 CFR 240.13e-</w:t>
            </w:r>
          </w:p>
        </w:tc>
        <w:tc>
          <w:tcPr>
            <w:tcW w:w="2940" w:type="dxa"/>
            <w:vAlign w:val="bottom"/>
          </w:tcPr>
          <w:p>
            <w:pPr>
              <w:ind w:left="100"/>
              <w:spacing w:after="0"/>
              <w:rPr>
                <w:sz w:val="20"/>
                <w:szCs w:val="20"/>
                <w:color w:val="auto"/>
              </w:rPr>
            </w:pPr>
            <w:r>
              <w:rPr>
                <w:rFonts w:ascii="Arial" w:cs="Arial" w:eastAsia="Arial" w:hAnsi="Arial"/>
                <w:sz w:val="18"/>
                <w:szCs w:val="18"/>
                <w:color w:val="auto"/>
              </w:rPr>
              <w:t>4(c))</w:t>
            </w:r>
          </w:p>
        </w:tc>
      </w:tr>
      <w:tr>
        <w:trPr>
          <w:trHeight w:val="341"/>
        </w:trPr>
        <w:tc>
          <w:tcPr>
            <w:tcW w:w="4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71"/>
        </w:trPr>
        <w:tc>
          <w:tcPr>
            <w:tcW w:w="420" w:type="dxa"/>
            <w:vAlign w:val="bottom"/>
            <w:shd w:val="clear" w:color="auto" w:fill="808080"/>
          </w:tcPr>
          <w:p>
            <w:pPr>
              <w:spacing w:after="0"/>
              <w:rPr>
                <w:sz w:val="6"/>
                <w:szCs w:val="6"/>
                <w:color w:val="auto"/>
              </w:rPr>
            </w:pPr>
          </w:p>
        </w:tc>
        <w:tc>
          <w:tcPr>
            <w:tcW w:w="8060" w:type="dxa"/>
            <w:vAlign w:val="bottom"/>
            <w:shd w:val="clear" w:color="auto" w:fill="808080"/>
          </w:tcPr>
          <w:p>
            <w:pPr>
              <w:spacing w:after="0"/>
              <w:rPr>
                <w:sz w:val="6"/>
                <w:szCs w:val="6"/>
                <w:color w:val="auto"/>
              </w:rPr>
            </w:pPr>
          </w:p>
        </w:tc>
        <w:tc>
          <w:tcPr>
            <w:tcW w:w="2940" w:type="dxa"/>
            <w:vAlign w:val="bottom"/>
            <w:shd w:val="clear" w:color="auto" w:fill="808080"/>
          </w:tcPr>
          <w:p>
            <w:pPr>
              <w:spacing w:after="0"/>
              <w:rPr>
                <w:sz w:val="6"/>
                <w:szCs w:val="6"/>
                <w:color w:val="auto"/>
              </w:rPr>
            </w:pPr>
          </w:p>
        </w:tc>
      </w:tr>
      <w:tr>
        <w:trPr>
          <w:trHeight w:val="510"/>
        </w:trPr>
        <w:tc>
          <w:tcPr>
            <w:tcW w:w="420" w:type="dxa"/>
            <w:vAlign w:val="bottom"/>
            <w:tcBorders>
              <w:bottom w:val="single" w:sz="8" w:color="808080"/>
            </w:tcBorders>
          </w:tcPr>
          <w:p>
            <w:pPr>
              <w:spacing w:after="0"/>
              <w:rPr>
                <w:sz w:val="24"/>
                <w:szCs w:val="24"/>
                <w:color w:val="auto"/>
              </w:rPr>
            </w:pPr>
          </w:p>
        </w:tc>
        <w:tc>
          <w:tcPr>
            <w:tcW w:w="8060" w:type="dxa"/>
            <w:vAlign w:val="bottom"/>
            <w:tcBorders>
              <w:bottom w:val="single" w:sz="8" w:color="808080"/>
            </w:tcBorders>
          </w:tcPr>
          <w:p>
            <w:pPr>
              <w:spacing w:after="0"/>
              <w:rPr>
                <w:sz w:val="24"/>
                <w:szCs w:val="24"/>
                <w:color w:val="auto"/>
              </w:rPr>
            </w:pPr>
          </w:p>
        </w:tc>
        <w:tc>
          <w:tcPr>
            <w:tcW w:w="2940" w:type="dxa"/>
            <w:vAlign w:val="bottom"/>
            <w:tcBorders>
              <w:bottom w:val="single" w:sz="8" w:color="808080"/>
            </w:tcBorders>
          </w:tcPr>
          <w:p>
            <w:pPr>
              <w:spacing w:after="0"/>
              <w:rPr>
                <w:sz w:val="24"/>
                <w:szCs w:val="24"/>
                <w:color w:val="auto"/>
              </w:rPr>
            </w:pPr>
          </w:p>
        </w:tc>
      </w:tr>
    </w:tbl>
    <w:p>
      <w:pPr>
        <w:spacing w:after="0" w:line="20" w:lineRule="exact"/>
        <w:rPr>
          <w:rFonts w:ascii="Arial" w:cs="Arial" w:eastAsia="Arial" w:hAnsi="Arial"/>
          <w:sz w:val="32"/>
          <w:szCs w:val="32"/>
          <w:b w:val="1"/>
          <w:bCs w:val="1"/>
          <w:u w:val="single" w:color="auto"/>
          <w:color w:val="auto"/>
        </w:rPr>
      </w:pPr>
      <w:r>
        <w:rPr>
          <w:rFonts w:ascii="Arial" w:cs="Arial" w:eastAsia="Arial" w:hAnsi="Arial"/>
          <w:sz w:val="32"/>
          <w:szCs w:val="32"/>
          <w:b w:val="1"/>
          <w:bCs w:val="1"/>
          <w:u w:val="single" w:color="auto"/>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36"/>
          <w:szCs w:val="36"/>
          <w:b w:val="1"/>
          <w:bCs w:val="1"/>
          <w:color w:val="auto"/>
          <w:vertAlign w:val="superscript"/>
        </w:rPr>
        <w:t>Item</w:t>
      </w:r>
      <w:r>
        <w:rPr>
          <w:rFonts w:ascii="Arial" w:cs="Arial" w:eastAsia="Arial" w:hAnsi="Arial"/>
          <w:sz w:val="36"/>
          <w:szCs w:val="36"/>
          <w:b w:val="1"/>
          <w:bCs w:val="1"/>
          <w:color w:val="auto"/>
          <w:vertAlign w:val="subscript"/>
        </w:rPr>
        <w:t>8.01</w:t>
      </w:r>
      <w:r>
        <w:rPr>
          <w:rFonts w:ascii="Arial" w:cs="Arial" w:eastAsia="Arial" w:hAnsi="Arial"/>
          <w:sz w:val="18"/>
          <w:szCs w:val="18"/>
          <w:color w:val="auto"/>
        </w:rPr>
        <w:t xml:space="preserve"> O</w:t>
      </w:r>
      <w:r>
        <w:rPr>
          <w:rFonts w:ascii="Arial" w:cs="Arial" w:eastAsia="Arial" w:hAnsi="Arial"/>
          <w:sz w:val="18"/>
          <w:szCs w:val="18"/>
          <w:b w:val="1"/>
          <w:bCs w:val="1"/>
          <w:color w:val="auto"/>
        </w:rPr>
        <w:t>ther Events</w:t>
      </w:r>
    </w:p>
    <w:p>
      <w:pPr>
        <w:spacing w:after="0" w:line="29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April 2, 2012, NN, Inc. (the “Company”) issued a press release regarding the resignation of Thomas Zupan, Vice President of Business Development of Whirlaway Corporation, a division of the Company. A copy of the press release is furnished as Exhibit 99.1 and is incorporated herein by reference.</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b w:val="1"/>
                <w:bCs w:val="1"/>
                <w:color w:val="auto"/>
              </w:rPr>
              <w:t>Item</w:t>
            </w:r>
          </w:p>
        </w:tc>
        <w:tc>
          <w:tcPr>
            <w:tcW w:w="2740" w:type="dxa"/>
            <w:vAlign w:val="bottom"/>
            <w:vMerge w:val="restart"/>
          </w:tcPr>
          <w:p>
            <w:pPr>
              <w:ind w:left="100"/>
              <w:spacing w:after="0"/>
              <w:rPr>
                <w:sz w:val="20"/>
                <w:szCs w:val="20"/>
                <w:color w:val="auto"/>
              </w:rPr>
            </w:pPr>
            <w:r>
              <w:rPr>
                <w:rFonts w:ascii="Arial" w:cs="Arial" w:eastAsia="Arial" w:hAnsi="Arial"/>
                <w:sz w:val="18"/>
                <w:szCs w:val="18"/>
                <w:b w:val="1"/>
                <w:bCs w:val="1"/>
                <w:color w:val="auto"/>
                <w:w w:val="89"/>
              </w:rPr>
              <w:t>Financial Statements and Exhibits</w:t>
            </w:r>
          </w:p>
        </w:tc>
        <w:tc>
          <w:tcPr>
            <w:tcW w:w="0" w:type="dxa"/>
            <w:vAlign w:val="bottom"/>
          </w:tcPr>
          <w:p>
            <w:pPr>
              <w:spacing w:after="0"/>
              <w:rPr>
                <w:sz w:val="1"/>
                <w:szCs w:val="1"/>
                <w:color w:val="auto"/>
              </w:rPr>
            </w:pPr>
          </w:p>
        </w:tc>
      </w:tr>
      <w:tr>
        <w:trPr>
          <w:trHeight w:val="126"/>
        </w:trPr>
        <w:tc>
          <w:tcPr>
            <w:tcW w:w="480" w:type="dxa"/>
            <w:vAlign w:val="bottom"/>
            <w:vMerge w:val="restart"/>
          </w:tcPr>
          <w:p>
            <w:pPr>
              <w:spacing w:after="0"/>
              <w:rPr>
                <w:sz w:val="20"/>
                <w:szCs w:val="20"/>
                <w:color w:val="auto"/>
              </w:rPr>
            </w:pPr>
            <w:r>
              <w:rPr>
                <w:rFonts w:ascii="Arial" w:cs="Arial" w:eastAsia="Arial" w:hAnsi="Arial"/>
                <w:sz w:val="18"/>
                <w:szCs w:val="18"/>
                <w:b w:val="1"/>
                <w:bCs w:val="1"/>
                <w:color w:val="auto"/>
              </w:rPr>
              <w:t>9.01</w:t>
            </w:r>
          </w:p>
        </w:tc>
        <w:tc>
          <w:tcPr>
            <w:tcW w:w="2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rPr>
          <w:sz w:val="20"/>
          <w:szCs w:val="20"/>
          <w:color w:val="auto"/>
        </w:rPr>
      </w:pPr>
      <w:r>
        <w:rPr>
          <w:rFonts w:ascii="Arial" w:cs="Arial" w:eastAsia="Arial" w:hAnsi="Arial"/>
          <w:sz w:val="36"/>
          <w:szCs w:val="36"/>
          <w:b w:val="1"/>
          <w:bCs w:val="1"/>
          <w:u w:val="single" w:color="auto"/>
          <w:color w:val="auto"/>
          <w:vertAlign w:val="superscript"/>
        </w:rPr>
        <w:t>Exhibit</w:t>
      </w:r>
      <w:r>
        <w:rPr>
          <w:rFonts w:ascii="Arial" w:cs="Arial" w:eastAsia="Arial" w:hAnsi="Arial"/>
          <w:sz w:val="18"/>
          <w:szCs w:val="18"/>
          <w:u w:val="single" w:color="auto"/>
          <w:color w:val="auto"/>
        </w:rPr>
        <w:t>D</w:t>
      </w:r>
      <w:r>
        <w:rPr>
          <w:rFonts w:ascii="Arial" w:cs="Arial" w:eastAsia="Arial" w:hAnsi="Arial"/>
          <w:sz w:val="18"/>
          <w:szCs w:val="18"/>
          <w:b w:val="1"/>
          <w:bCs w:val="1"/>
          <w:u w:val="single" w:color="auto"/>
          <w:color w:val="auto"/>
        </w:rPr>
        <w:t>escription</w:t>
      </w:r>
    </w:p>
    <w:p>
      <w:pPr>
        <w:spacing w:after="0"/>
        <w:rPr>
          <w:sz w:val="20"/>
          <w:szCs w:val="20"/>
          <w:color w:val="auto"/>
        </w:rPr>
      </w:pPr>
      <w:r>
        <w:rPr>
          <w:rFonts w:ascii="Arial" w:cs="Arial" w:eastAsia="Arial" w:hAnsi="Arial"/>
          <w:sz w:val="18"/>
          <w:szCs w:val="18"/>
          <w:b w:val="1"/>
          <w:bCs w:val="1"/>
          <w:u w:val="single" w:color="auto"/>
          <w:color w:val="auto"/>
        </w:rPr>
        <w:t>No.</w:t>
      </w:r>
    </w:p>
    <w:p>
      <w:pPr>
        <w:spacing w:after="0" w:line="20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NN, Inc. dated April 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1042035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731" w:right="39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Date: April 2,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William C. Kelly,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William C. Kelly, Jr.</w:t>
      </w:r>
    </w:p>
    <w:p>
      <w:pPr>
        <w:spacing w:after="0" w:line="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Vice President and Chief Administrative Officer</w:t>
      </w:r>
    </w:p>
    <w:p>
      <w:pPr>
        <w:sectPr>
          <w:pgSz w:w="11900" w:h="16838" w:orient="portrait"/>
          <w:cols w:equalWidth="0" w:num="1">
            <w:col w:w="11220"/>
          </w:cols>
          <w:pgMar w:left="240" w:top="513" w:right="439" w:bottom="1440" w:gutter="0" w:footer="0" w:header="0"/>
        </w:sectPr>
      </w:pPr>
    </w:p>
    <w:bookmarkStart w:id="3" w:name="page4"/>
    <w:bookmarkEnd w:id="3"/>
    <w:p>
      <w:pPr>
        <w:spacing w:after="0" w:line="301" w:lineRule="exact"/>
        <w:rPr>
          <w:sz w:val="20"/>
          <w:szCs w:val="20"/>
          <w:color w:val="auto"/>
        </w:rPr>
      </w:pPr>
    </w:p>
    <w:p>
      <w:pPr>
        <w:spacing w:after="0"/>
        <w:rPr>
          <w:sz w:val="20"/>
          <w:szCs w:val="20"/>
          <w:color w:val="auto"/>
        </w:rPr>
      </w:pPr>
      <w:r>
        <w:rPr>
          <w:rFonts w:ascii="Arial" w:cs="Arial" w:eastAsia="Arial" w:hAnsi="Arial"/>
          <w:sz w:val="29"/>
          <w:szCs w:val="29"/>
          <w:color w:val="auto"/>
        </w:rPr>
        <w:t>F I N A N C I A L</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RELATIONS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00" w:type="dxa"/>
            <w:vAlign w:val="bottom"/>
            <w:gridSpan w:val="2"/>
          </w:tcPr>
          <w:p>
            <w:pPr>
              <w:spacing w:after="0"/>
              <w:rPr>
                <w:sz w:val="20"/>
                <w:szCs w:val="20"/>
                <w:color w:val="auto"/>
              </w:rPr>
            </w:pPr>
            <w:r>
              <w:rPr>
                <w:rFonts w:ascii="Arial" w:cs="Arial" w:eastAsia="Arial" w:hAnsi="Arial"/>
                <w:sz w:val="22"/>
                <w:szCs w:val="22"/>
                <w:b w:val="1"/>
                <w:bCs w:val="1"/>
                <w:color w:val="auto"/>
              </w:rPr>
              <w:t>AT THE COMPANY</w:t>
            </w:r>
          </w:p>
        </w:tc>
        <w:tc>
          <w:tcPr>
            <w:tcW w:w="3700" w:type="dxa"/>
            <w:vAlign w:val="bottom"/>
          </w:tcPr>
          <w:p>
            <w:pPr>
              <w:spacing w:after="0"/>
              <w:rPr>
                <w:sz w:val="20"/>
                <w:szCs w:val="20"/>
                <w:color w:val="auto"/>
              </w:rPr>
            </w:pPr>
            <w:r>
              <w:rPr>
                <w:rFonts w:ascii="Arial" w:cs="Arial" w:eastAsia="Arial" w:hAnsi="Arial"/>
                <w:sz w:val="22"/>
                <w:szCs w:val="22"/>
                <w:b w:val="1"/>
                <w:bCs w:val="1"/>
                <w:color w:val="auto"/>
                <w:w w:val="98"/>
              </w:rPr>
              <w:t>AT FINANCIAL RELATIONS BOARD</w:t>
            </w:r>
          </w:p>
        </w:tc>
      </w:tr>
      <w:tr>
        <w:trPr>
          <w:trHeight w:val="222"/>
        </w:trPr>
        <w:tc>
          <w:tcPr>
            <w:tcW w:w="1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 Kelly</w:t>
            </w:r>
          </w:p>
        </w:tc>
        <w:tc>
          <w:tcPr>
            <w:tcW w:w="1940" w:type="dxa"/>
            <w:vAlign w:val="bottom"/>
          </w:tcPr>
          <w:p>
            <w:pPr>
              <w:spacing w:after="0"/>
              <w:rPr>
                <w:sz w:val="19"/>
                <w:szCs w:val="19"/>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Marilynn Meek</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Vice President and Chief Administrative Officer</w:t>
            </w:r>
          </w:p>
        </w:tc>
        <w:tc>
          <w:tcPr>
            <w:tcW w:w="3700" w:type="dxa"/>
            <w:vAlign w:val="bottom"/>
          </w:tcPr>
          <w:p>
            <w:pPr>
              <w:spacing w:after="0"/>
              <w:rPr>
                <w:sz w:val="20"/>
                <w:szCs w:val="20"/>
                <w:color w:val="auto"/>
              </w:rPr>
            </w:pPr>
            <w:r>
              <w:rPr>
                <w:rFonts w:ascii="Arial" w:cs="Arial" w:eastAsia="Arial" w:hAnsi="Arial"/>
                <w:sz w:val="18"/>
                <w:szCs w:val="18"/>
                <w:color w:val="auto"/>
              </w:rPr>
              <w:t>(General info)</w:t>
            </w: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(423) 743-9151</w:t>
            </w:r>
          </w:p>
        </w:tc>
        <w:tc>
          <w:tcPr>
            <w:tcW w:w="19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(212) 827-3773</w:t>
            </w:r>
          </w:p>
        </w:tc>
      </w:tr>
    </w:tbl>
    <w:p>
      <w:pPr>
        <w:spacing w:after="0" w:line="20" w:lineRule="exact"/>
        <w:rPr>
          <w:sz w:val="20"/>
          <w:szCs w:val="20"/>
          <w:color w:val="auto"/>
        </w:rPr>
      </w:pPr>
      <w:r>
        <w:rPr>
          <w:sz w:val="20"/>
          <w:szCs w:val="20"/>
          <w:color w:val="auto"/>
        </w:rPr>
        <w:br w:type="column"/>
      </w:r>
    </w:p>
    <w:p>
      <w:pPr>
        <w:ind w:left="920"/>
        <w:spacing w:after="0"/>
        <w:rPr>
          <w:sz w:val="20"/>
          <w:szCs w:val="20"/>
          <w:color w:val="auto"/>
        </w:rPr>
      </w:pPr>
      <w:r>
        <w:rPr>
          <w:rFonts w:ascii="Arial" w:cs="Arial" w:eastAsia="Arial" w:hAnsi="Arial"/>
          <w:sz w:val="22"/>
          <w:szCs w:val="22"/>
          <w:b w:val="1"/>
          <w:bCs w:val="1"/>
          <w:color w:val="auto"/>
        </w:rPr>
        <w:t>EXHIBIT 99.1</w:t>
      </w:r>
    </w:p>
    <w:p>
      <w:pPr>
        <w:spacing w:after="0" w:line="26" w:lineRule="exact"/>
        <w:rPr>
          <w:sz w:val="20"/>
          <w:szCs w:val="20"/>
          <w:color w:val="auto"/>
        </w:rPr>
      </w:pPr>
    </w:p>
    <w:p>
      <w:pPr>
        <w:spacing w:after="0"/>
        <w:rPr>
          <w:sz w:val="20"/>
          <w:szCs w:val="20"/>
          <w:color w:val="auto"/>
        </w:rPr>
      </w:pPr>
      <w:r>
        <w:rPr>
          <w:rFonts w:ascii="Arial" w:cs="Arial" w:eastAsia="Arial" w:hAnsi="Arial"/>
          <w:sz w:val="61"/>
          <w:szCs w:val="61"/>
          <w:color w:val="auto"/>
        </w:rPr>
        <w:t>n e w s</w:t>
      </w:r>
    </w:p>
    <w:p>
      <w:pPr>
        <w:spacing w:after="0" w:line="200" w:lineRule="exact"/>
        <w:rPr>
          <w:sz w:val="20"/>
          <w:szCs w:val="20"/>
          <w:color w:val="auto"/>
        </w:rPr>
      </w:pPr>
    </w:p>
    <w:p>
      <w:pPr>
        <w:spacing w:after="0" w:line="2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2000 Waters Edge Drive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Johnson City, TN 37604</w:t>
      </w:r>
    </w:p>
    <w:p>
      <w:pPr>
        <w:spacing w:after="0" w:line="2318" w:lineRule="exact"/>
        <w:rPr>
          <w:sz w:val="20"/>
          <w:szCs w:val="20"/>
          <w:color w:val="auto"/>
        </w:rPr>
      </w:pPr>
    </w:p>
    <w:p>
      <w:pPr>
        <w:sectPr>
          <w:pgSz w:w="11900" w:h="16838" w:orient="portrait"/>
          <w:cols w:equalWidth="0" w:num="2">
            <w:col w:w="8420" w:space="720"/>
            <w:col w:w="2280"/>
          </w:cols>
          <w:pgMar w:left="240" w:top="112" w:right="239" w:bottom="1440" w:gutter="0" w:footer="0" w:header="0"/>
        </w:sect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March 26,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April 2, 2012</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 ANNOUNCES RESIGNATION OF THOMAS ZUPAN</w:t>
      </w:r>
    </w:p>
    <w:p>
      <w:pPr>
        <w:spacing w:after="0" w:line="200" w:lineRule="exact"/>
        <w:rPr>
          <w:sz w:val="20"/>
          <w:szCs w:val="20"/>
          <w:color w:val="auto"/>
        </w:rPr>
      </w:pPr>
    </w:p>
    <w:p>
      <w:pPr>
        <w:spacing w:after="0" w:line="29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Johnson City, Tenn, April 2, 2012 – NN, Inc. </w:t>
      </w:r>
      <w:r>
        <w:rPr>
          <w:rFonts w:ascii="Arial" w:cs="Arial" w:eastAsia="Arial" w:hAnsi="Arial"/>
          <w:sz w:val="18"/>
          <w:szCs w:val="18"/>
          <w:color w:val="auto"/>
        </w:rPr>
        <w:t>(Nasdaq: NNBR) today announced the resignation of Thomas Zupan, Vice President of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Whirlaway Corporation effective April 1, 2012, to pursue other personal interests. Following NN’s purchase of Whirlaway Corporation in December of 2006, Mr. Zupan, who was serving as President and Chief Executive Officer of Whirlaway Corporation, committed to staying on with the management group of the company until Whirlaway reached certain levels of financial performance. Recent positive trends in profitability at Whirlaway led to the timing of Mr. Zupan’s decision.</w:t>
      </w:r>
    </w:p>
    <w:p>
      <w:pPr>
        <w:spacing w:after="0" w:line="21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Roderick R. Baty, Chairman of the Board and Chief Executive Officer said, “Since the founding of Whirlaway in 1973, Tom has been instrumental in building a world class precision metal components business. We appreciate his willingness to stay with the Company during the transition and integration period of the acquisition. We will miss Tom and wish him and his family all the best.”</w:t>
      </w:r>
    </w:p>
    <w:p>
      <w:pPr>
        <w:spacing w:after="0" w:line="20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Mr. Zupan said, “I leave Whirlaway with mixed emotions, but am excited about the future and continuing legacy of Whirlaway as an NN, Inc operating division. The strategic guidance and support that Whirlaway has received since becoming a part of NN has positioned the business for a future of excellent growth and profitability. I wish everyone at Whirlaway and NN continued success.”</w:t>
      </w:r>
    </w:p>
    <w:p>
      <w:pPr>
        <w:spacing w:after="0" w:line="20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NN, Inc. manufacturers and supplies high precision metal bearing components, industrial plastic and rubber products and precision metal components to a variety of markets on a global basis. Headquartered in Johnson City, Tennessee, NN has 10 manufacturing plants in the United States, Western Europe, Eastern Europe and China. NN, Inc. had sales of US $425 million in 2011.</w:t>
      </w:r>
    </w:p>
    <w:sectPr>
      <w:pgSz w:w="11900" w:h="16838" w:orient="portrait"/>
      <w:cols w:equalWidth="0" w:num="1">
        <w:col w:w="11420"/>
      </w:cols>
      <w:pgMar w:left="240" w:top="11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2019-12-09T10:55:43Z</dcterms:created>
  <dcterms:modified xsi:type="dcterms:W3CDTF">2019-12-09T10:55:43Z</dcterms:modified>
</cp:coreProperties>
</file>