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244" w:right="1440" w:bottom="79"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August 6, 2002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060" w:space="0"/>
            <w:col w:w="5159"/>
          </w:cols>
          <w:pgMar w:left="240" w:top="244" w:right="1440" w:bottom="79"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1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0-23486</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560" w:val="left"/>
          <w:tab w:leader="none" w:pos="620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540"/>
        <w:spacing w:after="0"/>
        <w:tabs>
          <w:tab w:leader="none" w:pos="3680" w:val="left"/>
          <w:tab w:leader="none" w:pos="60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6"/>
          <w:szCs w:val="16"/>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ind w:left="120"/>
        <w:spacing w:after="0"/>
        <w:tabs>
          <w:tab w:leader="none" w:pos="63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244" w:right="1440" w:bottom="79"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100"/>
            <w:col w:w="4839"/>
          </w:cols>
          <w:pgMar w:left="240" w:top="244" w:right="1440" w:bottom="79"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b w:val="1"/>
          <w:bCs w:val="1"/>
          <w:color w:val="auto"/>
        </w:rPr>
        <w:t>Item 7.</w:t>
      </w:r>
      <w:r>
        <w:rPr>
          <w:sz w:val="20"/>
          <w:szCs w:val="20"/>
          <w:color w:val="auto"/>
        </w:rPr>
        <w:tab/>
      </w:r>
      <w:r>
        <w:rPr>
          <w:rFonts w:ascii="Courier New" w:cs="Courier New" w:eastAsia="Courier New" w:hAnsi="Courier New"/>
          <w:sz w:val="16"/>
          <w:szCs w:val="16"/>
          <w:b w:val="1"/>
          <w:bCs w:val="1"/>
          <w:color w:val="auto"/>
        </w:rPr>
        <w:t>Financial Statements and Exhibits.</w:t>
      </w:r>
    </w:p>
    <w:p>
      <w:pPr>
        <w:spacing w:after="0" w:line="201" w:lineRule="exact"/>
        <w:rPr>
          <w:sz w:val="24"/>
          <w:szCs w:val="24"/>
          <w:color w:val="auto"/>
        </w:rPr>
      </w:pPr>
    </w:p>
    <w:p>
      <w:pPr>
        <w:ind w:left="1900" w:hanging="944"/>
        <w:spacing w:after="0"/>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99.1</w:t>
      </w:r>
      <w:r>
        <w:rPr>
          <w:rFonts w:ascii="Courier New" w:cs="Courier New" w:eastAsia="Courier New" w:hAnsi="Courier New"/>
          <w:sz w:val="16"/>
          <w:szCs w:val="16"/>
          <w:color w:val="auto"/>
        </w:rPr>
        <w:t>Press Release dated August 6, 2002.</w:t>
      </w:r>
    </w:p>
    <w:p>
      <w:pPr>
        <w:spacing w:after="0" w:line="200" w:lineRule="exact"/>
        <w:rPr>
          <w:sz w:val="24"/>
          <w:szCs w:val="24"/>
          <w:color w:val="auto"/>
        </w:rPr>
      </w:pPr>
    </w:p>
    <w:p>
      <w:pPr>
        <w:spacing w:after="0" w:line="204"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b w:val="1"/>
          <w:bCs w:val="1"/>
          <w:color w:val="auto"/>
        </w:rPr>
        <w:t>Item 9.</w:t>
      </w:r>
      <w:r>
        <w:rPr>
          <w:sz w:val="20"/>
          <w:szCs w:val="20"/>
          <w:color w:val="auto"/>
        </w:rPr>
        <w:tab/>
      </w:r>
      <w:r>
        <w:rPr>
          <w:rFonts w:ascii="Courier New" w:cs="Courier New" w:eastAsia="Courier New" w:hAnsi="Courier New"/>
          <w:sz w:val="16"/>
          <w:szCs w:val="16"/>
          <w:b w:val="1"/>
          <w:bCs w:val="1"/>
          <w:color w:val="auto"/>
        </w:rPr>
        <w:t>Regulation FD Disclosure.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August 6, 2002, the Company issued a press release announcing that due to unfavorable market conditions, it has postponed the proposed follow-on public offering of its common stock. A copy of the press release is attached as Exhibit 99.1 hereto and incorporated herein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4"/>
          <w:szCs w:val="24"/>
          <w:color w:val="auto"/>
        </w:rPr>
      </w:pPr>
    </w:p>
    <w:p>
      <w:pPr>
        <w:spacing w:after="0" w:line="209" w:lineRule="exact"/>
        <w:rPr>
          <w:sz w:val="24"/>
          <w:szCs w:val="24"/>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6, 2002</w:t>
      </w:r>
    </w:p>
    <w:p>
      <w:pPr>
        <w:ind w:left="4320"/>
        <w:spacing w:after="0" w:line="238" w:lineRule="auto"/>
        <w:rPr>
          <w:sz w:val="20"/>
          <w:szCs w:val="20"/>
          <w:color w:val="auto"/>
        </w:rPr>
      </w:pPr>
      <w:r>
        <w:rPr>
          <w:rFonts w:ascii="Courier New" w:cs="Courier New" w:eastAsia="Courier New" w:hAnsi="Courier New"/>
          <w:sz w:val="18"/>
          <w:szCs w:val="18"/>
          <w:color w:val="auto"/>
        </w:rPr>
        <w:t>NN, INC.</w:t>
      </w:r>
    </w:p>
    <w:p>
      <w:pPr>
        <w:sectPr>
          <w:pgSz w:w="11900" w:h="16838" w:orient="portrait"/>
          <w:cols w:equalWidth="0" w:num="1">
            <w:col w:w="10219"/>
          </w:cols>
          <w:pgMar w:left="240" w:top="244" w:right="1440" w:bottom="79" w:gutter="0" w:footer="0" w:header="0"/>
          <w:type w:val="continuous"/>
        </w:sectPr>
      </w:pPr>
    </w:p>
    <w:bookmarkStart w:id="1" w:name="page2"/>
    <w:bookmarkEnd w:id="1"/>
    <w:p>
      <w:pPr>
        <w:ind w:left="3120"/>
        <w:spacing w:after="0"/>
        <w:tabs>
          <w:tab w:leader="none" w:pos="3640" w:val="left"/>
        </w:tabs>
        <w:rPr>
          <w:sz w:val="20"/>
          <w:szCs w:val="20"/>
          <w:color w:val="auto"/>
        </w:rPr>
      </w:pPr>
      <w:r>
        <w:rPr>
          <w:rFonts w:ascii="Courier New" w:cs="Courier New" w:eastAsia="Courier New" w:hAnsi="Courier New"/>
          <w:sz w:val="18"/>
          <w:szCs w:val="18"/>
          <w:color w:val="auto"/>
        </w:rPr>
        <w:t>By:</w:t>
        <w:tab/>
        <w:t>/s/ William C. Kelly, Jr.</w:t>
      </w:r>
    </w:p>
    <w:p>
      <w:pPr>
        <w:ind w:left="3540"/>
        <w:spacing w:after="0" w:line="238" w:lineRule="auto"/>
        <w:rPr>
          <w:sz w:val="20"/>
          <w:szCs w:val="20"/>
          <w:color w:val="auto"/>
        </w:rPr>
      </w:pPr>
      <w:r>
        <w:rPr>
          <w:rFonts w:ascii="Courier New" w:cs="Courier New" w:eastAsia="Courier New" w:hAnsi="Courier New"/>
          <w:sz w:val="18"/>
          <w:szCs w:val="18"/>
          <w:color w:val="auto"/>
        </w:rPr>
        <w:t>----------------------------</w:t>
      </w:r>
    </w:p>
    <w:p>
      <w:pPr>
        <w:ind w:left="3660"/>
        <w:spacing w:after="0"/>
        <w:rPr>
          <w:sz w:val="20"/>
          <w:szCs w:val="20"/>
          <w:color w:val="auto"/>
        </w:rPr>
      </w:pPr>
      <w:r>
        <w:rPr>
          <w:rFonts w:ascii="Courier New" w:cs="Courier New" w:eastAsia="Courier New" w:hAnsi="Courier New"/>
          <w:sz w:val="18"/>
          <w:szCs w:val="18"/>
          <w:color w:val="auto"/>
        </w:rPr>
        <w:t>William C. Kelly, Jr.,</w:t>
      </w:r>
    </w:p>
    <w:p>
      <w:pPr>
        <w:spacing w:after="0" w:line="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Treasurer, Secretary and Chief</w:t>
      </w:r>
    </w:p>
    <w:p>
      <w:pPr>
        <w:spacing w:after="0" w:line="16" w:lineRule="exact"/>
        <w:rPr>
          <w:sz w:val="20"/>
          <w:szCs w:val="20"/>
          <w:color w:val="auto"/>
        </w:rPr>
      </w:pPr>
    </w:p>
    <w:p>
      <w:pPr>
        <w:ind w:left="3660"/>
        <w:spacing w:after="0"/>
        <w:rPr>
          <w:sz w:val="20"/>
          <w:szCs w:val="20"/>
          <w:color w:val="auto"/>
        </w:rPr>
      </w:pPr>
      <w:r>
        <w:rPr>
          <w:rFonts w:ascii="Courier New" w:cs="Courier New" w:eastAsia="Courier New" w:hAnsi="Courier New"/>
          <w:sz w:val="18"/>
          <w:szCs w:val="18"/>
          <w:color w:val="auto"/>
        </w:rPr>
        <w:t>Accounting Officer</w:t>
      </w:r>
    </w:p>
    <w:p>
      <w:pPr>
        <w:sectPr>
          <w:pgSz w:w="11900" w:h="16838" w:orient="portrait"/>
          <w:cols w:equalWidth="0" w:num="1">
            <w:col w:w="9019"/>
          </w:cols>
          <w:pgMar w:left="1440" w:top="136" w:right="1440" w:bottom="1440" w:gutter="0" w:footer="0" w:header="0"/>
        </w:sectPr>
      </w:pPr>
    </w:p>
    <w:bookmarkStart w:id="2" w:name="page3"/>
    <w:bookmarkEnd w:id="2"/>
    <w:p>
      <w:pPr>
        <w:spacing w:after="0" w:line="3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4874260</wp:posOffset>
            </wp:positionH>
            <wp:positionV relativeFrom="page">
              <wp:posOffset>88900</wp:posOffset>
            </wp:positionV>
            <wp:extent cx="2529840"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529840" cy="77152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171513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15135" cy="428625"/>
                    </a:xfrm>
                    <a:prstGeom prst="rect">
                      <a:avLst/>
                    </a:prstGeom>
                    <a:noFill/>
                  </pic:spPr>
                </pic:pic>
              </a:graphicData>
            </a:graphic>
          </wp:anchor>
        </w:drawing>
      </w:r>
    </w:p>
    <w:p>
      <w:pPr>
        <w:ind w:left="6020"/>
        <w:spacing w:after="0"/>
        <w:rPr>
          <w:sz w:val="20"/>
          <w:szCs w:val="20"/>
          <w:color w:val="auto"/>
        </w:rPr>
      </w:pPr>
      <w:r>
        <w:rPr>
          <w:rFonts w:ascii="Courier New" w:cs="Courier New" w:eastAsia="Courier New" w:hAnsi="Courier New"/>
          <w:sz w:val="18"/>
          <w:szCs w:val="18"/>
          <w:color w:val="auto"/>
        </w:rPr>
        <w:t>RE: NN Inc.</w:t>
      </w:r>
    </w:p>
    <w:p>
      <w:pPr>
        <w:ind w:left="6020"/>
        <w:spacing w:after="0" w:line="238" w:lineRule="auto"/>
        <w:rPr>
          <w:sz w:val="20"/>
          <w:szCs w:val="20"/>
          <w:color w:val="auto"/>
        </w:rPr>
      </w:pPr>
      <w:r>
        <w:rPr>
          <w:rFonts w:ascii="Courier New" w:cs="Courier New" w:eastAsia="Courier New" w:hAnsi="Courier New"/>
          <w:sz w:val="18"/>
          <w:szCs w:val="18"/>
          <w:color w:val="auto"/>
        </w:rPr>
        <w:t>2000 Waters Edge Drive</w:t>
      </w:r>
    </w:p>
    <w:p>
      <w:pPr>
        <w:ind w:left="6020"/>
        <w:spacing w:after="0"/>
        <w:tabs>
          <w:tab w:leader="none" w:pos="7880" w:val="left"/>
        </w:tabs>
        <w:rPr>
          <w:sz w:val="20"/>
          <w:szCs w:val="20"/>
          <w:color w:val="auto"/>
        </w:rPr>
      </w:pPr>
      <w:r>
        <w:rPr>
          <w:rFonts w:ascii="Courier New" w:cs="Courier New" w:eastAsia="Courier New" w:hAnsi="Courier New"/>
          <w:sz w:val="18"/>
          <w:szCs w:val="18"/>
          <w:color w:val="auto"/>
        </w:rPr>
        <w:t>Johnson City, TN</w:t>
        <w:tab/>
        <w:t>37604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w:t>
      </w:r>
    </w:p>
    <w:p>
      <w:pPr>
        <w:sectPr>
          <w:pgSz w:w="11900" w:h="16838" w:orient="portrait"/>
          <w:cols w:equalWidth="0" w:num="1">
            <w:col w:w="10219"/>
          </w:cols>
          <w:pgMar w:left="240" w:top="1440"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AT THE COMPANY:</w:t>
      </w:r>
    </w:p>
    <w:p>
      <w:pPr>
        <w:spacing w:after="0" w:line="238" w:lineRule="auto"/>
        <w:rPr>
          <w:sz w:val="20"/>
          <w:szCs w:val="20"/>
          <w:color w:val="auto"/>
        </w:rPr>
      </w:pPr>
      <w:r>
        <w:rPr>
          <w:rFonts w:ascii="Courier New" w:cs="Courier New" w:eastAsia="Courier New" w:hAnsi="Courier New"/>
          <w:sz w:val="18"/>
          <w:szCs w:val="18"/>
          <w:b w:val="1"/>
          <w:bCs w:val="1"/>
          <w:color w:val="auto"/>
        </w:rPr>
        <w:t>- ---------------</w:t>
      </w:r>
    </w:p>
    <w:p>
      <w:pPr>
        <w:spacing w:after="0"/>
        <w:rPr>
          <w:sz w:val="20"/>
          <w:szCs w:val="20"/>
          <w:color w:val="auto"/>
        </w:rPr>
      </w:pPr>
      <w:r>
        <w:rPr>
          <w:rFonts w:ascii="Courier New" w:cs="Courier New" w:eastAsia="Courier New" w:hAnsi="Courier New"/>
          <w:sz w:val="18"/>
          <w:szCs w:val="18"/>
          <w:color w:val="auto"/>
        </w:rPr>
        <w:t>Will Kelly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Treasurer &amp; Manager of Investor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(423) 743-9151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AT FRB|WEBER SHANDWICK</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b w:val="1"/>
          <w:bCs w:val="1"/>
          <w:color w:val="auto"/>
        </w:rPr>
        <w:t>------------------------------</w:t>
      </w:r>
    </w:p>
    <w:p>
      <w:pPr>
        <w:spacing w:after="0" w:line="16"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Kerry Thalheim</w:t>
      </w:r>
      <w:r>
        <w:rPr>
          <w:sz w:val="20"/>
          <w:szCs w:val="20"/>
          <w:color w:val="auto"/>
        </w:rPr>
        <w:tab/>
      </w:r>
      <w:r>
        <w:rPr>
          <w:rFonts w:ascii="Courier New" w:cs="Courier New" w:eastAsia="Courier New" w:hAnsi="Courier New"/>
          <w:sz w:val="16"/>
          <w:szCs w:val="16"/>
          <w:color w:val="auto"/>
        </w:rPr>
        <w:t>July Tu</w:t>
      </w:r>
    </w:p>
    <w:p>
      <w:pPr>
        <w:spacing w:after="0"/>
        <w:tabs>
          <w:tab w:leader="none" w:pos="1780" w:val="left"/>
        </w:tabs>
        <w:rPr>
          <w:sz w:val="20"/>
          <w:szCs w:val="20"/>
          <w:color w:val="auto"/>
        </w:rPr>
      </w:pPr>
      <w:r>
        <w:rPr>
          <w:rFonts w:ascii="Courier New" w:cs="Courier New" w:eastAsia="Courier New" w:hAnsi="Courier New"/>
          <w:sz w:val="18"/>
          <w:szCs w:val="18"/>
          <w:color w:val="auto"/>
        </w:rPr>
        <w:t>(General info)</w:t>
      </w:r>
      <w:r>
        <w:rPr>
          <w:sz w:val="20"/>
          <w:szCs w:val="20"/>
          <w:color w:val="auto"/>
        </w:rPr>
        <w:tab/>
      </w:r>
      <w:r>
        <w:rPr>
          <w:rFonts w:ascii="Courier New" w:cs="Courier New" w:eastAsia="Courier New" w:hAnsi="Courier New"/>
          <w:sz w:val="16"/>
          <w:szCs w:val="16"/>
          <w:color w:val="auto"/>
        </w:rPr>
        <w:t>(Analyst info)</w:t>
      </w:r>
    </w:p>
    <w:p>
      <w:pPr>
        <w:spacing w:after="0"/>
        <w:tabs>
          <w:tab w:leader="none" w:pos="1780" w:val="left"/>
        </w:tabs>
        <w:rPr>
          <w:sz w:val="20"/>
          <w:szCs w:val="20"/>
          <w:color w:val="auto"/>
        </w:rPr>
      </w:pPr>
      <w:r>
        <w:rPr>
          <w:rFonts w:ascii="Courier New" w:cs="Courier New" w:eastAsia="Courier New" w:hAnsi="Courier New"/>
          <w:sz w:val="18"/>
          <w:szCs w:val="18"/>
          <w:color w:val="auto"/>
        </w:rPr>
        <w:t>212-445-8437</w:t>
      </w:r>
      <w:r>
        <w:rPr>
          <w:sz w:val="20"/>
          <w:szCs w:val="20"/>
          <w:color w:val="auto"/>
        </w:rPr>
        <w:tab/>
      </w:r>
      <w:r>
        <w:rPr>
          <w:rFonts w:ascii="Courier New" w:cs="Courier New" w:eastAsia="Courier New" w:hAnsi="Courier New"/>
          <w:sz w:val="16"/>
          <w:szCs w:val="16"/>
          <w:color w:val="auto"/>
        </w:rPr>
        <w:t>212-445-8456</w:t>
      </w:r>
    </w:p>
    <w:p>
      <w:pPr>
        <w:spacing w:after="0" w:line="200" w:lineRule="exact"/>
        <w:rPr>
          <w:sz w:val="20"/>
          <w:szCs w:val="20"/>
          <w:color w:val="auto"/>
        </w:rPr>
      </w:pPr>
    </w:p>
    <w:p>
      <w:pPr>
        <w:sectPr>
          <w:pgSz w:w="11900" w:h="16838" w:orient="portrait"/>
          <w:cols w:equalWidth="0" w:num="2">
            <w:col w:w="4440" w:space="720"/>
            <w:col w:w="5059"/>
          </w:cols>
          <w:pgMar w:left="240" w:top="1440"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b w:val="1"/>
          <w:bCs w:val="1"/>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August 6, 2002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b w:val="1"/>
          <w:bCs w:val="1"/>
          <w:color w:val="auto"/>
        </w:rPr>
        <w:t>NN, INC. POSTPONES OFFERING</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Johnson City, Tenn., August 6, 2002 - NN, Inc. (Nasdaq: NNBR) announced today that due to unfavorable market conditions, it is postponing the proposed follow-on public offering of its common stock. The proposed offering of 6,500,000 shares of its common stock included 2,600,000 shares to be offered by the Company and 3,900,000 shares to be offered by several selling stockholders. The Securities and Exchange Commission declared the Company's registration statement effective on August 1, 2002.</w:t>
      </w:r>
    </w:p>
    <w:p>
      <w:pPr>
        <w:spacing w:after="0" w:line="200" w:lineRule="exact"/>
        <w:rPr>
          <w:sz w:val="20"/>
          <w:szCs w:val="20"/>
          <w:color w:val="auto"/>
        </w:rPr>
      </w:pPr>
    </w:p>
    <w:p>
      <w:pPr>
        <w:spacing w:after="0" w:line="214"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NN, Inc. manufacturers and supplies high precision bearing components, consisting of balls, rollers, seals and retainers, for leading bearing manufacturers on a global basis and had sales of US $180 million in 2001.</w:t>
      </w:r>
    </w:p>
    <w:sectPr>
      <w:pgSz w:w="11900" w:h="16838" w:orient="portrait"/>
      <w:cols w:equalWidth="0" w:num="1">
        <w:col w:w="10219"/>
      </w:cols>
      <w:pgMar w:left="2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2019-12-11T22:52:12Z</dcterms:created>
  <dcterms:modified xsi:type="dcterms:W3CDTF">2019-12-11T22:52:12Z</dcterms:modified>
</cp:coreProperties>
</file>