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9"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UNITED STATES SECURITIES AND EXCHANGE COMMISSION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Washington, D.C. 20549</w:t>
      </w:r>
    </w:p>
    <w:p>
      <w:pPr>
        <w:spacing w:after="0" w:line="335"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10-Q</w:t>
      </w:r>
    </w:p>
    <w:p>
      <w:pPr>
        <w:spacing w:after="0" w:line="173" w:lineRule="exact"/>
        <w:rPr>
          <w:sz w:val="24"/>
          <w:szCs w:val="24"/>
          <w:color w:val="auto"/>
        </w:rPr>
      </w:pPr>
    </w:p>
    <w:p>
      <w:pPr>
        <w:ind w:left="440" w:right="4019" w:hanging="430"/>
        <w:spacing w:after="0" w:line="234" w:lineRule="auto"/>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w:t>
      </w:r>
    </w:p>
    <w:p>
      <w:pPr>
        <w:spacing w:after="0" w:line="167" w:lineRule="exact"/>
        <w:rPr>
          <w:sz w:val="24"/>
          <w:szCs w:val="24"/>
          <w:color w:val="auto"/>
        </w:rPr>
      </w:pPr>
    </w:p>
    <w:p>
      <w:pPr>
        <w:ind w:left="1580"/>
        <w:spacing w:after="0"/>
        <w:rPr>
          <w:sz w:val="20"/>
          <w:szCs w:val="20"/>
          <w:color w:val="auto"/>
        </w:rPr>
      </w:pPr>
      <w:r>
        <w:rPr>
          <w:rFonts w:ascii="Courier New" w:cs="Courier New" w:eastAsia="Courier New" w:hAnsi="Courier New"/>
          <w:sz w:val="15"/>
          <w:szCs w:val="15"/>
          <w:color w:val="auto"/>
        </w:rPr>
        <w:t>For the quarterly period ended June 30, 2004</w:t>
      </w:r>
    </w:p>
    <w:p>
      <w:pPr>
        <w:ind w:left="43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OR</w:t>
      </w:r>
    </w:p>
    <w:p>
      <w:pPr>
        <w:spacing w:after="0" w:line="173" w:lineRule="exact"/>
        <w:rPr>
          <w:sz w:val="24"/>
          <w:szCs w:val="24"/>
          <w:color w:val="auto"/>
        </w:rPr>
      </w:pPr>
    </w:p>
    <w:p>
      <w:pPr>
        <w:ind w:left="440" w:right="3939" w:hanging="430"/>
        <w:spacing w:after="0" w:line="234" w:lineRule="auto"/>
        <w:tabs>
          <w:tab w:leader="none" w:pos="17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spacing w:after="0" w:line="167" w:lineRule="exact"/>
        <w:rPr>
          <w:sz w:val="24"/>
          <w:szCs w:val="24"/>
          <w:color w:val="auto"/>
        </w:rPr>
      </w:pPr>
    </w:p>
    <w:p>
      <w:pPr>
        <w:ind w:left="1240"/>
        <w:spacing w:after="0"/>
        <w:rPr>
          <w:sz w:val="20"/>
          <w:szCs w:val="20"/>
          <w:color w:val="auto"/>
        </w:rPr>
      </w:pPr>
      <w:r>
        <w:rPr>
          <w:rFonts w:ascii="Courier New" w:cs="Courier New" w:eastAsia="Courier New" w:hAnsi="Courier New"/>
          <w:sz w:val="15"/>
          <w:szCs w:val="15"/>
          <w:color w:val="auto"/>
        </w:rPr>
        <w:t>For the transition period from _________ to _________</w:t>
      </w:r>
    </w:p>
    <w:p>
      <w:pPr>
        <w:spacing w:after="0" w:line="335" w:lineRule="exact"/>
        <w:rPr>
          <w:sz w:val="24"/>
          <w:szCs w:val="24"/>
          <w:color w:val="auto"/>
        </w:rPr>
      </w:pPr>
    </w:p>
    <w:p>
      <w:pPr>
        <w:jc w:val="right"/>
        <w:ind w:right="5419"/>
        <w:spacing w:after="0"/>
        <w:rPr>
          <w:sz w:val="20"/>
          <w:szCs w:val="20"/>
          <w:color w:val="auto"/>
        </w:rPr>
      </w:pPr>
      <w:r>
        <w:rPr>
          <w:rFonts w:ascii="Courier New" w:cs="Courier New" w:eastAsia="Courier New" w:hAnsi="Courier New"/>
          <w:sz w:val="15"/>
          <w:szCs w:val="15"/>
          <w:color w:val="auto"/>
        </w:rPr>
        <w:t>Commission File Number 0-23486</w:t>
      </w:r>
    </w:p>
    <w:p>
      <w:pPr>
        <w:jc w:val="right"/>
        <w:ind w:right="5419"/>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NN, Inc.</w:t>
      </w:r>
    </w:p>
    <w:p>
      <w:pPr>
        <w:jc w:val="center"/>
        <w:ind w:right="3239"/>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88" w:orient="portrait"/>
          <w:cols w:equalWidth="0" w:num="1">
            <w:col w:w="10239"/>
          </w:cols>
          <w:pgMar w:left="220" w:top="225" w:right="1440" w:bottom="0" w:gutter="0" w:footer="0" w:header="0"/>
        </w:sectPr>
      </w:pPr>
    </w:p>
    <w:p>
      <w:pPr>
        <w:spacing w:after="0" w:line="335" w:lineRule="exact"/>
        <w:rPr>
          <w:sz w:val="24"/>
          <w:szCs w:val="24"/>
          <w:color w:val="auto"/>
        </w:rPr>
      </w:pPr>
    </w:p>
    <w:p>
      <w:pPr>
        <w:ind w:left="98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10"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315" w:lineRule="exact"/>
        <w:rPr>
          <w:sz w:val="24"/>
          <w:szCs w:val="24"/>
          <w:color w:val="auto"/>
        </w:rPr>
      </w:pPr>
    </w:p>
    <w:p>
      <w:pPr>
        <w:jc w:val="center"/>
        <w:ind w:right="3759"/>
        <w:spacing w:after="0"/>
        <w:rPr>
          <w:sz w:val="20"/>
          <w:szCs w:val="20"/>
          <w:color w:val="auto"/>
        </w:rPr>
      </w:pPr>
      <w:r>
        <w:rPr>
          <w:rFonts w:ascii="Courier New" w:cs="Courier New" w:eastAsia="Courier New" w:hAnsi="Courier New"/>
          <w:sz w:val="15"/>
          <w:szCs w:val="15"/>
          <w:color w:val="auto"/>
        </w:rPr>
        <w:t>62-1096725</w:t>
      </w:r>
    </w:p>
    <w:p>
      <w:pPr>
        <w:jc w:val="center"/>
        <w:ind w:right="3759"/>
        <w:spacing w:after="0" w:line="237"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jc w:val="center"/>
        <w:ind w:right="3759"/>
        <w:spacing w:after="0"/>
        <w:rPr>
          <w:sz w:val="20"/>
          <w:szCs w:val="20"/>
          <w:color w:val="auto"/>
        </w:rPr>
      </w:pPr>
      <w:r>
        <w:rPr>
          <w:rFonts w:ascii="Courier New" w:cs="Courier New" w:eastAsia="Courier New" w:hAnsi="Courier New"/>
          <w:sz w:val="14"/>
          <w:szCs w:val="14"/>
          <w:color w:val="auto"/>
        </w:rPr>
        <w:t>Identification Number)</w:t>
      </w:r>
    </w:p>
    <w:p>
      <w:pPr>
        <w:spacing w:after="0" w:line="178" w:lineRule="exact"/>
        <w:rPr>
          <w:sz w:val="24"/>
          <w:szCs w:val="24"/>
          <w:color w:val="auto"/>
        </w:rPr>
      </w:pPr>
    </w:p>
    <w:p>
      <w:pPr>
        <w:sectPr>
          <w:pgSz w:w="11900" w:h="16888" w:orient="portrait"/>
          <w:cols w:equalWidth="0" w:num="2">
            <w:col w:w="3840" w:space="720"/>
            <w:col w:w="5679"/>
          </w:cols>
          <w:pgMar w:left="220" w:top="225" w:right="1440" w:bottom="0" w:gutter="0" w:footer="0" w:header="0"/>
          <w:type w:val="continuous"/>
        </w:sectPr>
      </w:pPr>
    </w:p>
    <w:p>
      <w:pPr>
        <w:jc w:val="center"/>
        <w:ind w:right="3219"/>
        <w:spacing w:after="0"/>
        <w:rPr>
          <w:sz w:val="20"/>
          <w:szCs w:val="20"/>
          <w:color w:val="auto"/>
        </w:rPr>
      </w:pPr>
      <w:r>
        <w:rPr>
          <w:rFonts w:ascii="Courier New" w:cs="Courier New" w:eastAsia="Courier New" w:hAnsi="Courier New"/>
          <w:sz w:val="14"/>
          <w:szCs w:val="14"/>
          <w:color w:val="auto"/>
        </w:rPr>
        <w:t>2000 Waters Edge Drive</w:t>
      </w:r>
    </w:p>
    <w:p>
      <w:pPr>
        <w:spacing w:after="0" w:line="3"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Building C, Suite 12</w:t>
      </w:r>
    </w:p>
    <w:p>
      <w:pPr>
        <w:sectPr>
          <w:pgSz w:w="11900" w:h="16888" w:orient="portrait"/>
          <w:cols w:equalWidth="0" w:num="1">
            <w:col w:w="10239"/>
          </w:cols>
          <w:pgMar w:left="220" w:top="225" w:right="1440" w:bottom="0" w:gutter="0" w:footer="0" w:header="0"/>
          <w:type w:val="continuous"/>
        </w:sectPr>
      </w:pPr>
    </w:p>
    <w:p>
      <w:pPr>
        <w:jc w:val="center"/>
        <w:ind w:right="3139"/>
        <w:spacing w:after="0" w:line="237" w:lineRule="auto"/>
        <w:rPr>
          <w:sz w:val="20"/>
          <w:szCs w:val="20"/>
          <w:color w:val="auto"/>
        </w:rPr>
      </w:pPr>
      <w:r>
        <w:rPr>
          <w:rFonts w:ascii="Courier New" w:cs="Courier New" w:eastAsia="Courier New" w:hAnsi="Courier New"/>
          <w:sz w:val="15"/>
          <w:szCs w:val="15"/>
          <w:color w:val="auto"/>
        </w:rPr>
        <w:t>Johnson City, Tennessee 37604</w:t>
      </w:r>
    </w:p>
    <w:p>
      <w:pPr>
        <w:jc w:val="center"/>
        <w:ind w:right="3239"/>
        <w:spacing w:after="0" w:line="238" w:lineRule="auto"/>
        <w:rPr>
          <w:sz w:val="20"/>
          <w:szCs w:val="20"/>
          <w:color w:val="auto"/>
        </w:rPr>
      </w:pPr>
      <w:r>
        <w:rPr>
          <w:rFonts w:ascii="Courier New" w:cs="Courier New" w:eastAsia="Courier New" w:hAnsi="Courier New"/>
          <w:sz w:val="15"/>
          <w:szCs w:val="15"/>
          <w:color w:val="auto"/>
        </w:rPr>
        <w:t>(Address of principal executive offices, including zip code)</w:t>
      </w:r>
    </w:p>
    <w:p>
      <w:pPr>
        <w:spacing w:after="0" w:line="16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(423) 743-9151</w:t>
      </w:r>
    </w:p>
    <w:p>
      <w:pPr>
        <w:jc w:val="center"/>
        <w:ind w:right="3239"/>
        <w:spacing w:after="0" w:line="237" w:lineRule="auto"/>
        <w:rPr>
          <w:sz w:val="20"/>
          <w:szCs w:val="20"/>
          <w:color w:val="auto"/>
        </w:rPr>
      </w:pPr>
      <w:r>
        <w:rPr>
          <w:rFonts w:ascii="Courier New" w:cs="Courier New" w:eastAsia="Courier New" w:hAnsi="Courier New"/>
          <w:sz w:val="15"/>
          <w:szCs w:val="15"/>
          <w:color w:val="auto"/>
        </w:rPr>
        <w:t>(Registrant's telephone number, including area code)</w:t>
      </w:r>
    </w:p>
    <w:p>
      <w:pPr>
        <w:spacing w:after="0" w:line="34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Indicate by check mark whether the registrant (1) has filed all reports required</w:t>
      </w: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2020" w:type="dxa"/>
            <w:vAlign w:val="bottom"/>
            <w:gridSpan w:val="4"/>
          </w:tcPr>
          <w:p>
            <w:pPr>
              <w:spacing w:after="0"/>
              <w:rPr>
                <w:sz w:val="20"/>
                <w:szCs w:val="20"/>
                <w:color w:val="auto"/>
              </w:rPr>
            </w:pPr>
            <w:r>
              <w:rPr>
                <w:rFonts w:ascii="Courier New" w:cs="Courier New" w:eastAsia="Courier New" w:hAnsi="Courier New"/>
                <w:sz w:val="15"/>
                <w:szCs w:val="15"/>
                <w:color w:val="auto"/>
              </w:rPr>
              <w:t>to be filed by Section</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13 or</w:t>
            </w:r>
          </w:p>
        </w:tc>
        <w:tc>
          <w:tcPr>
            <w:tcW w:w="7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15(d) of</w:t>
            </w:r>
          </w:p>
        </w:tc>
        <w:tc>
          <w:tcPr>
            <w:tcW w:w="372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7"/>
              </w:rPr>
              <w:t>the Securities Exchange Act of 1934 during</w:t>
            </w:r>
          </w:p>
        </w:tc>
      </w:tr>
      <w:tr>
        <w:trPr>
          <w:trHeight w:val="168"/>
        </w:trPr>
        <w:tc>
          <w:tcPr>
            <w:tcW w:w="15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9"/>
              </w:rPr>
              <w:t>the  preceding 12</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months (or</w:t>
            </w:r>
          </w:p>
        </w:tc>
        <w:tc>
          <w:tcPr>
            <w:tcW w:w="7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9"/>
              </w:rPr>
              <w:t>for such</w:t>
            </w:r>
          </w:p>
        </w:tc>
        <w:tc>
          <w:tcPr>
            <w:tcW w:w="15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shorter  period</w:t>
            </w:r>
          </w:p>
        </w:tc>
        <w:tc>
          <w:tcPr>
            <w:tcW w:w="7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4"/>
              </w:rPr>
              <w:t>that the</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registrant  was</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required  to</w:t>
            </w:r>
          </w:p>
        </w:tc>
        <w:tc>
          <w:tcPr>
            <w:tcW w:w="4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file</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such</w:t>
            </w:r>
          </w:p>
        </w:tc>
        <w:tc>
          <w:tcPr>
            <w:tcW w:w="9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3"/>
              </w:rPr>
              <w:t>reports),</w:t>
            </w:r>
          </w:p>
        </w:tc>
        <w:tc>
          <w:tcPr>
            <w:tcW w:w="9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and  (2)</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has</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been</w:t>
            </w:r>
          </w:p>
        </w:tc>
        <w:tc>
          <w:tcPr>
            <w:tcW w:w="74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5"/>
              </w:rPr>
              <w:t>subject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 such</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filing</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requirements</w:t>
            </w:r>
          </w:p>
        </w:tc>
        <w:tc>
          <w:tcPr>
            <w:tcW w:w="140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9"/>
              </w:rPr>
              <w:t>for the past 90</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days.</w:t>
            </w:r>
          </w:p>
        </w:tc>
        <w:tc>
          <w:tcPr>
            <w:tcW w:w="300" w:type="dxa"/>
            <w:vAlign w:val="bottom"/>
          </w:tcPr>
          <w:p>
            <w:pPr>
              <w:spacing w:after="0"/>
              <w:rPr>
                <w:sz w:val="14"/>
                <w:szCs w:val="14"/>
                <w:color w:val="auto"/>
              </w:rPr>
            </w:pPr>
          </w:p>
        </w:tc>
        <w:tc>
          <w:tcPr>
            <w:tcW w:w="1100" w:type="dxa"/>
            <w:vAlign w:val="bottom"/>
            <w:gridSpan w:val="2"/>
          </w:tcPr>
          <w:p>
            <w:pPr>
              <w:ind w:left="500"/>
              <w:spacing w:after="0" w:line="168" w:lineRule="exact"/>
              <w:rPr>
                <w:sz w:val="20"/>
                <w:szCs w:val="20"/>
                <w:color w:val="auto"/>
              </w:rPr>
            </w:pPr>
            <w:r>
              <w:rPr>
                <w:rFonts w:ascii="Courier New" w:cs="Courier New" w:eastAsia="Courier New" w:hAnsi="Courier New"/>
                <w:sz w:val="15"/>
                <w:szCs w:val="15"/>
                <w:color w:val="auto"/>
                <w:w w:val="91"/>
              </w:rPr>
              <w:t>Yes [X]</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No [ ]</w:t>
            </w:r>
          </w:p>
        </w:tc>
        <w:tc>
          <w:tcPr>
            <w:tcW w:w="600" w:type="dxa"/>
            <w:vAlign w:val="bottom"/>
          </w:tcPr>
          <w:p>
            <w:pPr>
              <w:spacing w:after="0"/>
              <w:rPr>
                <w:sz w:val="14"/>
                <w:szCs w:val="14"/>
                <w:color w:val="auto"/>
              </w:rPr>
            </w:pP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Indicate  by</w:t>
            </w:r>
          </w:p>
        </w:tc>
        <w:tc>
          <w:tcPr>
            <w:tcW w:w="92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5"/>
              </w:rPr>
              <w:t>check mark</w:t>
            </w:r>
          </w:p>
        </w:tc>
        <w:tc>
          <w:tcPr>
            <w:tcW w:w="9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whether</w:t>
            </w:r>
          </w:p>
        </w:tc>
        <w:tc>
          <w:tcPr>
            <w:tcW w:w="30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11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registrant</w:t>
            </w:r>
          </w:p>
        </w:tc>
        <w:tc>
          <w:tcPr>
            <w:tcW w:w="7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is an</w:t>
            </w:r>
          </w:p>
        </w:tc>
        <w:tc>
          <w:tcPr>
            <w:tcW w:w="19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5"/>
              </w:rPr>
              <w:t>accelerated  filer (as</w:t>
            </w:r>
          </w:p>
        </w:tc>
      </w:tr>
      <w:tr>
        <w:trPr>
          <w:trHeight w:val="168"/>
        </w:trPr>
        <w:tc>
          <w:tcPr>
            <w:tcW w:w="13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defined in Rule</w:t>
            </w:r>
          </w:p>
        </w:tc>
        <w:tc>
          <w:tcPr>
            <w:tcW w:w="11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12b-2 of the</w:t>
            </w:r>
          </w:p>
        </w:tc>
        <w:tc>
          <w:tcPr>
            <w:tcW w:w="140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Exchange Act).</w:t>
            </w:r>
          </w:p>
        </w:tc>
        <w:tc>
          <w:tcPr>
            <w:tcW w:w="8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Yes [X]</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2"/>
              </w:rPr>
              <w:t>No [ ]</w:t>
            </w:r>
          </w:p>
        </w:tc>
        <w:tc>
          <w:tcPr>
            <w:tcW w:w="600" w:type="dxa"/>
            <w:vAlign w:val="bottom"/>
          </w:tcPr>
          <w:p>
            <w:pPr>
              <w:spacing w:after="0"/>
              <w:rPr>
                <w:sz w:val="14"/>
                <w:szCs w:val="14"/>
                <w:color w:val="auto"/>
              </w:rPr>
            </w:pP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As of August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5,</w:t>
            </w:r>
          </w:p>
        </w:tc>
        <w:tc>
          <w:tcPr>
            <w:tcW w:w="2540" w:type="dxa"/>
            <w:vAlign w:val="bottom"/>
            <w:gridSpan w:val="6"/>
          </w:tcPr>
          <w:p>
            <w:pPr>
              <w:ind w:left="40"/>
              <w:spacing w:after="0"/>
              <w:rPr>
                <w:sz w:val="20"/>
                <w:szCs w:val="20"/>
                <w:color w:val="auto"/>
              </w:rPr>
            </w:pPr>
            <w:r>
              <w:rPr>
                <w:rFonts w:ascii="Courier New" w:cs="Courier New" w:eastAsia="Courier New" w:hAnsi="Courier New"/>
                <w:sz w:val="15"/>
                <w:szCs w:val="15"/>
                <w:color w:val="auto"/>
              </w:rPr>
              <w:t>2004 there were  16,762,092</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shares of</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w w:val="88"/>
              </w:rPr>
              <w:t>the</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registrant's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common</w:t>
            </w:r>
          </w:p>
        </w:tc>
      </w:tr>
      <w:tr>
        <w:trPr>
          <w:trHeight w:val="168"/>
        </w:trPr>
        <w:tc>
          <w:tcPr>
            <w:tcW w:w="20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stock, par value $0.01</w:t>
            </w:r>
          </w:p>
        </w:tc>
        <w:tc>
          <w:tcPr>
            <w:tcW w:w="23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per share, outstanding.</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NN, Inc.</w:t>
      </w:r>
    </w:p>
    <w:p>
      <w:pPr>
        <w:ind w:left="3340"/>
        <w:spacing w:after="0" w:line="237" w:lineRule="auto"/>
        <w:rPr>
          <w:sz w:val="20"/>
          <w:szCs w:val="20"/>
          <w:color w:val="auto"/>
        </w:rPr>
      </w:pPr>
      <w:r>
        <w:rPr>
          <w:rFonts w:ascii="Courier New" w:cs="Courier New" w:eastAsia="Courier New" w:hAnsi="Courier New"/>
          <w:sz w:val="15"/>
          <w:szCs w:val="15"/>
          <w:color w:val="auto"/>
        </w:rPr>
        <w:t>INDEX</w:t>
      </w:r>
    </w:p>
    <w:p>
      <w:pPr>
        <w:spacing w:after="0" w:line="167" w:lineRule="exact"/>
        <w:rPr>
          <w:sz w:val="24"/>
          <w:szCs w:val="24"/>
          <w:color w:val="auto"/>
        </w:rPr>
      </w:pPr>
    </w:p>
    <w:p>
      <w:pPr>
        <w:jc w:val="right"/>
        <w:ind w:right="3239"/>
        <w:spacing w:after="0"/>
        <w:rPr>
          <w:sz w:val="20"/>
          <w:szCs w:val="20"/>
          <w:color w:val="auto"/>
        </w:rPr>
      </w:pPr>
      <w:r>
        <w:rPr>
          <w:rFonts w:ascii="Courier New" w:cs="Courier New" w:eastAsia="Courier New" w:hAnsi="Courier New"/>
          <w:sz w:val="15"/>
          <w:szCs w:val="15"/>
          <w:color w:val="auto"/>
        </w:rPr>
        <w:t>Page No.</w:t>
      </w:r>
    </w:p>
    <w:p>
      <w:pPr>
        <w:jc w:val="right"/>
        <w:ind w:right="3239"/>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Part I. Financial Information</w:t>
      </w:r>
    </w:p>
    <w:p>
      <w:pPr>
        <w:spacing w:after="0" w:line="167" w:lineRule="exact"/>
        <w:rPr>
          <w:sz w:val="24"/>
          <w:szCs w:val="24"/>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Financial Statements:</w:t>
      </w:r>
    </w:p>
    <w:p>
      <w:pPr>
        <w:spacing w:after="0" w:line="166" w:lineRule="exact"/>
        <w:rPr>
          <w:sz w:val="24"/>
          <w:szCs w:val="24"/>
          <w:color w:val="auto"/>
        </w:rPr>
      </w:pPr>
    </w:p>
    <w:p>
      <w:pPr>
        <w:ind w:left="800"/>
        <w:spacing w:after="0"/>
        <w:rPr>
          <w:sz w:val="20"/>
          <w:szCs w:val="20"/>
          <w:color w:val="auto"/>
        </w:rPr>
      </w:pPr>
      <w:r>
        <w:rPr>
          <w:rFonts w:ascii="Courier New" w:cs="Courier New" w:eastAsia="Courier New" w:hAnsi="Courier New"/>
          <w:sz w:val="15"/>
          <w:szCs w:val="15"/>
          <w:color w:val="auto"/>
        </w:rPr>
        <w:t>Consolidated Statements of Income and Comprehensive Income</w:t>
      </w:r>
    </w:p>
    <w:p>
      <w:pPr>
        <w:ind w:left="980"/>
        <w:spacing w:after="0" w:line="237" w:lineRule="auto"/>
        <w:rPr>
          <w:sz w:val="20"/>
          <w:szCs w:val="20"/>
          <w:color w:val="auto"/>
        </w:rPr>
      </w:pPr>
      <w:r>
        <w:rPr>
          <w:rFonts w:ascii="Courier New" w:cs="Courier New" w:eastAsia="Courier New" w:hAnsi="Courier New"/>
          <w:sz w:val="15"/>
          <w:szCs w:val="15"/>
          <w:color w:val="auto"/>
        </w:rPr>
        <w:t>for the three and six months ended June 30, 2004 and 2003</w:t>
      </w:r>
    </w:p>
    <w:p>
      <w:pPr>
        <w:jc w:val="right"/>
        <w:ind w:right="3239"/>
        <w:spacing w:after="0"/>
        <w:tabs>
          <w:tab w:leader="dot" w:pos="60" w:val="left"/>
        </w:tabs>
        <w:rPr>
          <w:sz w:val="20"/>
          <w:szCs w:val="20"/>
          <w:color w:val="auto"/>
        </w:rPr>
      </w:pPr>
      <w:r>
        <w:rPr>
          <w:rFonts w:ascii="Courier New" w:cs="Courier New" w:eastAsia="Courier New" w:hAnsi="Courier New"/>
          <w:sz w:val="15"/>
          <w:szCs w:val="15"/>
          <w:color w:val="auto"/>
        </w:rPr>
        <w:t>(unaudited)</w:t>
      </w:r>
      <w:r>
        <w:rPr>
          <w:sz w:val="20"/>
          <w:szCs w:val="20"/>
          <w:color w:val="auto"/>
        </w:rPr>
        <w:tab/>
      </w:r>
      <w:r>
        <w:rPr>
          <w:rFonts w:ascii="Courier New" w:cs="Courier New" w:eastAsia="Courier New" w:hAnsi="Courier New"/>
          <w:sz w:val="12"/>
          <w:szCs w:val="12"/>
          <w:color w:val="auto"/>
        </w:rPr>
        <w:t>2</w:t>
      </w:r>
    </w:p>
    <w:p>
      <w:pPr>
        <w:spacing w:after="0" w:line="167" w:lineRule="exact"/>
        <w:rPr>
          <w:sz w:val="24"/>
          <w:szCs w:val="24"/>
          <w:color w:val="auto"/>
        </w:rPr>
      </w:pPr>
    </w:p>
    <w:p>
      <w:pPr>
        <w:ind w:left="800"/>
        <w:spacing w:after="0"/>
        <w:rPr>
          <w:sz w:val="20"/>
          <w:szCs w:val="20"/>
          <w:color w:val="auto"/>
        </w:rPr>
      </w:pPr>
      <w:r>
        <w:rPr>
          <w:rFonts w:ascii="Courier New" w:cs="Courier New" w:eastAsia="Courier New" w:hAnsi="Courier New"/>
          <w:sz w:val="15"/>
          <w:szCs w:val="15"/>
          <w:color w:val="auto"/>
        </w:rPr>
        <w:t>Condensed Consolidated Balance Sheets at June 30, 2004</w:t>
      </w:r>
    </w:p>
    <w:p>
      <w:pPr>
        <w:jc w:val="right"/>
        <w:ind w:right="3239"/>
        <w:spacing w:after="0"/>
        <w:tabs>
          <w:tab w:leader="dot" w:pos="60" w:val="left"/>
        </w:tabs>
        <w:rPr>
          <w:sz w:val="20"/>
          <w:szCs w:val="20"/>
          <w:color w:val="auto"/>
        </w:rPr>
      </w:pPr>
      <w:r>
        <w:rPr>
          <w:rFonts w:ascii="Courier New" w:cs="Courier New" w:eastAsia="Courier New" w:hAnsi="Courier New"/>
          <w:sz w:val="15"/>
          <w:szCs w:val="15"/>
          <w:color w:val="auto"/>
        </w:rPr>
        <w:t>and December 31, 2003 (unaudited)</w:t>
      </w:r>
      <w:r>
        <w:rPr>
          <w:sz w:val="20"/>
          <w:szCs w:val="20"/>
          <w:color w:val="auto"/>
        </w:rPr>
        <w:tab/>
      </w:r>
      <w:r>
        <w:rPr>
          <w:rFonts w:ascii="Courier New" w:cs="Courier New" w:eastAsia="Courier New" w:hAnsi="Courier New"/>
          <w:sz w:val="12"/>
          <w:szCs w:val="12"/>
          <w:color w:val="auto"/>
        </w:rPr>
        <w:t>3</w:t>
      </w:r>
    </w:p>
    <w:p>
      <w:pPr>
        <w:spacing w:after="0" w:line="167" w:lineRule="exact"/>
        <w:rPr>
          <w:sz w:val="24"/>
          <w:szCs w:val="24"/>
          <w:color w:val="auto"/>
        </w:rPr>
      </w:pPr>
    </w:p>
    <w:p>
      <w:pPr>
        <w:ind w:left="800"/>
        <w:spacing w:after="0"/>
        <w:rPr>
          <w:sz w:val="20"/>
          <w:szCs w:val="20"/>
          <w:color w:val="auto"/>
        </w:rPr>
      </w:pPr>
      <w:r>
        <w:rPr>
          <w:rFonts w:ascii="Courier New" w:cs="Courier New" w:eastAsia="Courier New" w:hAnsi="Courier New"/>
          <w:sz w:val="15"/>
          <w:szCs w:val="15"/>
          <w:color w:val="auto"/>
        </w:rPr>
        <w:t>Consolidated Statements of Changes in Stockholders' Equity</w:t>
      </w:r>
    </w:p>
    <w:p>
      <w:pPr>
        <w:jc w:val="right"/>
        <w:ind w:right="3239"/>
        <w:spacing w:after="0"/>
        <w:tabs>
          <w:tab w:leader="dot" w:pos="60" w:val="left"/>
        </w:tabs>
        <w:rPr>
          <w:sz w:val="20"/>
          <w:szCs w:val="20"/>
          <w:color w:val="auto"/>
        </w:rPr>
      </w:pPr>
      <w:r>
        <w:rPr>
          <w:rFonts w:ascii="Courier New" w:cs="Courier New" w:eastAsia="Courier New" w:hAnsi="Courier New"/>
          <w:sz w:val="15"/>
          <w:szCs w:val="15"/>
          <w:color w:val="auto"/>
        </w:rPr>
        <w:t>for the six months ended June 30, 2004 and 2003 (unaudited)</w:t>
      </w:r>
      <w:r>
        <w:rPr>
          <w:sz w:val="20"/>
          <w:szCs w:val="20"/>
          <w:color w:val="auto"/>
        </w:rPr>
        <w:tab/>
      </w:r>
      <w:r>
        <w:rPr>
          <w:rFonts w:ascii="Courier New" w:cs="Courier New" w:eastAsia="Courier New" w:hAnsi="Courier New"/>
          <w:sz w:val="12"/>
          <w:szCs w:val="12"/>
          <w:color w:val="auto"/>
        </w:rPr>
        <w:t>4</w:t>
      </w:r>
    </w:p>
    <w:p>
      <w:pPr>
        <w:spacing w:after="0" w:line="167" w:lineRule="exact"/>
        <w:rPr>
          <w:sz w:val="24"/>
          <w:szCs w:val="24"/>
          <w:color w:val="auto"/>
        </w:rPr>
      </w:pPr>
    </w:p>
    <w:p>
      <w:pPr>
        <w:ind w:left="800"/>
        <w:spacing w:after="0"/>
        <w:rPr>
          <w:sz w:val="20"/>
          <w:szCs w:val="20"/>
          <w:color w:val="auto"/>
        </w:rPr>
      </w:pPr>
      <w:r>
        <w:rPr>
          <w:rFonts w:ascii="Courier New" w:cs="Courier New" w:eastAsia="Courier New" w:hAnsi="Courier New"/>
          <w:sz w:val="15"/>
          <w:szCs w:val="15"/>
          <w:color w:val="auto"/>
        </w:rPr>
        <w:t>Consolidated Statements of Cash Flows for the six months</w:t>
      </w:r>
    </w:p>
    <w:p>
      <w:pPr>
        <w:jc w:val="right"/>
        <w:ind w:right="3239"/>
        <w:spacing w:after="0"/>
        <w:tabs>
          <w:tab w:leader="dot" w:pos="60" w:val="left"/>
        </w:tabs>
        <w:rPr>
          <w:sz w:val="20"/>
          <w:szCs w:val="20"/>
          <w:color w:val="auto"/>
        </w:rPr>
      </w:pPr>
      <w:r>
        <w:rPr>
          <w:rFonts w:ascii="Courier New" w:cs="Courier New" w:eastAsia="Courier New" w:hAnsi="Courier New"/>
          <w:sz w:val="15"/>
          <w:szCs w:val="15"/>
          <w:color w:val="auto"/>
        </w:rPr>
        <w:t>ended June 30, 2004 and 2003 (unaudited)</w:t>
      </w:r>
      <w:r>
        <w:rPr>
          <w:sz w:val="20"/>
          <w:szCs w:val="20"/>
          <w:color w:val="auto"/>
        </w:rPr>
        <w:tab/>
      </w:r>
      <w:r>
        <w:rPr>
          <w:rFonts w:ascii="Courier New" w:cs="Courier New" w:eastAsia="Courier New" w:hAnsi="Courier New"/>
          <w:sz w:val="12"/>
          <w:szCs w:val="12"/>
          <w:color w:val="auto"/>
        </w:rPr>
        <w:t>5</w:t>
      </w:r>
    </w:p>
    <w:p>
      <w:pPr>
        <w:spacing w:after="0" w:line="167" w:lineRule="exact"/>
        <w:rPr>
          <w:sz w:val="24"/>
          <w:szCs w:val="24"/>
          <w:color w:val="auto"/>
        </w:rPr>
      </w:pPr>
    </w:p>
    <w:p>
      <w:pPr>
        <w:jc w:val="right"/>
        <w:ind w:right="3239"/>
        <w:spacing w:after="0"/>
        <w:tabs>
          <w:tab w:leader="dot" w:pos="60" w:val="left"/>
        </w:tabs>
        <w:rPr>
          <w:sz w:val="20"/>
          <w:szCs w:val="20"/>
          <w:color w:val="auto"/>
        </w:rPr>
      </w:pPr>
      <w:r>
        <w:rPr>
          <w:rFonts w:ascii="Courier New" w:cs="Courier New" w:eastAsia="Courier New" w:hAnsi="Courier New"/>
          <w:sz w:val="15"/>
          <w:szCs w:val="15"/>
          <w:color w:val="auto"/>
        </w:rPr>
        <w:t>Notes to Consolidated Financial Statements (unaudited)</w:t>
      </w:r>
      <w:r>
        <w:rPr>
          <w:sz w:val="20"/>
          <w:szCs w:val="20"/>
          <w:color w:val="auto"/>
        </w:rPr>
        <w:tab/>
      </w:r>
      <w:r>
        <w:rPr>
          <w:rFonts w:ascii="Courier New" w:cs="Courier New" w:eastAsia="Courier New" w:hAnsi="Courier New"/>
          <w:sz w:val="12"/>
          <w:szCs w:val="12"/>
          <w:color w:val="auto"/>
        </w:rPr>
        <w:t>6</w:t>
      </w:r>
    </w:p>
    <w:p>
      <w:pPr>
        <w:spacing w:after="0" w:line="166" w:lineRule="exact"/>
        <w:rPr>
          <w:sz w:val="24"/>
          <w:szCs w:val="24"/>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Management's Discussion and Analysis of Financial</w:t>
      </w:r>
    </w:p>
    <w:p>
      <w:pPr>
        <w:jc w:val="right"/>
        <w:ind w:right="3239"/>
        <w:spacing w:after="0"/>
        <w:tabs>
          <w:tab w:leader="dot" w:pos="140" w:val="left"/>
        </w:tabs>
        <w:rPr>
          <w:sz w:val="20"/>
          <w:szCs w:val="20"/>
          <w:color w:val="auto"/>
        </w:rPr>
      </w:pPr>
      <w:r>
        <w:rPr>
          <w:rFonts w:ascii="Courier New" w:cs="Courier New" w:eastAsia="Courier New" w:hAnsi="Courier New"/>
          <w:sz w:val="15"/>
          <w:szCs w:val="15"/>
          <w:color w:val="auto"/>
        </w:rPr>
        <w:t>Condition and Results of Operations</w:t>
      </w:r>
      <w:r>
        <w:rPr>
          <w:sz w:val="20"/>
          <w:szCs w:val="20"/>
          <w:color w:val="auto"/>
        </w:rPr>
        <w:tab/>
      </w:r>
      <w:r>
        <w:rPr>
          <w:rFonts w:ascii="Courier New" w:cs="Courier New" w:eastAsia="Courier New" w:hAnsi="Courier New"/>
          <w:sz w:val="12"/>
          <w:szCs w:val="12"/>
          <w:color w:val="auto"/>
        </w:rPr>
        <w:t>13</w:t>
      </w:r>
    </w:p>
    <w:p>
      <w:pPr>
        <w:spacing w:after="0" w:line="167" w:lineRule="exact"/>
        <w:rPr>
          <w:sz w:val="24"/>
          <w:szCs w:val="24"/>
          <w:color w:val="auto"/>
        </w:rPr>
      </w:pPr>
    </w:p>
    <w:p>
      <w:pPr>
        <w:spacing w:after="0"/>
        <w:tabs>
          <w:tab w:leader="none" w:pos="780" w:val="left"/>
          <w:tab w:leader="dot" w:pos="6820" w:val="left"/>
        </w:tabs>
        <w:rPr>
          <w:sz w:val="20"/>
          <w:szCs w:val="20"/>
          <w:color w:val="auto"/>
        </w:rPr>
      </w:pPr>
      <w:r>
        <w:rPr>
          <w:rFonts w:ascii="Courier New" w:cs="Courier New" w:eastAsia="Courier New" w:hAnsi="Courier New"/>
          <w:sz w:val="15"/>
          <w:szCs w:val="15"/>
          <w:color w:val="auto"/>
        </w:rPr>
        <w:t>Item 3</w:t>
        <w:tab/>
        <w:t>Quantitative and Qualitative Disclosures about Market Risk</w:t>
      </w:r>
      <w:r>
        <w:rPr>
          <w:sz w:val="20"/>
          <w:szCs w:val="20"/>
          <w:color w:val="auto"/>
        </w:rPr>
        <w:tab/>
      </w:r>
      <w:r>
        <w:rPr>
          <w:rFonts w:ascii="Courier New" w:cs="Courier New" w:eastAsia="Courier New" w:hAnsi="Courier New"/>
          <w:sz w:val="12"/>
          <w:szCs w:val="12"/>
          <w:color w:val="auto"/>
        </w:rPr>
        <w:t>24</w:t>
      </w:r>
    </w:p>
    <w:p>
      <w:pPr>
        <w:spacing w:after="0" w:line="166" w:lineRule="exact"/>
        <w:rPr>
          <w:sz w:val="24"/>
          <w:szCs w:val="24"/>
          <w:color w:val="auto"/>
        </w:rPr>
      </w:pPr>
    </w:p>
    <w:p>
      <w:pPr>
        <w:spacing w:after="0"/>
        <w:tabs>
          <w:tab w:leader="none" w:pos="780" w:val="left"/>
          <w:tab w:leader="dot" w:pos="6820" w:val="left"/>
        </w:tabs>
        <w:rPr>
          <w:sz w:val="20"/>
          <w:szCs w:val="20"/>
          <w:color w:val="auto"/>
        </w:rPr>
      </w:pPr>
      <w:r>
        <w:rPr>
          <w:rFonts w:ascii="Courier New" w:cs="Courier New" w:eastAsia="Courier New" w:hAnsi="Courier New"/>
          <w:sz w:val="15"/>
          <w:szCs w:val="15"/>
          <w:color w:val="auto"/>
        </w:rPr>
        <w:t>Item 4</w:t>
        <w:tab/>
        <w:t>Controls and Procedures</w:t>
      </w:r>
      <w:r>
        <w:rPr>
          <w:sz w:val="20"/>
          <w:szCs w:val="20"/>
          <w:color w:val="auto"/>
        </w:rPr>
        <w:tab/>
      </w:r>
      <w:r>
        <w:rPr>
          <w:rFonts w:ascii="Courier New" w:cs="Courier New" w:eastAsia="Courier New" w:hAnsi="Courier New"/>
          <w:sz w:val="12"/>
          <w:szCs w:val="12"/>
          <w:color w:val="auto"/>
        </w:rPr>
        <w:t>25</w:t>
      </w:r>
    </w:p>
    <w:p>
      <w:pPr>
        <w:spacing w:after="0" w:line="33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Part II. Other Information</w:t>
      </w:r>
    </w:p>
    <w:p>
      <w:pPr>
        <w:spacing w:after="0" w:line="335" w:lineRule="exact"/>
        <w:rPr>
          <w:sz w:val="24"/>
          <w:szCs w:val="24"/>
          <w:color w:val="auto"/>
        </w:rPr>
      </w:pPr>
    </w:p>
    <w:p>
      <w:pPr>
        <w:spacing w:after="0"/>
        <w:tabs>
          <w:tab w:leader="none" w:pos="780" w:val="left"/>
          <w:tab w:leader="dot" w:pos="6820" w:val="left"/>
        </w:tabs>
        <w:rPr>
          <w:sz w:val="20"/>
          <w:szCs w:val="20"/>
          <w:color w:val="auto"/>
        </w:rPr>
      </w:pPr>
      <w:r>
        <w:rPr>
          <w:rFonts w:ascii="Courier New" w:cs="Courier New" w:eastAsia="Courier New" w:hAnsi="Courier New"/>
          <w:sz w:val="15"/>
          <w:szCs w:val="15"/>
          <w:color w:val="auto"/>
        </w:rPr>
        <w:t>Item 1</w:t>
        <w:tab/>
        <w:t>Legal Proceedings</w:t>
      </w:r>
      <w:r>
        <w:rPr>
          <w:sz w:val="20"/>
          <w:szCs w:val="20"/>
          <w:color w:val="auto"/>
        </w:rPr>
        <w:tab/>
      </w:r>
      <w:r>
        <w:rPr>
          <w:rFonts w:ascii="Courier New" w:cs="Courier New" w:eastAsia="Courier New" w:hAnsi="Courier New"/>
          <w:sz w:val="12"/>
          <w:szCs w:val="12"/>
          <w:color w:val="auto"/>
        </w:rPr>
        <w:t>26</w:t>
      </w:r>
    </w:p>
    <w:p>
      <w:pPr>
        <w:spacing w:after="0" w:line="166" w:lineRule="exact"/>
        <w:rPr>
          <w:sz w:val="24"/>
          <w:szCs w:val="24"/>
          <w:color w:val="auto"/>
        </w:rPr>
      </w:pPr>
    </w:p>
    <w:p>
      <w:pPr>
        <w:spacing w:after="0"/>
        <w:tabs>
          <w:tab w:leader="none" w:pos="780" w:val="left"/>
          <w:tab w:leader="dot" w:pos="6820" w:val="left"/>
        </w:tabs>
        <w:rPr>
          <w:sz w:val="20"/>
          <w:szCs w:val="20"/>
          <w:color w:val="auto"/>
        </w:rPr>
      </w:pPr>
      <w:r>
        <w:rPr>
          <w:rFonts w:ascii="Courier New" w:cs="Courier New" w:eastAsia="Courier New" w:hAnsi="Courier New"/>
          <w:sz w:val="15"/>
          <w:szCs w:val="15"/>
          <w:color w:val="auto"/>
        </w:rPr>
        <w:t>Item 2.</w:t>
        <w:tab/>
        <w:t>Changes in Securities and Use of Proceeds</w:t>
      </w:r>
      <w:r>
        <w:rPr>
          <w:sz w:val="20"/>
          <w:szCs w:val="20"/>
          <w:color w:val="auto"/>
        </w:rPr>
        <w:tab/>
      </w:r>
      <w:r>
        <w:rPr>
          <w:rFonts w:ascii="Courier New" w:cs="Courier New" w:eastAsia="Courier New" w:hAnsi="Courier New"/>
          <w:sz w:val="12"/>
          <w:szCs w:val="12"/>
          <w:color w:val="auto"/>
        </w:rPr>
        <w:t>26</w:t>
      </w:r>
    </w:p>
    <w:p>
      <w:pPr>
        <w:sectPr>
          <w:pgSz w:w="11900" w:h="16888" w:orient="portrait"/>
          <w:cols w:equalWidth="0" w:num="1">
            <w:col w:w="10239"/>
          </w:cols>
          <w:pgMar w:left="220" w:top="225"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3.</w:t>
            </w:r>
          </w:p>
        </w:tc>
        <w:tc>
          <w:tcPr>
            <w:tcW w:w="6140" w:type="dxa"/>
            <w:vAlign w:val="bottom"/>
          </w:tcPr>
          <w:p>
            <w:pPr>
              <w:ind w:left="100"/>
              <w:spacing w:after="0"/>
              <w:rPr>
                <w:sz w:val="20"/>
                <w:szCs w:val="20"/>
                <w:color w:val="auto"/>
              </w:rPr>
            </w:pPr>
            <w:r>
              <w:rPr>
                <w:rFonts w:ascii="Courier New" w:cs="Courier New" w:eastAsia="Courier New" w:hAnsi="Courier New"/>
                <w:sz w:val="15"/>
                <w:szCs w:val="15"/>
                <w:color w:val="auto"/>
                <w:w w:val="96"/>
              </w:rPr>
              <w:t>Defaults Upon Senior Securities......................................</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w w:val="77"/>
              </w:rPr>
              <w:t>26</w:t>
            </w:r>
          </w:p>
        </w:tc>
      </w:tr>
      <w:tr>
        <w:trPr>
          <w:trHeight w:val="336"/>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4.</w:t>
            </w:r>
          </w:p>
        </w:tc>
        <w:tc>
          <w:tcPr>
            <w:tcW w:w="6140" w:type="dxa"/>
            <w:vAlign w:val="bottom"/>
          </w:tcPr>
          <w:p>
            <w:pPr>
              <w:ind w:left="100"/>
              <w:spacing w:after="0"/>
              <w:rPr>
                <w:sz w:val="20"/>
                <w:szCs w:val="20"/>
                <w:color w:val="auto"/>
              </w:rPr>
            </w:pPr>
            <w:r>
              <w:rPr>
                <w:rFonts w:ascii="Courier New" w:cs="Courier New" w:eastAsia="Courier New" w:hAnsi="Courier New"/>
                <w:sz w:val="15"/>
                <w:szCs w:val="15"/>
                <w:color w:val="auto"/>
                <w:w w:val="96"/>
              </w:rPr>
              <w:t>Submission of Matters to a Vote of Security Holders..................</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w w:val="77"/>
              </w:rPr>
              <w:t>26</w:t>
            </w:r>
          </w:p>
        </w:tc>
      </w:tr>
      <w:tr>
        <w:trPr>
          <w:trHeight w:val="336"/>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5.</w:t>
            </w:r>
          </w:p>
        </w:tc>
        <w:tc>
          <w:tcPr>
            <w:tcW w:w="6140" w:type="dxa"/>
            <w:vAlign w:val="bottom"/>
          </w:tcPr>
          <w:p>
            <w:pPr>
              <w:ind w:left="100"/>
              <w:spacing w:after="0"/>
              <w:rPr>
                <w:sz w:val="20"/>
                <w:szCs w:val="20"/>
                <w:color w:val="auto"/>
              </w:rPr>
            </w:pPr>
            <w:r>
              <w:rPr>
                <w:rFonts w:ascii="Courier New" w:cs="Courier New" w:eastAsia="Courier New" w:hAnsi="Courier New"/>
                <w:sz w:val="15"/>
                <w:szCs w:val="15"/>
                <w:color w:val="auto"/>
                <w:w w:val="96"/>
              </w:rPr>
              <w:t>Other Information....................................................</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w w:val="77"/>
              </w:rPr>
              <w:t>26</w:t>
            </w:r>
          </w:p>
        </w:tc>
      </w:tr>
      <w:tr>
        <w:trPr>
          <w:trHeight w:val="336"/>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6140" w:type="dxa"/>
            <w:vAlign w:val="bottom"/>
          </w:tcPr>
          <w:p>
            <w:pPr>
              <w:ind w:left="100"/>
              <w:spacing w:after="0"/>
              <w:rPr>
                <w:sz w:val="20"/>
                <w:szCs w:val="20"/>
                <w:color w:val="auto"/>
              </w:rPr>
            </w:pPr>
            <w:r>
              <w:rPr>
                <w:rFonts w:ascii="Courier New" w:cs="Courier New" w:eastAsia="Courier New" w:hAnsi="Courier New"/>
                <w:sz w:val="15"/>
                <w:szCs w:val="15"/>
                <w:color w:val="auto"/>
                <w:w w:val="96"/>
              </w:rPr>
              <w:t>Exhibits and Reports on Form 8-K.....................................</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w w:val="77"/>
              </w:rPr>
              <w:t>27</w:t>
            </w:r>
          </w:p>
        </w:tc>
      </w:tr>
      <w:tr>
        <w:trPr>
          <w:trHeight w:val="336"/>
        </w:trPr>
        <w:tc>
          <w:tcPr>
            <w:tcW w:w="6840" w:type="dxa"/>
            <w:vAlign w:val="bottom"/>
            <w:gridSpan w:val="2"/>
          </w:tcPr>
          <w:p>
            <w:pPr>
              <w:spacing w:after="0"/>
              <w:rPr>
                <w:sz w:val="20"/>
                <w:szCs w:val="20"/>
                <w:color w:val="auto"/>
              </w:rPr>
            </w:pPr>
            <w:r>
              <w:rPr>
                <w:rFonts w:ascii="Courier New" w:cs="Courier New" w:eastAsia="Courier New" w:hAnsi="Courier New"/>
                <w:sz w:val="15"/>
                <w:szCs w:val="15"/>
                <w:color w:val="auto"/>
                <w:w w:val="97"/>
              </w:rPr>
              <w:t>Signatures....................................................................</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w w:val="77"/>
              </w:rPr>
              <w:t>28</w:t>
            </w:r>
          </w:p>
        </w:tc>
      </w:tr>
      <w:tr>
        <w:trPr>
          <w:trHeight w:val="336"/>
        </w:trPr>
        <w:tc>
          <w:tcPr>
            <w:tcW w:w="700" w:type="dxa"/>
            <w:vAlign w:val="bottom"/>
          </w:tcPr>
          <w:p>
            <w:pPr>
              <w:spacing w:after="0"/>
              <w:rPr>
                <w:sz w:val="24"/>
                <w:szCs w:val="24"/>
                <w:color w:val="auto"/>
              </w:rPr>
            </w:pPr>
          </w:p>
        </w:tc>
        <w:tc>
          <w:tcPr>
            <w:tcW w:w="6140" w:type="dxa"/>
            <w:vAlign w:val="bottom"/>
          </w:tcPr>
          <w:p>
            <w:pPr>
              <w:ind w:left="2720"/>
              <w:spacing w:after="0"/>
              <w:rPr>
                <w:sz w:val="20"/>
                <w:szCs w:val="20"/>
                <w:color w:val="auto"/>
              </w:rPr>
            </w:pPr>
            <w:r>
              <w:rPr>
                <w:rFonts w:ascii="Courier New" w:cs="Courier New" w:eastAsia="Courier New" w:hAnsi="Courier New"/>
                <w:sz w:val="15"/>
                <w:szCs w:val="15"/>
                <w:color w:val="auto"/>
              </w:rPr>
              <w:t>1</w:t>
            </w:r>
          </w:p>
        </w:tc>
        <w:tc>
          <w:tcPr>
            <w:tcW w:w="160" w:type="dxa"/>
            <w:vAlign w:val="bottom"/>
          </w:tcPr>
          <w:p>
            <w:pPr>
              <w:spacing w:after="0"/>
              <w:rPr>
                <w:sz w:val="24"/>
                <w:szCs w:val="24"/>
                <w:color w:val="auto"/>
              </w:rPr>
            </w:pPr>
          </w:p>
        </w:tc>
      </w:tr>
    </w:tbl>
    <w:p>
      <w:pPr>
        <w:sectPr>
          <w:pgSz w:w="11900" w:h="16838" w:orient="portrait"/>
          <w:cols w:equalWidth="0" w:num="1">
            <w:col w:w="10239"/>
          </w:cols>
          <w:pgMar w:left="220" w:top="303" w:right="1440" w:bottom="1440" w:gutter="0" w:footer="0" w:header="0"/>
        </w:sectPr>
      </w:pPr>
    </w:p>
    <w:bookmarkStart w:id="2" w:name="page3"/>
    <w:bookmarkEnd w:id="2"/>
    <w:p>
      <w:pPr>
        <w:ind w:left="2280"/>
        <w:spacing w:after="0"/>
        <w:rPr>
          <w:sz w:val="20"/>
          <w:szCs w:val="20"/>
          <w:color w:val="auto"/>
        </w:rPr>
      </w:pPr>
      <w:r>
        <w:rPr>
          <w:rFonts w:ascii="Courier New" w:cs="Courier New" w:eastAsia="Courier New" w:hAnsi="Courier New"/>
          <w:sz w:val="15"/>
          <w:szCs w:val="15"/>
          <w:color w:val="auto"/>
        </w:rPr>
        <w:t>PART I. FINANCIAL INFORMATION</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Financial Statements</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NN, Inc.</w:t>
      </w:r>
    </w:p>
    <w:p>
      <w:pPr>
        <w:jc w:val="center"/>
        <w:ind w:right="3219"/>
        <w:spacing w:after="0" w:line="237" w:lineRule="auto"/>
        <w:rPr>
          <w:sz w:val="20"/>
          <w:szCs w:val="20"/>
          <w:color w:val="auto"/>
        </w:rPr>
      </w:pPr>
      <w:r>
        <w:rPr>
          <w:rFonts w:ascii="Courier New" w:cs="Courier New" w:eastAsia="Courier New" w:hAnsi="Courier New"/>
          <w:sz w:val="15"/>
          <w:szCs w:val="15"/>
          <w:color w:val="auto"/>
        </w:rPr>
        <w:t>Consolidated Statements of Income and Comprehensive Income</w:t>
      </w:r>
    </w:p>
    <w:p>
      <w:pPr>
        <w:jc w:val="center"/>
        <w:ind w:right="3139"/>
        <w:spacing w:after="0" w:line="238" w:lineRule="auto"/>
        <w:rPr>
          <w:sz w:val="20"/>
          <w:szCs w:val="20"/>
          <w:color w:val="auto"/>
        </w:rPr>
      </w:pPr>
      <w:r>
        <w:rPr>
          <w:rFonts w:ascii="Courier New" w:cs="Courier New" w:eastAsia="Courier New" w:hAnsi="Courier New"/>
          <w:sz w:val="15"/>
          <w:szCs w:val="15"/>
          <w:color w:val="auto"/>
        </w:rPr>
        <w:t>(Unaudited)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288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Three Months Ended</w:t>
            </w:r>
          </w:p>
        </w:tc>
        <w:tc>
          <w:tcPr>
            <w:tcW w:w="276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Six Months Ended</w:t>
            </w:r>
          </w:p>
        </w:tc>
      </w:tr>
      <w:tr>
        <w:trPr>
          <w:trHeight w:val="168"/>
        </w:trPr>
        <w:tc>
          <w:tcPr>
            <w:tcW w:w="4520" w:type="dxa"/>
            <w:vAlign w:val="bottom"/>
          </w:tcPr>
          <w:p>
            <w:pPr>
              <w:spacing w:after="0"/>
              <w:rPr>
                <w:sz w:val="14"/>
                <w:szCs w:val="14"/>
                <w:color w:val="auto"/>
              </w:rPr>
            </w:pPr>
          </w:p>
        </w:tc>
        <w:tc>
          <w:tcPr>
            <w:tcW w:w="2880" w:type="dxa"/>
            <w:vAlign w:val="bottom"/>
            <w:gridSpan w:val="2"/>
          </w:tcPr>
          <w:p>
            <w:pPr>
              <w:jc w:val="right"/>
              <w:ind w:right="1027"/>
              <w:spacing w:after="0" w:line="168" w:lineRule="exact"/>
              <w:rPr>
                <w:sz w:val="20"/>
                <w:szCs w:val="20"/>
                <w:color w:val="auto"/>
              </w:rPr>
            </w:pPr>
            <w:r>
              <w:rPr>
                <w:rFonts w:ascii="Courier New" w:cs="Courier New" w:eastAsia="Courier New" w:hAnsi="Courier New"/>
                <w:sz w:val="15"/>
                <w:szCs w:val="15"/>
                <w:color w:val="auto"/>
              </w:rPr>
              <w:t>June 30,</w:t>
            </w:r>
          </w:p>
        </w:tc>
        <w:tc>
          <w:tcPr>
            <w:tcW w:w="2760" w:type="dxa"/>
            <w:vAlign w:val="bottom"/>
            <w:gridSpan w:val="2"/>
          </w:tcPr>
          <w:p>
            <w:pPr>
              <w:jc w:val="right"/>
              <w:ind w:right="987"/>
              <w:spacing w:after="0" w:line="168" w:lineRule="exact"/>
              <w:rPr>
                <w:sz w:val="20"/>
                <w:szCs w:val="20"/>
                <w:color w:val="auto"/>
              </w:rPr>
            </w:pPr>
            <w:r>
              <w:rPr>
                <w:rFonts w:ascii="Courier New" w:cs="Courier New" w:eastAsia="Courier New" w:hAnsi="Courier New"/>
                <w:sz w:val="15"/>
                <w:szCs w:val="15"/>
                <w:color w:val="auto"/>
              </w:rPr>
              <w:t>June 30,</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Thousands of Dollars, Except Per Share Data</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2004</w:t>
            </w:r>
          </w:p>
        </w:tc>
        <w:tc>
          <w:tcPr>
            <w:tcW w:w="13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2003</w:t>
            </w:r>
          </w:p>
        </w:tc>
        <w:tc>
          <w:tcPr>
            <w:tcW w:w="1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2004</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2003</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5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$75,265</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$64,194</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$ 152,897</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$ 121,803</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products sold (exclusive of depreciation</w:t>
            </w:r>
          </w:p>
        </w:tc>
        <w:tc>
          <w:tcPr>
            <w:tcW w:w="1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shown separately below)</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58,937</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49,721</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119,326</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92,464</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8,041</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5,771</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15,184</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10,403</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3,969</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3,452</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7,918</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6,500</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Restructuring and impairment costs</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2,723</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2,723</w:t>
            </w:r>
          </w:p>
        </w:tc>
      </w:tr>
      <w:tr>
        <w:trPr>
          <w:trHeight w:val="168"/>
        </w:trPr>
        <w:tc>
          <w:tcPr>
            <w:tcW w:w="4520" w:type="dxa"/>
            <w:vAlign w:val="bottom"/>
          </w:tcPr>
          <w:p>
            <w:pPr>
              <w:spacing w:after="0"/>
              <w:rPr>
                <w:sz w:val="14"/>
                <w:szCs w:val="14"/>
                <w:color w:val="auto"/>
              </w:rPr>
            </w:pP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from operations</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4,318</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2,527</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10,469</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9,713</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Interest expense, net</w:t>
            </w:r>
          </w:p>
        </w:tc>
        <w:tc>
          <w:tcPr>
            <w:tcW w:w="15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932</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789</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1,824</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1,403</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 net</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389</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310</w:t>
            </w:r>
          </w:p>
        </w:tc>
      </w:tr>
      <w:tr>
        <w:trPr>
          <w:trHeight w:val="168"/>
        </w:trPr>
        <w:tc>
          <w:tcPr>
            <w:tcW w:w="4520" w:type="dxa"/>
            <w:vAlign w:val="bottom"/>
          </w:tcPr>
          <w:p>
            <w:pPr>
              <w:spacing w:after="0"/>
              <w:rPr>
                <w:sz w:val="14"/>
                <w:szCs w:val="14"/>
                <w:color w:val="auto"/>
              </w:rPr>
            </w:pP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provision for income taxes</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3,361</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1,349</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8,676</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8,000</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income taxes</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1,375</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512</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3,472</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2,985</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 in consolidated subsidiaries</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140</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675</w:t>
            </w:r>
          </w:p>
        </w:tc>
      </w:tr>
      <w:tr>
        <w:trPr>
          <w:trHeight w:val="168"/>
        </w:trPr>
        <w:tc>
          <w:tcPr>
            <w:tcW w:w="4520" w:type="dxa"/>
            <w:vAlign w:val="bottom"/>
          </w:tcPr>
          <w:p>
            <w:pPr>
              <w:spacing w:after="0"/>
              <w:rPr>
                <w:sz w:val="14"/>
                <w:szCs w:val="14"/>
                <w:color w:val="auto"/>
              </w:rPr>
            </w:pP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1,986</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697</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5,204</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4,340</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Other comprehensive income:</w:t>
            </w:r>
          </w:p>
        </w:tc>
        <w:tc>
          <w:tcPr>
            <w:tcW w:w="1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Foreign currency translation</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(524)</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2,370</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(3,013)</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4,169</w:t>
            </w:r>
          </w:p>
        </w:tc>
      </w:tr>
      <w:tr>
        <w:trPr>
          <w:trHeight w:val="168"/>
        </w:trPr>
        <w:tc>
          <w:tcPr>
            <w:tcW w:w="4520" w:type="dxa"/>
            <w:vAlign w:val="bottom"/>
          </w:tcPr>
          <w:p>
            <w:pPr>
              <w:spacing w:after="0"/>
              <w:rPr>
                <w:sz w:val="14"/>
                <w:szCs w:val="14"/>
                <w:color w:val="auto"/>
              </w:rPr>
            </w:pP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$ 1,462</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$ 3,067</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$ 2,191</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$ 8,509</w:t>
            </w:r>
          </w:p>
        </w:tc>
      </w:tr>
      <w:tr>
        <w:trPr>
          <w:trHeight w:val="168"/>
        </w:trPr>
        <w:tc>
          <w:tcPr>
            <w:tcW w:w="4520" w:type="dxa"/>
            <w:vAlign w:val="bottom"/>
          </w:tcPr>
          <w:p>
            <w:pPr>
              <w:spacing w:after="0"/>
              <w:rPr>
                <w:sz w:val="14"/>
                <w:szCs w:val="14"/>
                <w:color w:val="auto"/>
              </w:rPr>
            </w:pP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income per common share:</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$ 0.12</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$ 0.04</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$ 0.31</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$ 0.28</w:t>
            </w:r>
          </w:p>
        </w:tc>
      </w:tr>
      <w:tr>
        <w:trPr>
          <w:trHeight w:val="168"/>
        </w:trPr>
        <w:tc>
          <w:tcPr>
            <w:tcW w:w="4520" w:type="dxa"/>
            <w:vAlign w:val="bottom"/>
          </w:tcPr>
          <w:p>
            <w:pPr>
              <w:spacing w:after="0"/>
              <w:rPr>
                <w:sz w:val="14"/>
                <w:szCs w:val="14"/>
                <w:color w:val="auto"/>
              </w:rPr>
            </w:pP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Weighted average shares outstanding</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16,721</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16,015</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16,713</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15,561</w:t>
            </w:r>
          </w:p>
        </w:tc>
      </w:tr>
      <w:tr>
        <w:trPr>
          <w:trHeight w:val="168"/>
        </w:trPr>
        <w:tc>
          <w:tcPr>
            <w:tcW w:w="4520" w:type="dxa"/>
            <w:vAlign w:val="bottom"/>
          </w:tcPr>
          <w:p>
            <w:pPr>
              <w:spacing w:after="0"/>
              <w:rPr>
                <w:sz w:val="14"/>
                <w:szCs w:val="14"/>
                <w:color w:val="auto"/>
              </w:rPr>
            </w:pP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Diluted income per common share:</w:t>
            </w:r>
          </w:p>
        </w:tc>
        <w:tc>
          <w:tcPr>
            <w:tcW w:w="15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$ 0.12</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$ 0.04</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$ 0.30</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$ 0.27</w:t>
            </w:r>
          </w:p>
        </w:tc>
      </w:tr>
      <w:tr>
        <w:trPr>
          <w:trHeight w:val="168"/>
        </w:trPr>
        <w:tc>
          <w:tcPr>
            <w:tcW w:w="4520" w:type="dxa"/>
            <w:vAlign w:val="bottom"/>
          </w:tcPr>
          <w:p>
            <w:pPr>
              <w:spacing w:after="0"/>
              <w:rPr>
                <w:sz w:val="14"/>
                <w:szCs w:val="14"/>
                <w:color w:val="auto"/>
              </w:rPr>
            </w:pP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Weighted average shares outstanding</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17,177</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16,465</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17,176</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15,892</w:t>
            </w:r>
          </w:p>
        </w:tc>
      </w:tr>
      <w:tr>
        <w:trPr>
          <w:trHeight w:val="168"/>
        </w:trPr>
        <w:tc>
          <w:tcPr>
            <w:tcW w:w="4520" w:type="dxa"/>
            <w:vAlign w:val="bottom"/>
          </w:tcPr>
          <w:p>
            <w:pPr>
              <w:spacing w:after="0"/>
              <w:rPr>
                <w:sz w:val="14"/>
                <w:szCs w:val="14"/>
                <w:color w:val="auto"/>
              </w:rPr>
            </w:pP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dividends per common share</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$ 0.08</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$ 0.08</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$ 0.16</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$ 0.16</w:t>
            </w:r>
          </w:p>
        </w:tc>
      </w:tr>
      <w:tr>
        <w:trPr>
          <w:trHeight w:val="168"/>
        </w:trPr>
        <w:tc>
          <w:tcPr>
            <w:tcW w:w="4520" w:type="dxa"/>
            <w:vAlign w:val="bottom"/>
          </w:tcPr>
          <w:p>
            <w:pPr>
              <w:spacing w:after="0"/>
              <w:rPr>
                <w:sz w:val="14"/>
                <w:szCs w:val="14"/>
                <w:color w:val="auto"/>
              </w:rPr>
            </w:pP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See accompanying notes.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785" w:right="1440" w:bottom="1440" w:gutter="0" w:footer="0" w:header="0"/>
        </w:sectPr>
      </w:pPr>
    </w:p>
    <w:bookmarkStart w:id="3" w:name="page4"/>
    <w:bookmarkEnd w:id="3"/>
    <w:p>
      <w:pPr>
        <w:jc w:val="center"/>
        <w:ind w:right="3219"/>
        <w:spacing w:after="0"/>
        <w:rPr>
          <w:sz w:val="20"/>
          <w:szCs w:val="20"/>
          <w:color w:val="auto"/>
        </w:rPr>
      </w:pPr>
      <w:r>
        <w:rPr>
          <w:rFonts w:ascii="Courier New" w:cs="Courier New" w:eastAsia="Courier New" w:hAnsi="Courier New"/>
          <w:sz w:val="15"/>
          <w:szCs w:val="15"/>
          <w:color w:val="auto"/>
        </w:rPr>
        <w:t>NN, Inc.</w:t>
      </w:r>
    </w:p>
    <w:p>
      <w:pPr>
        <w:jc w:val="center"/>
        <w:ind w:right="3139"/>
        <w:spacing w:after="0" w:line="237" w:lineRule="auto"/>
        <w:rPr>
          <w:sz w:val="20"/>
          <w:szCs w:val="20"/>
          <w:color w:val="auto"/>
        </w:rPr>
      </w:pPr>
      <w:r>
        <w:rPr>
          <w:rFonts w:ascii="Courier New" w:cs="Courier New" w:eastAsia="Courier New" w:hAnsi="Courier New"/>
          <w:sz w:val="15"/>
          <w:szCs w:val="15"/>
          <w:color w:val="auto"/>
        </w:rPr>
        <w:t>Condensed Consolidated Balance Sheets</w:t>
      </w:r>
    </w:p>
    <w:p>
      <w:pPr>
        <w:jc w:val="center"/>
        <w:ind w:right="3139"/>
        <w:spacing w:after="0" w:line="238" w:lineRule="auto"/>
        <w:rPr>
          <w:sz w:val="20"/>
          <w:szCs w:val="20"/>
          <w:color w:val="auto"/>
        </w:rPr>
      </w:pPr>
      <w:r>
        <w:rPr>
          <w:rFonts w:ascii="Courier New" w:cs="Courier New" w:eastAsia="Courier New" w:hAnsi="Courier New"/>
          <w:sz w:val="15"/>
          <w:szCs w:val="15"/>
          <w:color w:val="auto"/>
        </w:rPr>
        <w:t>(Unaudited)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15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June 30,</w:t>
            </w:r>
          </w:p>
        </w:tc>
        <w:tc>
          <w:tcPr>
            <w:tcW w:w="18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Thousands of Dollars</w:t>
            </w:r>
          </w:p>
        </w:tc>
        <w:tc>
          <w:tcPr>
            <w:tcW w:w="156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2004</w:t>
            </w:r>
          </w:p>
        </w:tc>
        <w:tc>
          <w:tcPr>
            <w:tcW w:w="70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2003</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5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1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1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15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  6,644</w:t>
            </w:r>
          </w:p>
        </w:tc>
        <w:tc>
          <w:tcPr>
            <w:tcW w:w="70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4,978</w:t>
            </w: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receivable, net</w:t>
            </w:r>
          </w:p>
        </w:tc>
        <w:tc>
          <w:tcPr>
            <w:tcW w:w="15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47,809</w:t>
            </w:r>
          </w:p>
        </w:tc>
        <w:tc>
          <w:tcPr>
            <w:tcW w:w="700" w:type="dxa"/>
            <w:vAlign w:val="bottom"/>
          </w:tcPr>
          <w:p>
            <w:pPr>
              <w:spacing w:after="0"/>
              <w:rPr>
                <w:sz w:val="14"/>
                <w:szCs w:val="14"/>
                <w:color w:val="auto"/>
              </w:rPr>
            </w:pPr>
          </w:p>
        </w:tc>
        <w:tc>
          <w:tcPr>
            <w:tcW w:w="11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40,864</w:t>
            </w: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Inventories, net</w:t>
            </w:r>
          </w:p>
        </w:tc>
        <w:tc>
          <w:tcPr>
            <w:tcW w:w="15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31,866</w:t>
            </w:r>
          </w:p>
        </w:tc>
        <w:tc>
          <w:tcPr>
            <w:tcW w:w="700" w:type="dxa"/>
            <w:vAlign w:val="bottom"/>
          </w:tcPr>
          <w:p>
            <w:pPr>
              <w:spacing w:after="0"/>
              <w:rPr>
                <w:sz w:val="14"/>
                <w:szCs w:val="14"/>
                <w:color w:val="auto"/>
              </w:rPr>
            </w:pPr>
          </w:p>
        </w:tc>
        <w:tc>
          <w:tcPr>
            <w:tcW w:w="11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36,278</w:t>
            </w: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15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5,916</w:t>
            </w:r>
          </w:p>
        </w:tc>
        <w:tc>
          <w:tcPr>
            <w:tcW w:w="700" w:type="dxa"/>
            <w:vAlign w:val="bottom"/>
          </w:tcPr>
          <w:p>
            <w:pPr>
              <w:spacing w:after="0"/>
              <w:rPr>
                <w:sz w:val="14"/>
                <w:szCs w:val="14"/>
                <w:color w:val="auto"/>
              </w:rPr>
            </w:pPr>
          </w:p>
        </w:tc>
        <w:tc>
          <w:tcPr>
            <w:tcW w:w="11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6,299</w:t>
            </w:r>
          </w:p>
        </w:tc>
      </w:tr>
      <w:tr>
        <w:trPr>
          <w:trHeight w:val="168"/>
        </w:trPr>
        <w:tc>
          <w:tcPr>
            <w:tcW w:w="3820" w:type="dxa"/>
            <w:vAlign w:val="bottom"/>
          </w:tcPr>
          <w:p>
            <w:pPr>
              <w:spacing w:after="0"/>
              <w:rPr>
                <w:sz w:val="14"/>
                <w:szCs w:val="14"/>
                <w:color w:val="auto"/>
              </w:rPr>
            </w:pPr>
          </w:p>
        </w:tc>
        <w:tc>
          <w:tcPr>
            <w:tcW w:w="15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ind w:left="5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15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92,235</w:t>
            </w:r>
          </w:p>
        </w:tc>
        <w:tc>
          <w:tcPr>
            <w:tcW w:w="700" w:type="dxa"/>
            <w:vAlign w:val="bottom"/>
          </w:tcPr>
          <w:p>
            <w:pPr>
              <w:spacing w:after="0"/>
              <w:rPr>
                <w:sz w:val="14"/>
                <w:szCs w:val="14"/>
                <w:color w:val="auto"/>
              </w:rPr>
            </w:pPr>
          </w:p>
        </w:tc>
        <w:tc>
          <w:tcPr>
            <w:tcW w:w="11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88,419</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15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124,601</w:t>
            </w:r>
          </w:p>
        </w:tc>
        <w:tc>
          <w:tcPr>
            <w:tcW w:w="700" w:type="dxa"/>
            <w:vAlign w:val="bottom"/>
          </w:tcPr>
          <w:p>
            <w:pPr>
              <w:spacing w:after="0"/>
              <w:rPr>
                <w:sz w:val="24"/>
                <w:szCs w:val="2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128,996</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 held for sale</w:t>
            </w:r>
          </w:p>
        </w:tc>
        <w:tc>
          <w:tcPr>
            <w:tcW w:w="15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1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1,805</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 net</w:t>
            </w:r>
          </w:p>
        </w:tc>
        <w:tc>
          <w:tcPr>
            <w:tcW w:w="15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42,132</w:t>
            </w:r>
          </w:p>
        </w:tc>
        <w:tc>
          <w:tcPr>
            <w:tcW w:w="700" w:type="dxa"/>
            <w:vAlign w:val="bottom"/>
          </w:tcPr>
          <w:p>
            <w:pPr>
              <w:spacing w:after="0"/>
              <w:rPr>
                <w:sz w:val="14"/>
                <w:szCs w:val="14"/>
                <w:color w:val="auto"/>
              </w:rPr>
            </w:pPr>
          </w:p>
        </w:tc>
        <w:tc>
          <w:tcPr>
            <w:tcW w:w="11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42,893</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15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4,892</w:t>
            </w:r>
          </w:p>
        </w:tc>
        <w:tc>
          <w:tcPr>
            <w:tcW w:w="700" w:type="dxa"/>
            <w:vAlign w:val="bottom"/>
          </w:tcPr>
          <w:p>
            <w:pPr>
              <w:spacing w:after="0"/>
              <w:rPr>
                <w:sz w:val="14"/>
                <w:szCs w:val="14"/>
                <w:color w:val="auto"/>
              </w:rPr>
            </w:pPr>
          </w:p>
        </w:tc>
        <w:tc>
          <w:tcPr>
            <w:tcW w:w="11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4,304</w:t>
            </w:r>
          </w:p>
        </w:tc>
      </w:tr>
      <w:tr>
        <w:trPr>
          <w:trHeight w:val="168"/>
        </w:trPr>
        <w:tc>
          <w:tcPr>
            <w:tcW w:w="3820" w:type="dxa"/>
            <w:vAlign w:val="bottom"/>
          </w:tcPr>
          <w:p>
            <w:pPr>
              <w:spacing w:after="0"/>
              <w:rPr>
                <w:sz w:val="14"/>
                <w:szCs w:val="14"/>
                <w:color w:val="auto"/>
              </w:rPr>
            </w:pPr>
          </w:p>
        </w:tc>
        <w:tc>
          <w:tcPr>
            <w:tcW w:w="15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ind w:left="5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assets</w:t>
            </w:r>
          </w:p>
        </w:tc>
        <w:tc>
          <w:tcPr>
            <w:tcW w:w="15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$263,860</w:t>
            </w:r>
          </w:p>
        </w:tc>
        <w:tc>
          <w:tcPr>
            <w:tcW w:w="70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266,417</w:t>
            </w:r>
          </w:p>
        </w:tc>
      </w:tr>
      <w:tr>
        <w:trPr>
          <w:trHeight w:val="168"/>
        </w:trPr>
        <w:tc>
          <w:tcPr>
            <w:tcW w:w="3820" w:type="dxa"/>
            <w:vAlign w:val="bottom"/>
          </w:tcPr>
          <w:p>
            <w:pPr>
              <w:spacing w:after="0"/>
              <w:rPr>
                <w:sz w:val="14"/>
                <w:szCs w:val="14"/>
                <w:color w:val="auto"/>
              </w:rPr>
            </w:pPr>
          </w:p>
        </w:tc>
        <w:tc>
          <w:tcPr>
            <w:tcW w:w="15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ind w:left="58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1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payable</w:t>
            </w:r>
          </w:p>
        </w:tc>
        <w:tc>
          <w:tcPr>
            <w:tcW w:w="15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$ 34,906</w:t>
            </w:r>
          </w:p>
        </w:tc>
        <w:tc>
          <w:tcPr>
            <w:tcW w:w="70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32,867</w:t>
            </w: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Accrued salaries and wages</w:t>
            </w:r>
          </w:p>
        </w:tc>
        <w:tc>
          <w:tcPr>
            <w:tcW w:w="15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12,288</w:t>
            </w:r>
          </w:p>
        </w:tc>
        <w:tc>
          <w:tcPr>
            <w:tcW w:w="700" w:type="dxa"/>
            <w:vAlign w:val="bottom"/>
          </w:tcPr>
          <w:p>
            <w:pPr>
              <w:spacing w:after="0"/>
              <w:rPr>
                <w:sz w:val="14"/>
                <w:szCs w:val="14"/>
                <w:color w:val="auto"/>
              </w:rPr>
            </w:pPr>
          </w:p>
        </w:tc>
        <w:tc>
          <w:tcPr>
            <w:tcW w:w="11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12,032</w:t>
            </w: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Short-term debt</w:t>
            </w:r>
          </w:p>
        </w:tc>
        <w:tc>
          <w:tcPr>
            <w:tcW w:w="15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1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Current maturities of long-term debt</w:t>
            </w:r>
          </w:p>
        </w:tc>
        <w:tc>
          <w:tcPr>
            <w:tcW w:w="15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6,389</w:t>
            </w:r>
          </w:p>
        </w:tc>
        <w:tc>
          <w:tcPr>
            <w:tcW w:w="700" w:type="dxa"/>
            <w:vAlign w:val="bottom"/>
          </w:tcPr>
          <w:p>
            <w:pPr>
              <w:spacing w:after="0"/>
              <w:rPr>
                <w:sz w:val="14"/>
                <w:szCs w:val="14"/>
                <w:color w:val="auto"/>
              </w:rPr>
            </w:pPr>
          </w:p>
        </w:tc>
        <w:tc>
          <w:tcPr>
            <w:tcW w:w="11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12,725</w:t>
            </w: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current liabilities</w:t>
            </w:r>
          </w:p>
        </w:tc>
        <w:tc>
          <w:tcPr>
            <w:tcW w:w="15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3,914</w:t>
            </w:r>
          </w:p>
        </w:tc>
        <w:tc>
          <w:tcPr>
            <w:tcW w:w="700" w:type="dxa"/>
            <w:vAlign w:val="bottom"/>
          </w:tcPr>
          <w:p>
            <w:pPr>
              <w:spacing w:after="0"/>
              <w:rPr>
                <w:sz w:val="14"/>
                <w:szCs w:val="14"/>
                <w:color w:val="auto"/>
              </w:rPr>
            </w:pPr>
          </w:p>
        </w:tc>
        <w:tc>
          <w:tcPr>
            <w:tcW w:w="11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3,070</w:t>
            </w:r>
          </w:p>
        </w:tc>
      </w:tr>
      <w:tr>
        <w:trPr>
          <w:trHeight w:val="168"/>
        </w:trPr>
        <w:tc>
          <w:tcPr>
            <w:tcW w:w="3820" w:type="dxa"/>
            <w:vAlign w:val="bottom"/>
          </w:tcPr>
          <w:p>
            <w:pPr>
              <w:spacing w:after="0"/>
              <w:rPr>
                <w:sz w:val="14"/>
                <w:szCs w:val="14"/>
                <w:color w:val="auto"/>
              </w:rPr>
            </w:pPr>
          </w:p>
        </w:tc>
        <w:tc>
          <w:tcPr>
            <w:tcW w:w="15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ind w:left="5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15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57,497</w:t>
            </w:r>
          </w:p>
        </w:tc>
        <w:tc>
          <w:tcPr>
            <w:tcW w:w="700" w:type="dxa"/>
            <w:vAlign w:val="bottom"/>
          </w:tcPr>
          <w:p>
            <w:pPr>
              <w:spacing w:after="0"/>
              <w:rPr>
                <w:sz w:val="14"/>
                <w:szCs w:val="14"/>
                <w:color w:val="auto"/>
              </w:rPr>
            </w:pPr>
          </w:p>
        </w:tc>
        <w:tc>
          <w:tcPr>
            <w:tcW w:w="11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62,694</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Non-current deferred tax liability</w:t>
            </w:r>
          </w:p>
        </w:tc>
        <w:tc>
          <w:tcPr>
            <w:tcW w:w="15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13,193</w:t>
            </w:r>
          </w:p>
        </w:tc>
        <w:tc>
          <w:tcPr>
            <w:tcW w:w="700" w:type="dxa"/>
            <w:vAlign w:val="bottom"/>
          </w:tcPr>
          <w:p>
            <w:pPr>
              <w:spacing w:after="0"/>
              <w:rPr>
                <w:sz w:val="24"/>
                <w:szCs w:val="2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13,423</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15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73,971</w:t>
            </w:r>
          </w:p>
        </w:tc>
        <w:tc>
          <w:tcPr>
            <w:tcW w:w="700" w:type="dxa"/>
            <w:vAlign w:val="bottom"/>
          </w:tcPr>
          <w:p>
            <w:pPr>
              <w:spacing w:after="0"/>
              <w:rPr>
                <w:sz w:val="14"/>
                <w:szCs w:val="14"/>
                <w:color w:val="auto"/>
              </w:rPr>
            </w:pPr>
          </w:p>
        </w:tc>
        <w:tc>
          <w:tcPr>
            <w:tcW w:w="11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69,752</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pension and other</w:t>
            </w:r>
          </w:p>
        </w:tc>
        <w:tc>
          <w:tcPr>
            <w:tcW w:w="15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13,125</w:t>
            </w:r>
          </w:p>
        </w:tc>
        <w:tc>
          <w:tcPr>
            <w:tcW w:w="700" w:type="dxa"/>
            <w:vAlign w:val="bottom"/>
          </w:tcPr>
          <w:p>
            <w:pPr>
              <w:spacing w:after="0"/>
              <w:rPr>
                <w:sz w:val="14"/>
                <w:szCs w:val="14"/>
                <w:color w:val="auto"/>
              </w:rPr>
            </w:pPr>
          </w:p>
        </w:tc>
        <w:tc>
          <w:tcPr>
            <w:tcW w:w="11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14,080</w:t>
            </w:r>
          </w:p>
        </w:tc>
      </w:tr>
      <w:tr>
        <w:trPr>
          <w:trHeight w:val="168"/>
        </w:trPr>
        <w:tc>
          <w:tcPr>
            <w:tcW w:w="3820" w:type="dxa"/>
            <w:vAlign w:val="bottom"/>
          </w:tcPr>
          <w:p>
            <w:pPr>
              <w:spacing w:after="0"/>
              <w:rPr>
                <w:sz w:val="14"/>
                <w:szCs w:val="14"/>
                <w:color w:val="auto"/>
              </w:rPr>
            </w:pPr>
          </w:p>
        </w:tc>
        <w:tc>
          <w:tcPr>
            <w:tcW w:w="15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ind w:left="5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15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157,786</w:t>
            </w:r>
          </w:p>
        </w:tc>
        <w:tc>
          <w:tcPr>
            <w:tcW w:w="700" w:type="dxa"/>
            <w:vAlign w:val="bottom"/>
          </w:tcPr>
          <w:p>
            <w:pPr>
              <w:spacing w:after="0"/>
              <w:rPr>
                <w:sz w:val="14"/>
                <w:szCs w:val="14"/>
                <w:color w:val="auto"/>
              </w:rPr>
            </w:pPr>
          </w:p>
        </w:tc>
        <w:tc>
          <w:tcPr>
            <w:tcW w:w="11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159,949</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Total stockholders' equity</w:t>
            </w:r>
          </w:p>
        </w:tc>
        <w:tc>
          <w:tcPr>
            <w:tcW w:w="15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106,074</w:t>
            </w:r>
          </w:p>
        </w:tc>
        <w:tc>
          <w:tcPr>
            <w:tcW w:w="700" w:type="dxa"/>
            <w:vAlign w:val="bottom"/>
          </w:tcPr>
          <w:p>
            <w:pPr>
              <w:spacing w:after="0"/>
              <w:rPr>
                <w:sz w:val="24"/>
                <w:szCs w:val="2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106,468</w:t>
            </w:r>
          </w:p>
        </w:tc>
      </w:tr>
      <w:tr>
        <w:trPr>
          <w:trHeight w:val="168"/>
        </w:trPr>
        <w:tc>
          <w:tcPr>
            <w:tcW w:w="3820" w:type="dxa"/>
            <w:vAlign w:val="bottom"/>
          </w:tcPr>
          <w:p>
            <w:pPr>
              <w:spacing w:after="0"/>
              <w:rPr>
                <w:sz w:val="14"/>
                <w:szCs w:val="14"/>
                <w:color w:val="auto"/>
              </w:rPr>
            </w:pPr>
          </w:p>
        </w:tc>
        <w:tc>
          <w:tcPr>
            <w:tcW w:w="15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ind w:left="58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5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$263,860</w:t>
            </w:r>
          </w:p>
        </w:tc>
        <w:tc>
          <w:tcPr>
            <w:tcW w:w="70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266,417</w:t>
            </w:r>
          </w:p>
        </w:tc>
      </w:tr>
      <w:tr>
        <w:trPr>
          <w:trHeight w:val="168"/>
        </w:trPr>
        <w:tc>
          <w:tcPr>
            <w:tcW w:w="3820" w:type="dxa"/>
            <w:vAlign w:val="bottom"/>
          </w:tcPr>
          <w:p>
            <w:pPr>
              <w:spacing w:after="0"/>
              <w:rPr>
                <w:sz w:val="14"/>
                <w:szCs w:val="14"/>
                <w:color w:val="auto"/>
              </w:rPr>
            </w:pPr>
          </w:p>
        </w:tc>
        <w:tc>
          <w:tcPr>
            <w:tcW w:w="15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ind w:left="580"/>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See accompanying notes.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785" w:right="1440" w:bottom="1440" w:gutter="0" w:footer="0" w:header="0"/>
        </w:sectPr>
      </w:pPr>
    </w:p>
    <w:bookmarkStart w:id="4" w:name="page5"/>
    <w:bookmarkEnd w:id="4"/>
    <w:p>
      <w:pPr>
        <w:jc w:val="center"/>
        <w:ind w:right="4520"/>
        <w:spacing w:after="0"/>
        <w:rPr>
          <w:sz w:val="20"/>
          <w:szCs w:val="20"/>
          <w:color w:val="auto"/>
        </w:rPr>
      </w:pPr>
      <w:r>
        <w:rPr>
          <w:rFonts w:ascii="Courier New" w:cs="Courier New" w:eastAsia="Courier New" w:hAnsi="Courier New"/>
          <w:sz w:val="15"/>
          <w:szCs w:val="15"/>
          <w:color w:val="auto"/>
        </w:rPr>
        <w:t>NN, Inc.</w:t>
      </w:r>
    </w:p>
    <w:p>
      <w:pPr>
        <w:jc w:val="center"/>
        <w:ind w:right="4520"/>
        <w:spacing w:after="0" w:line="237" w:lineRule="auto"/>
        <w:rPr>
          <w:sz w:val="20"/>
          <w:szCs w:val="20"/>
          <w:color w:val="auto"/>
        </w:rPr>
      </w:pPr>
      <w:r>
        <w:rPr>
          <w:rFonts w:ascii="Courier New" w:cs="Courier New" w:eastAsia="Courier New" w:hAnsi="Courier New"/>
          <w:sz w:val="15"/>
          <w:szCs w:val="15"/>
          <w:color w:val="auto"/>
        </w:rPr>
        <w:t>Consolidated Statements of Changes in Stockholders' Equity</w:t>
      </w:r>
    </w:p>
    <w:tbl>
      <w:tblPr>
        <w:tblLayout w:type="fixed"/>
        <w:tblInd w:w="0" w:type="dxa"/>
        <w:tblCellMar>
          <w:top w:w="0" w:type="dxa"/>
          <w:left w:w="0" w:type="dxa"/>
          <w:bottom w:w="0" w:type="dxa"/>
          <w:right w:w="0" w:type="dxa"/>
        </w:tblCellMar>
      </w:tblPr>
      <w:tr>
        <w:trPr>
          <w:trHeight w:val="169"/>
        </w:trPr>
        <w:tc>
          <w:tcPr>
            <w:tcW w:w="3080" w:type="dxa"/>
            <w:vAlign w:val="bottom"/>
          </w:tcPr>
          <w:p>
            <w:pPr>
              <w:spacing w:after="0"/>
              <w:rPr>
                <w:sz w:val="14"/>
                <w:szCs w:val="14"/>
                <w:color w:val="auto"/>
              </w:rPr>
            </w:pPr>
          </w:p>
        </w:tc>
        <w:tc>
          <w:tcPr>
            <w:tcW w:w="2000" w:type="dxa"/>
            <w:vAlign w:val="bottom"/>
          </w:tcPr>
          <w:p>
            <w:pPr>
              <w:jc w:val="right"/>
              <w:ind w:right="967"/>
              <w:spacing w:after="0" w:line="169" w:lineRule="exact"/>
              <w:rPr>
                <w:sz w:val="20"/>
                <w:szCs w:val="20"/>
                <w:color w:val="auto"/>
              </w:rPr>
            </w:pPr>
            <w:r>
              <w:rPr>
                <w:rFonts w:ascii="Courier New" w:cs="Courier New" w:eastAsia="Courier New" w:hAnsi="Courier New"/>
                <w:sz w:val="15"/>
                <w:szCs w:val="15"/>
                <w:color w:val="auto"/>
                <w:w w:val="94"/>
              </w:rPr>
              <w:t>(Unaudited)</w:t>
            </w:r>
          </w:p>
        </w:tc>
        <w:tc>
          <w:tcPr>
            <w:tcW w:w="1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673"/>
        </w:trPr>
        <w:tc>
          <w:tcPr>
            <w:tcW w:w="3080" w:type="dxa"/>
            <w:vAlign w:val="bottom"/>
          </w:tcPr>
          <w:p>
            <w:pPr>
              <w:spacing w:after="0"/>
              <w:rPr>
                <w:sz w:val="24"/>
                <w:szCs w:val="24"/>
                <w:color w:val="auto"/>
              </w:rPr>
            </w:pPr>
          </w:p>
        </w:tc>
        <w:tc>
          <w:tcPr>
            <w:tcW w:w="310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rPr>
              <w:t>Common Stock</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6"/>
              </w:rPr>
              <w:t>Accumulated</w:t>
            </w:r>
          </w:p>
        </w:tc>
        <w:tc>
          <w:tcPr>
            <w:tcW w:w="1200" w:type="dxa"/>
            <w:vAlign w:val="bottom"/>
          </w:tcPr>
          <w:p>
            <w:pPr>
              <w:spacing w:after="0"/>
              <w:rPr>
                <w:sz w:val="24"/>
                <w:szCs w:val="24"/>
                <w:color w:val="auto"/>
              </w:rPr>
            </w:pPr>
          </w:p>
        </w:tc>
      </w:tr>
      <w:tr>
        <w:trPr>
          <w:trHeight w:val="168"/>
        </w:trPr>
        <w:tc>
          <w:tcPr>
            <w:tcW w:w="3080" w:type="dxa"/>
            <w:vAlign w:val="bottom"/>
          </w:tcPr>
          <w:p>
            <w:pPr>
              <w:spacing w:after="0"/>
              <w:rPr>
                <w:sz w:val="14"/>
                <w:szCs w:val="14"/>
                <w:color w:val="auto"/>
              </w:rPr>
            </w:pPr>
          </w:p>
        </w:tc>
        <w:tc>
          <w:tcPr>
            <w:tcW w:w="2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Number</w:t>
            </w:r>
          </w:p>
        </w:tc>
        <w:tc>
          <w:tcPr>
            <w:tcW w:w="1100" w:type="dxa"/>
            <w:vAlign w:val="bottom"/>
          </w:tcPr>
          <w:p>
            <w:pPr>
              <w:spacing w:after="0"/>
              <w:rPr>
                <w:sz w:val="14"/>
                <w:szCs w:val="14"/>
                <w:color w:val="auto"/>
              </w:rPr>
            </w:pP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Additional</w:t>
            </w:r>
          </w:p>
        </w:tc>
        <w:tc>
          <w:tcPr>
            <w:tcW w:w="1360" w:type="dxa"/>
            <w:vAlign w:val="bottom"/>
          </w:tcPr>
          <w:p>
            <w:pPr>
              <w:spacing w:after="0"/>
              <w:rPr>
                <w:sz w:val="14"/>
                <w:szCs w:val="14"/>
                <w:color w:val="auto"/>
              </w:rPr>
            </w:pPr>
          </w:p>
        </w:tc>
        <w:tc>
          <w:tcPr>
            <w:tcW w:w="15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Other</w:t>
            </w:r>
          </w:p>
        </w:tc>
        <w:tc>
          <w:tcPr>
            <w:tcW w:w="1200" w:type="dxa"/>
            <w:vAlign w:val="bottom"/>
          </w:tcPr>
          <w:p>
            <w:pPr>
              <w:spacing w:after="0"/>
              <w:rPr>
                <w:sz w:val="14"/>
                <w:szCs w:val="14"/>
                <w:color w:val="auto"/>
              </w:rPr>
            </w:pPr>
          </w:p>
        </w:tc>
      </w:tr>
      <w:tr>
        <w:trPr>
          <w:trHeight w:val="168"/>
        </w:trPr>
        <w:tc>
          <w:tcPr>
            <w:tcW w:w="3080" w:type="dxa"/>
            <w:vAlign w:val="bottom"/>
          </w:tcPr>
          <w:p>
            <w:pPr>
              <w:spacing w:after="0"/>
              <w:rPr>
                <w:sz w:val="14"/>
                <w:szCs w:val="14"/>
                <w:color w:val="auto"/>
              </w:rPr>
            </w:pPr>
          </w:p>
        </w:tc>
        <w:tc>
          <w:tcPr>
            <w:tcW w:w="20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Of</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Par</w:t>
            </w:r>
          </w:p>
        </w:tc>
        <w:tc>
          <w:tcPr>
            <w:tcW w:w="13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paid in</w:t>
            </w:r>
          </w:p>
        </w:tc>
        <w:tc>
          <w:tcPr>
            <w:tcW w:w="13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Retained</w:t>
            </w:r>
          </w:p>
        </w:tc>
        <w:tc>
          <w:tcPr>
            <w:tcW w:w="15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5"/>
              </w:rPr>
              <w:t>Comprehensive</w:t>
            </w:r>
          </w:p>
        </w:tc>
        <w:tc>
          <w:tcPr>
            <w:tcW w:w="1200" w:type="dxa"/>
            <w:vAlign w:val="bottom"/>
          </w:tcPr>
          <w:p>
            <w:pPr>
              <w:spacing w:after="0"/>
              <w:rPr>
                <w:sz w:val="14"/>
                <w:szCs w:val="14"/>
                <w:color w:val="auto"/>
              </w:rPr>
            </w:pP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Thousands of Dollars and Shares</w:t>
            </w:r>
          </w:p>
        </w:tc>
        <w:tc>
          <w:tcPr>
            <w:tcW w:w="2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Shares</w:t>
            </w:r>
          </w:p>
        </w:tc>
        <w:tc>
          <w:tcPr>
            <w:tcW w:w="1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value</w:t>
            </w:r>
          </w:p>
        </w:tc>
        <w:tc>
          <w:tcPr>
            <w:tcW w:w="13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capital</w:t>
            </w:r>
          </w:p>
        </w:tc>
        <w:tc>
          <w:tcPr>
            <w:tcW w:w="13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Earnings</w:t>
            </w:r>
          </w:p>
        </w:tc>
        <w:tc>
          <w:tcPr>
            <w:tcW w:w="15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Income(Loss)</w:t>
            </w:r>
          </w:p>
        </w:tc>
        <w:tc>
          <w:tcPr>
            <w:tcW w:w="1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080" w:type="dxa"/>
            <w:vAlign w:val="bottom"/>
          </w:tcPr>
          <w:p>
            <w:pPr>
              <w:spacing w:after="0"/>
              <w:rPr>
                <w:sz w:val="20"/>
                <w:szCs w:val="20"/>
                <w:color w:val="auto"/>
              </w:rPr>
            </w:pPr>
            <w:r>
              <w:rPr>
                <w:rFonts w:ascii="Courier New" w:cs="Courier New" w:eastAsia="Courier New" w:hAnsi="Courier New"/>
                <w:sz w:val="15"/>
                <w:szCs w:val="15"/>
                <w:color w:val="auto"/>
              </w:rPr>
              <w:t>Balance, January 1, 2003</w:t>
            </w:r>
          </w:p>
        </w:tc>
        <w:tc>
          <w:tcPr>
            <w:tcW w:w="2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15,370</w:t>
            </w: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$154</w:t>
            </w:r>
          </w:p>
        </w:tc>
        <w:tc>
          <w:tcPr>
            <w:tcW w:w="13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$ 40,457</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$ 38,984</w:t>
            </w:r>
          </w:p>
        </w:tc>
        <w:tc>
          <w:tcPr>
            <w:tcW w:w="15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$(1,687)</w:t>
            </w:r>
          </w:p>
        </w:tc>
        <w:tc>
          <w:tcPr>
            <w:tcW w:w="12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$ 77,908</w:t>
            </w:r>
          </w:p>
        </w:tc>
      </w:tr>
      <w:tr>
        <w:trPr>
          <w:trHeight w:val="168"/>
        </w:trPr>
        <w:tc>
          <w:tcPr>
            <w:tcW w:w="3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Shares issued</w:t>
            </w:r>
          </w:p>
        </w:tc>
        <w:tc>
          <w:tcPr>
            <w:tcW w:w="2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1,280</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13</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12,093</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12,106</w:t>
            </w:r>
          </w:p>
        </w:tc>
      </w:tr>
      <w:tr>
        <w:trPr>
          <w:trHeight w:val="168"/>
        </w:trPr>
        <w:tc>
          <w:tcPr>
            <w:tcW w:w="3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income</w:t>
            </w:r>
          </w:p>
        </w:tc>
        <w:tc>
          <w:tcPr>
            <w:tcW w:w="2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4,340</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4,340</w:t>
            </w:r>
          </w:p>
        </w:tc>
      </w:tr>
      <w:tr>
        <w:trPr>
          <w:trHeight w:val="168"/>
        </w:trPr>
        <w:tc>
          <w:tcPr>
            <w:tcW w:w="3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Dividends declared</w:t>
            </w:r>
          </w:p>
        </w:tc>
        <w:tc>
          <w:tcPr>
            <w:tcW w:w="2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(2,562)</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(2,562)</w:t>
            </w:r>
          </w:p>
        </w:tc>
      </w:tr>
      <w:tr>
        <w:trPr>
          <w:trHeight w:val="168"/>
        </w:trPr>
        <w:tc>
          <w:tcPr>
            <w:tcW w:w="3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comprehensive income</w:t>
            </w:r>
          </w:p>
        </w:tc>
        <w:tc>
          <w:tcPr>
            <w:tcW w:w="2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4,169</w:t>
            </w:r>
          </w:p>
        </w:tc>
        <w:tc>
          <w:tcPr>
            <w:tcW w:w="1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4,169</w:t>
            </w:r>
          </w:p>
        </w:tc>
      </w:tr>
      <w:tr>
        <w:trPr>
          <w:trHeight w:val="168"/>
        </w:trPr>
        <w:tc>
          <w:tcPr>
            <w:tcW w:w="3080" w:type="dxa"/>
            <w:vAlign w:val="bottom"/>
          </w:tcPr>
          <w:p>
            <w:pPr>
              <w:spacing w:after="0"/>
              <w:rPr>
                <w:sz w:val="14"/>
                <w:szCs w:val="14"/>
                <w:color w:val="auto"/>
              </w:rPr>
            </w:pPr>
          </w:p>
        </w:tc>
        <w:tc>
          <w:tcPr>
            <w:tcW w:w="2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June 30, 2003</w:t>
            </w:r>
          </w:p>
        </w:tc>
        <w:tc>
          <w:tcPr>
            <w:tcW w:w="2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16,650</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$167</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$ 52,550</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$ 40,762</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$ 2,482</w:t>
            </w:r>
          </w:p>
        </w:tc>
        <w:tc>
          <w:tcPr>
            <w:tcW w:w="1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$ 95,961</w:t>
            </w:r>
          </w:p>
        </w:tc>
      </w:tr>
      <w:tr>
        <w:trPr>
          <w:trHeight w:val="168"/>
        </w:trPr>
        <w:tc>
          <w:tcPr>
            <w:tcW w:w="3080" w:type="dxa"/>
            <w:vAlign w:val="bottom"/>
          </w:tcPr>
          <w:p>
            <w:pPr>
              <w:spacing w:after="0"/>
              <w:rPr>
                <w:sz w:val="14"/>
                <w:szCs w:val="14"/>
                <w:color w:val="auto"/>
              </w:rPr>
            </w:pPr>
          </w:p>
        </w:tc>
        <w:tc>
          <w:tcPr>
            <w:tcW w:w="2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Balance, January 1, 2004</w:t>
            </w:r>
          </w:p>
        </w:tc>
        <w:tc>
          <w:tcPr>
            <w:tcW w:w="2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16,712</w:t>
            </w: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$168</w:t>
            </w:r>
          </w:p>
        </w:tc>
        <w:tc>
          <w:tcPr>
            <w:tcW w:w="13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$ 52,960</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$ 43,931</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$ 9,409</w:t>
            </w:r>
          </w:p>
        </w:tc>
        <w:tc>
          <w:tcPr>
            <w:tcW w:w="12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$106,468</w:t>
            </w:r>
          </w:p>
        </w:tc>
      </w:tr>
      <w:tr>
        <w:trPr>
          <w:trHeight w:val="168"/>
        </w:trPr>
        <w:tc>
          <w:tcPr>
            <w:tcW w:w="3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Shares issued</w:t>
            </w:r>
          </w:p>
        </w:tc>
        <w:tc>
          <w:tcPr>
            <w:tcW w:w="2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89</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89</w:t>
            </w:r>
          </w:p>
        </w:tc>
      </w:tr>
      <w:tr>
        <w:trPr>
          <w:trHeight w:val="168"/>
        </w:trPr>
        <w:tc>
          <w:tcPr>
            <w:tcW w:w="3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2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5,204</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5,204</w:t>
            </w:r>
          </w:p>
        </w:tc>
      </w:tr>
      <w:tr>
        <w:trPr>
          <w:trHeight w:val="168"/>
        </w:trPr>
        <w:tc>
          <w:tcPr>
            <w:tcW w:w="3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 declared</w:t>
            </w:r>
          </w:p>
        </w:tc>
        <w:tc>
          <w:tcPr>
            <w:tcW w:w="2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(2,674)</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(2,674)</w:t>
            </w:r>
          </w:p>
        </w:tc>
      </w:tr>
      <w:tr>
        <w:trPr>
          <w:trHeight w:val="168"/>
        </w:trPr>
        <w:tc>
          <w:tcPr>
            <w:tcW w:w="3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Other comprehensive income (loss)</w:t>
            </w:r>
          </w:p>
        </w:tc>
        <w:tc>
          <w:tcPr>
            <w:tcW w:w="2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(3,013)</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(3,013)</w:t>
            </w:r>
          </w:p>
        </w:tc>
      </w:tr>
      <w:tr>
        <w:trPr>
          <w:trHeight w:val="168"/>
        </w:trPr>
        <w:tc>
          <w:tcPr>
            <w:tcW w:w="3080" w:type="dxa"/>
            <w:vAlign w:val="bottom"/>
          </w:tcPr>
          <w:p>
            <w:pPr>
              <w:spacing w:after="0"/>
              <w:rPr>
                <w:sz w:val="14"/>
                <w:szCs w:val="14"/>
                <w:color w:val="auto"/>
              </w:rPr>
            </w:pPr>
          </w:p>
        </w:tc>
        <w:tc>
          <w:tcPr>
            <w:tcW w:w="2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June 30, 2004</w:t>
            </w:r>
          </w:p>
        </w:tc>
        <w:tc>
          <w:tcPr>
            <w:tcW w:w="2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16,727</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$168</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$ 53,049</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$ 46,461</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$ 6,396</w:t>
            </w:r>
          </w:p>
        </w:tc>
        <w:tc>
          <w:tcPr>
            <w:tcW w:w="1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$106,074</w:t>
            </w:r>
          </w:p>
        </w:tc>
      </w:tr>
      <w:tr>
        <w:trPr>
          <w:trHeight w:val="168"/>
        </w:trPr>
        <w:tc>
          <w:tcPr>
            <w:tcW w:w="3080" w:type="dxa"/>
            <w:vAlign w:val="bottom"/>
          </w:tcPr>
          <w:p>
            <w:pPr>
              <w:spacing w:after="0"/>
              <w:rPr>
                <w:sz w:val="14"/>
                <w:szCs w:val="14"/>
                <w:color w:val="auto"/>
              </w:rPr>
            </w:pPr>
          </w:p>
        </w:tc>
        <w:tc>
          <w:tcPr>
            <w:tcW w:w="2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See accompanying notes.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540"/>
          </w:cols>
          <w:pgMar w:left="220" w:top="785" w:right="139" w:bottom="1440" w:gutter="0" w:footer="0" w:header="0"/>
        </w:sectPr>
      </w:pPr>
    </w:p>
    <w:bookmarkStart w:id="5" w:name="page6"/>
    <w:bookmarkEnd w:id="5"/>
    <w:p>
      <w:pPr>
        <w:jc w:val="center"/>
        <w:ind w:right="3219"/>
        <w:spacing w:after="0"/>
        <w:rPr>
          <w:sz w:val="20"/>
          <w:szCs w:val="20"/>
          <w:color w:val="auto"/>
        </w:rPr>
      </w:pPr>
      <w:r>
        <w:rPr>
          <w:rFonts w:ascii="Courier New" w:cs="Courier New" w:eastAsia="Courier New" w:hAnsi="Courier New"/>
          <w:sz w:val="15"/>
          <w:szCs w:val="15"/>
          <w:color w:val="auto"/>
        </w:rPr>
        <w:t>NN, Inc.</w:t>
      </w:r>
    </w:p>
    <w:p>
      <w:pPr>
        <w:jc w:val="center"/>
        <w:ind w:right="3139"/>
        <w:spacing w:after="0" w:line="237" w:lineRule="auto"/>
        <w:rPr>
          <w:sz w:val="20"/>
          <w:szCs w:val="20"/>
          <w:color w:val="auto"/>
        </w:rPr>
      </w:pPr>
      <w:r>
        <w:rPr>
          <w:rFonts w:ascii="Courier New" w:cs="Courier New" w:eastAsia="Courier New" w:hAnsi="Courier New"/>
          <w:sz w:val="15"/>
          <w:szCs w:val="15"/>
          <w:color w:val="auto"/>
        </w:rPr>
        <w:t>Consolidated Statements of Cash Flows</w:t>
      </w:r>
    </w:p>
    <w:p>
      <w:pPr>
        <w:jc w:val="center"/>
        <w:ind w:right="3139"/>
        <w:spacing w:after="0" w:line="238" w:lineRule="auto"/>
        <w:rPr>
          <w:sz w:val="20"/>
          <w:szCs w:val="20"/>
          <w:color w:val="auto"/>
        </w:rPr>
      </w:pPr>
      <w:r>
        <w:rPr>
          <w:rFonts w:ascii="Courier New" w:cs="Courier New" w:eastAsia="Courier New" w:hAnsi="Courier New"/>
          <w:sz w:val="15"/>
          <w:szCs w:val="15"/>
          <w:color w:val="auto"/>
        </w:rPr>
        <w:t>(Unaudited)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Six</w:t>
            </w:r>
          </w:p>
        </w:tc>
        <w:tc>
          <w:tcPr>
            <w:tcW w:w="1480" w:type="dxa"/>
            <w:vAlign w:val="bottom"/>
            <w:gridSpan w:val="2"/>
          </w:tcPr>
          <w:p>
            <w:pPr>
              <w:spacing w:after="0"/>
              <w:rPr>
                <w:sz w:val="20"/>
                <w:szCs w:val="20"/>
                <w:color w:val="auto"/>
              </w:rPr>
            </w:pPr>
            <w:r>
              <w:rPr>
                <w:rFonts w:ascii="Courier New" w:cs="Courier New" w:eastAsia="Courier New" w:hAnsi="Courier New"/>
                <w:sz w:val="15"/>
                <w:szCs w:val="15"/>
                <w:color w:val="auto"/>
              </w:rPr>
              <w:t>Months Ended</w:t>
            </w:r>
          </w:p>
        </w:tc>
      </w:tr>
      <w:tr>
        <w:trPr>
          <w:trHeight w:val="168"/>
        </w:trPr>
        <w:tc>
          <w:tcPr>
            <w:tcW w:w="4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June 30,</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Thousands of Dollars</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2004</w:t>
            </w:r>
          </w:p>
        </w:tc>
        <w:tc>
          <w:tcPr>
            <w:tcW w:w="260" w:type="dxa"/>
            <w:vAlign w:val="bottom"/>
          </w:tcPr>
          <w:p>
            <w:pPr>
              <w:spacing w:after="0"/>
              <w:rPr>
                <w:sz w:val="14"/>
                <w:szCs w:val="14"/>
                <w:color w:val="auto"/>
              </w:rPr>
            </w:pP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2003</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Activities:</w:t>
            </w: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$ 5,204</w:t>
            </w:r>
          </w:p>
        </w:tc>
        <w:tc>
          <w:tcPr>
            <w:tcW w:w="26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$ 4,340</w:t>
            </w: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Adjustments to reconcile net income to net</w:t>
            </w: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6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cash provided (used) by operating activities:</w:t>
            </w: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7,918</w:t>
            </w:r>
          </w:p>
        </w:tc>
        <w:tc>
          <w:tcPr>
            <w:tcW w:w="26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6,500</w:t>
            </w:r>
          </w:p>
        </w:tc>
      </w:tr>
      <w:tr>
        <w:trPr>
          <w:trHeight w:val="168"/>
        </w:trPr>
        <w:tc>
          <w:tcPr>
            <w:tcW w:w="4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Amortization of debt issue costs</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106</w:t>
            </w:r>
          </w:p>
        </w:tc>
        <w:tc>
          <w:tcPr>
            <w:tcW w:w="26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128</w:t>
            </w:r>
          </w:p>
        </w:tc>
      </w:tr>
      <w:tr>
        <w:trPr>
          <w:trHeight w:val="168"/>
        </w:trPr>
        <w:tc>
          <w:tcPr>
            <w:tcW w:w="4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Write-off of unamortized debt issue costs</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260</w:t>
            </w:r>
          </w:p>
        </w:tc>
        <w:tc>
          <w:tcPr>
            <w:tcW w:w="26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455</w:t>
            </w:r>
          </w:p>
        </w:tc>
      </w:tr>
      <w:tr>
        <w:trPr>
          <w:trHeight w:val="168"/>
        </w:trPr>
        <w:tc>
          <w:tcPr>
            <w:tcW w:w="4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Gain on disposal of property, plant and equipment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c>
          <w:tcPr>
            <w:tcW w:w="26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Interest income on note receivable</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w:t>
            </w:r>
          </w:p>
        </w:tc>
        <w:tc>
          <w:tcPr>
            <w:tcW w:w="26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4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Minority interest in consolidated subsidiary</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675</w:t>
            </w:r>
          </w:p>
        </w:tc>
      </w:tr>
      <w:tr>
        <w:trPr>
          <w:trHeight w:val="168"/>
        </w:trPr>
        <w:tc>
          <w:tcPr>
            <w:tcW w:w="4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Restructuring costs and impairment costs</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3,047</w:t>
            </w:r>
          </w:p>
        </w:tc>
      </w:tr>
      <w:tr>
        <w:trPr>
          <w:trHeight w:val="168"/>
        </w:trPr>
        <w:tc>
          <w:tcPr>
            <w:tcW w:w="4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Changes in operating assets and liabilities:</w:t>
            </w: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6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(7,951)</w:t>
            </w:r>
          </w:p>
        </w:tc>
        <w:tc>
          <w:tcPr>
            <w:tcW w:w="26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(14,043)</w:t>
            </w:r>
          </w:p>
        </w:tc>
      </w:tr>
      <w:tr>
        <w:trPr>
          <w:trHeight w:val="168"/>
        </w:trPr>
        <w:tc>
          <w:tcPr>
            <w:tcW w:w="46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Inventories</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3,694</w:t>
            </w:r>
          </w:p>
        </w:tc>
        <w:tc>
          <w:tcPr>
            <w:tcW w:w="26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(3,717)</w:t>
            </w:r>
          </w:p>
        </w:tc>
      </w:tr>
      <w:tr>
        <w:trPr>
          <w:trHeight w:val="168"/>
        </w:trPr>
        <w:tc>
          <w:tcPr>
            <w:tcW w:w="46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w:t>
            </w:r>
          </w:p>
        </w:tc>
        <w:tc>
          <w:tcPr>
            <w:tcW w:w="26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(1,352)</w:t>
            </w:r>
          </w:p>
        </w:tc>
      </w:tr>
      <w:tr>
        <w:trPr>
          <w:trHeight w:val="168"/>
        </w:trPr>
        <w:tc>
          <w:tcPr>
            <w:tcW w:w="46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Other assets</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(222)</w:t>
            </w:r>
          </w:p>
        </w:tc>
        <w:tc>
          <w:tcPr>
            <w:tcW w:w="26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(3,078)</w:t>
            </w:r>
          </w:p>
        </w:tc>
      </w:tr>
      <w:tr>
        <w:trPr>
          <w:trHeight w:val="168"/>
        </w:trPr>
        <w:tc>
          <w:tcPr>
            <w:tcW w:w="46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Accounts payable</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2,959</w:t>
            </w:r>
          </w:p>
        </w:tc>
        <w:tc>
          <w:tcPr>
            <w:tcW w:w="26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11,030</w:t>
            </w:r>
          </w:p>
        </w:tc>
      </w:tr>
      <w:tr>
        <w:trPr>
          <w:trHeight w:val="168"/>
        </w:trPr>
        <w:tc>
          <w:tcPr>
            <w:tcW w:w="46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Income taxes payable</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1,259</w:t>
            </w:r>
          </w:p>
        </w:tc>
        <w:tc>
          <w:tcPr>
            <w:tcW w:w="26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1,019</w:t>
            </w:r>
          </w:p>
        </w:tc>
      </w:tr>
      <w:tr>
        <w:trPr>
          <w:trHeight w:val="168"/>
        </w:trPr>
        <w:tc>
          <w:tcPr>
            <w:tcW w:w="46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Other liabilities</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81</w:t>
            </w:r>
          </w:p>
        </w:tc>
        <w:tc>
          <w:tcPr>
            <w:tcW w:w="26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(645)</w:t>
            </w:r>
          </w:p>
        </w:tc>
      </w:tr>
      <w:tr>
        <w:trPr>
          <w:trHeight w:val="168"/>
        </w:trPr>
        <w:tc>
          <w:tcPr>
            <w:tcW w:w="468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46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13,392</w:t>
            </w:r>
          </w:p>
        </w:tc>
        <w:tc>
          <w:tcPr>
            <w:tcW w:w="26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4,399</w:t>
            </w:r>
          </w:p>
        </w:tc>
      </w:tr>
      <w:tr>
        <w:trPr>
          <w:trHeight w:val="168"/>
        </w:trPr>
        <w:tc>
          <w:tcPr>
            <w:tcW w:w="468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Investing Activities:</w:t>
            </w: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6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Acquisition of Veenendaal, The Netherlands</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(17,777)</w:t>
            </w:r>
          </w:p>
        </w:tc>
      </w:tr>
      <w:tr>
        <w:trPr>
          <w:trHeight w:val="168"/>
        </w:trPr>
        <w:tc>
          <w:tcPr>
            <w:tcW w:w="46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Purchase of minority interest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(15,583)</w:t>
            </w:r>
          </w:p>
        </w:tc>
      </w:tr>
      <w:tr>
        <w:trPr>
          <w:trHeight w:val="168"/>
        </w:trPr>
        <w:tc>
          <w:tcPr>
            <w:tcW w:w="46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Acquisition of property, plant, and equipment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(5,178)</w:t>
            </w:r>
          </w:p>
        </w:tc>
        <w:tc>
          <w:tcPr>
            <w:tcW w:w="26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(4,273)</w:t>
            </w:r>
          </w:p>
        </w:tc>
      </w:tr>
      <w:tr>
        <w:trPr>
          <w:trHeight w:val="168"/>
        </w:trPr>
        <w:tc>
          <w:tcPr>
            <w:tcW w:w="46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Proceeds from disposals of property, plant and</w:t>
            </w: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equipment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87</w:t>
            </w:r>
          </w:p>
        </w:tc>
        <w:tc>
          <w:tcPr>
            <w:tcW w:w="26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46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Net cash used by investing activities</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(5,091)</w:t>
            </w:r>
          </w:p>
        </w:tc>
        <w:tc>
          <w:tcPr>
            <w:tcW w:w="26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(37,633)</w:t>
            </w:r>
          </w:p>
        </w:tc>
      </w:tr>
      <w:tr>
        <w:trPr>
          <w:trHeight w:val="168"/>
        </w:trPr>
        <w:tc>
          <w:tcPr>
            <w:tcW w:w="468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46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Proceeds from long-term debt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40,000</w:t>
            </w:r>
          </w:p>
        </w:tc>
        <w:tc>
          <w:tcPr>
            <w:tcW w:w="26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89,560</w:t>
            </w:r>
          </w:p>
        </w:tc>
      </w:tr>
      <w:tr>
        <w:trPr>
          <w:trHeight w:val="168"/>
        </w:trPr>
        <w:tc>
          <w:tcPr>
            <w:tcW w:w="46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Book overdraft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363</w:t>
            </w:r>
          </w:p>
        </w:tc>
      </w:tr>
      <w:tr>
        <w:trPr>
          <w:trHeight w:val="168"/>
        </w:trPr>
        <w:tc>
          <w:tcPr>
            <w:tcW w:w="46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Debt issue costs paid</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(703)</w:t>
            </w:r>
          </w:p>
        </w:tc>
        <w:tc>
          <w:tcPr>
            <w:tcW w:w="26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(761)</w:t>
            </w:r>
          </w:p>
        </w:tc>
      </w:tr>
      <w:tr>
        <w:trPr>
          <w:trHeight w:val="168"/>
        </w:trPr>
        <w:tc>
          <w:tcPr>
            <w:tcW w:w="46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Repayment of long-term debt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(41,075)</w:t>
            </w:r>
          </w:p>
        </w:tc>
        <w:tc>
          <w:tcPr>
            <w:tcW w:w="26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(59,408)</w:t>
            </w:r>
          </w:p>
        </w:tc>
      </w:tr>
      <w:tr>
        <w:trPr>
          <w:trHeight w:val="168"/>
        </w:trPr>
        <w:tc>
          <w:tcPr>
            <w:tcW w:w="46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Repayment of short-term debt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w:t>
            </w:r>
          </w:p>
        </w:tc>
        <w:tc>
          <w:tcPr>
            <w:tcW w:w="26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Proceeds from issuance of stock</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w:t>
            </w:r>
          </w:p>
        </w:tc>
        <w:tc>
          <w:tcPr>
            <w:tcW w:w="26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5,168</w:t>
            </w:r>
          </w:p>
        </w:tc>
      </w:tr>
      <w:tr>
        <w:trPr>
          <w:trHeight w:val="168"/>
        </w:trPr>
        <w:tc>
          <w:tcPr>
            <w:tcW w:w="46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Dividends paid</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(2,674)</w:t>
            </w:r>
          </w:p>
        </w:tc>
        <w:tc>
          <w:tcPr>
            <w:tcW w:w="26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(2,562)</w:t>
            </w:r>
          </w:p>
        </w:tc>
      </w:tr>
      <w:tr>
        <w:trPr>
          <w:trHeight w:val="168"/>
        </w:trPr>
        <w:tc>
          <w:tcPr>
            <w:tcW w:w="468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46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Net cash provided (used) by</w:t>
            </w: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68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financing activities</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(6,362)</w:t>
            </w:r>
          </w:p>
        </w:tc>
        <w:tc>
          <w:tcPr>
            <w:tcW w:w="26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32,360</w:t>
            </w:r>
          </w:p>
        </w:tc>
      </w:tr>
      <w:tr>
        <w:trPr>
          <w:trHeight w:val="168"/>
        </w:trPr>
        <w:tc>
          <w:tcPr>
            <w:tcW w:w="468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 exchange rate changes on cash</w:t>
            </w: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and cash equivalents</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(273)</w:t>
            </w:r>
          </w:p>
        </w:tc>
        <w:tc>
          <w:tcPr>
            <w:tcW w:w="26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371</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Net Change in Cash and Cash Equivalents</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1,666</w:t>
            </w:r>
          </w:p>
        </w:tc>
        <w:tc>
          <w:tcPr>
            <w:tcW w:w="260" w:type="dxa"/>
            <w:vAlign w:val="bottom"/>
          </w:tcPr>
          <w:p>
            <w:pPr>
              <w:spacing w:after="0"/>
              <w:rPr>
                <w:sz w:val="24"/>
                <w:szCs w:val="24"/>
                <w:color w:val="auto"/>
              </w:rPr>
            </w:pP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(503)</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at Beginning of Period</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4,978</w:t>
            </w:r>
          </w:p>
        </w:tc>
        <w:tc>
          <w:tcPr>
            <w:tcW w:w="26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5,144</w:t>
            </w:r>
          </w:p>
        </w:tc>
      </w:tr>
      <w:tr>
        <w:trPr>
          <w:trHeight w:val="168"/>
        </w:trPr>
        <w:tc>
          <w:tcPr>
            <w:tcW w:w="468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at End of Period</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$ 6,644</w:t>
            </w:r>
          </w:p>
        </w:tc>
        <w:tc>
          <w:tcPr>
            <w:tcW w:w="26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$ 4,641</w:t>
            </w:r>
          </w:p>
        </w:tc>
      </w:tr>
      <w:tr>
        <w:trPr>
          <w:trHeight w:val="168"/>
        </w:trPr>
        <w:tc>
          <w:tcPr>
            <w:tcW w:w="468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w:t>
            </w:r>
          </w:p>
        </w:tc>
      </w:tr>
    </w:tbl>
    <w:p>
      <w:pPr>
        <w:spacing w:after="0" w:line="200" w:lineRule="exact"/>
        <w:rPr>
          <w:sz w:val="20"/>
          <w:szCs w:val="20"/>
          <w:color w:val="auto"/>
        </w:rPr>
      </w:pPr>
    </w:p>
    <w:p>
      <w:pPr>
        <w:spacing w:after="0" w:line="30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See accompanying notes.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785" w:right="1440" w:bottom="1440" w:gutter="0" w:footer="0" w:header="0"/>
        </w:sectPr>
      </w:pPr>
    </w:p>
    <w:bookmarkStart w:id="6" w:name="page7"/>
    <w:bookmarkEnd w:id="6"/>
    <w:p>
      <w:pPr>
        <w:jc w:val="center"/>
        <w:ind w:right="3239"/>
        <w:spacing w:after="0"/>
        <w:rPr>
          <w:sz w:val="20"/>
          <w:szCs w:val="20"/>
          <w:color w:val="auto"/>
        </w:rPr>
      </w:pPr>
      <w:r>
        <w:rPr>
          <w:rFonts w:ascii="Courier New" w:cs="Courier New" w:eastAsia="Courier New" w:hAnsi="Courier New"/>
          <w:sz w:val="15"/>
          <w:szCs w:val="15"/>
          <w:color w:val="auto"/>
        </w:rPr>
        <w:t>NN, Inc.</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139"/>
        <w:spacing w:after="0" w:line="238" w:lineRule="auto"/>
        <w:rPr>
          <w:sz w:val="20"/>
          <w:szCs w:val="20"/>
          <w:color w:val="auto"/>
        </w:rPr>
      </w:pPr>
      <w:r>
        <w:rPr>
          <w:rFonts w:ascii="Courier New" w:cs="Courier New" w:eastAsia="Courier New" w:hAnsi="Courier New"/>
          <w:sz w:val="15"/>
          <w:szCs w:val="15"/>
          <w:color w:val="auto"/>
        </w:rPr>
        <w:t>(unaudited)</w:t>
      </w:r>
    </w:p>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w:t>
      </w:r>
      <w:r>
        <w:rPr>
          <w:sz w:val="20"/>
          <w:szCs w:val="20"/>
          <w:color w:val="auto"/>
        </w:rPr>
        <w:tab/>
      </w:r>
      <w:r>
        <w:rPr>
          <w:rFonts w:ascii="Courier New" w:cs="Courier New" w:eastAsia="Courier New" w:hAnsi="Courier New"/>
          <w:sz w:val="14"/>
          <w:szCs w:val="14"/>
          <w:color w:val="auto"/>
        </w:rPr>
        <w:t>Interim Financial Statements</w:t>
      </w:r>
    </w:p>
    <w:p>
      <w:pPr>
        <w:spacing w:after="0" w:line="173"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The accompanying consolidated financial statements of NN, Inc. (the "Company") have not been audited by our independent registered public accounting firm, except that the balance sheet at December 31, 2003 is derived from the Company's audited financial statements. In the opinion of the Company's management, the financial statements reflect all adjustments necessary to present fairly the results of operations for the three and six month periods ended June 30, 2004 and 2003, the Company's financial position at June 30, 2004 and December 31, 2003, and the cash flows for the six month periods ended June 30, 2004 and 2003. These adjustments are of a normal recurring nature and are, in the opinion of management, necessary for fair presentation of the financial position and operating results for the interim periods. As used in this Quarterly Report on Form 10-Q, the terms "NN", "the Company", "we", "our", or "us" mean NN, Inc. and its subsidiaries.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Certain information and footnote disclosures normally included in the financial statements prepared in accordance with generally accepted accounting principles have been condensed or omitted from the interim financial statements presented in this Quarterly Report on Form 10-Q. These Condensed, Consolidated, Unaudited Financial Statements should be read in conjunction with our audited Consolidated Financial Statements and the Notes thereto included in our most recent annual report on Form 10-K which we filed with the Securities and Exchange Commission on March 15, 2004.</w:t>
      </w:r>
    </w:p>
    <w:p>
      <w:pPr>
        <w:sectPr>
          <w:pgSz w:w="11900" w:h="16838" w:orient="portrait"/>
          <w:cols w:equalWidth="0" w:num="1">
            <w:col w:w="10239"/>
          </w:cols>
          <w:pgMar w:left="220" w:top="449" w:right="1440" w:bottom="1440" w:gutter="0" w:footer="0" w:header="0"/>
        </w:sectPr>
      </w:pPr>
    </w:p>
    <w:p>
      <w:pPr>
        <w:spacing w:after="0" w:line="171" w:lineRule="exact"/>
        <w:rPr>
          <w:sz w:val="20"/>
          <w:szCs w:val="20"/>
          <w:color w:val="auto"/>
        </w:rPr>
      </w:pPr>
    </w:p>
    <w:p>
      <w:pPr>
        <w:spacing w:after="0"/>
        <w:tabs>
          <w:tab w:leader="none" w:pos="420" w:val="left"/>
          <w:tab w:leader="none" w:pos="1220" w:val="left"/>
          <w:tab w:leader="none" w:pos="2000" w:val="left"/>
        </w:tabs>
        <w:rPr>
          <w:sz w:val="20"/>
          <w:szCs w:val="20"/>
          <w:color w:val="auto"/>
        </w:rPr>
      </w:pPr>
      <w:r>
        <w:rPr>
          <w:rFonts w:ascii="Courier New" w:cs="Courier New" w:eastAsia="Courier New" w:hAnsi="Courier New"/>
          <w:sz w:val="15"/>
          <w:szCs w:val="15"/>
          <w:color w:val="auto"/>
        </w:rPr>
        <w:t>The</w:t>
        <w:tab/>
        <w:t>results</w:t>
        <w:tab/>
        <w:t>for the</w:t>
      </w:r>
      <w:r>
        <w:rPr>
          <w:sz w:val="20"/>
          <w:szCs w:val="20"/>
          <w:color w:val="auto"/>
        </w:rPr>
        <w:tab/>
      </w:r>
      <w:r>
        <w:rPr>
          <w:rFonts w:ascii="Courier New" w:cs="Courier New" w:eastAsia="Courier New" w:hAnsi="Courier New"/>
          <w:sz w:val="14"/>
          <w:szCs w:val="14"/>
          <w:color w:val="auto"/>
        </w:rPr>
        <w:t>first</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and</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second</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quarter</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of 2004 are not</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necessarily</w:t>
      </w:r>
    </w:p>
    <w:p>
      <w:pPr>
        <w:spacing w:after="0" w:line="9" w:lineRule="exact"/>
        <w:rPr>
          <w:sz w:val="20"/>
          <w:szCs w:val="20"/>
          <w:color w:val="auto"/>
        </w:rPr>
      </w:pPr>
    </w:p>
    <w:p>
      <w:pPr>
        <w:sectPr>
          <w:pgSz w:w="11900" w:h="16838" w:orient="portrait"/>
          <w:cols w:equalWidth="0" w:num="6">
            <w:col w:w="2460" w:space="180"/>
            <w:col w:w="260" w:space="180"/>
            <w:col w:w="520" w:space="180"/>
            <w:col w:w="600" w:space="180"/>
            <w:col w:w="1300" w:space="180"/>
            <w:col w:w="4199"/>
          </w:cols>
          <w:pgMar w:left="220" w:top="44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indicative of future results.</w:t>
      </w:r>
    </w:p>
    <w:p>
      <w:pPr>
        <w:sectPr>
          <w:pgSz w:w="11900" w:h="16838" w:orient="portrait"/>
          <w:cols w:equalWidth="0" w:num="1">
            <w:col w:w="10239"/>
          </w:cols>
          <w:pgMar w:left="220" w:top="449" w:right="1440" w:bottom="1440" w:gutter="0" w:footer="0" w:header="0"/>
          <w:type w:val="continuous"/>
        </w:sectPr>
      </w:pPr>
    </w:p>
    <w:p>
      <w:pPr>
        <w:spacing w:after="0" w:line="171"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Certain</w:t>
      </w:r>
      <w:r>
        <w:rPr>
          <w:sz w:val="20"/>
          <w:szCs w:val="20"/>
          <w:color w:val="auto"/>
        </w:rPr>
        <w:tab/>
      </w:r>
      <w:r>
        <w:rPr>
          <w:rFonts w:ascii="Courier New" w:cs="Courier New" w:eastAsia="Courier New" w:hAnsi="Courier New"/>
          <w:sz w:val="14"/>
          <w:szCs w:val="14"/>
          <w:color w:val="auto"/>
        </w:rPr>
        <w:t>2003</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amounts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have</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been</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reclassified</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conform</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with</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the</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2004</w:t>
      </w:r>
    </w:p>
    <w:p>
      <w:pPr>
        <w:spacing w:after="0" w:line="9" w:lineRule="exact"/>
        <w:rPr>
          <w:sz w:val="20"/>
          <w:szCs w:val="20"/>
          <w:color w:val="auto"/>
        </w:rPr>
      </w:pPr>
    </w:p>
    <w:p>
      <w:pPr>
        <w:sectPr>
          <w:pgSz w:w="11900" w:h="16838" w:orient="portrait"/>
          <w:cols w:equalWidth="0" w:num="10">
            <w:col w:w="1140" w:space="180"/>
            <w:col w:w="620" w:space="160"/>
            <w:col w:w="360" w:space="180"/>
            <w:col w:w="340" w:space="260"/>
            <w:col w:w="1060" w:space="260"/>
            <w:col w:w="180" w:space="160"/>
            <w:col w:w="620" w:space="180"/>
            <w:col w:w="340" w:space="180"/>
            <w:col w:w="260" w:space="180"/>
            <w:col w:w="3579"/>
          </w:cols>
          <w:pgMar w:left="220" w:top="44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presentation.</w:t>
      </w:r>
    </w:p>
    <w:p>
      <w:pPr>
        <w:sectPr>
          <w:pgSz w:w="11900" w:h="16838" w:orient="portrait"/>
          <w:cols w:equalWidth="0" w:num="1">
            <w:col w:w="10239"/>
          </w:cols>
          <w:pgMar w:left="220" w:top="449" w:right="1440" w:bottom="1440" w:gutter="0" w:footer="0" w:header="0"/>
          <w:type w:val="continuous"/>
        </w:sectPr>
      </w:pPr>
    </w:p>
    <w:p>
      <w:pPr>
        <w:spacing w:after="0" w:line="171"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4"/>
          <w:szCs w:val="14"/>
          <w:color w:val="auto"/>
        </w:rPr>
        <w:t>Derivative Financial Instruments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We have an interest rate swap accounted for in accordance with Statement of Financial Accounting Standards (SFAS) No. 133, "Accounting for Derivative Instruments and Hedging Activities", effective January 1, 2001. The Company adopted SFAS No. 133 on January 1, 2001, which establishes accounting and reporting standards for derivative instruments and for hedging activities. The Standard requires the recognition of all derivative instruments on the balance sheet at fair value. The Standard allows for hedge accounting if certain requirements are met including documentation of the hedging relationship at inception and upon adoption of the Standard.</w:t>
      </w:r>
    </w:p>
    <w:p>
      <w:pPr>
        <w:spacing w:after="0" w:line="178"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 connection with a variable Euribor rate debt financing in July 2000, our subsidiary, NN Europe ApS (formerly known as NN Euroball ApS) entered into an interest rate swap with a notional amount of 12.5 million Euro for the purpose of fixing the interest rate on a portion of its debt financing. The interest rate swap provides for the Company to receive variable Euribor interest payments and pay 5.51% fixed interest. The interest rate swap agreement expires in July 2006 and the notional amount amortizes in relation to initially established principal payments on the underlying debt over the life of the swap. This original debt was repaid in May 2003, however, the swap remains pursuant to its original terms.</w:t>
      </w:r>
    </w:p>
    <w:p>
      <w:pPr>
        <w:spacing w:after="0" w:line="179"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As of June 30, 2004, the fair value of the swap was approximately $304,000, which is recorded in other non-current liabilities. The change in fair value during the six month periods ended June 30, 2004 and 2003 was a gain of approximately $84,000 and a loss of $128,000, respectively, which have been included as a component of other (income) expense.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449" w:right="1440" w:bottom="1440" w:gutter="0" w:footer="0" w:header="0"/>
          <w:type w:val="continuous"/>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Note 3. Inventories</w:t>
      </w:r>
    </w:p>
    <w:p>
      <w:pPr>
        <w:spacing w:after="0" w:line="173" w:lineRule="exact"/>
        <w:rPr>
          <w:sz w:val="20"/>
          <w:szCs w:val="20"/>
          <w:color w:val="auto"/>
        </w:rPr>
      </w:pPr>
    </w:p>
    <w:p>
      <w:pPr>
        <w:jc w:val="both"/>
        <w:ind w:right="700"/>
        <w:spacing w:after="0" w:line="234" w:lineRule="auto"/>
        <w:rPr>
          <w:sz w:val="20"/>
          <w:szCs w:val="20"/>
          <w:color w:val="auto"/>
        </w:rPr>
      </w:pPr>
      <w:r>
        <w:rPr>
          <w:rFonts w:ascii="Courier New" w:cs="Courier New" w:eastAsia="Courier New" w:hAnsi="Courier New"/>
          <w:sz w:val="15"/>
          <w:szCs w:val="15"/>
          <w:color w:val="auto"/>
        </w:rPr>
        <w:t>Inventories are stated at the lower of cost or market. Cost is determined using the first-in, first-out method.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 are comprised of the following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24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June 30,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2980" w:type="dxa"/>
            <w:vAlign w:val="bottom"/>
          </w:tcPr>
          <w:p>
            <w:pPr>
              <w:spacing w:after="0"/>
              <w:rPr>
                <w:sz w:val="14"/>
                <w:szCs w:val="14"/>
                <w:color w:val="auto"/>
              </w:rPr>
            </w:pPr>
          </w:p>
        </w:tc>
        <w:tc>
          <w:tcPr>
            <w:tcW w:w="240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2004</w:t>
            </w:r>
          </w:p>
        </w:tc>
        <w:tc>
          <w:tcPr>
            <w:tcW w:w="14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2003</w:t>
            </w:r>
          </w:p>
        </w:tc>
      </w:tr>
      <w:tr>
        <w:trPr>
          <w:trHeight w:val="168"/>
        </w:trPr>
        <w:tc>
          <w:tcPr>
            <w:tcW w:w="2980" w:type="dxa"/>
            <w:vAlign w:val="bottom"/>
          </w:tcPr>
          <w:p>
            <w:pPr>
              <w:spacing w:after="0"/>
              <w:rPr>
                <w:sz w:val="14"/>
                <w:szCs w:val="14"/>
                <w:color w:val="auto"/>
              </w:rPr>
            </w:pPr>
          </w:p>
        </w:tc>
        <w:tc>
          <w:tcPr>
            <w:tcW w:w="2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Raw materials</w:t>
            </w:r>
          </w:p>
        </w:tc>
        <w:tc>
          <w:tcPr>
            <w:tcW w:w="2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7,653</w:t>
            </w:r>
          </w:p>
        </w:tc>
        <w:tc>
          <w:tcPr>
            <w:tcW w:w="1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8,492</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Work in process</w:t>
            </w:r>
          </w:p>
        </w:tc>
        <w:tc>
          <w:tcPr>
            <w:tcW w:w="2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5,769</w:t>
            </w:r>
          </w:p>
        </w:tc>
        <w:tc>
          <w:tcPr>
            <w:tcW w:w="1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6,808</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Finished goods</w:t>
            </w:r>
          </w:p>
        </w:tc>
        <w:tc>
          <w:tcPr>
            <w:tcW w:w="2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19,687</w:t>
            </w:r>
          </w:p>
        </w:tc>
        <w:tc>
          <w:tcPr>
            <w:tcW w:w="1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22,128</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inventory reserves</w:t>
            </w:r>
          </w:p>
        </w:tc>
        <w:tc>
          <w:tcPr>
            <w:tcW w:w="2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(1,243)</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(1,150)</w:t>
            </w:r>
          </w:p>
        </w:tc>
      </w:tr>
      <w:tr>
        <w:trPr>
          <w:trHeight w:val="168"/>
        </w:trPr>
        <w:tc>
          <w:tcPr>
            <w:tcW w:w="2980" w:type="dxa"/>
            <w:vAlign w:val="bottom"/>
          </w:tcPr>
          <w:p>
            <w:pPr>
              <w:spacing w:after="0"/>
              <w:rPr>
                <w:sz w:val="14"/>
                <w:szCs w:val="14"/>
                <w:color w:val="auto"/>
              </w:rPr>
            </w:pPr>
          </w:p>
        </w:tc>
        <w:tc>
          <w:tcPr>
            <w:tcW w:w="2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spacing w:after="0"/>
              <w:rPr>
                <w:sz w:val="14"/>
                <w:szCs w:val="14"/>
                <w:color w:val="auto"/>
              </w:rPr>
            </w:pPr>
          </w:p>
        </w:tc>
        <w:tc>
          <w:tcPr>
            <w:tcW w:w="2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$ 31,866</w:t>
            </w:r>
          </w:p>
        </w:tc>
        <w:tc>
          <w:tcPr>
            <w:tcW w:w="1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$ 36,278</w:t>
            </w:r>
          </w:p>
        </w:tc>
      </w:tr>
      <w:tr>
        <w:trPr>
          <w:trHeight w:val="168"/>
        </w:trPr>
        <w:tc>
          <w:tcPr>
            <w:tcW w:w="2980" w:type="dxa"/>
            <w:vAlign w:val="bottom"/>
          </w:tcPr>
          <w:p>
            <w:pPr>
              <w:spacing w:after="0"/>
              <w:rPr>
                <w:sz w:val="14"/>
                <w:szCs w:val="14"/>
                <w:color w:val="auto"/>
              </w:rPr>
            </w:pPr>
          </w:p>
        </w:tc>
        <w:tc>
          <w:tcPr>
            <w:tcW w:w="2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1400"/>
        <w:spacing w:after="0" w:line="234" w:lineRule="auto"/>
        <w:rPr>
          <w:sz w:val="20"/>
          <w:szCs w:val="20"/>
          <w:color w:val="auto"/>
        </w:rPr>
      </w:pPr>
      <w:r>
        <w:rPr>
          <w:rFonts w:ascii="Courier New" w:cs="Courier New" w:eastAsia="Courier New" w:hAnsi="Courier New"/>
          <w:sz w:val="15"/>
          <w:szCs w:val="15"/>
          <w:color w:val="auto"/>
        </w:rPr>
        <w:t>Inventories on consignment at customer locations as of June 30, 2004 and December 31, 2003 were $3,804 and $3,046, respectively.</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4.</w:t>
      </w:r>
      <w:r>
        <w:rPr>
          <w:sz w:val="20"/>
          <w:szCs w:val="20"/>
          <w:color w:val="auto"/>
        </w:rPr>
        <w:tab/>
      </w:r>
      <w:r>
        <w:rPr>
          <w:rFonts w:ascii="Courier New" w:cs="Courier New" w:eastAsia="Courier New" w:hAnsi="Courier New"/>
          <w:sz w:val="14"/>
          <w:szCs w:val="14"/>
          <w:color w:val="auto"/>
        </w:rPr>
        <w:t>Net Income Per Share</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spacing w:after="0"/>
              <w:rPr>
                <w:sz w:val="14"/>
                <w:szCs w:val="14"/>
                <w:color w:val="auto"/>
              </w:rPr>
            </w:pPr>
          </w:p>
        </w:tc>
        <w:tc>
          <w:tcPr>
            <w:tcW w:w="2960" w:type="dxa"/>
            <w:vAlign w:val="bottom"/>
            <w:gridSpan w:val="2"/>
          </w:tcPr>
          <w:p>
            <w:pPr>
              <w:ind w:left="600"/>
              <w:spacing w:after="0"/>
              <w:rPr>
                <w:sz w:val="20"/>
                <w:szCs w:val="20"/>
                <w:color w:val="auto"/>
              </w:rPr>
            </w:pPr>
            <w:r>
              <w:rPr>
                <w:rFonts w:ascii="Courier New" w:cs="Courier New" w:eastAsia="Courier New" w:hAnsi="Courier New"/>
                <w:sz w:val="15"/>
                <w:szCs w:val="15"/>
                <w:color w:val="auto"/>
              </w:rPr>
              <w:t>Three months ended</w:t>
            </w:r>
          </w:p>
        </w:tc>
      </w:tr>
      <w:tr>
        <w:trPr>
          <w:trHeight w:val="168"/>
        </w:trPr>
        <w:tc>
          <w:tcPr>
            <w:tcW w:w="4740" w:type="dxa"/>
            <w:vAlign w:val="bottom"/>
          </w:tcPr>
          <w:p>
            <w:pPr>
              <w:spacing w:after="0"/>
              <w:rPr>
                <w:sz w:val="14"/>
                <w:szCs w:val="14"/>
                <w:color w:val="auto"/>
              </w:rPr>
            </w:pPr>
          </w:p>
        </w:tc>
        <w:tc>
          <w:tcPr>
            <w:tcW w:w="2960" w:type="dxa"/>
            <w:vAlign w:val="bottom"/>
            <w:gridSpan w:val="2"/>
          </w:tcPr>
          <w:p>
            <w:pPr>
              <w:jc w:val="right"/>
              <w:ind w:right="1147"/>
              <w:spacing w:after="0" w:line="168" w:lineRule="exact"/>
              <w:rPr>
                <w:sz w:val="20"/>
                <w:szCs w:val="20"/>
                <w:color w:val="auto"/>
              </w:rPr>
            </w:pPr>
            <w:r>
              <w:rPr>
                <w:rFonts w:ascii="Courier New" w:cs="Courier New" w:eastAsia="Courier New" w:hAnsi="Courier New"/>
                <w:sz w:val="15"/>
                <w:szCs w:val="15"/>
                <w:color w:val="auto"/>
              </w:rPr>
              <w:t>June 30,</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Thousands of Dollars, Except Share and Per Share</w:t>
            </w:r>
          </w:p>
        </w:tc>
        <w:tc>
          <w:tcPr>
            <w:tcW w:w="1520" w:type="dxa"/>
            <w:vAlign w:val="bottom"/>
          </w:tcPr>
          <w:p>
            <w:pPr>
              <w:ind w:left="600"/>
              <w:spacing w:after="0"/>
              <w:rPr>
                <w:sz w:val="20"/>
                <w:szCs w:val="20"/>
                <w:color w:val="auto"/>
              </w:rPr>
            </w:pPr>
            <w:r>
              <w:rPr>
                <w:rFonts w:ascii="Courier New" w:cs="Courier New" w:eastAsia="Courier New" w:hAnsi="Courier New"/>
                <w:sz w:val="15"/>
                <w:szCs w:val="15"/>
                <w:color w:val="auto"/>
              </w:rPr>
              <w:t>2004</w:t>
            </w: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2003</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Data</w:t>
            </w:r>
          </w:p>
        </w:tc>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5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$ 1,986</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$ 697</w:t>
            </w:r>
          </w:p>
        </w:tc>
      </w:tr>
      <w:tr>
        <w:trPr>
          <w:trHeight w:val="168"/>
        </w:trPr>
        <w:tc>
          <w:tcPr>
            <w:tcW w:w="4740" w:type="dxa"/>
            <w:vAlign w:val="bottom"/>
          </w:tcPr>
          <w:p>
            <w:pPr>
              <w:spacing w:after="0"/>
              <w:rPr>
                <w:sz w:val="14"/>
                <w:szCs w:val="14"/>
                <w:color w:val="auto"/>
              </w:rPr>
            </w:pP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Weighted average basic shares</w:t>
            </w:r>
          </w:p>
        </w:tc>
        <w:tc>
          <w:tcPr>
            <w:tcW w:w="15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16,720,858</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16,015,347</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 dilutive stock options</w:t>
            </w: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455,695</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449,466</w:t>
            </w:r>
          </w:p>
        </w:tc>
      </w:tr>
      <w:tr>
        <w:trPr>
          <w:trHeight w:val="168"/>
        </w:trPr>
        <w:tc>
          <w:tcPr>
            <w:tcW w:w="4740" w:type="dxa"/>
            <w:vAlign w:val="bottom"/>
          </w:tcPr>
          <w:p>
            <w:pPr>
              <w:spacing w:after="0"/>
              <w:rPr>
                <w:sz w:val="14"/>
                <w:szCs w:val="14"/>
                <w:color w:val="auto"/>
              </w:rPr>
            </w:pP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dilutive shares outstanding</w:t>
            </w: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17,176,553</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16,464,813</w:t>
            </w:r>
          </w:p>
        </w:tc>
      </w:tr>
      <w:tr>
        <w:trPr>
          <w:trHeight w:val="168"/>
        </w:trPr>
        <w:tc>
          <w:tcPr>
            <w:tcW w:w="4740" w:type="dxa"/>
            <w:vAlign w:val="bottom"/>
          </w:tcPr>
          <w:p>
            <w:pPr>
              <w:spacing w:after="0"/>
              <w:rPr>
                <w:sz w:val="14"/>
                <w:szCs w:val="14"/>
                <w:color w:val="auto"/>
              </w:rPr>
            </w:pP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net income per share</w:t>
            </w: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$ 0.12</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$ 0.04</w:t>
            </w:r>
          </w:p>
        </w:tc>
      </w:tr>
      <w:tr>
        <w:trPr>
          <w:trHeight w:val="168"/>
        </w:trPr>
        <w:tc>
          <w:tcPr>
            <w:tcW w:w="4740" w:type="dxa"/>
            <w:vAlign w:val="bottom"/>
          </w:tcPr>
          <w:p>
            <w:pPr>
              <w:spacing w:after="0"/>
              <w:rPr>
                <w:sz w:val="14"/>
                <w:szCs w:val="14"/>
                <w:color w:val="auto"/>
              </w:rPr>
            </w:pP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net income per share</w:t>
            </w: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$ 0.12</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$ 0.04</w:t>
            </w:r>
          </w:p>
        </w:tc>
      </w:tr>
      <w:tr>
        <w:trPr>
          <w:trHeight w:val="168"/>
        </w:trPr>
        <w:tc>
          <w:tcPr>
            <w:tcW w:w="4740" w:type="dxa"/>
            <w:vAlign w:val="bottom"/>
          </w:tcPr>
          <w:p>
            <w:pPr>
              <w:spacing w:after="0"/>
              <w:rPr>
                <w:sz w:val="14"/>
                <w:szCs w:val="14"/>
                <w:color w:val="auto"/>
              </w:rPr>
            </w:pP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700"/>
        <w:spacing w:after="0" w:line="235" w:lineRule="auto"/>
        <w:rPr>
          <w:sz w:val="20"/>
          <w:szCs w:val="20"/>
          <w:color w:val="auto"/>
        </w:rPr>
      </w:pPr>
      <w:r>
        <w:rPr>
          <w:rFonts w:ascii="Courier New" w:cs="Courier New" w:eastAsia="Courier New" w:hAnsi="Courier New"/>
          <w:sz w:val="15"/>
          <w:szCs w:val="15"/>
          <w:color w:val="auto"/>
        </w:rPr>
        <w:t>Excluded from the shares outstanding for each of the periods ended June 30, 2004 and 2003 were 438,000 and 54,000 antidilutive options, respectively, which had exercise prices of $12.62 as of June 30, 2004 and exercise prices ranging from $10.26 to $10.67 as of June 30, 2003.</w:t>
      </w:r>
    </w:p>
    <w:p>
      <w:pPr>
        <w:spacing w:after="0" w:line="16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5.</w:t>
      </w:r>
      <w:r>
        <w:rPr>
          <w:sz w:val="20"/>
          <w:szCs w:val="20"/>
          <w:color w:val="auto"/>
        </w:rPr>
        <w:tab/>
      </w:r>
      <w:r>
        <w:rPr>
          <w:rFonts w:ascii="Courier New" w:cs="Courier New" w:eastAsia="Courier New" w:hAnsi="Courier New"/>
          <w:sz w:val="14"/>
          <w:szCs w:val="14"/>
          <w:color w:val="auto"/>
        </w:rPr>
        <w:t>Segment Information</w:t>
      </w:r>
    </w:p>
    <w:p>
      <w:pPr>
        <w:spacing w:after="0" w:line="173" w:lineRule="exact"/>
        <w:rPr>
          <w:sz w:val="20"/>
          <w:szCs w:val="20"/>
          <w:color w:val="auto"/>
        </w:rPr>
      </w:pPr>
    </w:p>
    <w:p>
      <w:pPr>
        <w:jc w:val="both"/>
        <w:ind w:right="700"/>
        <w:spacing w:after="0" w:line="254" w:lineRule="auto"/>
        <w:rPr>
          <w:sz w:val="20"/>
          <w:szCs w:val="20"/>
          <w:color w:val="auto"/>
        </w:rPr>
      </w:pPr>
      <w:r>
        <w:rPr>
          <w:rFonts w:ascii="Courier New" w:cs="Courier New" w:eastAsia="Courier New" w:hAnsi="Courier New"/>
          <w:sz w:val="14"/>
          <w:szCs w:val="14"/>
          <w:color w:val="auto"/>
        </w:rPr>
        <w:t>During 2004 and 2003, the Company's reportable segments are based on differences in product lines and geographic locations and are divided among Domestic Ball and Roller, European operations ("NN Europe") and Plastic and Rubber Components. The Domestic Ball and Roller Segment is comprised of two manufacturing facilities in the eastern United States. The NN Europe Segment is comprised of precision ball manufacturing facilities located in Kilkenny, Ireland, Eltmann, Germany, Pinerolo, Italy, Kysucke Nove Mesto, Slovakia, which began production in the second quarter of 2004, and Veenendaal, The Netherlands ("Veenendaal") which is a tapered roller and metal cage manufacturing operation acquired in May 2003 . See Note 6, "Acquisitions and Joint Ventures". All of the facilities in the Domestic Ball and Roller Segment are engaged in the production of precision balls and rollers used primarily in the bearing industry. All of the facilities in the NN Europe Segment are engaged in the production of precision balls used primarily in the bearing industry except for Veenendaal which is engaged in the production of tapered rollers and cages for use primarily in the bearing industry. The Plastic and Rubber Components Segment is comprised of the Industrial Molding Corporation ("IMC") business, located in Lubbock, Texas and The Delta Rubber Company ("Delta") business, located in Danielson, Connecticut. IMC is engaged in the production of plastic injection molded products for the bearing, automotive, instrumentation, fiber optic and office automation markets. Delta is engaged principally in the production of engineered bearing seals used principally in automotive, industrial, agricultural, mining and aerospace applications.</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5"/>
          <w:szCs w:val="15"/>
          <w:color w:val="auto"/>
        </w:rPr>
        <w:t>Six months ended</w:t>
      </w:r>
    </w:p>
    <w:p>
      <w:pPr>
        <w:jc w:val="center"/>
        <w:ind w:right="160"/>
        <w:spacing w:after="0" w:line="237" w:lineRule="auto"/>
        <w:rPr>
          <w:sz w:val="20"/>
          <w:szCs w:val="20"/>
          <w:color w:val="auto"/>
        </w:rPr>
      </w:pPr>
      <w:r>
        <w:rPr>
          <w:rFonts w:ascii="Courier New" w:cs="Courier New" w:eastAsia="Courier New" w:hAnsi="Courier New"/>
          <w:sz w:val="15"/>
          <w:szCs w:val="15"/>
          <w:color w:val="auto"/>
        </w:rPr>
        <w:t>June 30,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2004</w:t>
            </w:r>
          </w:p>
        </w:tc>
        <w:tc>
          <w:tcPr>
            <w:tcW w:w="13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2003</w:t>
            </w:r>
          </w:p>
        </w:tc>
      </w:tr>
      <w:tr>
        <w:trPr>
          <w:trHeight w:val="336"/>
        </w:trPr>
        <w:tc>
          <w:tcPr>
            <w:tcW w:w="14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6"/>
        </w:trPr>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$ 5,204</w:t>
            </w:r>
          </w:p>
        </w:tc>
        <w:tc>
          <w:tcPr>
            <w:tcW w:w="13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$ 4,340</w:t>
            </w:r>
          </w:p>
        </w:tc>
      </w:tr>
      <w:tr>
        <w:trPr>
          <w:trHeight w:val="168"/>
        </w:trPr>
        <w:tc>
          <w:tcPr>
            <w:tcW w:w="14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5"/>
              </w:rPr>
              <w:t>=============</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16,712,867</w:t>
            </w:r>
          </w:p>
        </w:tc>
        <w:tc>
          <w:tcPr>
            <w:tcW w:w="13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15,560,647</w:t>
            </w:r>
          </w:p>
        </w:tc>
      </w:tr>
      <w:tr>
        <w:trPr>
          <w:trHeight w:val="168"/>
        </w:trPr>
        <w:tc>
          <w:tcPr>
            <w:tcW w:w="14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462,832</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331,737</w:t>
            </w:r>
          </w:p>
        </w:tc>
      </w:tr>
      <w:tr>
        <w:trPr>
          <w:trHeight w:val="168"/>
        </w:trPr>
        <w:tc>
          <w:tcPr>
            <w:tcW w:w="14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5"/>
              </w:rPr>
              <w:t>-------------</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17,175,699</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15,892,384</w:t>
            </w:r>
          </w:p>
        </w:tc>
      </w:tr>
      <w:tr>
        <w:trPr>
          <w:trHeight w:val="168"/>
        </w:trPr>
        <w:tc>
          <w:tcPr>
            <w:tcW w:w="14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5"/>
              </w:rPr>
              <w:t>=============</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$ 0.31</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$ 0.28</w:t>
            </w:r>
          </w:p>
        </w:tc>
      </w:tr>
      <w:tr>
        <w:trPr>
          <w:trHeight w:val="168"/>
        </w:trPr>
        <w:tc>
          <w:tcPr>
            <w:tcW w:w="14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5"/>
              </w:rPr>
              <w:t>=============</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$ 0.30</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$ 0.27</w:t>
            </w:r>
          </w:p>
        </w:tc>
      </w:tr>
      <w:tr>
        <w:trPr>
          <w:trHeight w:val="168"/>
        </w:trPr>
        <w:tc>
          <w:tcPr>
            <w:tcW w:w="14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5"/>
              </w:rPr>
              <w:t>=============</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7700" w:space="260"/>
            <w:col w:w="2800"/>
          </w:cols>
          <w:pgMar w:left="220" w:top="617" w:right="919" w:bottom="1440" w:gutter="0" w:footer="0" w:header="0"/>
        </w:sectPr>
      </w:pPr>
    </w:p>
    <w:bookmarkStart w:id="8" w:name="page9"/>
    <w:bookmarkEnd w:id="8"/>
    <w:p>
      <w:pPr>
        <w:jc w:val="both"/>
        <w:ind w:right="3680"/>
        <w:spacing w:after="0" w:line="236" w:lineRule="auto"/>
        <w:rPr>
          <w:sz w:val="20"/>
          <w:szCs w:val="20"/>
          <w:color w:val="auto"/>
        </w:rPr>
      </w:pPr>
      <w:r>
        <w:rPr>
          <w:rFonts w:ascii="Courier New" w:cs="Courier New" w:eastAsia="Courier New" w:hAnsi="Courier New"/>
          <w:sz w:val="15"/>
          <w:szCs w:val="15"/>
          <w:color w:val="auto"/>
        </w:rPr>
        <w:t>The accounting policies of each segment are the same as those described in the summary of significant accounting policies in the Company's Annual Report on Form 10-K for the fiscal year ended December 31, 2003, including those policies as discussed in Note 1. We evaluate segment performance based on profit or loss from operations before income taxes and minority interest. We account for inter-segment sales and transfers at current market prices; however, we did not have any material inter-segment transactions during the three or six month periods ended June 30, 2004 or 2003.</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Three Months Ended June 30,</w:t>
            </w:r>
          </w:p>
        </w:tc>
        <w:tc>
          <w:tcPr>
            <w:tcW w:w="12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2004</w:t>
            </w: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2003</w:t>
            </w:r>
          </w:p>
        </w:tc>
        <w:tc>
          <w:tcPr>
            <w:tcW w:w="148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Plastic and</w:t>
            </w:r>
          </w:p>
        </w:tc>
        <w:tc>
          <w:tcPr>
            <w:tcW w:w="1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Domestic</w:t>
            </w:r>
          </w:p>
        </w:tc>
        <w:tc>
          <w:tcPr>
            <w:tcW w:w="1280" w:type="dxa"/>
            <w:vAlign w:val="bottom"/>
          </w:tcPr>
          <w:p>
            <w:pPr>
              <w:spacing w:after="0"/>
              <w:rPr>
                <w:sz w:val="14"/>
                <w:szCs w:val="14"/>
                <w:color w:val="auto"/>
              </w:rPr>
            </w:pP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Plastic and</w:t>
            </w:r>
          </w:p>
        </w:tc>
      </w:tr>
      <w:tr>
        <w:trPr>
          <w:trHeight w:val="168"/>
        </w:trPr>
        <w:tc>
          <w:tcPr>
            <w:tcW w:w="264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DomesticBall</w:t>
            </w:r>
          </w:p>
        </w:tc>
        <w:tc>
          <w:tcPr>
            <w:tcW w:w="1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NN Europe</w:t>
            </w:r>
          </w:p>
        </w:tc>
        <w:tc>
          <w:tcPr>
            <w:tcW w:w="1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Rubber</w:t>
            </w:r>
          </w:p>
        </w:tc>
        <w:tc>
          <w:tcPr>
            <w:tcW w:w="1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Ball &amp;</w:t>
            </w:r>
          </w:p>
        </w:tc>
        <w:tc>
          <w:tcPr>
            <w:tcW w:w="12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NN Europe</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Rubber</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Thousands of Dollars</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&amp; Roller</w:t>
            </w:r>
          </w:p>
        </w:tc>
        <w:tc>
          <w:tcPr>
            <w:tcW w:w="13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Segment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Components</w:t>
            </w:r>
          </w:p>
        </w:tc>
        <w:tc>
          <w:tcPr>
            <w:tcW w:w="1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Roller</w:t>
            </w:r>
          </w:p>
        </w:tc>
        <w:tc>
          <w:tcPr>
            <w:tcW w:w="12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Segment</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Components</w:t>
            </w:r>
          </w:p>
        </w:tc>
      </w:tr>
      <w:tr>
        <w:trPr>
          <w:trHeight w:val="168"/>
        </w:trPr>
        <w:tc>
          <w:tcPr>
            <w:tcW w:w="39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 ----------------------------- ------------</w:t>
            </w:r>
          </w:p>
        </w:tc>
        <w:tc>
          <w:tcPr>
            <w:tcW w:w="1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w:t>
            </w:r>
          </w:p>
        </w:tc>
        <w:tc>
          <w:tcPr>
            <w:tcW w:w="14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0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Revenues from external</w:t>
            </w: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$ 14,550</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$ 48,387</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$ 12,328</w:t>
            </w: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$ 13,925</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$ 38,210</w:t>
            </w:r>
          </w:p>
        </w:tc>
        <w:tc>
          <w:tcPr>
            <w:tcW w:w="14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$ 12,059</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customers</w:t>
            </w:r>
          </w:p>
        </w:tc>
        <w:tc>
          <w:tcPr>
            <w:tcW w:w="1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Pretax profit (loss)</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(137)</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3,088</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410</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399</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3,245</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(2,295)</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50,072</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157,027</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56,761</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51,322</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146,322</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56,210</w:t>
            </w:r>
          </w:p>
        </w:tc>
      </w:tr>
      <w:tr>
        <w:trPr>
          <w:trHeight w:val="336"/>
        </w:trPr>
        <w:tc>
          <w:tcPr>
            <w:tcW w:w="2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Six Months Ended June 30,</w:t>
            </w:r>
          </w:p>
        </w:tc>
        <w:tc>
          <w:tcPr>
            <w:tcW w:w="12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8"/>
        </w:trPr>
        <w:tc>
          <w:tcPr>
            <w:tcW w:w="2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2004</w:t>
            </w: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2003</w:t>
            </w:r>
          </w:p>
        </w:tc>
        <w:tc>
          <w:tcPr>
            <w:tcW w:w="148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Plastic and</w:t>
            </w:r>
          </w:p>
        </w:tc>
        <w:tc>
          <w:tcPr>
            <w:tcW w:w="1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Domestic</w:t>
            </w:r>
          </w:p>
        </w:tc>
        <w:tc>
          <w:tcPr>
            <w:tcW w:w="1280" w:type="dxa"/>
            <w:vAlign w:val="bottom"/>
          </w:tcPr>
          <w:p>
            <w:pPr>
              <w:spacing w:after="0"/>
              <w:rPr>
                <w:sz w:val="14"/>
                <w:szCs w:val="14"/>
                <w:color w:val="auto"/>
              </w:rPr>
            </w:pP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Plastic and</w:t>
            </w:r>
          </w:p>
        </w:tc>
      </w:tr>
      <w:tr>
        <w:trPr>
          <w:trHeight w:val="168"/>
        </w:trPr>
        <w:tc>
          <w:tcPr>
            <w:tcW w:w="264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DomesticBall</w:t>
            </w:r>
          </w:p>
        </w:tc>
        <w:tc>
          <w:tcPr>
            <w:tcW w:w="1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NN Europe</w:t>
            </w:r>
          </w:p>
        </w:tc>
        <w:tc>
          <w:tcPr>
            <w:tcW w:w="1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Rubber</w:t>
            </w:r>
          </w:p>
        </w:tc>
        <w:tc>
          <w:tcPr>
            <w:tcW w:w="1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Ball &amp;</w:t>
            </w:r>
          </w:p>
        </w:tc>
        <w:tc>
          <w:tcPr>
            <w:tcW w:w="12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NN Europe</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Rubber</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Thousands of Dollars</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&amp; Roller</w:t>
            </w:r>
          </w:p>
        </w:tc>
        <w:tc>
          <w:tcPr>
            <w:tcW w:w="13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Segment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Components</w:t>
            </w:r>
          </w:p>
        </w:tc>
        <w:tc>
          <w:tcPr>
            <w:tcW w:w="1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Roller</w:t>
            </w:r>
          </w:p>
        </w:tc>
        <w:tc>
          <w:tcPr>
            <w:tcW w:w="12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Segment</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Components</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Revenues from external</w:t>
            </w:r>
          </w:p>
        </w:tc>
        <w:tc>
          <w:tcPr>
            <w:tcW w:w="15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$ 28,977</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$ 98,441</w:t>
            </w:r>
          </w:p>
        </w:tc>
        <w:tc>
          <w:tcPr>
            <w:tcW w:w="13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$ 25,479</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$ 28,174</w:t>
            </w: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$ 67,045</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$ 26,584</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customers</w:t>
            </w:r>
          </w:p>
        </w:tc>
        <w:tc>
          <w:tcPr>
            <w:tcW w:w="1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Pretax profit (loss)</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630</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6,878</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1,168</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2,379</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6,974</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(1,353)</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50,072</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157,027</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56,761</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51,322</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146,322</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56,210</w:t>
            </w:r>
          </w:p>
        </w:tc>
      </w:tr>
    </w:tbl>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6.</w:t>
      </w:r>
      <w:r>
        <w:rPr>
          <w:sz w:val="20"/>
          <w:szCs w:val="20"/>
          <w:color w:val="auto"/>
        </w:rPr>
        <w:tab/>
      </w:r>
      <w:r>
        <w:rPr>
          <w:rFonts w:ascii="Courier New" w:cs="Courier New" w:eastAsia="Courier New" w:hAnsi="Courier New"/>
          <w:sz w:val="14"/>
          <w:szCs w:val="14"/>
          <w:color w:val="auto"/>
        </w:rPr>
        <w:t>Acquisitions and Joint Ventures</w:t>
      </w:r>
    </w:p>
    <w:p>
      <w:pPr>
        <w:spacing w:after="0" w:line="173" w:lineRule="exact"/>
        <w:rPr>
          <w:sz w:val="20"/>
          <w:szCs w:val="20"/>
          <w:color w:val="auto"/>
        </w:rPr>
      </w:pPr>
    </w:p>
    <w:p>
      <w:pPr>
        <w:jc w:val="both"/>
        <w:ind w:right="3680"/>
        <w:spacing w:after="0" w:line="255" w:lineRule="auto"/>
        <w:rPr>
          <w:sz w:val="20"/>
          <w:szCs w:val="20"/>
          <w:color w:val="auto"/>
        </w:rPr>
      </w:pPr>
      <w:r>
        <w:rPr>
          <w:rFonts w:ascii="Courier New" w:cs="Courier New" w:eastAsia="Courier New" w:hAnsi="Courier New"/>
          <w:sz w:val="14"/>
          <w:szCs w:val="14"/>
          <w:color w:val="auto"/>
        </w:rPr>
        <w:t>On May 2, 2003 we acquired the 23 percent interest in NN Europe, ApS ("NN Europe") (formerly known as NN Euroball ApS) held by SKF. On March 12, 2004 we changed the name of our primary European entity from NN Euroball, ApS to NN Europe ApS. To avoid confusion between the entity and the segment, we will refer to the segment as the NN Europe Segment and the entity as NN Europe. We paid approximately 13.8 million Euros ($15.6 million) for SKF's interest in Euroball. Upon consummation of this transaction, we became the sole owner of NN Europe.</w:t>
      </w:r>
    </w:p>
    <w:p>
      <w:pPr>
        <w:spacing w:after="0" w:line="166" w:lineRule="exact"/>
        <w:rPr>
          <w:sz w:val="20"/>
          <w:szCs w:val="20"/>
          <w:color w:val="auto"/>
        </w:rPr>
      </w:pPr>
    </w:p>
    <w:p>
      <w:pPr>
        <w:jc w:val="both"/>
        <w:ind w:right="3680"/>
        <w:spacing w:after="0" w:line="236" w:lineRule="auto"/>
        <w:rPr>
          <w:sz w:val="20"/>
          <w:szCs w:val="20"/>
          <w:color w:val="auto"/>
        </w:rPr>
      </w:pPr>
      <w:r>
        <w:rPr>
          <w:rFonts w:ascii="Courier New" w:cs="Courier New" w:eastAsia="Courier New" w:hAnsi="Courier New"/>
          <w:sz w:val="15"/>
          <w:szCs w:val="15"/>
          <w:color w:val="auto"/>
        </w:rPr>
        <w:t>On May 2, 2003 we acquired 100 percent of the tapered roller and metal cage manufacturing operations of SKF in Veenendaal, The Netherlands. The results of Veenendaal's operations have been included in the consolidated financial statements since that date. We paid consideration of approximately 23.0 million Euros ($25.7 million) and incurred other costs of approximately $1.0 million, for the Veenendaal net assets acquired from SKF. The Veenendaal operation manufactures rollers for tapered roller bearings and metal cages for both tapered roller and spherical roller bearings allowing us to expand our bearing component offering. The results of the Veenendaal operation are included in the NN Europe Segment.</w:t>
      </w:r>
    </w:p>
    <w:p>
      <w:pPr>
        <w:spacing w:after="0" w:line="179" w:lineRule="exact"/>
        <w:rPr>
          <w:sz w:val="20"/>
          <w:szCs w:val="20"/>
          <w:color w:val="auto"/>
        </w:rPr>
      </w:pPr>
    </w:p>
    <w:p>
      <w:pPr>
        <w:jc w:val="both"/>
        <w:ind w:right="3680"/>
        <w:spacing w:after="0" w:line="236" w:lineRule="auto"/>
        <w:rPr>
          <w:sz w:val="20"/>
          <w:szCs w:val="20"/>
          <w:color w:val="auto"/>
        </w:rPr>
      </w:pPr>
      <w:r>
        <w:rPr>
          <w:rFonts w:ascii="Courier New" w:cs="Courier New" w:eastAsia="Courier New" w:hAnsi="Courier New"/>
          <w:sz w:val="15"/>
          <w:szCs w:val="15"/>
          <w:color w:val="auto"/>
        </w:rPr>
        <w:t>In connection with the acquisition of SKF's Veenendaal, The Netherlands operations, SKF purchased from us 700,000 shares of our common stock for an aggregate fair value of approximately $6.9 million which was applied to the purchase of SKF's Veenendaal, The Netherlands operations. For purposes of valuing the 700,000 common shares issued in our Consolidated Financial Statements, the value was determined based on the average market price of NN, Inc.'s common shares over the two-day period before, the day of, and the two-day period after the terms of the acquisition were agreed to, April 14, 2003.</w:t>
      </w:r>
    </w:p>
    <w:p>
      <w:pPr>
        <w:spacing w:after="0" w:line="177" w:lineRule="exact"/>
        <w:rPr>
          <w:sz w:val="20"/>
          <w:szCs w:val="20"/>
          <w:color w:val="auto"/>
        </w:rPr>
      </w:pPr>
    </w:p>
    <w:p>
      <w:pPr>
        <w:jc w:val="both"/>
        <w:ind w:right="3680"/>
        <w:spacing w:after="0" w:line="236" w:lineRule="auto"/>
        <w:rPr>
          <w:sz w:val="20"/>
          <w:szCs w:val="20"/>
          <w:color w:val="auto"/>
        </w:rPr>
      </w:pPr>
      <w:r>
        <w:rPr>
          <w:rFonts w:ascii="Courier New" w:cs="Courier New" w:eastAsia="Courier New" w:hAnsi="Courier New"/>
          <w:sz w:val="15"/>
          <w:szCs w:val="15"/>
          <w:color w:val="auto"/>
        </w:rPr>
        <w:t>The following unaudited pro-forma summary presents the financial information for the three and six month period ended June 30, 2003 as if our Veenendaal acquisition had occurred as of the beginning of the period presented. These pro forma results have been prepared for comparative purposes and do not purport to be indicative of what would have occurred had the acquisition been made as of the beginning of each of the periods presented, nor are they indicative of future results.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680"/>
          </w:cols>
          <w:pgMar w:left="220" w:top="624" w:right="9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70"/>
        </w:trPr>
        <w:tc>
          <w:tcPr>
            <w:tcW w:w="3120" w:type="dxa"/>
            <w:vAlign w:val="bottom"/>
          </w:tcPr>
          <w:p>
            <w:pPr>
              <w:spacing w:after="0"/>
              <w:rPr>
                <w:sz w:val="14"/>
                <w:szCs w:val="14"/>
                <w:color w:val="auto"/>
              </w:rPr>
            </w:pPr>
          </w:p>
        </w:tc>
        <w:tc>
          <w:tcPr>
            <w:tcW w:w="2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Three months ended</w:t>
            </w:r>
          </w:p>
        </w:tc>
        <w:tc>
          <w:tcPr>
            <w:tcW w:w="1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Six months ended</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(In thousands, except per share</w:t>
            </w:r>
          </w:p>
        </w:tc>
        <w:tc>
          <w:tcPr>
            <w:tcW w:w="2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June 30, 2003</w:t>
            </w:r>
          </w:p>
        </w:tc>
        <w:tc>
          <w:tcPr>
            <w:tcW w:w="1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June 30, 2003</w:t>
            </w:r>
          </w:p>
        </w:tc>
      </w:tr>
      <w:tr>
        <w:trPr>
          <w:trHeight w:val="168"/>
        </w:trPr>
        <w:tc>
          <w:tcPr>
            <w:tcW w:w="31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data)</w:t>
            </w:r>
          </w:p>
        </w:tc>
        <w:tc>
          <w:tcPr>
            <w:tcW w:w="2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(unaudited)</w:t>
            </w:r>
          </w:p>
        </w:tc>
        <w:tc>
          <w:tcPr>
            <w:tcW w:w="1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(unaudited)</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sales</w:t>
            </w:r>
          </w:p>
        </w:tc>
        <w:tc>
          <w:tcPr>
            <w:tcW w:w="222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$69,408</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$ 139,928</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222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971</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4,783</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per share</w:t>
            </w:r>
          </w:p>
        </w:tc>
        <w:tc>
          <w:tcPr>
            <w:tcW w:w="222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0.06</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0.31</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per share</w:t>
            </w:r>
          </w:p>
        </w:tc>
        <w:tc>
          <w:tcPr>
            <w:tcW w:w="222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0.06</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0.30</w:t>
            </w:r>
          </w:p>
        </w:tc>
      </w:tr>
    </w:tbl>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7.</w:t>
      </w:r>
      <w:r>
        <w:rPr>
          <w:sz w:val="20"/>
          <w:szCs w:val="20"/>
          <w:color w:val="auto"/>
        </w:rPr>
        <w:tab/>
      </w:r>
      <w:r>
        <w:rPr>
          <w:rFonts w:ascii="Courier New" w:cs="Courier New" w:eastAsia="Courier New" w:hAnsi="Courier New"/>
          <w:sz w:val="14"/>
          <w:szCs w:val="14"/>
          <w:color w:val="auto"/>
        </w:rPr>
        <w:t>New Accounting Pronouncements</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On May 19, 2004, the Financial Accounting Standards Board ("FASB") issued FASB Staff Position (FSP) No. 106-2, "Accounting and Disclosure Requirements Related to the Medicare Prescription Drug, Improvement and Modernization Act of 2003", which supersedes FSP No. 106-1, "Accounting and Disclosure Requirements Related to the Medicare Prescription Drug, Improvement and Modernization Act of 2003," (the Act). FSP No. 106-2 permits a sponsor of a postretirement health care plan that provides a prescription drug benefit to make a one-time election to defer accounting for the effects of the Act until authoritative guidance on accounting for subsidies provided by the Act is issued. The Act introduces a prescription drug benefit under Medicare as well as a federal subsidy to sponsors of retiree health care benefit plans. The Company does not anticipate that the Act will have a material effect on the measurement of the Company's postretirement obligations. FSP No. 106-2 is effective for the Company's third quarter 2004.</w:t>
      </w:r>
    </w:p>
    <w:p>
      <w:pPr>
        <w:spacing w:after="0" w:line="16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 December 2003, the FASB issued Financial Interpretation No. 46(R), "Consolidation of Variable Interest Entities," ("FIN 46(R)"). This interpretation addresses consolidation by business enterprises of variable interest entities with certain defined characteristics and replaces Financial Interpretation No. 46. The interpretation was effective January 1, 2004 for variable interest entities existing prior to February 2003. FIN 46(R) did not have a significant impact on the Company's consolidated financial statements.</w:t>
      </w:r>
    </w:p>
    <w:p>
      <w:pPr>
        <w:spacing w:after="0" w:line="176"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In December 2003 the FASB issued SFAS No. 132 (revised 2003), "Employers' Disclosures about Pensions and Other Postretirement Benefits". SFAS No. 132R revises employers' disclosures about pension plans and other postretirement benefit plans. It does not change the measurement or recognition of those plans required by FASB Statements No. 87, "Employers' Accounting for Pensions", No. 88, "Employers' Accounting for Settlements and Curtailments of Defined Benefit Pensions Plans and for Termination Benefits, and No. 106, "Employers' Accounting for Postretirement Benefits Other Than Pensions". SFAS No. 132R requires additional disclosures to those in the original Statement 132 about the assets, obligations, cash flows, and net periodic benefit cost of defined benefit pension plans and other defined benefit postretirement plans. With certain exceptions, principally related to disclosure requirements of foreign plans, SFAS No. 132R is effective for financial statements with fiscal years ending after December 15, 2003. As of June 30, 2004, we have complied with the disclosure requirements of SFAS No. 132R.</w:t>
      </w:r>
    </w:p>
    <w:p>
      <w:pPr>
        <w:spacing w:after="0" w:line="174"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We have a defined benefit pension plan covering the employees at our Eltmann, Germany facility. The benefits are based on the expected years of service including the rate of compensation increase. The plan is unfunded.</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Components of Net Periodic Pension Cost:</w:t>
      </w:r>
    </w:p>
    <w:p>
      <w:pPr>
        <w:spacing w:after="0" w:line="166"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2400" w:type="dxa"/>
            <w:vAlign w:val="bottom"/>
          </w:tcPr>
          <w:p>
            <w:pPr>
              <w:spacing w:after="0"/>
              <w:rPr>
                <w:sz w:val="14"/>
                <w:szCs w:val="14"/>
                <w:color w:val="auto"/>
              </w:rPr>
            </w:pPr>
          </w:p>
        </w:tc>
        <w:tc>
          <w:tcPr>
            <w:tcW w:w="224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Three months ended</w:t>
            </w:r>
          </w:p>
        </w:tc>
        <w:tc>
          <w:tcPr>
            <w:tcW w:w="21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Six months ended</w:t>
            </w:r>
          </w:p>
        </w:tc>
      </w:tr>
      <w:tr>
        <w:trPr>
          <w:trHeight w:val="168"/>
        </w:trPr>
        <w:tc>
          <w:tcPr>
            <w:tcW w:w="2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June 30,</w:t>
            </w:r>
          </w:p>
        </w:tc>
        <w:tc>
          <w:tcPr>
            <w:tcW w:w="1000" w:type="dxa"/>
            <w:vAlign w:val="bottom"/>
          </w:tcPr>
          <w:p>
            <w:pPr>
              <w:spacing w:after="0"/>
              <w:rPr>
                <w:sz w:val="14"/>
                <w:szCs w:val="14"/>
                <w:color w:val="auto"/>
              </w:rPr>
            </w:pP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June 30,</w:t>
            </w:r>
          </w:p>
        </w:tc>
      </w:tr>
      <w:tr>
        <w:trPr>
          <w:trHeight w:val="336"/>
        </w:trPr>
        <w:tc>
          <w:tcPr>
            <w:tcW w:w="2400" w:type="dxa"/>
            <w:vAlign w:val="bottom"/>
          </w:tcPr>
          <w:p>
            <w:pPr>
              <w:spacing w:after="0"/>
              <w:rPr>
                <w:sz w:val="20"/>
                <w:szCs w:val="20"/>
                <w:color w:val="auto"/>
              </w:rPr>
            </w:pPr>
            <w:r>
              <w:rPr>
                <w:rFonts w:ascii="Courier New" w:cs="Courier New" w:eastAsia="Courier New" w:hAnsi="Courier New"/>
                <w:sz w:val="15"/>
                <w:szCs w:val="15"/>
                <w:color w:val="auto"/>
              </w:rPr>
              <w:t>(in thousands of dollars)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2004</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2003</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2004</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68"/>
        </w:trPr>
        <w:tc>
          <w:tcPr>
            <w:tcW w:w="24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0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Service cost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$29</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$ 52</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$ 57</w:t>
            </w:r>
          </w:p>
        </w:tc>
      </w:tr>
      <w:tr>
        <w:trPr>
          <w:trHeight w:val="168"/>
        </w:trPr>
        <w:tc>
          <w:tcPr>
            <w:tcW w:w="24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cost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52</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w:t>
            </w:r>
          </w:p>
        </w:tc>
      </w:tr>
      <w:tr>
        <w:trPr>
          <w:trHeight w:val="168"/>
        </w:trPr>
        <w:tc>
          <w:tcPr>
            <w:tcW w:w="240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net gain</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24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Net periodic pension cost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$83</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$168</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$166</w:t>
            </w:r>
          </w:p>
        </w:tc>
      </w:tr>
      <w:tr>
        <w:trPr>
          <w:trHeight w:val="168"/>
        </w:trPr>
        <w:tc>
          <w:tcPr>
            <w:tcW w:w="24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jc w:val="right"/>
              <w:ind w:right="1247"/>
              <w:spacing w:after="0"/>
              <w:rPr>
                <w:sz w:val="20"/>
                <w:szCs w:val="20"/>
                <w:color w:val="auto"/>
              </w:rPr>
            </w:pPr>
            <w:r>
              <w:rPr>
                <w:rFonts w:ascii="Courier New" w:cs="Courier New" w:eastAsia="Courier New" w:hAnsi="Courier New"/>
                <w:sz w:val="15"/>
                <w:szCs w:val="15"/>
                <w:color w:val="auto"/>
              </w:rPr>
              <w:t>9</w:t>
            </w: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10" w:name="page11"/>
    <w:bookmarkEnd w:id="10"/>
    <w:p>
      <w:pPr>
        <w:spacing w:after="0"/>
        <w:tabs>
          <w:tab w:leader="none" w:pos="2180" w:val="left"/>
        </w:tabs>
        <w:rPr>
          <w:sz w:val="20"/>
          <w:szCs w:val="20"/>
          <w:color w:val="auto"/>
        </w:rPr>
      </w:pPr>
      <w:r>
        <w:rPr>
          <w:rFonts w:ascii="Courier New" w:cs="Courier New" w:eastAsia="Courier New" w:hAnsi="Courier New"/>
          <w:sz w:val="15"/>
          <w:szCs w:val="15"/>
          <w:color w:val="auto"/>
        </w:rPr>
        <w:t>We expect to contribute</w:t>
      </w:r>
      <w:r>
        <w:rPr>
          <w:sz w:val="20"/>
          <w:szCs w:val="20"/>
          <w:color w:val="auto"/>
        </w:rPr>
        <w:tab/>
      </w:r>
      <w:r>
        <w:rPr>
          <w:rFonts w:ascii="Courier New" w:cs="Courier New" w:eastAsia="Courier New" w:hAnsi="Courier New"/>
          <w:sz w:val="14"/>
          <w:szCs w:val="14"/>
          <w:color w:val="auto"/>
        </w:rPr>
        <w:t>approximately $0.3 million to our pension plan in 2004.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of June 30, 2004, approximately $0.2 million of contributions have been made.</w:t>
      </w:r>
    </w:p>
    <w:p>
      <w:pPr>
        <w:spacing w:after="0" w:line="171"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8.</w:t>
      </w:r>
      <w:r>
        <w:rPr>
          <w:sz w:val="20"/>
          <w:szCs w:val="20"/>
          <w:color w:val="auto"/>
        </w:rPr>
        <w:tab/>
      </w:r>
      <w:r>
        <w:rPr>
          <w:rFonts w:ascii="Courier New" w:cs="Courier New" w:eastAsia="Courier New" w:hAnsi="Courier New"/>
          <w:sz w:val="14"/>
          <w:szCs w:val="14"/>
          <w:color w:val="auto"/>
        </w:rPr>
        <w:t>Long-Term Debt and Short-Term Debt</w:t>
      </w:r>
    </w:p>
    <w:p>
      <w:pPr>
        <w:spacing w:after="0" w:line="173"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On May 1, 2003 in connection with the purchase of SKF's Veenendaal component manufacturing operations and SKF's 23 percent interest in Euroball, we entered into a $90 million syndicated credit facility with AmSouth Bank ("AmSouth") as the administrative agent and Suntrust Bank as the Euro loan agent for the lenders under which we borrowed $60.4 million and 26.3 million Euros ($29.6 million) (the "$90 million credit facility"). This financing arrangement replaced our prior credit facility with AmSouth and Hypo Vereinsbank Luxembourg, S.A. The credit facility as originally entered into consisted of a $30.0 million revolver ("$30.0 million revolver") expiring on March 15, 2005, subsequently extended to March 31, 2006 bearing interest at a floating rate equal to LIBOR (1.61% at June 30, 2004) plus an applicable margin of 1.25 to 2.0, a $30.4 million term loan expiring on May 1, 2008, bearing interest at a floating rate equal to LIBOR (1.61% at June 30, 2004) plus an applicable margin of 1.25 to 2.0 and a 26.3 million Euro ($29.6 million) term loan ("26.3 million Euro term loan") expiring on May 1, 2008 which bears interest at a floating rate equal to Euro LIBOR (2.12% at June 30, 2004) plus an applicable margin of 1.25 to 2.0. All amounts owed under the $30.4 million term loan were paid during the second quarter of 2004 with the proceeds from our $40 million notes and we no longer have borrowing capacity under that portion of the $90 million credit facility. The terms of the $30.0 million revolver and the 26.3 million Euro term loan remain unchanged. The loan agreement contains customary financial and non-financial covenants. Such covenants specify that we must maintain certain liquidity measures. The loan agreement also contains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the Company's business. The credit agreement is un-collateralized except for the pledge of stock of certain foreign subsidiaries. We were in compliance with all such covenants as of June 30, 2004.</w:t>
      </w:r>
    </w:p>
    <w:p>
      <w:pPr>
        <w:spacing w:after="0" w:line="346"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In connection with the acquisition of KLF's operations in Slovakia, on September 23, 2003 we entered into a $2.0 million short-term unsecured promissory note (the "$2.0 million note") with AmSouth as the lender. This note bore interest at the prime rate. All amounts owed under this note were paid during the second quarter of 2004 with the proceeds from our $40 million notes.</w:t>
      </w:r>
    </w:p>
    <w:p>
      <w:pPr>
        <w:spacing w:after="0" w:line="163"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On March 23, 2004 we entered into a $2.7 million short-term promissory note (the "$2.7 million note") with AmSouth Bank ("AmSouth") as the lender. This note bore interest at the prime rate. This agreement was entered into to fund short term operating capital requirements. All amounts owed under this note were paid during the second quarter of 2004 with the proceeds from our $40 million notes.</w:t>
      </w:r>
    </w:p>
    <w:p>
      <w:pPr>
        <w:spacing w:after="0" w:line="163"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On April 26, 2004 we issued $40.0 million aggregate principal amount of senior notes in a private placement (the "$40 million notes"). These notes bear interest at a fixed rate of 4.89% and mature on April 26, 2014. Interest is paid semi-annually. As of June 30, 2004, $40.0 million remained outstanding. Annual principal payments of approximately $5.7 million begin on April 26, 2008 and extend through the date of maturity. Proceeds from this credit facility were used to repay our existing US dollar denominated term loan, $24 million, and repay a portion, of our borrowings under our US dollar denominated revolving credit facility, $13 million, which are both components of our $90 million credit facility, and to repay borrowings remaining under our $2.0 million note and our $2.7 million note of $2 million and $1 million, respectively. The agreement contains customary financial and non-financial covenants. Such covenants specify that we must maintain certain liquidity measures. The agreement also contains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our business. No event of default had occurred as of June 30, 2004. The notes are not collateralized except for the pledge of stock of certain foreign subsidiaries. We incurred $0.7 million of related costs as a result of issuing these notes which have been recorded as a component of other non-current assets and are being amortized over the term of the notes. In connection with the issuance of the $40 million notes, capitalized costs in the amount of approximately $0.3 million associated with structuring of the $90 million credit facility were written off during the three months ended June 30, 2004 and are included as a component of other (income) expense.</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785" w:right="1440" w:bottom="1440" w:gutter="0" w:footer="0" w:header="0"/>
        </w:sectPr>
      </w:pPr>
    </w:p>
    <w:bookmarkStart w:id="11" w:name="page12"/>
    <w:bookmarkEnd w:id="11"/>
    <w:p>
      <w:pPr>
        <w:spacing w:after="0"/>
        <w:tabs>
          <w:tab w:leader="none" w:pos="780" w:val="left"/>
        </w:tabs>
        <w:rPr>
          <w:sz w:val="20"/>
          <w:szCs w:val="20"/>
          <w:color w:val="auto"/>
        </w:rPr>
      </w:pPr>
      <w:r>
        <w:rPr>
          <w:rFonts w:ascii="Courier New" w:cs="Courier New" w:eastAsia="Courier New" w:hAnsi="Courier New"/>
          <w:sz w:val="15"/>
          <w:szCs w:val="15"/>
          <w:color w:val="auto"/>
        </w:rPr>
        <w:t>Note 9.</w:t>
      </w:r>
      <w:r>
        <w:rPr>
          <w:sz w:val="20"/>
          <w:szCs w:val="20"/>
          <w:color w:val="auto"/>
        </w:rPr>
        <w:tab/>
      </w:r>
      <w:r>
        <w:rPr>
          <w:rFonts w:ascii="Courier New" w:cs="Courier New" w:eastAsia="Courier New" w:hAnsi="Courier New"/>
          <w:sz w:val="14"/>
          <w:szCs w:val="14"/>
          <w:color w:val="auto"/>
        </w:rPr>
        <w:t>Goodwill</w:t>
      </w:r>
    </w:p>
    <w:p>
      <w:pPr>
        <w:spacing w:after="0" w:line="166" w:lineRule="exact"/>
        <w:rPr>
          <w:sz w:val="20"/>
          <w:szCs w:val="20"/>
          <w:color w:val="auto"/>
        </w:rPr>
      </w:pPr>
    </w:p>
    <w:p>
      <w:pPr>
        <w:spacing w:after="0"/>
        <w:tabs>
          <w:tab w:leader="none" w:pos="2520" w:val="left"/>
          <w:tab w:leader="none" w:pos="5840" w:val="left"/>
        </w:tabs>
        <w:rPr>
          <w:sz w:val="20"/>
          <w:szCs w:val="20"/>
          <w:color w:val="auto"/>
        </w:rPr>
      </w:pPr>
      <w:r>
        <w:rPr>
          <w:rFonts w:ascii="Courier New" w:cs="Courier New" w:eastAsia="Courier New" w:hAnsi="Courier New"/>
          <w:sz w:val="15"/>
          <w:szCs w:val="15"/>
          <w:color w:val="auto"/>
        </w:rPr>
        <w:t>The changes in the carrying</w:t>
        <w:tab/>
        <w:t>amount of goodwill for the six month</w:t>
      </w:r>
      <w:r>
        <w:rPr>
          <w:sz w:val="20"/>
          <w:szCs w:val="20"/>
          <w:color w:val="auto"/>
        </w:rPr>
        <w:tab/>
      </w:r>
      <w:r>
        <w:rPr>
          <w:rFonts w:ascii="Courier New" w:cs="Courier New" w:eastAsia="Courier New" w:hAnsi="Courier New"/>
          <w:sz w:val="14"/>
          <w:szCs w:val="14"/>
          <w:color w:val="auto"/>
        </w:rPr>
        <w:t>periods ended</w:t>
      </w:r>
    </w:p>
    <w:p>
      <w:pPr>
        <w:spacing w:after="0" w:line="237" w:lineRule="auto"/>
        <w:rPr>
          <w:sz w:val="20"/>
          <w:szCs w:val="20"/>
          <w:color w:val="auto"/>
        </w:rPr>
      </w:pPr>
      <w:r>
        <w:rPr>
          <w:rFonts w:ascii="Courier New" w:cs="Courier New" w:eastAsia="Courier New" w:hAnsi="Courier New"/>
          <w:sz w:val="15"/>
          <w:szCs w:val="15"/>
          <w:color w:val="auto"/>
        </w:rPr>
        <w:t>June 30, 2003 and 2004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In thousands of dollars</w:t>
            </w:r>
          </w:p>
        </w:tc>
        <w:tc>
          <w:tcPr>
            <w:tcW w:w="2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Plastic and Rubber</w:t>
            </w:r>
          </w:p>
        </w:tc>
        <w:tc>
          <w:tcPr>
            <w:tcW w:w="17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3820" w:type="dxa"/>
            <w:vAlign w:val="bottom"/>
          </w:tcPr>
          <w:p>
            <w:pPr>
              <w:spacing w:after="0"/>
              <w:rPr>
                <w:sz w:val="14"/>
                <w:szCs w:val="14"/>
                <w:color w:val="auto"/>
              </w:rPr>
            </w:pPr>
          </w:p>
        </w:tc>
        <w:tc>
          <w:tcPr>
            <w:tcW w:w="2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Components Segment</w:t>
            </w:r>
          </w:p>
        </w:tc>
        <w:tc>
          <w:tcPr>
            <w:tcW w:w="1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NN Europe Segment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3820" w:type="dxa"/>
            <w:vAlign w:val="bottom"/>
          </w:tcPr>
          <w:p>
            <w:pPr>
              <w:spacing w:after="0"/>
              <w:rPr>
                <w:sz w:val="14"/>
                <w:szCs w:val="14"/>
                <w:color w:val="auto"/>
              </w:rPr>
            </w:pPr>
          </w:p>
        </w:tc>
        <w:tc>
          <w:tcPr>
            <w:tcW w:w="2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820" w:type="dxa"/>
            <w:vAlign w:val="bottom"/>
          </w:tcPr>
          <w:p>
            <w:pPr>
              <w:spacing w:after="0"/>
              <w:rPr>
                <w:sz w:val="20"/>
                <w:szCs w:val="20"/>
                <w:color w:val="auto"/>
              </w:rPr>
            </w:pPr>
            <w:r>
              <w:rPr>
                <w:rFonts w:ascii="Courier New" w:cs="Courier New" w:eastAsia="Courier New" w:hAnsi="Courier New"/>
                <w:sz w:val="15"/>
                <w:szCs w:val="15"/>
                <w:color w:val="auto"/>
              </w:rPr>
              <w:t>Balance as of January 1, 2003</w:t>
            </w:r>
          </w:p>
        </w:tc>
        <w:tc>
          <w:tcPr>
            <w:tcW w:w="2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$ 26,712</w:t>
            </w:r>
          </w:p>
        </w:tc>
        <w:tc>
          <w:tcPr>
            <w:tcW w:w="17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$ 12,662</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$ 39,374</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 acquired</w:t>
            </w:r>
          </w:p>
        </w:tc>
        <w:tc>
          <w:tcPr>
            <w:tcW w:w="2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2,151</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2,151</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Impairment losses</w:t>
            </w:r>
          </w:p>
        </w:tc>
        <w:tc>
          <w:tcPr>
            <w:tcW w:w="2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(1,285)</w:t>
            </w:r>
          </w:p>
        </w:tc>
        <w:tc>
          <w:tcPr>
            <w:tcW w:w="17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(1,285)</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Currency impacts/reclassification</w:t>
            </w:r>
          </w:p>
        </w:tc>
        <w:tc>
          <w:tcPr>
            <w:tcW w:w="2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328</w:t>
            </w:r>
          </w:p>
        </w:tc>
        <w:tc>
          <w:tcPr>
            <w:tcW w:w="17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2,325</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2,653</w:t>
            </w:r>
          </w:p>
        </w:tc>
      </w:tr>
      <w:tr>
        <w:trPr>
          <w:trHeight w:val="168"/>
        </w:trPr>
        <w:tc>
          <w:tcPr>
            <w:tcW w:w="3820" w:type="dxa"/>
            <w:vAlign w:val="bottom"/>
          </w:tcPr>
          <w:p>
            <w:pPr>
              <w:spacing w:after="0"/>
              <w:rPr>
                <w:sz w:val="14"/>
                <w:szCs w:val="14"/>
                <w:color w:val="auto"/>
              </w:rPr>
            </w:pPr>
          </w:p>
        </w:tc>
        <w:tc>
          <w:tcPr>
            <w:tcW w:w="2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as of December 31, 2003</w:t>
            </w:r>
          </w:p>
        </w:tc>
        <w:tc>
          <w:tcPr>
            <w:tcW w:w="2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$ 25,755</w:t>
            </w:r>
          </w:p>
        </w:tc>
        <w:tc>
          <w:tcPr>
            <w:tcW w:w="17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$ 17,138</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$ 42,893</w:t>
            </w:r>
          </w:p>
        </w:tc>
      </w:tr>
      <w:tr>
        <w:trPr>
          <w:trHeight w:val="168"/>
        </w:trPr>
        <w:tc>
          <w:tcPr>
            <w:tcW w:w="3820" w:type="dxa"/>
            <w:vAlign w:val="bottom"/>
          </w:tcPr>
          <w:p>
            <w:pPr>
              <w:spacing w:after="0"/>
              <w:rPr>
                <w:sz w:val="14"/>
                <w:szCs w:val="14"/>
                <w:color w:val="auto"/>
              </w:rPr>
            </w:pPr>
          </w:p>
        </w:tc>
        <w:tc>
          <w:tcPr>
            <w:tcW w:w="2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In thousands of dollars</w:t>
            </w:r>
          </w:p>
        </w:tc>
        <w:tc>
          <w:tcPr>
            <w:tcW w:w="2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Plastic and Rubber</w:t>
            </w:r>
          </w:p>
        </w:tc>
        <w:tc>
          <w:tcPr>
            <w:tcW w:w="17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3820" w:type="dxa"/>
            <w:vAlign w:val="bottom"/>
          </w:tcPr>
          <w:p>
            <w:pPr>
              <w:spacing w:after="0"/>
              <w:rPr>
                <w:sz w:val="14"/>
                <w:szCs w:val="14"/>
                <w:color w:val="auto"/>
              </w:rPr>
            </w:pPr>
          </w:p>
        </w:tc>
        <w:tc>
          <w:tcPr>
            <w:tcW w:w="2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Components Segment</w:t>
            </w:r>
          </w:p>
        </w:tc>
        <w:tc>
          <w:tcPr>
            <w:tcW w:w="1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NN Europe Segment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3820" w:type="dxa"/>
            <w:vAlign w:val="bottom"/>
          </w:tcPr>
          <w:p>
            <w:pPr>
              <w:spacing w:after="0"/>
              <w:rPr>
                <w:sz w:val="14"/>
                <w:szCs w:val="14"/>
                <w:color w:val="auto"/>
              </w:rPr>
            </w:pPr>
          </w:p>
        </w:tc>
        <w:tc>
          <w:tcPr>
            <w:tcW w:w="2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as of January 1, 2004</w:t>
            </w:r>
          </w:p>
        </w:tc>
        <w:tc>
          <w:tcPr>
            <w:tcW w:w="2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$ 25,755</w:t>
            </w:r>
          </w:p>
        </w:tc>
        <w:tc>
          <w:tcPr>
            <w:tcW w:w="17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$ 17,138</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$ 42,893</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Currency impacts</w:t>
            </w:r>
          </w:p>
        </w:tc>
        <w:tc>
          <w:tcPr>
            <w:tcW w:w="2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(761)</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(761)</w:t>
            </w:r>
          </w:p>
        </w:tc>
      </w:tr>
      <w:tr>
        <w:trPr>
          <w:trHeight w:val="168"/>
        </w:trPr>
        <w:tc>
          <w:tcPr>
            <w:tcW w:w="3820" w:type="dxa"/>
            <w:vAlign w:val="bottom"/>
          </w:tcPr>
          <w:p>
            <w:pPr>
              <w:spacing w:after="0"/>
              <w:rPr>
                <w:sz w:val="14"/>
                <w:szCs w:val="14"/>
                <w:color w:val="auto"/>
              </w:rPr>
            </w:pPr>
          </w:p>
        </w:tc>
        <w:tc>
          <w:tcPr>
            <w:tcW w:w="2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as of June 30, 2004</w:t>
            </w:r>
          </w:p>
        </w:tc>
        <w:tc>
          <w:tcPr>
            <w:tcW w:w="2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$ 25,755</w:t>
            </w:r>
          </w:p>
        </w:tc>
        <w:tc>
          <w:tcPr>
            <w:tcW w:w="17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$ 16,377</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$ 42,132</w:t>
            </w:r>
          </w:p>
        </w:tc>
      </w:tr>
      <w:tr>
        <w:trPr>
          <w:trHeight w:val="168"/>
        </w:trPr>
        <w:tc>
          <w:tcPr>
            <w:tcW w:w="3820" w:type="dxa"/>
            <w:vAlign w:val="bottom"/>
          </w:tcPr>
          <w:p>
            <w:pPr>
              <w:spacing w:after="0"/>
              <w:rPr>
                <w:sz w:val="14"/>
                <w:szCs w:val="14"/>
                <w:color w:val="auto"/>
              </w:rPr>
            </w:pPr>
          </w:p>
        </w:tc>
        <w:tc>
          <w:tcPr>
            <w:tcW w:w="2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10. Stock Compensation</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We have adopted the provisions of SFAS 123, which encourages but does not require a fair value based method of accounting for stock compensation plans. We have elected to continue accounting for our stock compensation plan using the intrinsic value based method under Auditing Practices Board ("APB") Opinion No. 25 and, accordingly, have not recorded compensation expense for the three and six month periods ended June 30, 2004 and June 30, 2003, except as related to stock options accounted for under the variable method of accounting. Had compensation cost for our stock compensation plan been determined based on the fair value at the option grant dates, our net income and earnings per share would have been changed to the pro-forma amounts indicated below:</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60" w:type="dxa"/>
            <w:vAlign w:val="bottom"/>
          </w:tcPr>
          <w:p>
            <w:pPr>
              <w:spacing w:after="0"/>
              <w:rPr>
                <w:sz w:val="14"/>
                <w:szCs w:val="14"/>
                <w:color w:val="auto"/>
              </w:rPr>
            </w:pPr>
          </w:p>
        </w:tc>
        <w:tc>
          <w:tcPr>
            <w:tcW w:w="276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Three months ended</w:t>
            </w:r>
          </w:p>
        </w:tc>
        <w:tc>
          <w:tcPr>
            <w:tcW w:w="258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Six months ended</w:t>
            </w:r>
          </w:p>
        </w:tc>
      </w:tr>
      <w:tr>
        <w:trPr>
          <w:trHeight w:val="168"/>
        </w:trPr>
        <w:tc>
          <w:tcPr>
            <w:tcW w:w="4560" w:type="dxa"/>
            <w:vAlign w:val="bottom"/>
          </w:tcPr>
          <w:p>
            <w:pPr>
              <w:spacing w:after="0"/>
              <w:rPr>
                <w:sz w:val="14"/>
                <w:szCs w:val="14"/>
                <w:color w:val="auto"/>
              </w:rPr>
            </w:pPr>
          </w:p>
        </w:tc>
        <w:tc>
          <w:tcPr>
            <w:tcW w:w="2760" w:type="dxa"/>
            <w:vAlign w:val="bottom"/>
            <w:gridSpan w:val="2"/>
          </w:tcPr>
          <w:p>
            <w:pPr>
              <w:jc w:val="right"/>
              <w:ind w:right="1027"/>
              <w:spacing w:after="0" w:line="168" w:lineRule="exact"/>
              <w:rPr>
                <w:sz w:val="20"/>
                <w:szCs w:val="20"/>
                <w:color w:val="auto"/>
              </w:rPr>
            </w:pPr>
            <w:r>
              <w:rPr>
                <w:rFonts w:ascii="Courier New" w:cs="Courier New" w:eastAsia="Courier New" w:hAnsi="Courier New"/>
                <w:sz w:val="15"/>
                <w:szCs w:val="15"/>
                <w:color w:val="auto"/>
              </w:rPr>
              <w:t>June 30,</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June 30,</w:t>
            </w:r>
          </w:p>
        </w:tc>
        <w:tc>
          <w:tcPr>
            <w:tcW w:w="1060" w:type="dxa"/>
            <w:vAlign w:val="bottom"/>
          </w:tcPr>
          <w:p>
            <w:pPr>
              <w:spacing w:after="0"/>
              <w:rPr>
                <w:sz w:val="14"/>
                <w:szCs w:val="14"/>
                <w:color w:val="auto"/>
              </w:rPr>
            </w:pP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In Thousands, Except per Share Data</w:t>
            </w:r>
          </w:p>
        </w:tc>
        <w:tc>
          <w:tcPr>
            <w:tcW w:w="14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2004</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2003</w:t>
            </w:r>
          </w:p>
        </w:tc>
        <w:tc>
          <w:tcPr>
            <w:tcW w:w="15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2004</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2003</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Net income - as reported</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$1,986</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$ 697</w:t>
            </w:r>
          </w:p>
        </w:tc>
        <w:tc>
          <w:tcPr>
            <w:tcW w:w="15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$ 5,204</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$4,340</w:t>
            </w:r>
          </w:p>
        </w:tc>
      </w:tr>
      <w:tr>
        <w:trPr>
          <w:trHeight w:val="168"/>
        </w:trPr>
        <w:tc>
          <w:tcPr>
            <w:tcW w:w="45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Stock based compensation costs (income), net of</w:t>
            </w:r>
          </w:p>
        </w:tc>
        <w:tc>
          <w:tcPr>
            <w:tcW w:w="1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income tax, included in net income as</w:t>
            </w:r>
          </w:p>
        </w:tc>
        <w:tc>
          <w:tcPr>
            <w:tcW w:w="1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reported</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79</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205</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205</w:t>
            </w:r>
          </w:p>
        </w:tc>
      </w:tr>
      <w:tr>
        <w:trPr>
          <w:trHeight w:val="168"/>
        </w:trPr>
        <w:tc>
          <w:tcPr>
            <w:tcW w:w="45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Stock based compensation costs, net of income</w:t>
            </w:r>
          </w:p>
        </w:tc>
        <w:tc>
          <w:tcPr>
            <w:tcW w:w="1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tax, that would have been included in net</w:t>
            </w:r>
          </w:p>
        </w:tc>
        <w:tc>
          <w:tcPr>
            <w:tcW w:w="1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income if the fair value method had been</w:t>
            </w:r>
          </w:p>
        </w:tc>
        <w:tc>
          <w:tcPr>
            <w:tcW w:w="1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applied</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(64)</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4560" w:type="dxa"/>
            <w:vAlign w:val="bottom"/>
          </w:tcPr>
          <w:p>
            <w:pPr>
              <w:spacing w:after="0"/>
              <w:rPr>
                <w:sz w:val="14"/>
                <w:szCs w:val="14"/>
                <w:color w:val="auto"/>
              </w:rPr>
            </w:pP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 pro-forma</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$2,057</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$ 902</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$5,152</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$4,543</w:t>
            </w:r>
          </w:p>
        </w:tc>
      </w:tr>
      <w:tr>
        <w:trPr>
          <w:trHeight w:val="168"/>
        </w:trPr>
        <w:tc>
          <w:tcPr>
            <w:tcW w:w="4560" w:type="dxa"/>
            <w:vAlign w:val="bottom"/>
          </w:tcPr>
          <w:p>
            <w:pPr>
              <w:spacing w:after="0"/>
              <w:rPr>
                <w:sz w:val="14"/>
                <w:szCs w:val="14"/>
                <w:color w:val="auto"/>
              </w:rPr>
            </w:pP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per share - as reported</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$ 0.12</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$0.04</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0.31</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$ 0.28</w:t>
            </w:r>
          </w:p>
        </w:tc>
      </w:tr>
      <w:tr>
        <w:trPr>
          <w:trHeight w:val="168"/>
        </w:trPr>
        <w:tc>
          <w:tcPr>
            <w:tcW w:w="45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Stock based compensation costs (income), net of</w:t>
            </w:r>
          </w:p>
        </w:tc>
        <w:tc>
          <w:tcPr>
            <w:tcW w:w="1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income tax, included in net income as</w:t>
            </w:r>
          </w:p>
        </w:tc>
        <w:tc>
          <w:tcPr>
            <w:tcW w:w="1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reported</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0.01</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0.01</w:t>
            </w:r>
          </w:p>
        </w:tc>
      </w:tr>
      <w:tr>
        <w:trPr>
          <w:trHeight w:val="168"/>
        </w:trPr>
        <w:tc>
          <w:tcPr>
            <w:tcW w:w="45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Stock based compensation costs, net of income</w:t>
            </w:r>
          </w:p>
        </w:tc>
        <w:tc>
          <w:tcPr>
            <w:tcW w:w="1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tax, that would have been included in net</w:t>
            </w:r>
          </w:p>
        </w:tc>
        <w:tc>
          <w:tcPr>
            <w:tcW w:w="1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income if the fair value method had been</w:t>
            </w:r>
          </w:p>
        </w:tc>
        <w:tc>
          <w:tcPr>
            <w:tcW w:w="1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applied</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rPr>
                <w:sz w:val="14"/>
                <w:szCs w:val="14"/>
                <w:color w:val="auto"/>
              </w:rPr>
            </w:pP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per share - pro-forma</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$ 0.12</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$ 0.05</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$ 0.31</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$ 0.29</w:t>
            </w:r>
          </w:p>
        </w:tc>
      </w:tr>
      <w:tr>
        <w:trPr>
          <w:trHeight w:val="168"/>
        </w:trPr>
        <w:tc>
          <w:tcPr>
            <w:tcW w:w="4560" w:type="dxa"/>
            <w:vAlign w:val="bottom"/>
          </w:tcPr>
          <w:p>
            <w:pPr>
              <w:spacing w:after="0"/>
              <w:rPr>
                <w:sz w:val="14"/>
                <w:szCs w:val="14"/>
                <w:color w:val="auto"/>
              </w:rPr>
            </w:pP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505"/>
        </w:trPr>
        <w:tc>
          <w:tcPr>
            <w:tcW w:w="4560" w:type="dxa"/>
            <w:vAlign w:val="bottom"/>
          </w:tcPr>
          <w:p>
            <w:pPr>
              <w:ind w:left="3420"/>
              <w:spacing w:after="0"/>
              <w:rPr>
                <w:sz w:val="20"/>
                <w:szCs w:val="20"/>
                <w:color w:val="auto"/>
              </w:rPr>
            </w:pPr>
            <w:r>
              <w:rPr>
                <w:rFonts w:ascii="Courier New" w:cs="Courier New" w:eastAsia="Courier New" w:hAnsi="Courier New"/>
                <w:sz w:val="15"/>
                <w:szCs w:val="15"/>
                <w:color w:val="auto"/>
              </w:rPr>
              <w:t>11</w:t>
            </w:r>
          </w:p>
        </w:tc>
        <w:tc>
          <w:tcPr>
            <w:tcW w:w="1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0239"/>
          </w:cols>
          <w:pgMar w:left="220" w:top="785" w:right="1440"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Earnings per</w:t>
            </w:r>
          </w:p>
        </w:tc>
        <w:tc>
          <w:tcPr>
            <w:tcW w:w="3340" w:type="dxa"/>
            <w:vAlign w:val="bottom"/>
          </w:tcPr>
          <w:p>
            <w:pPr>
              <w:spacing w:after="0"/>
              <w:rPr>
                <w:sz w:val="20"/>
                <w:szCs w:val="20"/>
                <w:color w:val="auto"/>
              </w:rPr>
            </w:pPr>
            <w:r>
              <w:rPr>
                <w:rFonts w:ascii="Courier New" w:cs="Courier New" w:eastAsia="Courier New" w:hAnsi="Courier New"/>
                <w:sz w:val="15"/>
                <w:szCs w:val="15"/>
                <w:color w:val="auto"/>
              </w:rPr>
              <w:t>share-assuming dilution - as</w:t>
            </w:r>
          </w:p>
        </w:tc>
        <w:tc>
          <w:tcPr>
            <w:tcW w:w="14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reported</w:t>
            </w:r>
          </w:p>
        </w:tc>
        <w:tc>
          <w:tcPr>
            <w:tcW w:w="3340" w:type="dxa"/>
            <w:vAlign w:val="bottom"/>
          </w:tcPr>
          <w:p>
            <w:pPr>
              <w:spacing w:after="0"/>
              <w:rPr>
                <w:sz w:val="14"/>
                <w:szCs w:val="14"/>
                <w:color w:val="auto"/>
              </w:rPr>
            </w:pP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$ 0.12</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$ 0.04</w:t>
            </w:r>
          </w:p>
        </w:tc>
      </w:tr>
      <w:tr>
        <w:trPr>
          <w:trHeight w:val="336"/>
        </w:trPr>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Stock based</w:t>
            </w:r>
          </w:p>
        </w:tc>
        <w:tc>
          <w:tcPr>
            <w:tcW w:w="3340" w:type="dxa"/>
            <w:vAlign w:val="bottom"/>
          </w:tcPr>
          <w:p>
            <w:pPr>
              <w:spacing w:after="0"/>
              <w:rPr>
                <w:sz w:val="20"/>
                <w:szCs w:val="20"/>
                <w:color w:val="auto"/>
              </w:rPr>
            </w:pPr>
            <w:r>
              <w:rPr>
                <w:rFonts w:ascii="Courier New" w:cs="Courier New" w:eastAsia="Courier New" w:hAnsi="Courier New"/>
                <w:sz w:val="15"/>
                <w:szCs w:val="15"/>
                <w:color w:val="auto"/>
              </w:rPr>
              <w:t>compensation costs (income), net of</w:t>
            </w:r>
          </w:p>
        </w:tc>
        <w:tc>
          <w:tcPr>
            <w:tcW w:w="14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44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income tax, included in net income as</w:t>
            </w:r>
          </w:p>
        </w:tc>
        <w:tc>
          <w:tcPr>
            <w:tcW w:w="14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1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4"/>
              </w:rPr>
              <w:t>reported</w:t>
            </w:r>
          </w:p>
        </w:tc>
        <w:tc>
          <w:tcPr>
            <w:tcW w:w="3340" w:type="dxa"/>
            <w:vAlign w:val="bottom"/>
          </w:tcPr>
          <w:p>
            <w:pPr>
              <w:spacing w:after="0"/>
              <w:rPr>
                <w:sz w:val="14"/>
                <w:szCs w:val="14"/>
                <w:color w:val="auto"/>
              </w:rPr>
            </w:pP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0.01</w:t>
            </w:r>
          </w:p>
        </w:tc>
      </w:tr>
      <w:tr>
        <w:trPr>
          <w:trHeight w:val="168"/>
        </w:trPr>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Stock based</w:t>
            </w:r>
          </w:p>
        </w:tc>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compensation costs, net of income</w:t>
            </w:r>
          </w:p>
        </w:tc>
        <w:tc>
          <w:tcPr>
            <w:tcW w:w="14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44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tax, that would have been included in net</w:t>
            </w:r>
          </w:p>
        </w:tc>
        <w:tc>
          <w:tcPr>
            <w:tcW w:w="14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44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income if the fair value method had been</w:t>
            </w:r>
          </w:p>
        </w:tc>
        <w:tc>
          <w:tcPr>
            <w:tcW w:w="14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applied</w:t>
            </w:r>
          </w:p>
        </w:tc>
        <w:tc>
          <w:tcPr>
            <w:tcW w:w="3340" w:type="dxa"/>
            <w:vAlign w:val="bottom"/>
          </w:tcPr>
          <w:p>
            <w:pPr>
              <w:spacing w:after="0"/>
              <w:rPr>
                <w:sz w:val="14"/>
                <w:szCs w:val="14"/>
                <w:color w:val="auto"/>
              </w:rPr>
            </w:pP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Earnings per</w:t>
            </w:r>
          </w:p>
        </w:tc>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 - assuming dilution-pro-forma</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$ 0.12</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$ 0.05</w:t>
            </w:r>
          </w:p>
        </w:tc>
      </w:tr>
      <w:tr>
        <w:trPr>
          <w:trHeight w:val="168"/>
        </w:trPr>
        <w:tc>
          <w:tcPr>
            <w:tcW w:w="11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5"/>
          <w:szCs w:val="15"/>
          <w:color w:val="auto"/>
        </w:rPr>
        <w:t>The fair value of each option grant was estimated based on actual information available through June 30, 2004 and 2003 using the Black Scholes option-pricing model with the following assumptions: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Term</w:t>
            </w:r>
          </w:p>
        </w:tc>
        <w:tc>
          <w:tcPr>
            <w:tcW w:w="15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Vesting period</w:t>
            </w: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5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Risk free interest</w:t>
            </w:r>
          </w:p>
        </w:tc>
        <w:tc>
          <w:tcPr>
            <w:tcW w:w="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3.79%</w:t>
            </w:r>
          </w:p>
        </w:tc>
        <w:tc>
          <w:tcPr>
            <w:tcW w:w="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3.28%</w:t>
            </w:r>
          </w:p>
        </w:tc>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at June 30,</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2004</w:t>
            </w:r>
          </w:p>
        </w:tc>
        <w:tc>
          <w:tcPr>
            <w:tcW w:w="2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2003, respectively</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rate Dividend yield</w:t>
            </w:r>
          </w:p>
        </w:tc>
        <w:tc>
          <w:tcPr>
            <w:tcW w:w="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2.52%</w:t>
            </w:r>
          </w:p>
        </w:tc>
        <w:tc>
          <w:tcPr>
            <w:tcW w:w="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2.53%</w:t>
            </w:r>
          </w:p>
        </w:tc>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at June 30,</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2004</w:t>
            </w:r>
          </w:p>
        </w:tc>
        <w:tc>
          <w:tcPr>
            <w:tcW w:w="2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2003, respectively</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Volatility</w:t>
            </w:r>
          </w:p>
        </w:tc>
        <w:tc>
          <w:tcPr>
            <w:tcW w:w="5160" w:type="dxa"/>
            <w:vAlign w:val="bottom"/>
            <w:gridSpan w:val="6"/>
          </w:tcPr>
          <w:p>
            <w:pPr>
              <w:ind w:left="180"/>
              <w:spacing w:after="0" w:line="168" w:lineRule="exact"/>
              <w:rPr>
                <w:sz w:val="20"/>
                <w:szCs w:val="20"/>
                <w:color w:val="auto"/>
              </w:rPr>
            </w:pPr>
            <w:r>
              <w:rPr>
                <w:rFonts w:ascii="Courier New" w:cs="Courier New" w:eastAsia="Courier New" w:hAnsi="Courier New"/>
                <w:sz w:val="15"/>
                <w:szCs w:val="15"/>
                <w:color w:val="auto"/>
                <w:w w:val="96"/>
              </w:rPr>
              <w:t>48.59% and 50.11% at June 30, 2004 and 2003, respectively</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11. Lease Commitment</w:t>
      </w:r>
    </w:p>
    <w:p>
      <w:pPr>
        <w:spacing w:after="0" w:line="173" w:lineRule="exact"/>
        <w:rPr>
          <w:sz w:val="20"/>
          <w:szCs w:val="20"/>
          <w:color w:val="auto"/>
        </w:rPr>
      </w:pPr>
    </w:p>
    <w:p>
      <w:pPr>
        <w:jc w:val="both"/>
        <w:spacing w:after="0" w:line="255" w:lineRule="auto"/>
        <w:rPr>
          <w:sz w:val="20"/>
          <w:szCs w:val="20"/>
          <w:color w:val="auto"/>
        </w:rPr>
      </w:pPr>
      <w:r>
        <w:rPr>
          <w:rFonts w:ascii="Courier New" w:cs="Courier New" w:eastAsia="Courier New" w:hAnsi="Courier New"/>
          <w:sz w:val="14"/>
          <w:szCs w:val="14"/>
          <w:color w:val="auto"/>
        </w:rPr>
        <w:t>On June 1, 2004, our wholly owned subsidiary, NN Precision Bearing Products Company LTD, entered into a twenty year lease agreement with Kunshan Tian Li Steel Structure Co. LTD for the lease of land and building (approximately 110,000 square feet) in the Kunshan Economic and Technology Development Zone, Jiangsu, The People's Republic of China. The building will be newly constructed and we expect to begin usage of the leased property during the first quarter of 2005. The land and building remain under the control of the lessor until such time as usage of the leased property commences. The agreement satisfies the requirements of a capital lease at June 1, 2004 and we anticipate recording the lease as a capital lease in our Consolidated Financial Statements when usage of the leased property begins. Accordingly, as of June 30, 2004, no amount has been recorded related to the asset and corresponding obligation associated with the lease agreement in our Consolidated Financial Statements. We estimate the fair value of the land and building to be approximately $2.0 million and undiscounted annual lease payments of approximately $0.2 million (approximately $4.1 million aggregate non-discounted lease payments over the twenty year term). The lease terms include fair value buy-out provisions and we maintain the option to extend the lease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$ 0.30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$ 0.27</w:t>
            </w:r>
          </w:p>
        </w:tc>
      </w:tr>
      <w:tr>
        <w:trPr>
          <w:trHeight w:val="673"/>
        </w:trPr>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0.01</w:t>
            </w:r>
          </w:p>
        </w:tc>
      </w:tr>
      <w:tr>
        <w:trPr>
          <w:trHeight w:val="673"/>
        </w:trPr>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$ 0.30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$ 0.28</w:t>
            </w:r>
          </w:p>
        </w:tc>
      </w:tr>
      <w:tr>
        <w:trPr>
          <w:trHeight w:val="168"/>
        </w:trPr>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7000" w:space="440"/>
            <w:col w:w="2799"/>
          </w:cols>
          <w:pgMar w:left="220" w:top="953" w:right="1440" w:bottom="1440" w:gutter="0" w:footer="0" w:header="0"/>
        </w:sectPr>
      </w:pPr>
    </w:p>
    <w:bookmarkStart w:id="13" w:name="page14"/>
    <w:bookmarkEnd w:id="13"/>
    <w:p>
      <w:pPr>
        <w:jc w:val="both"/>
        <w:ind w:left="700" w:right="3239" w:hanging="699"/>
        <w:spacing w:after="0" w:line="234" w:lineRule="auto"/>
        <w:rPr>
          <w:sz w:val="20"/>
          <w:szCs w:val="20"/>
          <w:color w:val="auto"/>
        </w:rPr>
      </w:pPr>
      <w:r>
        <w:rPr>
          <w:rFonts w:ascii="Courier New" w:cs="Courier New" w:eastAsia="Courier New" w:hAnsi="Courier New"/>
          <w:sz w:val="15"/>
          <w:szCs w:val="15"/>
          <w:color w:val="auto"/>
        </w:rPr>
        <w:t>Item 2. Management's</w:t>
      </w:r>
      <w:r>
        <w:rPr>
          <w:sz w:val="20"/>
          <w:szCs w:val="20"/>
          <w:color w:val="auto"/>
        </w:rPr>
        <w:t xml:space="preserve"> </w:t>
      </w:r>
      <w:r>
        <w:rPr>
          <w:rFonts w:ascii="Courier New" w:cs="Courier New" w:eastAsia="Courier New" w:hAnsi="Courier New"/>
          <w:sz w:val="15"/>
          <w:szCs w:val="15"/>
          <w:color w:val="auto"/>
        </w:rPr>
        <w:t>Discussion and Analysis of Financial Condition and Results 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 and Management Focus</w:t>
      </w:r>
    </w:p>
    <w:p>
      <w:pPr>
        <w:spacing w:after="0" w:line="173" w:lineRule="exact"/>
        <w:rPr>
          <w:sz w:val="20"/>
          <w:szCs w:val="20"/>
          <w:color w:val="auto"/>
        </w:rPr>
      </w:pPr>
    </w:p>
    <w:p>
      <w:pPr>
        <w:ind w:left="440" w:right="3239"/>
        <w:spacing w:after="0" w:line="234" w:lineRule="auto"/>
        <w:rPr>
          <w:sz w:val="20"/>
          <w:szCs w:val="20"/>
          <w:color w:val="auto"/>
        </w:rPr>
      </w:pPr>
      <w:r>
        <w:rPr>
          <w:rFonts w:ascii="Courier New" w:cs="Courier New" w:eastAsia="Courier New" w:hAnsi="Courier New"/>
          <w:sz w:val="15"/>
          <w:szCs w:val="15"/>
          <w:color w:val="auto"/>
        </w:rPr>
        <w:t>Our strategy and management focus is based upon the following long-term objectives:</w:t>
      </w:r>
    </w:p>
    <w:p>
      <w:pPr>
        <w:spacing w:after="0" w:line="173" w:lineRule="exact"/>
        <w:rPr>
          <w:sz w:val="20"/>
          <w:szCs w:val="20"/>
          <w:color w:val="auto"/>
        </w:rPr>
      </w:pPr>
    </w:p>
    <w:p>
      <w:pPr>
        <w:ind w:left="620" w:right="3239" w:hanging="179"/>
        <w:spacing w:after="0" w:line="234" w:lineRule="auto"/>
        <w:tabs>
          <w:tab w:leader="none" w:pos="600" w:val="left"/>
        </w:tabs>
        <w:rPr>
          <w:sz w:val="20"/>
          <w:szCs w:val="20"/>
          <w:color w:val="auto"/>
        </w:rPr>
      </w:pPr>
      <w:r>
        <w:rPr>
          <w:rFonts w:ascii="Courier New" w:cs="Courier New" w:eastAsia="Courier New" w:hAnsi="Courier New"/>
          <w:sz w:val="15"/>
          <w:szCs w:val="15"/>
          <w:color w:val="auto"/>
        </w:rPr>
        <w:t>o</w:t>
        <w:tab/>
        <w:t>Captive growth, providing a competitive and attractive alternative to the operations of our global customers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Expansion of our bearing product offering, and</w:t>
      </w:r>
    </w:p>
    <w:p>
      <w:pPr>
        <w:spacing w:after="0" w:line="173" w:lineRule="exact"/>
        <w:rPr>
          <w:sz w:val="20"/>
          <w:szCs w:val="20"/>
          <w:color w:val="auto"/>
        </w:rPr>
      </w:pPr>
    </w:p>
    <w:p>
      <w:pPr>
        <w:ind w:left="620" w:right="3239" w:hanging="179"/>
        <w:spacing w:after="0" w:line="234" w:lineRule="auto"/>
        <w:tabs>
          <w:tab w:leader="none" w:pos="600" w:val="left"/>
        </w:tabs>
        <w:rPr>
          <w:sz w:val="20"/>
          <w:szCs w:val="20"/>
          <w:color w:val="auto"/>
        </w:rPr>
      </w:pPr>
      <w:r>
        <w:rPr>
          <w:rFonts w:ascii="Courier New" w:cs="Courier New" w:eastAsia="Courier New" w:hAnsi="Courier New"/>
          <w:sz w:val="15"/>
          <w:szCs w:val="15"/>
          <w:color w:val="auto"/>
        </w:rPr>
        <w:t>o</w:t>
        <w:tab/>
        <w:t>Global expansion of our manufacturing base to better address the global requirements of our customers</w:t>
      </w:r>
    </w:p>
    <w:p>
      <w:pPr>
        <w:spacing w:after="0" w:line="173" w:lineRule="exact"/>
        <w:rPr>
          <w:sz w:val="20"/>
          <w:szCs w:val="20"/>
          <w:color w:val="auto"/>
        </w:rPr>
      </w:pPr>
    </w:p>
    <w:p>
      <w:pPr>
        <w:ind w:left="440" w:right="3239"/>
        <w:spacing w:after="0" w:line="234" w:lineRule="auto"/>
        <w:rPr>
          <w:sz w:val="20"/>
          <w:szCs w:val="20"/>
          <w:color w:val="auto"/>
        </w:rPr>
      </w:pPr>
      <w:r>
        <w:rPr>
          <w:rFonts w:ascii="Courier New" w:cs="Courier New" w:eastAsia="Courier New" w:hAnsi="Courier New"/>
          <w:sz w:val="15"/>
          <w:szCs w:val="15"/>
          <w:color w:val="auto"/>
        </w:rPr>
        <w:t>Management generally focuses on these trends and relevant market indicators: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Global industrial growth and economics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Global automotive production rates</w:t>
      </w:r>
    </w:p>
    <w:p>
      <w:pPr>
        <w:spacing w:after="0" w:line="173" w:lineRule="exact"/>
        <w:rPr>
          <w:sz w:val="20"/>
          <w:szCs w:val="20"/>
          <w:color w:val="auto"/>
        </w:rPr>
      </w:pPr>
    </w:p>
    <w:p>
      <w:pPr>
        <w:ind w:left="440" w:right="3239"/>
        <w:spacing w:after="0" w:line="234" w:lineRule="auto"/>
        <w:rPr>
          <w:sz w:val="20"/>
          <w:szCs w:val="20"/>
          <w:color w:val="auto"/>
        </w:rPr>
      </w:pPr>
      <w:r>
        <w:rPr>
          <w:rFonts w:ascii="Courier New" w:cs="Courier New" w:eastAsia="Courier New" w:hAnsi="Courier New"/>
          <w:sz w:val="15"/>
          <w:szCs w:val="15"/>
          <w:color w:val="auto"/>
        </w:rPr>
        <w:t>o Costs subject to the global inflationary environment, including, but not limited to:</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o Raw material</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o Wages and benefits, including health care costs</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o Energy</w:t>
      </w:r>
    </w:p>
    <w:p>
      <w:pPr>
        <w:spacing w:after="0" w:line="173" w:lineRule="exact"/>
        <w:rPr>
          <w:sz w:val="20"/>
          <w:szCs w:val="20"/>
          <w:color w:val="auto"/>
        </w:rPr>
      </w:pPr>
    </w:p>
    <w:p>
      <w:pPr>
        <w:ind w:left="620" w:right="3239" w:hanging="179"/>
        <w:spacing w:after="0" w:line="234" w:lineRule="auto"/>
        <w:tabs>
          <w:tab w:leader="none" w:pos="600" w:val="left"/>
        </w:tabs>
        <w:rPr>
          <w:sz w:val="20"/>
          <w:szCs w:val="20"/>
          <w:color w:val="auto"/>
        </w:rPr>
      </w:pPr>
      <w:r>
        <w:rPr>
          <w:rFonts w:ascii="Courier New" w:cs="Courier New" w:eastAsia="Courier New" w:hAnsi="Courier New"/>
          <w:sz w:val="15"/>
          <w:szCs w:val="15"/>
          <w:color w:val="auto"/>
        </w:rPr>
        <w:t>o</w:t>
        <w:tab/>
        <w:t>Trends related to manufacturing's geographic migration of competitive manufacturing</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Regulatory environment for United States public companies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Currency and exchange rate movements and trends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Interest rate levels and expectations</w:t>
      </w:r>
    </w:p>
    <w:p>
      <w:pPr>
        <w:spacing w:after="0" w:line="173" w:lineRule="exact"/>
        <w:rPr>
          <w:sz w:val="20"/>
          <w:szCs w:val="20"/>
          <w:color w:val="auto"/>
        </w:rPr>
      </w:pPr>
    </w:p>
    <w:p>
      <w:pPr>
        <w:ind w:left="440" w:right="3239"/>
        <w:spacing w:after="0" w:line="234" w:lineRule="auto"/>
        <w:rPr>
          <w:sz w:val="20"/>
          <w:szCs w:val="20"/>
          <w:color w:val="auto"/>
        </w:rPr>
      </w:pPr>
      <w:r>
        <w:rPr>
          <w:rFonts w:ascii="Courier New" w:cs="Courier New" w:eastAsia="Courier New" w:hAnsi="Courier New"/>
          <w:sz w:val="15"/>
          <w:szCs w:val="15"/>
          <w:color w:val="auto"/>
        </w:rPr>
        <w:t>Management generally focuses on the following key indicators of operating performance: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Sales growth</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Cost of products sold levels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Selling, general and administrative expense levels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Net income</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Cash flow from operations and capital spending</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Our core business is the manufacture and sale of high quality, precision steel balls and rollers. In 2003, sales of balls and rollers accounted for approximately 76% of the Company's total net sales with 63% and 13% of sales from balls and rollers, respectively. Sales of metal bearing retainers accounted for 4% and sales of precision molded plastic and rubber parts accounted for the remaining 20%.</w:t>
      </w:r>
    </w:p>
    <w:p>
      <w:pPr>
        <w:spacing w:after="0" w:line="17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Since our formation in 1980 we have grown primarily through the displacement of captive ball manufacturing operations of domestic and international bearing manufacturers resulting in increased sales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960" w:right="1440" w:bottom="1440" w:gutter="0" w:footer="0" w:header="0"/>
        </w:sectPr>
      </w:pPr>
    </w:p>
    <w:bookmarkStart w:id="14" w:name="page15"/>
    <w:bookmarkEnd w:id="14"/>
    <w:p>
      <w:pPr>
        <w:jc w:val="both"/>
        <w:ind w:right="3239"/>
        <w:spacing w:after="0" w:line="236" w:lineRule="auto"/>
        <w:rPr>
          <w:sz w:val="20"/>
          <w:szCs w:val="20"/>
          <w:color w:val="auto"/>
        </w:rPr>
      </w:pPr>
      <w:r>
        <w:rPr>
          <w:rFonts w:ascii="Courier New" w:cs="Courier New" w:eastAsia="Courier New" w:hAnsi="Courier New"/>
          <w:sz w:val="15"/>
          <w:szCs w:val="15"/>
          <w:color w:val="auto"/>
        </w:rPr>
        <w:t>of high precision balls for quiet bearing applications. Management believes that our core business sales growth since our formation has been due to our ability to capitalize on opportunities in global markets and provide precision products at competitive prices, as well as our emphasis on product quality and customer service.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Three Months Ended June 30, 2004 Compared to the Three Months Ended June 30, 2003</w:t>
      </w:r>
    </w:p>
    <w:p>
      <w:pPr>
        <w:spacing w:after="0" w:line="173"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Net Sales. Net sales increased by approximately $11.1 million, or 17.3%, from $64.2 million for the second quarter of 2003 to $75.3 million for the second quarter of 2004. By segment, sales increased $10.2 million, $0.6 million and $0.3 million for the NN Europe Segment, Domestic Ball and Roller Segment and the Plastic and Rubber Components Segment, respectively. Within the NN Europe Segment, $6.2 million of the increase is related to our May 2, 2003 acquisition of Veneendaal and a full quarter of its results for the second quarter of 2004, $2.1 million of the increase is related to the impact of currency exchange rates and $1.9 million is related to increases in product demand. Within the Domestic Ball and Roller Segment and the Plastic and Rubber Components Segment, the increases of $0.6 million and $0.3 million, respectively, are related to increases in product demand.</w:t>
      </w:r>
    </w:p>
    <w:p>
      <w:pPr>
        <w:spacing w:after="0" w:line="173"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Cost of Products Sold. Cost of products sold increased by approximately $9.2 million, or 18.5%, from $49.7 million for the second quarter of 2003 to $58.9 million for the second quarter of 2004. By segment, cost of products sold increased $9.0 million and $0.2 million for the NN Europe Segment and the Domestic Ball and Roller Segment, respectively. Within the NN Europe Segment, $4.9 million of the increase is related to our May 2, 2003 acquisition of Veneendaal and the inclusion of a full quarter of its results for the second quarter of 2004, $1.6 million is related to the impact of currency exchange rates and $2.5 million is related to increases in product demand, increased material costs and the impact of inventory reductions. Within the Domestic Ball and Roller Segment, the increase of $0.2 million is principally related to increases in product demand. As a percentage of net sales, cost of products sold increased from 77.5% during the second quarter of 2003 to 78.3% during the second quarter of 2004.</w:t>
      </w:r>
    </w:p>
    <w:p>
      <w:pPr>
        <w:spacing w:after="0" w:line="174"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price of steel has risen over the last twelve to eighteen months with 2004 prices expected to reflect even greater increases. The increase is principally due to general increases in global demand and, more recently, due to China's increased consumption of steel. This has had the impact of increasing scrap surcharges we pay in procuring our steel. Our contracts with key customers allow us to pass a majority of the steel price increases we incur on to those customers. However, by contract, material price changes in any given year are typically passed along with price adjustments in January of the following year. Until the current increases can be passed through to our customers, income from operations, net income and cash flow from operations will be adversely affected.</w:t>
      </w:r>
    </w:p>
    <w:p>
      <w:pPr>
        <w:spacing w:after="0" w:line="165"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Selling, General and Administrative Expenses. Selling, general and administrative expenses increased by approximately $2.3 million, or 39.3%, from $5.7 million during the second quarter of 2003 to $8.0 million during the second quarter of 2004. By segment, selling, general and administrative expenses increased $1.2 million, $0.9 million and $0.1 million for the NN Europe Segment, Domestic Ball and Roller Segment and the Plastic and Rubber Components Segment, respectively. Within the NN Europe Segment, $0.5 million of the increase is related to our May 2, 2003 acquisition of Veneendaal and a full quarter of its results for the second quarter of 2004, $0.2 million is related to the impact of currency exchange rates and $0.5 million is related to employee severance. Within the Domestic Ball and Roller Segment, $0.7 million is related to Sarbanes-Oxley compliance efforts in the area of internal controls, and $0.2 million is principally related to costs incurred as a result of the start-up of our previously announced Level 3 program which integrates the principles of Lean Enterprise, Six Sigma and Total Productive Maintenance (the "Level 3 Program"). As a percentage of net sales, selling, general and administrative expenses increased from 9.0% during the second quarter of 2003 to 10.7% during the second quarter of 2004.</w:t>
      </w:r>
    </w:p>
    <w:p>
      <w:pPr>
        <w:spacing w:after="0" w:line="175"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Restructuring and impairment costs. Restructuring and impairment costs decreased by $2.7 million from $2.7 million for the second quarter of 2003 to $0 for the second quarter of 2004. The decrease is related to the restructuring and impairment charges recorded in the second quarter of 2003 as a result of the closure of our Guadalajara, Mexico injection molding facility. The charges recorded in the second quarter of 2003 consisted of $2.4 million related to asset write-downs to their estimated fair market values, including $1.3</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792" w:right="1440" w:bottom="1440" w:gutter="0" w:footer="0" w:header="0"/>
        </w:sectPr>
      </w:pPr>
    </w:p>
    <w:bookmarkStart w:id="15" w:name="page16"/>
    <w:bookmarkEnd w:id="15"/>
    <w:p>
      <w:pPr>
        <w:jc w:val="both"/>
        <w:ind w:right="3239"/>
        <w:spacing w:after="0" w:line="236" w:lineRule="auto"/>
        <w:rPr>
          <w:sz w:val="20"/>
          <w:szCs w:val="20"/>
          <w:color w:val="auto"/>
        </w:rPr>
      </w:pPr>
      <w:r>
        <w:rPr>
          <w:rFonts w:ascii="Courier New" w:cs="Courier New" w:eastAsia="Courier New" w:hAnsi="Courier New"/>
          <w:sz w:val="15"/>
          <w:szCs w:val="15"/>
          <w:color w:val="auto"/>
        </w:rPr>
        <w:t>million related to goodwill, $1.0 million related to property, plant and equipment, and $0.1 million related to accounts receivable. In addition, a $0.3 million charge related to employee severance costs was recorded. Restructuring and impairment charges were 4.2% of net sales in the second quarter of 2003 and 0% of net sales for the second quarter of 2004.</w:t>
      </w:r>
    </w:p>
    <w:p>
      <w:pPr>
        <w:spacing w:after="0" w:line="17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Depreciation and Amortization. Depreciation and amortization expenses increased by approximately $0.5 million, or 15.0%, from $3.5 million for the second quarter of 2003 to $4.0 million for the second quarter of 2004. Principally all of the $0.5 million increase is attributable to the NN Europe Segment. Within the NN Europe Segment, $0.3 million of the increase is related to our May 2, 2003 acquisition of Veenendaal and the inclusion of a full quarter of its results for the second quarter of 2004 versus two months for the second quarter of 2003 and $0.1 million of the increase is related to the impact of foreign currency exchange rates. As a percentage of net sales, depreciation and amortization expense decreased from 5.4% during the second quarter of 2003 to 5.3% during the second quarter of 2004.</w:t>
      </w:r>
    </w:p>
    <w:p>
      <w:pPr>
        <w:spacing w:after="0" w:line="180"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Interest Expense. Interest expense increased by approximately $0.1 million, or 18.1%, from $0.8 million in the second quarter of 2003 to $0.9 million in the second quarter of 2004. The increase is principally related to increased debt levels due to the May 2003 acquisition of Veenendaal and the May 2003 purchase of the 23% interest in NN Europe held by SKF. Effective with the completion of this transaction, we own 100% of NN Europe.</w:t>
      </w:r>
    </w:p>
    <w:p>
      <w:pPr>
        <w:spacing w:after="0" w:line="175"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Minority Interest in Consolidated Subsidiary. Minority interest in consolidated subsidiary decreased $0.1 million from $0.1 million in the second quarter of 2003 to $0 in the second quarter of 2004. The decrease is due entirely to our purchase of the remaining 23% minority interest in NN Europe on May 2, 2003. During the first quarter of 2003, minority interest in consolidated subsidiary represented 23% of the shares of the joint venture held by SKF.</w:t>
      </w:r>
    </w:p>
    <w:p>
      <w:pPr>
        <w:spacing w:after="0" w:line="166"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Net Income. Net income increased by approximately $1.3 million, or 184.9%, from $0.7 million in the second quarter of 2003 to $2.0 million in the second quarter of 2004. As a percentage of net sales, net income increased from 1.1% during the second quarter of 2003 to 2.6% during the second quarter of 2004.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Six Months Ended June 30, 2004 Compared to the Six Months Ended June 30, 2003</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Net Sales. Net sales increased by approximately $31.1 million, or 25.5%, from $121.8 million for the first six months of 2003 to $152.9 million for the first six months of 2004. By segment, sales increased $31.4 million and $0.8 million for the NN Europe Segment and Domestic Ball and Roller Segment, respectively. Partially offsetting these increases was a $1.1 million decrease for the Plastic and Rubber Components Segment. Within the NN Europe Segment, $21.2 million of the increase is related to our May 2, 2003 acquisition of Veneendaal and a full six months of its results included in 2004 versus two months included in the first six months of 2003, $6.9 million of the increase is related to the impact of currency exchange rates and $3.3 million is related to increases in product demand. Within the Domestic Ball and Roller Segment, the increase of $0.8 million is principally related to increases in product demand. The decrease of $1.1 million in the Plastic and Rubber Components Segment is principally related to the closure of our Guadalajara, Mexico injection molding facility in 2003.</w:t>
      </w:r>
    </w:p>
    <w:p>
      <w:pPr>
        <w:spacing w:after="0" w:line="164"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Cost of Products Sold. Cost of products sold increased by approximately $26.9 million, or 29.1%, from $92.5 million for the first six months of 2003 to $119.3 million for the first six months of 2004. By segment, cost of products sold increased $27.2 million and $0.8 million for the NN Europe Segment and the Domestic Ball and Roller Segment, respectively. Partially offsetting these increases was a $1.1 million decrease for the Plastic and Rubber Components Segment. Within the NN Europe Segment, $17.5 million of the increase is related to our May 2, 2003 acquisition of Veneendaal and the inclusion of a full six months of its results included in 2004 versus two months included in the first six months of 2003, $5.4 million is related to the impact of currency exchange rates and $4.3 million is related to increases in product demand, increased material costs and the impact of inventory reductions. Within the Domestic Ball and Roller Segment, the increase of $0.8 million is principally related to increases in product demand. The decrease of $1.1 million in the Plastic and Rubber Components Segment is principally related to the closure of our Guadalajara, Mexico injection molding facility in 2003. As a percentage of net sales, cost of products sold increased from 75.9% during first six months of 2003 to 78.0% during the first six months of 2004.</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792" w:right="1440" w:bottom="1440" w:gutter="0" w:footer="0" w:header="0"/>
        </w:sectPr>
      </w:pPr>
    </w:p>
    <w:bookmarkStart w:id="16" w:name="page17"/>
    <w:bookmarkEnd w:id="16"/>
    <w:p>
      <w:pPr>
        <w:jc w:val="both"/>
        <w:ind w:right="3239"/>
        <w:spacing w:after="0" w:line="255" w:lineRule="auto"/>
        <w:rPr>
          <w:sz w:val="20"/>
          <w:szCs w:val="20"/>
          <w:color w:val="auto"/>
        </w:rPr>
      </w:pPr>
      <w:r>
        <w:rPr>
          <w:rFonts w:ascii="Courier New" w:cs="Courier New" w:eastAsia="Courier New" w:hAnsi="Courier New"/>
          <w:sz w:val="14"/>
          <w:szCs w:val="14"/>
          <w:color w:val="auto"/>
        </w:rPr>
        <w:t>Selling, General and Administrative Expenses. Selling, general and administrative expenses increased by approximately $4.8 million or 46.0% from $10.4 million during the first six months of 2003 to $15.2 million during the first six months of 2004. By segment, selling, general and administrative expenses increased $2.9 million, $1.8 million and $0.1 million for the NN Europe Segment, Domestic Ball and Roller Segment and the Plastic and Rubber Components Segment, respectively. Within the NN Europe Segment, $1.6 million of the increase is related to our May 2, 2003 acquisition of Veneendaal and a full six months of its results included in 2004 versus two months included in the first six months of 2003, $0.5 million is related to the impact of currency exchange rates and $0.8 million is principally related to employee severance costs and and our Level 3 Program. Within the Domestic Ball and Roller Segment, $0.9 million is related to Sarbanes-Oxley compliance efforts in the area of internal controls, $0.4 million is principally related to costs incurred as a result of the start-up of our Level 3 Program and $0.3 million is related to the start-up of our China operation. As a percentage of net sales, selling, general and administrative expenses increased from 8.5% during the first six months of 2003 to 9.9% during the first six months of 2004.</w:t>
      </w:r>
    </w:p>
    <w:p>
      <w:pPr>
        <w:spacing w:after="0" w:line="331"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Restructuring and impairment costs. Restructuring and impairment costs decreased by $2.7 million from $2.7 million for the first six months of 2003 to $0 for the first six months of 2004. The decrease is related to the restructuring and impairment charges recorded in the first six months of 2003 as a result of the closure of our Guadalajara, Mexico injection molding facility. The charges recorded in the first six months of 2003 consisted of $2.4 million related to asset write-downs to their estimated fair market values, including $1.3 million related to goodwill, $1.0 million related to property, plant and equipment, and $0.1 million related to accounts receivable. In addition, a $0.3 million charge related to employee severance costs was recorded. Restructuring and impairment charges were 2.2% of net sales in the first six months of 2003 and 0% of net sales for the first six months of 2004.</w:t>
      </w:r>
    </w:p>
    <w:p>
      <w:pPr>
        <w:spacing w:after="0" w:line="164"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Depreciation and Amortization. Depreciation and amortization expenses increased by approximately $1.4 million or 21.8% from $6.5 million for the first six months of 2003 to $7.9 million for the first six months of 2004. Principally all of the $1.4 million increase is attributable to the NN Europe Segment. Within the NN Europe Segment, $1.0 million of the increase is related to our May 2, 2003 acquisition of Veenendaal and a full six months of its results included in 2004 versus two months included in the first six months of 2003 and $0.4 million of the increase is related to the impact of foreign currency exchange rates. As a percentage of net sales, depreciation and amortization expense decreased from 5.3% for the first six months of 2003 to 5.2% for the first six months of 2004.</w:t>
      </w:r>
    </w:p>
    <w:p>
      <w:pPr>
        <w:spacing w:after="0" w:line="16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Interest Expense. Interest expense increased by approximately $0.4 million from $1.4 million in the first six months of 2003 to $1.8 million in the first six months of 2004. The increase is principally related to increased debt levels due to the May 2003 acquisition of Veenendaal and the May 2003 purchase of the 23% interest in NN Europe held by SKF. Effective with the completion of this transaction, we own 100% of NN Europe.</w:t>
      </w:r>
    </w:p>
    <w:p>
      <w:pPr>
        <w:spacing w:after="0" w:line="175"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Minority Interest in Consolidated Subsidiary. Minority interest in consolidated subsidiary decreased $0.7 million from $0.7 million in the first six months of 2003 to $0 in the first six months of 2004. The decrease is due entirely to our purchase of the remaining 23% minority interest in NN Europe on May 2, 2003. During the first quarter of 2003, minority interest in consolidated subsidiary represented 23% of the shares of the joint venture held by SKF.</w:t>
      </w:r>
    </w:p>
    <w:p>
      <w:pPr>
        <w:spacing w:after="0" w:line="166"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Net Income. Net income increased by approximately $0.9 million, or 19.9%, from $4.3 million in the first six months of 2003 to $5.2 million in the first six months of 2004. As a percentage of net sales, net income decreased from 3.6% during the first six months of 2003 to 3.4% during the first six months of 2004.</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On May 1, 2003 in connection with the purchase of SKF's Veenendaal component manufacturing operations and SKF's 23 percent interest in NN Europe, we entered into a $90 million syndicated credit facility with AmSouth as the administrative agent and Suntrust Bank as the Euro loan agent for the lenders under which we borrowed $60.4 million and 26.3 million Euros ($29.6 million) (the "$90 million credit facility") This financing arrangement replaced our prior credit facility with AmSouth and NN Europe's</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792" w:right="1440" w:bottom="1440" w:gutter="0" w:footer="0" w:header="0"/>
        </w:sectPr>
      </w:pPr>
    </w:p>
    <w:bookmarkStart w:id="17" w:name="page18"/>
    <w:bookmarkEnd w:id="17"/>
    <w:p>
      <w:pPr>
        <w:jc w:val="both"/>
        <w:ind w:right="3239"/>
        <w:spacing w:after="0" w:line="254" w:lineRule="auto"/>
        <w:rPr>
          <w:sz w:val="20"/>
          <w:szCs w:val="20"/>
          <w:color w:val="auto"/>
        </w:rPr>
      </w:pPr>
      <w:r>
        <w:rPr>
          <w:rFonts w:ascii="Courier New" w:cs="Courier New" w:eastAsia="Courier New" w:hAnsi="Courier New"/>
          <w:sz w:val="14"/>
          <w:szCs w:val="14"/>
          <w:color w:val="auto"/>
        </w:rPr>
        <w:t>credit facility with Hypo Vereinsbank Luxembourg, S.A. The credit facility, as originally entered into, consisted of a $30.0 million revolver expiring on March 15, 2005, subsequently extended to March 31, 2006, bearing interest at a floating rate equal to LIBOR (1.61% at June 30, 2004) plus an applicable margin of 1.25 to 2.0, a $30.4 million term loan expiring on May 1, 2008, bearing interest at a floating rate equal to LIBOR (1.61% at June 30, 2004) plus an applicable margin of 1.25 to 2.0 and a 26.3 million Euro ($29.6 million) term loan expiring on May 1, 2008 which bears interest at a floating rate equal to Euro LIBOR (2.12% at June 30, 2004) plus an applicable margin of 1.25 to 2.0. All amounts owed under the $30.4 million term loan were paid during the second quarter of 2004 with the proceeds from our $40 million notes and we no longer have borrowing capacity under that portion of the $90 million credit facility. The terms of the $30.0 million revolver and the 26.3 million Euro term loan remain unchanged. The loan agreement contains customary financial and non-financial covenants. Such covenants specify that we must maintain certain liquidity measures. The loan agreement also contains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our business. The credit facility is not collateralized except for the pledge of stock of certain foreign subsidiaries. No event of default had occurred as of June 30, 2004.</w:t>
      </w:r>
    </w:p>
    <w:p>
      <w:pPr>
        <w:spacing w:after="0" w:line="176"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On March 23, 2004 we entered into a $2.7 million short-term promissory note ("the $2.7 million note") with AmSouth Bank as the lender. This note bore interest at the prime rate This agreement was entered into to fund short term operating capital requirements. All amounts owed under this note were paid during the second quarter of 2004 with the proceeds from our $40 million notes. See Note 8 of the Notes to Consolidated Financial Statements.</w:t>
      </w:r>
    </w:p>
    <w:p>
      <w:pPr>
        <w:spacing w:after="0" w:line="17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 connection with the acquisition of KLF's operations in Slovakia, on September 23, 2003 we entered into a $2.0 million short-term promissory note ("the $2.0 million note") with AmSouth as the lender. This note bore interest at the prime rate. All amounts owed under this note were paid during the second quarter 2004 with the proceeds from our $40 million notes. See Note 8 of the Notes to Consolidated Financial Statements.</w:t>
      </w:r>
    </w:p>
    <w:p>
      <w:pPr>
        <w:spacing w:after="0" w:line="175"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On April 26, 2004 we issued $40.0 million aggregate principal amount of senior notes in a private placement (the "$40 million notes"). These notes bear interest at a fixed rate of 4.89% and mature on April 26, 2014. Interest is paid semi-annually. As of June 30, 2004, $40.0 million remained outstanding. Annual principal payments of approximately $5.7 million begin on April 26, 2008 and extend through the date of maturity. Proceeds from this credit facility were used to repay our existing US dollar denominated term loan, $24 million, and repay a portion of our borrowings under our US dollar denominated revolving credit facility, $13 million, which are both components of our $90 million credit facility, and to repay borrowings remaining under our $2.0 million note and our $2.7 million note of $2 million and $1 million, respectively. The agreement contains customary financial and non-financial covenants. Such covenants specify that we must maintain certain liquidity measures. The agreement also contains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our business. No event of default had occurred as of June 30, 2004. The notes are not collateralized except for the pledge of stock of certain foreign subsidiaries. We incurred $0.7 million of related costs as a result of issuing these notes which have been recorded as a component of other non-current assets and are being amortized over the term of the notes. In connection with the issuance of the $40 million notes, capitalized costs in the amount of approximately $0.3 million associated with structuring of the $90 million credit facility were written off during the three months ended June 30, 2004 and are included as a component of other (income) expense. See Note 8 of the Notes to Consolidated Financial Statements.</w:t>
      </w:r>
    </w:p>
    <w:p>
      <w:pPr>
        <w:spacing w:after="0" w:line="34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Our arrangements with our domestic customers typically provide that payments are due within 30 days following the date of shipment of goods by us, while arrangements with certain export customers (other than export customers that have entered into an inventory management program with the Company) generally provide that payments are due within either 90 or 120 days following the date of shipment. Our net sales have historically been of a seasonal nature due to our relative percentage of European business coupled with slower European production during the month of August.</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792" w:right="1440" w:bottom="1440" w:gutter="0" w:footer="0" w:header="0"/>
        </w:sectPr>
      </w:pPr>
    </w:p>
    <w:bookmarkStart w:id="18" w:name="page19"/>
    <w:bookmarkEnd w:id="18"/>
    <w:p>
      <w:pPr>
        <w:jc w:val="both"/>
        <w:ind w:right="3239"/>
        <w:spacing w:after="0" w:line="236" w:lineRule="auto"/>
        <w:rPr>
          <w:sz w:val="20"/>
          <w:szCs w:val="20"/>
          <w:color w:val="auto"/>
        </w:rPr>
      </w:pPr>
      <w:r>
        <w:rPr>
          <w:rFonts w:ascii="Courier New" w:cs="Courier New" w:eastAsia="Courier New" w:hAnsi="Courier New"/>
          <w:sz w:val="15"/>
          <w:szCs w:val="15"/>
          <w:color w:val="auto"/>
        </w:rPr>
        <w:t>We bill and receive payment from some of our customers in Euros as well as other currencies. To date, we have not been materially adversely affected by currency fluctuations. Nonetheless, as a result of these sales, our foreign exchange transaction and translation risk has increased. Various strategies to manage this risk are available to management including producing and selling in local currencies and hedging programs. As of June 30, 2004, no currency hedges were in place. In addition, a strengthening of the U.S. dollar and/or Euro against foreign currencies could impair our ability to compete with international competitors for foreign as well as domestic sales.</w:t>
      </w:r>
    </w:p>
    <w:p>
      <w:pPr>
        <w:spacing w:after="0" w:line="178"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Working capital, which consists principally of accounts receivable and inventories, was $34.7 million at June 30, 2004 as compared to $25.7 million at December 31, 2003. The ratio of current assets to current liabilities increased from 1.41:1 at December 31, 2003 to 1.60:1 at June 30, 2004. Cash flow from operations increased to $13.4 million during the first six months of 2004 from $4.4 million during the first six months of 2003. Contributing to the improvement in cash flow from operations for the six months ended June 30, 2004 was the reduction in inventory levels of approximately $3.7 million.</w:t>
      </w:r>
    </w:p>
    <w:p>
      <w:pPr>
        <w:spacing w:after="0" w:line="177"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During 2004, we plan to spend approximately $9.0 million on capital expenditures related primarily to equipment and process upgrades and replacements and approximately $4.0 million principally related to geographic expansion of our manufacturing base. Of these amounts approximately $5.2 million has been spent through June 30, 2004. We intend to finance these activities with cash generated from operations and funds available under the credit facilities described above. We believe that funds generated from operations and borrowings from the credit facilities will be sufficient to finance our working capital needs and projected capital expenditure requirements through June 2005.</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Pronouncements</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On May 19, 2004, the Financial Accounting Standards Board ("FASB") issued FASB Staff Position (FSP) No. 106-2, "Accounting and Disclosure Requirements Related to the Medicare Prescription Drug, Improvement and Modernization Act of 2003", which supersedes FSP No. 106-1, "Accounting and Disclosure Requirements Related to the Medicare Prescription Drug, Improvement and Modernization Act of 2003," (the Act). FSP No. 106-2 permits a sponsor of a postretirement health care plan that provides a prescription drug benefit to make a one-time election to defer accounting for the effects of the Act until authoritative guidance on accounting for subsidies provided by the Act is issued. The Act introduces a prescription drug benefit under Medicare as well as a federal subsidy to sponsors of retiree health care benefit plans. The Company does not anticipate that the Act will have a material effect on the measurement of the Company's postretirement obligations. FSP No. 106-2 is effective for the Company's third quarter 2004.</w:t>
      </w:r>
    </w:p>
    <w:p>
      <w:pPr>
        <w:spacing w:after="0" w:line="16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 December 2003, the FASB issued Financial Interpretation No. 46(R), "Consolidation of Variable Interest Entities," ("FIN 46(R)"). This interpretation addresses consolidation by business enterprises of variable interest entities with certain defined characteristics and replaces Financial Interpretation No. 46. The interpretation was effective January 1, 2004 for variable interest entities existing prior to February 2003. FIN 46(R) did not have a significant impact on the Company's consolidated financial statements.</w:t>
      </w:r>
    </w:p>
    <w:p>
      <w:pPr>
        <w:spacing w:after="0" w:line="176"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In December 2003 the FASB issued SFAS No. 132 (revised 2003), "Employers' Disclosures about Pensions and Other Postretirement Benefits". SFAS No. 132R revises employers' disclosures about pension plans and other postretirement benefit plans. It does not change the measurement or recognition of those plans required by FASB Statements No. 87, "Employers' Accounting for Pensions", No. 88, "Employers' Accounting for Settlements and Curtailments of Defined Benefit Pensions Plans and for Termination Benefits, and No. 106, "Employers' Accounting for Postretirement Benefits Other Than Pensions". SFAS No. 132R requires additional disclosures to those in the original Statement 132 about the assets, obligations, cash flows, and net periodic benefit cost of defined benefit pension plans and other defined benefit postretirement plans. With certain exceptions, principally related to disclosure requirements of foreign plans, SFAS No. 132R is effective for financial statements with fiscal years ending after December 15, 2003. As of June 30, 2004, we have complied with the disclosure requirements of SFAS No. 132R.</w:t>
      </w: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792"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The Euro</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We currently have operations in Italy, Germany, Ireland, and The Netherlands, all of which are Euro participating countries, and sell product to customers in many of the participating countries. The Euro has been adopted as the functional currency at these locations.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 and Fluctuation in Quarterly Results</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Our net sales historically have been of a seasonal nature due to a significant portion of our sales to European customers that cease or significantly slow production during the month of August.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 and Changes in Prices</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While the Company's operations have not been materially affected by general inflation during recent years, prices for 52100 Steel and other steel related raw materials have increased significantly during the past twelve months. In the Company's U.S. operations our typical pricing arrangements with steel suppliers are subject to adjustment once every six months. The Company's NN Europe Segment has entered into long-term agreements with its primary steel supplier, which provide for standard terms and conditions, annual unit price adjustments, and quarterly pricing adjustments in the form of scrap surcharges. In both our U.S. and European operations, the steel price increases we have experienced are related to increasing global demand for scrap and other steel related raw materials, principally from China. While we reserve the right to increase product prices periodically in the event of increases in its raw material costs, our current contracts in effect with SKF and INA/FAG call for adjustments in selling prices for raw material inflation to occur in January of the following year. As such, the majority of the inflation we are currently experiencing in raw material pricing will not be passed through until January 2005. For other customers, we are currently in the process of adjusting pricing levels to reflect the increases in steel pricing.</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Critical Accounting Policies</w:t>
      </w:r>
    </w:p>
    <w:p>
      <w:pPr>
        <w:spacing w:after="0" w:line="173"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Our significant accounting policies, including the assumptions and judgments underlying them, are disclosed in the Company's Annual Report on Form 10-K, for the fiscal year ended December 31, 2003 including those policies as discussed in Note 1. These policies, which have not significantly changed since December 31, 2003 have been consistently applied in all material respects and address such matters as revenue recognition, inventory valuation, asset impairment recognition, business combination accounting and pension and postretirement benefits. Due to the estimation processes involved, management considers the following summarized accounting policies and their application to be critical to understanding the Company's business operations, financial condition and results of operations. There can be no assurance that actual results will not significantly differ from the estimates used in these critical accounting policies.</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Accounts Receivable. Substantially all of the Company's accounts receivable are due primarily from the served markets: bearing manufacturers, automotive industry, electronics, industrial, agricultural and aerospace. In establishing allowances for doubtful accounts, the Company performs credit evaluations of its customers, considering numerous inputs when available including the customers' financial position, past payment history, relevant industry trends, cash flows, management capability, historical loss experience and economic conditions and prospects. Accounts receivable are written off when considered to be uncollectible. While management believes that adequate allowances for doubtful accounts have been provided in the Consolidated Financial Statements, it is possible that the Company could experience additional unexpected credit losses.</w:t>
      </w:r>
    </w:p>
    <w:p>
      <w:pPr>
        <w:spacing w:after="0" w:line="165"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Inventories. Inventories are stated at the lower of cost or market. Cost is determined using the first-in, first-out method. The Company's inventories are not generally subject to obsolescence due to spoilage or expiring product life cycles. The Company operates generally as a make-to-order business; however, the Company also stocks products for certain customers in order to meet delivery schedules. While management believes that adequate write-downs for inventory obsolescence have been made in the Consolidated Financial Statements, the Company could experience additional inventory write-downs in the future.</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785" w:right="1440" w:bottom="1440" w:gutter="0" w:footer="0" w:header="0"/>
        </w:sectPr>
      </w:pPr>
    </w:p>
    <w:bookmarkStart w:id="20" w:name="page21"/>
    <w:bookmarkEnd w:id="20"/>
    <w:p>
      <w:pPr>
        <w:jc w:val="both"/>
        <w:ind w:right="3239"/>
        <w:spacing w:after="0" w:line="236" w:lineRule="auto"/>
        <w:rPr>
          <w:sz w:val="20"/>
          <w:szCs w:val="20"/>
          <w:color w:val="auto"/>
        </w:rPr>
      </w:pPr>
      <w:r>
        <w:rPr>
          <w:rFonts w:ascii="Courier New" w:cs="Courier New" w:eastAsia="Courier New" w:hAnsi="Courier New"/>
          <w:sz w:val="15"/>
          <w:szCs w:val="15"/>
          <w:color w:val="auto"/>
        </w:rPr>
        <w:t>Acquisitions and Acquired Intangibles. For new acquisitions, the Company uses estimates, assumptions and appraisals to allocate the purchase price to the assets acquired and to determine the amount of goodwill. These estimates are based on market analyses and comparisons to similar assets. Annual tests are required to be performed to assess whether recorded goodwill is impaired. The annual tests require management to make estimates and assumptions with regard to the future operations of its reporting units, the expected cash flows that they will generate, and their market value. These estimates and assumptions therefore impact the recorded value of assets acquired in a business combination, including goodwill, and whether or not there is any subsequent impairment of the recorded goodwill and the amount of such impairment.</w:t>
      </w:r>
    </w:p>
    <w:p>
      <w:pPr>
        <w:spacing w:after="0" w:line="180"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Impairment of Long-Lived Assets. The Company's long-lived assets include property, plant and equipment. The recoverability of the long-lived assets is dependent on the performance of the companies which the Company has acquired, as well as volatility inherent in the external markets for these acquisitions. In assessing potential impairment for these assets the Company will consider these factors as well as forecasted financial performance. For assets held for sale as of December 31, 2003, appraisals are relied upon to assess the fair market value of those assets. The assets held for sale of $1.8 million as of December 31, 2003 have been reclassified as held for use effective March 31, 2004. The amounts reclassified are carried at fair value which is lower than the carrying amount before the assets were classified as held for sale adjusted for depreciation expense. The reclassification of these assets did not have a material impact to our income from operations, net income or cash flow from operations for the three and six months ended June 30, 2004. Future adverse changes in market conditions or adverse operating results of the underlying assets could result in the Company having to record additional impairment charges not previously recognized.</w:t>
      </w:r>
    </w:p>
    <w:p>
      <w:pPr>
        <w:spacing w:after="0" w:line="17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Pension and Post-Retirement Obligations. The Company uses several assumptions in determining its periodic pension and post-retirement expense and obligations which are included in the Consolidated Financial Statements. These assumptions include determining an appropriate discount rate, rate of compensation increase, as well as the remaining service period of active employees. The Company uses an independent actuary to calculate the periodic pension and post-retirement expense and obligations based upon these assumptions and actual employee census data.</w:t>
      </w:r>
    </w:p>
    <w:p>
      <w:pPr>
        <w:spacing w:after="0" w:line="177"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Cautionary Statements for Purposes of the "Safe Harbor" Provisions of the Private Securities Litigation Reform Act of 1995</w:t>
      </w:r>
    </w:p>
    <w:p>
      <w:pPr>
        <w:spacing w:after="0" w:line="173"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The Company wishes to caution readers that this report contains, and future filings by the Company, press releases and oral statements made by the Company's authorized representatives may contain, forward-looking statements that involve certain risks and uncertainties. Statements regarding capital expenditures, future borrowings, and financial commitments are forward-looking statements. Readers can identify forward-looking statements by the use of such verbs as expects, anticipates, believes or similar verbs or conjugations of such verbs. The Company's actual results could differ materially from those expressed in such forward-looking statements due to important factors bearing on the Company's business, many of which already have been discussed in this filing and in the Company's prior filings. The differences could be caused by a number of factors or combination of factors including, but not limited to, the risk factors described below.</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You should carefully consider the following risks and uncertainties, and all other information contained in or incorporated by reference in this quarterly report on Form 10-Q, before making an investment in our common stock. Any of the following risks could have a material adverse effect on our business, financial condition or operating results. In such case, the trading price of our common stock could decline and you may lose all or part of your investment.</w:t>
      </w:r>
    </w:p>
    <w:p>
      <w:pPr>
        <w:spacing w:after="0" w:line="166"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The demand for our products is cyclical, which could adversely impact our revenues.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end markets for fully assembled bearings are cyclical and tend to decline in response to overall declines in industrial production. As a result, the market for bearing components is also cyclical and impacted by overall levels of industrial production. Our sales in the past have been negatively affected, and in the future will be negatively affected, by adverse conditions in the industrial production sector of the economy or by adverse global or national economic conditions generally.</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792" w:right="1440" w:bottom="1440" w:gutter="0" w:footer="0" w:header="0"/>
        </w:sectPr>
      </w:pPr>
    </w:p>
    <w:bookmarkStart w:id="21" w:name="page22"/>
    <w:bookmarkEnd w:id="21"/>
    <w:p>
      <w:pPr>
        <w:jc w:val="both"/>
        <w:ind w:right="3239"/>
        <w:spacing w:after="0" w:line="234" w:lineRule="auto"/>
        <w:rPr>
          <w:sz w:val="20"/>
          <w:szCs w:val="20"/>
          <w:color w:val="auto"/>
        </w:rPr>
      </w:pPr>
      <w:r>
        <w:rPr>
          <w:rFonts w:ascii="Courier New" w:cs="Courier New" w:eastAsia="Courier New" w:hAnsi="Courier New"/>
          <w:sz w:val="15"/>
          <w:szCs w:val="15"/>
          <w:color w:val="auto"/>
        </w:rPr>
        <w:t>We depend on a very limited number of foreign sources for our primary raw material and are subject to risks of shortages and price fluctuation.</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steel that we use to manufacture precision balls and rollers is of an extremely high quality and is available from a limited number of producers on a global basis. Due to quality constraints in the U.S. steel industry, we obtain substantially all of the steel used in our U.S. ball and roller production from overseas suppliers. In addition, we obtain substantially all of the steel used in our European ball production from a single European source. If we had to obtain steel from sources other than our current suppliers, particularly in the case of our European operations, we could face higher prices and transportation costs, increased duties or taxes, and shortages of steel. Problems in obtaining steel, and particularly 52100 chrome steel, in the quantities that we require and on commercially reasonable terms, could increase our costs, negatively impact our ability to operate our business efficiently and have a material adverse effect on the operating and financial results of our Company.</w:t>
      </w:r>
    </w:p>
    <w:p>
      <w:pPr>
        <w:spacing w:after="0" w:line="164"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We depend heavily on a relatively limited number of customers, and the loss of any major customer would have a material adverse effect on our business.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Sales to various U.S. and foreign divisions of SKF, which is one of the largest bearing manufacturers in the world, accounted for approximately 42% of consolidated net sales in 2003, and sales to INA/FAG accounted for approximately 16% of consolidated net sales in 2003. During 2003, our ten largest customers accounted for approximately 77% of our consolidated net sales. None of our other customers individually accounted for more than 5% of our consolidated net sales for 2003. The loss of all or a substantial portion of sales to these customers would cause us to lose a substantial portion of our revenue and would lower our profit margin and cash flows from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792" w:right="1440" w:bottom="1440" w:gutter="0" w:footer="0" w:header="0"/>
        </w:sectPr>
      </w:pPr>
    </w:p>
    <w:bookmarkStart w:id="22" w:name="page23"/>
    <w:bookmarkEnd w:id="22"/>
    <w:p>
      <w:pPr>
        <w:jc w:val="both"/>
        <w:ind w:right="3239"/>
        <w:spacing w:after="0" w:line="234" w:lineRule="auto"/>
        <w:rPr>
          <w:sz w:val="20"/>
          <w:szCs w:val="20"/>
          <w:color w:val="auto"/>
        </w:rPr>
      </w:pPr>
      <w:r>
        <w:rPr>
          <w:rFonts w:ascii="Courier New" w:cs="Courier New" w:eastAsia="Courier New" w:hAnsi="Courier New"/>
          <w:sz w:val="15"/>
          <w:szCs w:val="15"/>
          <w:color w:val="auto"/>
        </w:rPr>
        <w:t>We operate in and sell products to customers outside the U.S. and are subject to several related risks.</w:t>
      </w:r>
    </w:p>
    <w:p>
      <w:pPr>
        <w:spacing w:after="0" w:line="173" w:lineRule="exact"/>
        <w:rPr>
          <w:sz w:val="20"/>
          <w:szCs w:val="20"/>
          <w:color w:val="auto"/>
        </w:rPr>
      </w:pPr>
    </w:p>
    <w:p>
      <w:pPr>
        <w:jc w:val="both"/>
        <w:ind w:right="3239"/>
        <w:spacing w:after="0" w:line="258" w:lineRule="auto"/>
        <w:rPr>
          <w:sz w:val="20"/>
          <w:szCs w:val="20"/>
          <w:color w:val="auto"/>
        </w:rPr>
      </w:pPr>
      <w:r>
        <w:rPr>
          <w:rFonts w:ascii="Courier New" w:cs="Courier New" w:eastAsia="Courier New" w:hAnsi="Courier New"/>
          <w:sz w:val="14"/>
          <w:szCs w:val="14"/>
          <w:color w:val="auto"/>
        </w:rPr>
        <w:t>Because we obtain a majority of our raw materials from overseas suppliers, actively participate in overseas manufacturing operations and sell to a large number of international customers, we face risks associated with the following:</w:t>
      </w:r>
    </w:p>
    <w:p>
      <w:pPr>
        <w:spacing w:after="0" w:line="15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adverse foreign currency fluctuations;</w:t>
      </w:r>
    </w:p>
    <w:p>
      <w:pPr>
        <w:spacing w:after="0" w:line="173" w:lineRule="exact"/>
        <w:rPr>
          <w:sz w:val="20"/>
          <w:szCs w:val="20"/>
          <w:color w:val="auto"/>
        </w:rPr>
      </w:pPr>
    </w:p>
    <w:p>
      <w:pPr>
        <w:ind w:left="440" w:right="3239"/>
        <w:spacing w:after="0" w:line="234" w:lineRule="auto"/>
        <w:rPr>
          <w:sz w:val="20"/>
          <w:szCs w:val="20"/>
          <w:color w:val="auto"/>
        </w:rPr>
      </w:pPr>
      <w:r>
        <w:rPr>
          <w:rFonts w:ascii="Courier New" w:cs="Courier New" w:eastAsia="Courier New" w:hAnsi="Courier New"/>
          <w:sz w:val="15"/>
          <w:szCs w:val="15"/>
          <w:color w:val="auto"/>
        </w:rPr>
        <w:t>o changes in trade, monetary and fiscal policies, laws and regulations, and other activities of governments, agencies and similar organizations;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the imposition of trade restrictions or prohibitions;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high tax rates that discourage the repatriation of funds to the U.S.;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the imposition of import or other duties or taxes; and</w:t>
      </w:r>
    </w:p>
    <w:p>
      <w:pPr>
        <w:spacing w:after="0" w:line="173" w:lineRule="exact"/>
        <w:rPr>
          <w:sz w:val="20"/>
          <w:szCs w:val="20"/>
          <w:color w:val="auto"/>
        </w:rPr>
      </w:pPr>
    </w:p>
    <w:p>
      <w:pPr>
        <w:ind w:left="440" w:right="3239"/>
        <w:spacing w:after="0" w:line="234" w:lineRule="auto"/>
        <w:rPr>
          <w:sz w:val="20"/>
          <w:szCs w:val="20"/>
          <w:color w:val="auto"/>
        </w:rPr>
      </w:pPr>
      <w:r>
        <w:rPr>
          <w:rFonts w:ascii="Courier New" w:cs="Courier New" w:eastAsia="Courier New" w:hAnsi="Courier New"/>
          <w:sz w:val="15"/>
          <w:szCs w:val="15"/>
          <w:color w:val="auto"/>
        </w:rPr>
        <w:t>o unstable governments or legal systems in countries in which our suppliers, manufacturing operations, and customers are located.</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We do not have a hedging program in place associated with consolidating the operating results of our foreign businesses into U.S. Dollars. An increase in the value of the U.S. Dollar and/or the Euro relative to other currencies may adversely affect our ability to compete with our foreign-based competitors for international, as well as domestic, sales. Also, a decline in the value of the Euro relative to the U.S. Dollar could negatively impact our consolidated financial results, which are denominated in U.S. Dollars.</w:t>
      </w:r>
    </w:p>
    <w:p>
      <w:pPr>
        <w:spacing w:after="0" w:line="176" w:lineRule="exact"/>
        <w:rPr>
          <w:sz w:val="20"/>
          <w:szCs w:val="20"/>
          <w:color w:val="auto"/>
        </w:rPr>
      </w:pPr>
    </w:p>
    <w:p>
      <w:pPr>
        <w:jc w:val="both"/>
        <w:ind w:right="3239"/>
        <w:spacing w:after="0" w:line="258" w:lineRule="auto"/>
        <w:rPr>
          <w:sz w:val="20"/>
          <w:szCs w:val="20"/>
          <w:color w:val="auto"/>
        </w:rPr>
      </w:pPr>
      <w:r>
        <w:rPr>
          <w:rFonts w:ascii="Courier New" w:cs="Courier New" w:eastAsia="Courier New" w:hAnsi="Courier New"/>
          <w:sz w:val="14"/>
          <w:szCs w:val="14"/>
          <w:color w:val="auto"/>
        </w:rPr>
        <w:t>In addition, due to the typical slower summer manufacturing season in Europe, we expect that revenues in the third fiscal quarter will reflect lower sales, as our sales to European customers have increased as a percentage of net sales.</w:t>
      </w:r>
    </w:p>
    <w:p>
      <w:pPr>
        <w:spacing w:after="0" w:line="161"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The costs and difficulties of integrating acquired business could impede our future growth.</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We cannot assure you that any future acquisition will enhance our financial performance. Our ability to effectively integrate any future acquisitions will depend on, among other things, the adequacy of our implementation plans, the ability of our management to oversee and operate effectively the combined operations and our ability to achieve desired operating efficiencies and sales goals. The integration of any acquired businesses might cause us to incur unforeseen costs, which would lower our profit margin and future earnings and would prevent us from realizing the expected benefits of these acquisitions.</w:t>
      </w:r>
    </w:p>
    <w:p>
      <w:pPr>
        <w:spacing w:after="0" w:line="166"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We may not be able to continue to make the acquisitions necessary for us to realize our growth strategy.</w:t>
      </w:r>
    </w:p>
    <w:p>
      <w:pPr>
        <w:spacing w:after="0" w:line="173"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Acquiring businesses that complement or expand our operations has been and continues to be an important element of our business strategy. This strategy calls for growth through acquisitions constituting approximately two-thirds of our future growth, with the remainder resulting from internal growth and market penetration. We bought our plastic bearing component business in 1999, formed NN Europe with our two largest bearing customers, SKF and INA/FAG, in 2000 and acquired our bearing seal operations in 2001. During 2002, we purchased INA/FAG's minority interest in NN Europe and on May 2, 2003 we acquired SKF's minority interest in NN Europe, to become the sole owner at NN Europe. On May 2, 2003 we acquired SKF's tapered roller and metal cage manufacturing operations in Veenendaal, The Netherlands. On October 9, 2003 we acquired the precision ball producing assets of KLF-Gulickaren in Kysucke Nove Mesto, Slovakia. We cannot assure you that we will be successful in identifying attractive acquisition candidates or completing acquisitions on favorable terms in the future. In addition, we may borrow funds to acquire other businesses, increasing our interest expense and debt levels. Our inability to acquire businesses, or to operate them profitably once acquired, could have a material adverse effect on our business, financial position, results of operations and cash flows.</w:t>
      </w: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792" w:right="1440" w:bottom="1440" w:gutter="0" w:footer="0" w:header="0"/>
        </w:sectPr>
      </w:pPr>
    </w:p>
    <w:bookmarkStart w:id="23" w:name="page24"/>
    <w:bookmarkEnd w:id="23"/>
    <w:p>
      <w:pPr>
        <w:jc w:val="both"/>
        <w:ind w:right="3239"/>
        <w:spacing w:after="0" w:line="234" w:lineRule="auto"/>
        <w:rPr>
          <w:sz w:val="20"/>
          <w:szCs w:val="20"/>
          <w:color w:val="auto"/>
        </w:rPr>
      </w:pPr>
      <w:r>
        <w:rPr>
          <w:rFonts w:ascii="Courier New" w:cs="Courier New" w:eastAsia="Courier New" w:hAnsi="Courier New"/>
          <w:sz w:val="15"/>
          <w:szCs w:val="15"/>
          <w:color w:val="auto"/>
        </w:rPr>
        <w:t>Our growth strategy depends on outsourcing, and if the industry trend toward outsourcing does not continue, our business could be adversely affected.</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Our growth strategy depends in significant part on major bearing manufacturers continuing to outsource components, and expanding the number of components being outsourced. This requires manufacturers to depart significantly from their traditional methods of operations. If major bearing manufacturers do not continue to expand outsourcing efforts or determine to reduce their use of outsourcing, our ability to grow our business could be materially adversely affected.</w:t>
      </w:r>
    </w:p>
    <w:p>
      <w:pPr>
        <w:spacing w:after="0" w:line="176"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Our market is highly competitive and many of our competitors have significant advantages that could adversely affect our business.</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global market for bearing components is highly competitive, with a majority of production represented by the captive production operations of certain large bearing manufacturers and the balance represented by independent manufacturers. Captive manufacturers make components for internal use and for sale to third parties. All of the captive manufacturers, and many independent manufacturers, are significantly larger and have greater resources than do we. Our competitors are continuously exploring and implementing improvements in technology and manufacturing processes in order to improve product quality, and our ability to remain competitive will depend, among other things, on whether we are able to keep pace with such quality improvements in a cost effective manner.</w:t>
      </w:r>
    </w:p>
    <w:p>
      <w:pPr>
        <w:spacing w:after="0" w:line="16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production capacity we have added over the last several years has at times resulted in our having more capacity than we need, causing our operating costs to be higher than expected.</w:t>
      </w:r>
    </w:p>
    <w:p>
      <w:pPr>
        <w:spacing w:after="0" w:line="174"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We have expanded our ball and roller production facilities and capacity over the last several years. During 1997, we built an additional manufacturing plant in Kilkenny, Ireland, and we continued this expansion in 2000 through the formation of NN Europe with SKF and INA/FAG. Our ball and roller facilities have not always operated at full capacity and from time to time our results of operations have been adversely affected by the under-utilization of our production facilities, and we face risks of further under-utilization or inefficient utilization of our production facilities in future years.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price of our common stock may be volatile.</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market price of our common stock could be subject to significant fluctuations and may decline. Among the factors that could affect our stock price are: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our operating and financial performance and prospects;</w:t>
      </w:r>
    </w:p>
    <w:p>
      <w:pPr>
        <w:spacing w:after="0" w:line="173" w:lineRule="exact"/>
        <w:rPr>
          <w:sz w:val="20"/>
          <w:szCs w:val="20"/>
          <w:color w:val="auto"/>
        </w:rPr>
      </w:pPr>
    </w:p>
    <w:p>
      <w:pPr>
        <w:ind w:left="620" w:right="3239" w:hanging="179"/>
        <w:spacing w:after="0" w:line="234" w:lineRule="auto"/>
        <w:tabs>
          <w:tab w:leader="none" w:pos="600" w:val="left"/>
        </w:tabs>
        <w:rPr>
          <w:sz w:val="20"/>
          <w:szCs w:val="20"/>
          <w:color w:val="auto"/>
        </w:rPr>
      </w:pPr>
      <w:r>
        <w:rPr>
          <w:rFonts w:ascii="Courier New" w:cs="Courier New" w:eastAsia="Courier New" w:hAnsi="Courier New"/>
          <w:sz w:val="15"/>
          <w:szCs w:val="15"/>
          <w:color w:val="auto"/>
        </w:rPr>
        <w:t>o</w:t>
        <w:tab/>
        <w:t>quarterly variations in the rate of growth of our financial indicators, such as earnings per share, net income and revenues;</w:t>
      </w:r>
    </w:p>
    <w:p>
      <w:pPr>
        <w:spacing w:after="0" w:line="173" w:lineRule="exact"/>
        <w:rPr>
          <w:sz w:val="20"/>
          <w:szCs w:val="20"/>
          <w:color w:val="auto"/>
        </w:rPr>
      </w:pPr>
    </w:p>
    <w:p>
      <w:pPr>
        <w:ind w:left="620" w:right="3239" w:hanging="179"/>
        <w:spacing w:after="0" w:line="234" w:lineRule="auto"/>
        <w:tabs>
          <w:tab w:leader="none" w:pos="600" w:val="left"/>
        </w:tabs>
        <w:rPr>
          <w:sz w:val="20"/>
          <w:szCs w:val="20"/>
          <w:color w:val="auto"/>
        </w:rPr>
      </w:pPr>
      <w:r>
        <w:rPr>
          <w:rFonts w:ascii="Courier New" w:cs="Courier New" w:eastAsia="Courier New" w:hAnsi="Courier New"/>
          <w:sz w:val="15"/>
          <w:szCs w:val="15"/>
          <w:color w:val="auto"/>
        </w:rPr>
        <w:t>o</w:t>
        <w:tab/>
        <w:t>changes in revenue or earnings estimates or publication of research reports by analysts;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loss of any member of our senior management team;</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speculation in the press or investment community;</w:t>
      </w:r>
    </w:p>
    <w:p>
      <w:pPr>
        <w:spacing w:after="0" w:line="173" w:lineRule="exact"/>
        <w:rPr>
          <w:sz w:val="20"/>
          <w:szCs w:val="20"/>
          <w:color w:val="auto"/>
        </w:rPr>
      </w:pPr>
    </w:p>
    <w:p>
      <w:pPr>
        <w:ind w:left="620" w:right="3239" w:hanging="179"/>
        <w:spacing w:after="0" w:line="234" w:lineRule="auto"/>
        <w:tabs>
          <w:tab w:leader="none" w:pos="600" w:val="left"/>
        </w:tabs>
        <w:rPr>
          <w:sz w:val="20"/>
          <w:szCs w:val="20"/>
          <w:color w:val="auto"/>
        </w:rPr>
      </w:pPr>
      <w:r>
        <w:rPr>
          <w:rFonts w:ascii="Courier New" w:cs="Courier New" w:eastAsia="Courier New" w:hAnsi="Courier New"/>
          <w:sz w:val="15"/>
          <w:szCs w:val="15"/>
          <w:color w:val="auto"/>
        </w:rPr>
        <w:t>o</w:t>
        <w:tab/>
        <w:t>strategic actions by us or our competitors, such as acquisitions or restructurings;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sales of our common stock by stockholders;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general market conditions; and</w:t>
      </w:r>
    </w:p>
    <w:p>
      <w:pPr>
        <w:spacing w:after="0" w:line="173" w:lineRule="exact"/>
        <w:rPr>
          <w:sz w:val="20"/>
          <w:szCs w:val="20"/>
          <w:color w:val="auto"/>
        </w:rPr>
      </w:pPr>
    </w:p>
    <w:p>
      <w:pPr>
        <w:ind w:left="620" w:right="3319" w:hanging="179"/>
        <w:spacing w:after="0" w:line="234" w:lineRule="auto"/>
        <w:tabs>
          <w:tab w:leader="none" w:pos="600" w:val="left"/>
        </w:tabs>
        <w:rPr>
          <w:sz w:val="20"/>
          <w:szCs w:val="20"/>
          <w:color w:val="auto"/>
        </w:rPr>
      </w:pPr>
      <w:r>
        <w:rPr>
          <w:rFonts w:ascii="Courier New" w:cs="Courier New" w:eastAsia="Courier New" w:hAnsi="Courier New"/>
          <w:sz w:val="15"/>
          <w:szCs w:val="15"/>
          <w:color w:val="auto"/>
        </w:rPr>
        <w:t>o</w:t>
        <w:tab/>
        <w:t>domestic and international economic, legal and regulatory factors unrelated to our performance.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792" w:right="1440" w:bottom="1440" w:gutter="0" w:footer="0" w:header="0"/>
        </w:sectPr>
      </w:pPr>
    </w:p>
    <w:bookmarkStart w:id="24" w:name="page25"/>
    <w:bookmarkEnd w:id="24"/>
    <w:p>
      <w:pPr>
        <w:jc w:val="both"/>
        <w:ind w:right="3239"/>
        <w:spacing w:after="0" w:line="258" w:lineRule="auto"/>
        <w:rPr>
          <w:sz w:val="20"/>
          <w:szCs w:val="20"/>
          <w:color w:val="auto"/>
        </w:rPr>
      </w:pPr>
      <w:r>
        <w:rPr>
          <w:rFonts w:ascii="Courier New" w:cs="Courier New" w:eastAsia="Courier New" w:hAnsi="Courier New"/>
          <w:sz w:val="14"/>
          <w:szCs w:val="14"/>
          <w:color w:val="auto"/>
        </w:rPr>
        <w:t>The stock markets in general have experienced extreme volatility that has often been unrelated to the operating performance of particular companies. These broad market fluctuations may adversely affect the trading price of our common stock.</w:t>
      </w:r>
    </w:p>
    <w:p>
      <w:pPr>
        <w:spacing w:after="0" w:line="161"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Provisions in our charter documents and Delaware law may inhibit a takeover, which could adversely affect the value of our common stock.</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Our certificate of incorporation and bylaws, as well as Delaware corporate law, contain provisions that could delay or prevent a change of control or changes in our management that a stockholder might consider favorable and may prevent you from receiving a takeover premium for your shares. These provisions include, for example, a classified board of directors and the authorization of our board of directors to issue up to 5,000,000 preferred shares without a stockholder vote. In addition, our restated certificate of incorporation provides that stockholders may not call a special meeting.</w:t>
      </w:r>
    </w:p>
    <w:p>
      <w:pPr>
        <w:spacing w:after="0" w:line="177"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We are a Delaware corporation subject to the provisions of Section 203 of the Delaware General Corporation Law, an anti-takeover law. Generally, this statute prohibits a publicly-held Delaware corporation from engaging in a business combination with an interested stockholder for a period of three years after the date of the transaction in which such person became an interested stockholder, unless the business combination is approved in a prescribed manner. A business combination includes a merger, asset sale or other transaction resulting in a financial benefit to the stockholder. We anticipate that the provisions of Section 203 may encourage parties interested in acquiring us to negotiate in advance with our board of directors, because the stockholder approval requirement would be avoided if a majority of the directors then in office approve either the business combination or the transaction that results in the stockholder becoming an interested stockholder.</w:t>
      </w:r>
    </w:p>
    <w:p>
      <w:pPr>
        <w:spacing w:after="0" w:line="164"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These provisions apply even if the offer may be considered beneficial by some of our stockholders. If a change of control or change in management is delayed or prevented, the market price of our common stock could decline.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Quantitative and Qualitative Disclosures About Market Risk</w:t>
      </w:r>
    </w:p>
    <w:p>
      <w:pPr>
        <w:spacing w:after="0" w:line="173"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We are exposed to changes in financial market conditions in the normal course of our business due to our use of certain financial instruments as well as transacting in various foreign currencies. To mitigate our exposure to these market risks, we have established policies, procedures and internal processes governing our management of financial market risks. We are exposed to changes in interest rates primarily as a result of our borrowing activities. At June 30, 2004, we had $16.4 million outstanding under the domestic credit facilities, $40.0 million aggregate principal amount of senior notes outstanding and NN Europe had 19.7 million Euro ($24.0 million) outstanding under the Euro term loan. See Note 8 of the Notes to Consolidated Financial Statements. At June 30, 2004, a one-percent increase in the interest rate charged on our outstanding borrowings under our credit facilities, that are subject to variable interest rates, would result in interest expense increasing annually by approximately $0.4 million. In connection with a variable EURIBOR rate debt financing in July 2000 our majority owned subsidiary, NN Europe entered into an interest rate swap with a notional amount of Euro 12.5 million for the purpose of fixing the interest rate on a portion of their debt financing. The interest rate swap provides for us to receive variable Euribor interest payments and pay 5.51% fixed interest. The interest rate swap agreement expires in July 2006 and the notional amount amortizes in relation to principal payments on the underlying debt over the life of the swap. This original debt was repaid in May 2003, however, the swap remains pursuant to its original terms. On May 1, 2003, we entered into the $90 million credit facility. This new financing arrangement replaces our prior credit facility with AmSouth and NN Europe's credit facility with Hypo Vereinsbank Luxembourg, S.A. On April 26, 2004, we issued $40.0 million of aggregate principal amounts of senior notes in a private placement, replacing a portion of our $90 million credit facility, see "Management's Discussion and Analysis of Financial Condition and Results of Operations - Liquidity and Capital Resources". The nature and amount of our borrowings may vary as a result of future business requirements, market conditions and other factors.</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792" w:right="1440" w:bottom="1440" w:gutter="0" w:footer="0" w:header="0"/>
        </w:sectPr>
      </w:pPr>
    </w:p>
    <w:bookmarkStart w:id="25" w:name="page26"/>
    <w:bookmarkEnd w:id="25"/>
    <w:p>
      <w:pPr>
        <w:jc w:val="both"/>
        <w:ind w:right="3239"/>
        <w:spacing w:after="0" w:line="236" w:lineRule="auto"/>
        <w:rPr>
          <w:sz w:val="20"/>
          <w:szCs w:val="20"/>
          <w:color w:val="auto"/>
        </w:rPr>
      </w:pPr>
      <w:r>
        <w:rPr>
          <w:rFonts w:ascii="Courier New" w:cs="Courier New" w:eastAsia="Courier New" w:hAnsi="Courier New"/>
          <w:sz w:val="15"/>
          <w:szCs w:val="15"/>
          <w:color w:val="auto"/>
        </w:rPr>
        <w:t>Translation of our operating cash flows denominated in foreign currencies is impacted by changes in foreign exchange rates. Our NN Europe Segment, bills and receives payments from some of its foreign customers in their own currency. To date, we have not been materially adversely affected by currency fluctuations of foreign exchange restrictions. However, to help reduce exposure to foreign currency fluctuation, management has incurred debt in Euros and has periodically used foreign currency hedges. These currency hedging programs allow management to hedge currency exposures when these exposures meet certain discretionary levels. We did not hold a position in any foreign currency hedging instruments as of June 30, 2004.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Controls and Procedures</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As of June 30, 2004, we carried out an evaluation, under the supervision and with the participation of the Company's management, including the Company's Chief Executive Officer and Chief Financial Officer, of the effectiveness of the design and operation of the Company's disclosure controls and procedures pursuant to Rule 13a-14 and 15d-14 of the Securities Exchange Act of 1934 (the "Exchange Act"). Based upon that evaluation, the Company's management, including the Chief Executive Officer and Chief Financial Officer, concluded that the Company's disclosure controls and procedures are effective in timely alerting them to material information relating to the Company (including its consolidated subsidiaries) required to be included in the Company's Exchange Act filings.</w:t>
      </w:r>
    </w:p>
    <w:p>
      <w:pPr>
        <w:spacing w:after="0" w:line="16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There have been no changes in this fiscal quarter in the Company's internal control over financial reporting or in other factors that have materially affected, or are reasonably likely to materially affect,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792"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Part II. Other Information</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Legal Proceedings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All legal proceedings and actions involving the Company are of an ordinary and routine nature and are incidental to the operations of the Company. Management believes that such proceedings should not, individually or in the aggregate, have a material adverse effect on the Company's business or financial condition or on the results 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Change in Securities and Use of Proceeds</w:t>
      </w:r>
    </w:p>
    <w:p>
      <w:pPr>
        <w:spacing w:after="0" w:line="173"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On April 26, 2004 we issued $40.0 million aggregate principal amount of senior notes in a private placement (the "$40 million notes"). These notes bear interest at a fixed rate of 4.89% and mature on April 26, 2014. Interest is paid semi-annually. As of June 30, 2004, $40.0 million remained outstanding. Annual principal payments of approximately $5.7 million begin on April 26, 2008 and extend through the date of maturity. Proceeds from this credit facility were used to repay our existing US dollar denominated term loan, $24 million, and repay a portion, of our borrowings under our US dollar denominated revolving credit facility, $13 million, which are both components of our $90 million credit facility, and to repay borrowings remaining under our $2.0 million note and our $2.7 million note of $2 million and $1 million, respectively. The agreement contains customary financial and non-financial covenants. Such covenants specify that we must maintain certain liquidity measures. The agreement also contains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our business. No event of default had occurred as of June 30, 2004. The notes are not collateralized except for the pledge of stock of certain foreign subsidiaries. We incurred $0.7 million of related costs as a result of issuing these notes which have been recorded as a component of other non-current assets and are being amortized over the term of the notes. In connection with the issuance of the $40 million notes, capitalized costs in the amount of approximately $0.3 million associated with structuring of the $90 million credit facility were written off during the three months ended June 30, 2004 and are included as a component of other (income) expense.</w:t>
      </w:r>
    </w:p>
    <w:p>
      <w:pPr>
        <w:spacing w:after="0" w:line="33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Defaults upon Senior Securities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Company's Annual Meeting of Stockholders was held on May 13, 2004. As of March 29, 2004, the record date for the meeting, there were 16,711,958 shares of common stock outstanding and entitled to vote at the meeting. There were present at said meeting, in person or by proxy, stockholders holding 15,924,856 shares of common stock, constituting approximately 95% of the shares of common stock outstanding and entitled to vote, which constituted a quorum.</w:t>
      </w:r>
    </w:p>
    <w:p>
      <w:pPr>
        <w:spacing w:after="0" w:line="166"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first matter voted upon at the meeting was the election of Michael E. Werner as a Class I Director to service for a three-year term. The vote was 15,440,320 For and 484,536 Withheld.</w:t>
      </w:r>
    </w:p>
    <w:p>
      <w:pPr>
        <w:spacing w:after="0" w:line="17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nominee was elected to serve until the 2007 Annual Meeting of Stockholders and until his successor is duly elected and qualified. In addition to the foregoing director, Steven T. Warshaw, James E. Earsley, and G. Ronald Morris are serving terms that will expire in 2005, and Roderick R. Baty and Robert M. Aiken, Jr. are serving terms that will expire in 2006.</w:t>
      </w:r>
    </w:p>
    <w:p>
      <w:pPr>
        <w:spacing w:after="0" w:line="174"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second matter voted upon at the meeting was the proposal to ratify and approve non-employee director stock options. The vote was 15,866,910 For and 48,528 Against, and there were 9,618 Abstentions.</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Other Information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785"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5"/>
          <w:szCs w:val="15"/>
          <w:color w:val="auto"/>
        </w:rPr>
        <w:t>Item 6. Exhibits and Reports on Form 8-K.</w:t>
      </w:r>
    </w:p>
    <w:p>
      <w:pPr>
        <w:spacing w:after="0" w:line="166" w:lineRule="exact"/>
        <w:rPr>
          <w:sz w:val="20"/>
          <w:szCs w:val="20"/>
          <w:color w:val="auto"/>
        </w:rPr>
      </w:pPr>
    </w:p>
    <w:p>
      <w:pPr>
        <w:ind w:left="880" w:hanging="433"/>
        <w:spacing w:after="0"/>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Required by Item 601 of Regulation S-K</w:t>
      </w:r>
    </w:p>
    <w:p>
      <w:pPr>
        <w:spacing w:after="0" w:line="173" w:lineRule="exact"/>
        <w:rPr>
          <w:sz w:val="20"/>
          <w:szCs w:val="20"/>
          <w:color w:val="auto"/>
        </w:rPr>
      </w:pPr>
    </w:p>
    <w:p>
      <w:pPr>
        <w:ind w:left="880" w:right="3239" w:hanging="436"/>
        <w:spacing w:after="0" w:line="234" w:lineRule="auto"/>
        <w:rPr>
          <w:sz w:val="20"/>
          <w:szCs w:val="20"/>
          <w:color w:val="auto"/>
        </w:rPr>
      </w:pPr>
      <w:r>
        <w:rPr>
          <w:rFonts w:ascii="Courier New" w:cs="Courier New" w:eastAsia="Courier New" w:hAnsi="Courier New"/>
          <w:sz w:val="15"/>
          <w:szCs w:val="15"/>
          <w:color w:val="auto"/>
        </w:rPr>
        <w:t>31.1 Certification</w:t>
      </w:r>
      <w:r>
        <w:rPr>
          <w:sz w:val="20"/>
          <w:szCs w:val="20"/>
          <w:color w:val="auto"/>
        </w:rPr>
        <w:t xml:space="preserve"> </w:t>
      </w:r>
      <w:r>
        <w:rPr>
          <w:rFonts w:ascii="Courier New" w:cs="Courier New" w:eastAsia="Courier New" w:hAnsi="Courier New"/>
          <w:sz w:val="15"/>
          <w:szCs w:val="15"/>
          <w:color w:val="auto"/>
        </w:rPr>
        <w:t>of Chief Executive Officer pursuant to Section 302 of Sarbanes-Oxley Act.</w:t>
      </w:r>
    </w:p>
    <w:p>
      <w:pPr>
        <w:spacing w:after="0" w:line="173" w:lineRule="exact"/>
        <w:rPr>
          <w:sz w:val="20"/>
          <w:szCs w:val="20"/>
          <w:color w:val="auto"/>
        </w:rPr>
      </w:pPr>
    </w:p>
    <w:p>
      <w:pPr>
        <w:ind w:left="880" w:right="3239" w:hanging="436"/>
        <w:spacing w:after="0" w:line="234" w:lineRule="auto"/>
        <w:rPr>
          <w:sz w:val="20"/>
          <w:szCs w:val="20"/>
          <w:color w:val="auto"/>
        </w:rPr>
      </w:pPr>
      <w:r>
        <w:rPr>
          <w:rFonts w:ascii="Courier New" w:cs="Courier New" w:eastAsia="Courier New" w:hAnsi="Courier New"/>
          <w:sz w:val="15"/>
          <w:szCs w:val="15"/>
          <w:color w:val="auto"/>
        </w:rPr>
        <w:t>31.2 Certification</w:t>
      </w:r>
      <w:r>
        <w:rPr>
          <w:sz w:val="20"/>
          <w:szCs w:val="20"/>
          <w:color w:val="auto"/>
        </w:rPr>
        <w:t xml:space="preserve"> </w:t>
      </w:r>
      <w:r>
        <w:rPr>
          <w:rFonts w:ascii="Courier New" w:cs="Courier New" w:eastAsia="Courier New" w:hAnsi="Courier New"/>
          <w:sz w:val="15"/>
          <w:szCs w:val="15"/>
          <w:color w:val="auto"/>
        </w:rPr>
        <w:t>of Chief Financial Officer pursuant to Section 302 of Sarbanes-Oxley Act.</w:t>
      </w:r>
    </w:p>
    <w:p>
      <w:pPr>
        <w:spacing w:after="0" w:line="173" w:lineRule="exact"/>
        <w:rPr>
          <w:sz w:val="20"/>
          <w:szCs w:val="20"/>
          <w:color w:val="auto"/>
        </w:rPr>
      </w:pPr>
    </w:p>
    <w:p>
      <w:pPr>
        <w:ind w:left="880" w:right="3239" w:hanging="436"/>
        <w:spacing w:after="0" w:line="234" w:lineRule="auto"/>
        <w:rPr>
          <w:sz w:val="20"/>
          <w:szCs w:val="20"/>
          <w:color w:val="auto"/>
        </w:rPr>
      </w:pPr>
      <w:r>
        <w:rPr>
          <w:rFonts w:ascii="Courier New" w:cs="Courier New" w:eastAsia="Courier New" w:hAnsi="Courier New"/>
          <w:sz w:val="15"/>
          <w:szCs w:val="15"/>
          <w:color w:val="auto"/>
        </w:rPr>
        <w:t>32.1 Certification</w:t>
      </w:r>
      <w:r>
        <w:rPr>
          <w:sz w:val="20"/>
          <w:szCs w:val="20"/>
          <w:color w:val="auto"/>
        </w:rPr>
        <w:t xml:space="preserve"> </w:t>
      </w:r>
      <w:r>
        <w:rPr>
          <w:rFonts w:ascii="Courier New" w:cs="Courier New" w:eastAsia="Courier New" w:hAnsi="Courier New"/>
          <w:sz w:val="15"/>
          <w:szCs w:val="15"/>
          <w:color w:val="auto"/>
        </w:rPr>
        <w:t>of Chief Executive Officer pursuant to Section 906 of Sarbanes-Oxley Act.</w:t>
      </w:r>
    </w:p>
    <w:p>
      <w:pPr>
        <w:spacing w:after="0" w:line="173" w:lineRule="exact"/>
        <w:rPr>
          <w:sz w:val="20"/>
          <w:szCs w:val="20"/>
          <w:color w:val="auto"/>
        </w:rPr>
      </w:pPr>
    </w:p>
    <w:p>
      <w:pPr>
        <w:ind w:left="880" w:right="3239" w:hanging="436"/>
        <w:spacing w:after="0" w:line="234" w:lineRule="auto"/>
        <w:rPr>
          <w:sz w:val="20"/>
          <w:szCs w:val="20"/>
          <w:color w:val="auto"/>
        </w:rPr>
      </w:pPr>
      <w:r>
        <w:rPr>
          <w:rFonts w:ascii="Courier New" w:cs="Courier New" w:eastAsia="Courier New" w:hAnsi="Courier New"/>
          <w:sz w:val="15"/>
          <w:szCs w:val="15"/>
          <w:color w:val="auto"/>
        </w:rPr>
        <w:t>32.2 Certification</w:t>
      </w:r>
      <w:r>
        <w:rPr>
          <w:sz w:val="20"/>
          <w:szCs w:val="20"/>
          <w:color w:val="auto"/>
        </w:rPr>
        <w:t xml:space="preserve"> </w:t>
      </w:r>
      <w:r>
        <w:rPr>
          <w:rFonts w:ascii="Courier New" w:cs="Courier New" w:eastAsia="Courier New" w:hAnsi="Courier New"/>
          <w:sz w:val="15"/>
          <w:szCs w:val="15"/>
          <w:color w:val="auto"/>
        </w:rPr>
        <w:t>of Chief Financial Officer pursuant to Section 906 of Sarbanes-Oxley Act.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Reports on Form 8-K</w:t>
      </w:r>
    </w:p>
    <w:p>
      <w:pPr>
        <w:spacing w:after="0" w:line="173" w:lineRule="exact"/>
        <w:rPr>
          <w:sz w:val="20"/>
          <w:szCs w:val="20"/>
          <w:color w:val="auto"/>
        </w:rPr>
      </w:pPr>
    </w:p>
    <w:p>
      <w:pPr>
        <w:ind w:left="440" w:right="3239"/>
        <w:spacing w:after="0" w:line="234" w:lineRule="auto"/>
        <w:rPr>
          <w:sz w:val="20"/>
          <w:szCs w:val="20"/>
          <w:color w:val="auto"/>
        </w:rPr>
      </w:pPr>
      <w:r>
        <w:rPr>
          <w:rFonts w:ascii="Courier New" w:cs="Courier New" w:eastAsia="Courier New" w:hAnsi="Courier New"/>
          <w:sz w:val="15"/>
          <w:szCs w:val="15"/>
          <w:color w:val="auto"/>
        </w:rPr>
        <w:t>The Company furnished a Form 8-K, in response to Items 12 and 7, on April 29, 2004 announcing its first quarter 2004 earnings.</w:t>
      </w:r>
    </w:p>
    <w:p>
      <w:pPr>
        <w:spacing w:after="0" w:line="173" w:lineRule="exact"/>
        <w:rPr>
          <w:sz w:val="20"/>
          <w:szCs w:val="20"/>
          <w:color w:val="auto"/>
        </w:rPr>
      </w:pPr>
    </w:p>
    <w:p>
      <w:pPr>
        <w:ind w:left="440" w:right="3239"/>
        <w:spacing w:after="0" w:line="234" w:lineRule="auto"/>
        <w:rPr>
          <w:sz w:val="20"/>
          <w:szCs w:val="20"/>
          <w:color w:val="auto"/>
        </w:rPr>
      </w:pPr>
      <w:r>
        <w:rPr>
          <w:rFonts w:ascii="Courier New" w:cs="Courier New" w:eastAsia="Courier New" w:hAnsi="Courier New"/>
          <w:sz w:val="15"/>
          <w:szCs w:val="15"/>
          <w:color w:val="auto"/>
        </w:rPr>
        <w:t>The Company furnished a Form 8-K, in response to Item 5, on June 21, 2004 announcing management changes at NN Europe.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617" w:right="1440" w:bottom="1440" w:gutter="0" w:footer="0" w:header="0"/>
        </w:sectPr>
      </w:pPr>
    </w:p>
    <w:bookmarkStart w:id="28" w:name="page29"/>
    <w:bookmarkEnd w:id="28"/>
    <w:p>
      <w:pPr>
        <w:ind w:left="3080"/>
        <w:spacing w:after="0"/>
        <w:rPr>
          <w:sz w:val="20"/>
          <w:szCs w:val="20"/>
          <w:color w:val="auto"/>
        </w:rPr>
      </w:pPr>
      <w:r>
        <w:rPr>
          <w:rFonts w:ascii="Courier New" w:cs="Courier New" w:eastAsia="Courier New" w:hAnsi="Courier New"/>
          <w:sz w:val="14"/>
          <w:szCs w:val="14"/>
          <w:color w:val="auto"/>
        </w:rPr>
        <w:t>SIGNATURES</w:t>
      </w:r>
    </w:p>
    <w:p>
      <w:pPr>
        <w:sectPr>
          <w:pgSz w:w="11900" w:h="16838" w:orient="portrait"/>
          <w:cols w:equalWidth="0" w:num="1">
            <w:col w:w="10239"/>
          </w:cols>
          <w:pgMar w:left="220" w:top="792" w:right="1440" w:bottom="1440" w:gutter="0" w:footer="0" w:header="0"/>
        </w:sectPr>
      </w:pPr>
    </w:p>
    <w:p>
      <w:pPr>
        <w:spacing w:after="0" w:line="346"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5"/>
          <w:szCs w:val="15"/>
          <w:color w:val="auto"/>
        </w:rPr>
        <w:t>Pursuant to the requirements of the Securities registrant has duly caused this report to be undersigned thereunto duly authorized.</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ind w:left="80"/>
        <w:spacing w:after="0"/>
        <w:tabs>
          <w:tab w:leader="none" w:pos="940" w:val="left"/>
          <w:tab w:leader="none" w:pos="1640" w:val="left"/>
          <w:tab w:leader="none" w:pos="2240" w:val="left"/>
        </w:tabs>
        <w:rPr>
          <w:sz w:val="20"/>
          <w:szCs w:val="20"/>
          <w:color w:val="auto"/>
        </w:rPr>
      </w:pPr>
      <w:r>
        <w:rPr>
          <w:rFonts w:ascii="Courier New" w:cs="Courier New" w:eastAsia="Courier New" w:hAnsi="Courier New"/>
          <w:sz w:val="15"/>
          <w:szCs w:val="15"/>
          <w:color w:val="auto"/>
        </w:rPr>
        <w:t>Exchange</w:t>
        <w:tab/>
        <w:t>Act of</w:t>
        <w:tab/>
        <w:t>1934,</w:t>
      </w:r>
      <w:r>
        <w:rPr>
          <w:sz w:val="20"/>
          <w:szCs w:val="20"/>
          <w:color w:val="auto"/>
        </w:rPr>
        <w:tab/>
      </w:r>
      <w:r>
        <w:rPr>
          <w:rFonts w:ascii="Courier New" w:cs="Courier New" w:eastAsia="Courier New" w:hAnsi="Courier New"/>
          <w:sz w:val="14"/>
          <w:szCs w:val="14"/>
          <w:color w:val="auto"/>
        </w:rPr>
        <w:t>the</w:t>
      </w:r>
    </w:p>
    <w:p>
      <w:pPr>
        <w:spacing w:after="0"/>
        <w:tabs>
          <w:tab w:leader="none" w:pos="680" w:val="left"/>
          <w:tab w:leader="none" w:pos="1360" w:val="left"/>
        </w:tabs>
        <w:rPr>
          <w:sz w:val="20"/>
          <w:szCs w:val="20"/>
          <w:color w:val="auto"/>
        </w:rPr>
      </w:pPr>
      <w:r>
        <w:rPr>
          <w:rFonts w:ascii="Courier New" w:cs="Courier New" w:eastAsia="Courier New" w:hAnsi="Courier New"/>
          <w:sz w:val="15"/>
          <w:szCs w:val="15"/>
          <w:color w:val="auto"/>
        </w:rPr>
        <w:t>signed</w:t>
        <w:tab/>
        <w:t>on its</w:t>
      </w:r>
      <w:r>
        <w:rPr>
          <w:sz w:val="20"/>
          <w:szCs w:val="20"/>
          <w:color w:val="auto"/>
        </w:rPr>
        <w:tab/>
      </w:r>
      <w:r>
        <w:rPr>
          <w:rFonts w:ascii="Courier New" w:cs="Courier New" w:eastAsia="Courier New" w:hAnsi="Courier New"/>
          <w:sz w:val="14"/>
          <w:szCs w:val="14"/>
          <w:color w:val="auto"/>
        </w:rPr>
        <w:t>behalf by the</w:t>
      </w:r>
    </w:p>
    <w:p>
      <w:pPr>
        <w:spacing w:after="0" w:line="367" w:lineRule="exact"/>
        <w:rPr>
          <w:sz w:val="20"/>
          <w:szCs w:val="20"/>
          <w:color w:val="auto"/>
        </w:rPr>
      </w:pPr>
    </w:p>
    <w:p>
      <w:pPr>
        <w:sectPr>
          <w:pgSz w:w="11900" w:h="16838" w:orient="portrait"/>
          <w:cols w:equalWidth="0" w:num="2">
            <w:col w:w="4380" w:space="100"/>
            <w:col w:w="5759"/>
          </w:cols>
          <w:pgMar w:left="220" w:top="792" w:right="1440" w:bottom="1440" w:gutter="0" w:footer="0" w:header="0"/>
          <w:type w:val="continuous"/>
        </w:sectPr>
      </w:pPr>
    </w:p>
    <w:p>
      <w:pPr>
        <w:spacing w:after="0" w:line="304"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5"/>
          <w:szCs w:val="15"/>
          <w:color w:val="auto"/>
        </w:rPr>
        <w:t>NN, Inc.</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5"/>
          <w:szCs w:val="15"/>
          <w:color w:val="auto"/>
        </w:rPr>
        <w:t>(Registrant)</w:t>
      </w:r>
    </w:p>
    <w:p>
      <w:pPr>
        <w:spacing w:after="0" w:line="335" w:lineRule="exact"/>
        <w:rPr>
          <w:sz w:val="20"/>
          <w:szCs w:val="20"/>
          <w:color w:val="auto"/>
        </w:rPr>
      </w:pPr>
    </w:p>
    <w:p>
      <w:pPr>
        <w:spacing w:after="0"/>
        <w:tabs>
          <w:tab w:leader="none" w:pos="780" w:val="left"/>
          <w:tab w:leader="none" w:pos="366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August 9, 2004</w:t>
      </w:r>
      <w:r>
        <w:rPr>
          <w:sz w:val="20"/>
          <w:szCs w:val="20"/>
          <w:color w:val="auto"/>
        </w:rPr>
        <w:tab/>
      </w:r>
      <w:r>
        <w:rPr>
          <w:rFonts w:ascii="Courier New" w:cs="Courier New" w:eastAsia="Courier New" w:hAnsi="Courier New"/>
          <w:sz w:val="14"/>
          <w:szCs w:val="14"/>
          <w:color w:val="auto"/>
        </w:rPr>
        <w:t>/s/ Roderick R. Baty</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Roderick R. Baty,</w:t>
      </w:r>
    </w:p>
    <w:p>
      <w:pPr>
        <w:ind w:left="3860"/>
        <w:spacing w:after="0" w:line="237" w:lineRule="auto"/>
        <w:rPr>
          <w:sz w:val="20"/>
          <w:szCs w:val="20"/>
          <w:color w:val="auto"/>
        </w:rPr>
      </w:pPr>
      <w:r>
        <w:rPr>
          <w:rFonts w:ascii="Courier New" w:cs="Courier New" w:eastAsia="Courier New" w:hAnsi="Courier New"/>
          <w:sz w:val="15"/>
          <w:szCs w:val="15"/>
          <w:color w:val="auto"/>
        </w:rPr>
        <w:t>Chairman, President and</w:t>
      </w:r>
    </w:p>
    <w:p>
      <w:pPr>
        <w:ind w:left="3860"/>
        <w:spacing w:after="0" w:line="238" w:lineRule="auto"/>
        <w:rPr>
          <w:sz w:val="20"/>
          <w:szCs w:val="20"/>
          <w:color w:val="auto"/>
        </w:rPr>
      </w:pPr>
      <w:r>
        <w:rPr>
          <w:rFonts w:ascii="Courier New" w:cs="Courier New" w:eastAsia="Courier New" w:hAnsi="Courier New"/>
          <w:sz w:val="15"/>
          <w:szCs w:val="15"/>
          <w:color w:val="auto"/>
        </w:rPr>
        <w:t>Chief Executive Officer</w:t>
      </w:r>
    </w:p>
    <w:p>
      <w:pPr>
        <w:ind w:left="3860"/>
        <w:spacing w:after="0" w:line="237" w:lineRule="auto"/>
        <w:rPr>
          <w:sz w:val="20"/>
          <w:szCs w:val="20"/>
          <w:color w:val="auto"/>
        </w:rPr>
      </w:pPr>
      <w:r>
        <w:rPr>
          <w:rFonts w:ascii="Courier New" w:cs="Courier New" w:eastAsia="Courier New" w:hAnsi="Courier New"/>
          <w:sz w:val="15"/>
          <w:szCs w:val="15"/>
          <w:color w:val="auto"/>
        </w:rPr>
        <w:t>(Duly Authorized Officer)</w:t>
      </w:r>
    </w:p>
    <w:p>
      <w:pPr>
        <w:spacing w:after="0" w:line="335" w:lineRule="exact"/>
        <w:rPr>
          <w:sz w:val="20"/>
          <w:szCs w:val="20"/>
          <w:color w:val="auto"/>
        </w:rPr>
      </w:pPr>
    </w:p>
    <w:p>
      <w:pPr>
        <w:spacing w:after="0"/>
        <w:tabs>
          <w:tab w:leader="none" w:pos="780" w:val="left"/>
          <w:tab w:leader="none" w:pos="366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August 9, 2004</w:t>
      </w:r>
      <w:r>
        <w:rPr>
          <w:sz w:val="20"/>
          <w:szCs w:val="20"/>
          <w:color w:val="auto"/>
        </w:rPr>
        <w:tab/>
      </w:r>
      <w:r>
        <w:rPr>
          <w:rFonts w:ascii="Courier New" w:cs="Courier New" w:eastAsia="Courier New" w:hAnsi="Courier New"/>
          <w:sz w:val="14"/>
          <w:szCs w:val="14"/>
          <w:color w:val="auto"/>
        </w:rPr>
        <w:t>/s/ David L. Dyckman</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David L. Dyckman</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Vice President-Corporate Development</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Chief Financial Officer</w:t>
      </w:r>
    </w:p>
    <w:p>
      <w:pPr>
        <w:ind w:left="3860"/>
        <w:spacing w:after="0" w:line="237" w:lineRule="auto"/>
        <w:rPr>
          <w:sz w:val="20"/>
          <w:szCs w:val="20"/>
          <w:color w:val="auto"/>
        </w:rPr>
      </w:pPr>
      <w:r>
        <w:rPr>
          <w:rFonts w:ascii="Courier New" w:cs="Courier New" w:eastAsia="Courier New" w:hAnsi="Courier New"/>
          <w:sz w:val="15"/>
          <w:szCs w:val="15"/>
          <w:color w:val="auto"/>
        </w:rPr>
        <w:t>(Principal Financial Officer)</w:t>
      </w:r>
    </w:p>
    <w:p>
      <w:pPr>
        <w:ind w:left="3860"/>
        <w:spacing w:after="0" w:line="238" w:lineRule="auto"/>
        <w:rPr>
          <w:sz w:val="20"/>
          <w:szCs w:val="20"/>
          <w:color w:val="auto"/>
        </w:rPr>
      </w:pPr>
      <w:r>
        <w:rPr>
          <w:rFonts w:ascii="Courier New" w:cs="Courier New" w:eastAsia="Courier New" w:hAnsi="Courier New"/>
          <w:sz w:val="15"/>
          <w:szCs w:val="15"/>
          <w:color w:val="auto"/>
        </w:rPr>
        <w:t>(Duly Authorized Officer)</w:t>
      </w:r>
    </w:p>
    <w:p>
      <w:pPr>
        <w:spacing w:after="0" w:line="335" w:lineRule="exact"/>
        <w:rPr>
          <w:sz w:val="20"/>
          <w:szCs w:val="20"/>
          <w:color w:val="auto"/>
        </w:rPr>
      </w:pPr>
    </w:p>
    <w:p>
      <w:pPr>
        <w:spacing w:after="0"/>
        <w:tabs>
          <w:tab w:leader="none" w:pos="780" w:val="left"/>
          <w:tab w:leader="none" w:pos="366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August 9, 2004</w:t>
      </w:r>
      <w:r>
        <w:rPr>
          <w:sz w:val="20"/>
          <w:szCs w:val="20"/>
          <w:color w:val="auto"/>
        </w:rPr>
        <w:tab/>
      </w:r>
      <w:r>
        <w:rPr>
          <w:rFonts w:ascii="Courier New" w:cs="Courier New" w:eastAsia="Courier New" w:hAnsi="Courier New"/>
          <w:sz w:val="14"/>
          <w:szCs w:val="14"/>
          <w:color w:val="auto"/>
        </w:rPr>
        <w:t>/s/ William C. Kelly, Jr.</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right"/>
        <w:ind w:right="4279"/>
        <w:spacing w:after="0"/>
        <w:rPr>
          <w:sz w:val="20"/>
          <w:szCs w:val="20"/>
          <w:color w:val="auto"/>
        </w:rPr>
      </w:pPr>
      <w:r>
        <w:rPr>
          <w:rFonts w:ascii="Courier New" w:cs="Courier New" w:eastAsia="Courier New" w:hAnsi="Courier New"/>
          <w:sz w:val="15"/>
          <w:szCs w:val="15"/>
          <w:color w:val="auto"/>
        </w:rPr>
        <w:t>William C. Kelly, Jr.,</w:t>
      </w:r>
    </w:p>
    <w:p>
      <w:pPr>
        <w:jc w:val="right"/>
        <w:ind w:right="4279"/>
        <w:spacing w:after="0" w:line="237" w:lineRule="auto"/>
        <w:rPr>
          <w:sz w:val="20"/>
          <w:szCs w:val="20"/>
          <w:color w:val="auto"/>
        </w:rPr>
      </w:pPr>
      <w:r>
        <w:rPr>
          <w:rFonts w:ascii="Courier New" w:cs="Courier New" w:eastAsia="Courier New" w:hAnsi="Courier New"/>
          <w:sz w:val="15"/>
          <w:szCs w:val="15"/>
          <w:color w:val="auto"/>
        </w:rPr>
        <w:t>Treasurer, Secretary and</w:t>
      </w:r>
    </w:p>
    <w:p>
      <w:pPr>
        <w:ind w:left="3860"/>
        <w:spacing w:after="0" w:line="238" w:lineRule="auto"/>
        <w:rPr>
          <w:sz w:val="20"/>
          <w:szCs w:val="20"/>
          <w:color w:val="auto"/>
        </w:rPr>
      </w:pPr>
      <w:r>
        <w:rPr>
          <w:rFonts w:ascii="Courier New" w:cs="Courier New" w:eastAsia="Courier New" w:hAnsi="Courier New"/>
          <w:sz w:val="15"/>
          <w:szCs w:val="15"/>
          <w:color w:val="auto"/>
        </w:rPr>
        <w:t>Chief Administrative Officer</w:t>
      </w:r>
    </w:p>
    <w:p>
      <w:pPr>
        <w:ind w:left="3860"/>
        <w:spacing w:after="0" w:line="237" w:lineRule="auto"/>
        <w:rPr>
          <w:sz w:val="20"/>
          <w:szCs w:val="20"/>
          <w:color w:val="auto"/>
        </w:rPr>
      </w:pPr>
      <w:r>
        <w:rPr>
          <w:rFonts w:ascii="Courier New" w:cs="Courier New" w:eastAsia="Courier New" w:hAnsi="Courier New"/>
          <w:sz w:val="15"/>
          <w:szCs w:val="15"/>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792" w:right="1440" w:bottom="1440" w:gutter="0" w:footer="0" w:header="0"/>
          <w:type w:val="continuous"/>
        </w:sectPr>
      </w:pPr>
    </w:p>
    <w:bookmarkStart w:id="29" w:name="page30"/>
    <w:bookmarkEnd w:id="29"/>
    <w:p>
      <w:pPr>
        <w:jc w:val="right"/>
        <w:ind w:right="3239"/>
        <w:spacing w:after="0"/>
        <w:rPr>
          <w:sz w:val="20"/>
          <w:szCs w:val="20"/>
          <w:color w:val="auto"/>
        </w:rPr>
      </w:pPr>
      <w:r>
        <w:rPr>
          <w:rFonts w:ascii="Courier New" w:cs="Courier New" w:eastAsia="Courier New" w:hAnsi="Courier New"/>
          <w:sz w:val="15"/>
          <w:szCs w:val="15"/>
          <w:color w:val="auto"/>
        </w:rPr>
        <w:t>Exhibit 31.1</w:t>
      </w:r>
    </w:p>
    <w:p>
      <w:pPr>
        <w:ind w:left="2900"/>
        <w:spacing w:after="0" w:line="237" w:lineRule="auto"/>
        <w:rPr>
          <w:sz w:val="20"/>
          <w:szCs w:val="20"/>
          <w:color w:val="auto"/>
        </w:rPr>
      </w:pPr>
      <w:r>
        <w:rPr>
          <w:rFonts w:ascii="Courier New" w:cs="Courier New" w:eastAsia="Courier New" w:hAnsi="Courier New"/>
          <w:sz w:val="15"/>
          <w:szCs w:val="15"/>
          <w:color w:val="auto"/>
        </w:rPr>
        <w:t>CERTIFICATIONS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Roderick R. Baty, certify that:</w:t>
      </w:r>
    </w:p>
    <w:p>
      <w:pPr>
        <w:spacing w:after="0" w:line="166" w:lineRule="exact"/>
        <w:rPr>
          <w:sz w:val="20"/>
          <w:szCs w:val="20"/>
          <w:color w:val="auto"/>
        </w:rPr>
      </w:pPr>
    </w:p>
    <w:p>
      <w:pPr>
        <w:ind w:left="700" w:hanging="253"/>
        <w:spacing w:after="0"/>
        <w:tabs>
          <w:tab w:leader="none" w:pos="7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quarterly report on Form 10-Q of NN, Inc.;</w:t>
      </w:r>
    </w:p>
    <w:p>
      <w:pPr>
        <w:spacing w:after="0" w:line="172" w:lineRule="exact"/>
        <w:rPr>
          <w:rFonts w:ascii="Courier New" w:cs="Courier New" w:eastAsia="Courier New" w:hAnsi="Courier New"/>
          <w:sz w:val="15"/>
          <w:szCs w:val="15"/>
          <w:color w:val="auto"/>
        </w:rPr>
      </w:pPr>
    </w:p>
    <w:p>
      <w:pPr>
        <w:jc w:val="both"/>
        <w:ind w:right="3239" w:firstLine="447"/>
        <w:spacing w:after="0" w:line="256" w:lineRule="auto"/>
        <w:tabs>
          <w:tab w:leader="none" w:pos="70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Courier New" w:cs="Courier New" w:eastAsia="Courier New" w:hAnsi="Courier New"/>
          <w:sz w:val="14"/>
          <w:szCs w:val="14"/>
          <w:color w:val="auto"/>
        </w:rPr>
      </w:pPr>
    </w:p>
    <w:p>
      <w:pPr>
        <w:jc w:val="both"/>
        <w:ind w:right="3239" w:firstLine="447"/>
        <w:spacing w:after="0" w:line="235" w:lineRule="auto"/>
        <w:tabs>
          <w:tab w:leader="none" w:pos="7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Courier New" w:cs="Courier New" w:eastAsia="Courier New" w:hAnsi="Courier New"/>
          <w:sz w:val="15"/>
          <w:szCs w:val="15"/>
          <w:color w:val="auto"/>
        </w:rPr>
      </w:pPr>
    </w:p>
    <w:p>
      <w:pPr>
        <w:jc w:val="both"/>
        <w:ind w:right="3239" w:firstLine="447"/>
        <w:spacing w:after="0" w:line="235" w:lineRule="auto"/>
        <w:tabs>
          <w:tab w:leader="none" w:pos="7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are responsible for establishing and maintaining disclosure controls and procedures (as defined in Exchange Act Rules 13a-15(e) and 15d-15(e)) for the registrant and have:</w:t>
      </w:r>
    </w:p>
    <w:p>
      <w:pPr>
        <w:spacing w:after="0" w:line="174" w:lineRule="exact"/>
        <w:rPr>
          <w:sz w:val="20"/>
          <w:szCs w:val="20"/>
          <w:color w:val="auto"/>
        </w:rPr>
      </w:pPr>
    </w:p>
    <w:p>
      <w:pPr>
        <w:jc w:val="both"/>
        <w:ind w:left="880" w:right="3239" w:hanging="433"/>
        <w:spacing w:after="0" w:line="236" w:lineRule="auto"/>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Courier New" w:cs="Courier New" w:eastAsia="Courier New" w:hAnsi="Courier New"/>
          <w:sz w:val="15"/>
          <w:szCs w:val="15"/>
          <w:color w:val="auto"/>
        </w:rPr>
      </w:pPr>
    </w:p>
    <w:p>
      <w:pPr>
        <w:jc w:val="both"/>
        <w:ind w:left="880" w:right="3239" w:hanging="433"/>
        <w:spacing w:after="0" w:line="235" w:lineRule="auto"/>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75" w:lineRule="exact"/>
        <w:rPr>
          <w:rFonts w:ascii="Courier New" w:cs="Courier New" w:eastAsia="Courier New" w:hAnsi="Courier New"/>
          <w:sz w:val="15"/>
          <w:szCs w:val="15"/>
          <w:color w:val="auto"/>
        </w:rPr>
      </w:pPr>
    </w:p>
    <w:p>
      <w:pPr>
        <w:jc w:val="both"/>
        <w:ind w:left="880" w:right="3239" w:hanging="433"/>
        <w:spacing w:after="0" w:line="236" w:lineRule="auto"/>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sz w:val="20"/>
          <w:szCs w:val="20"/>
          <w:color w:val="auto"/>
        </w:rPr>
      </w:pPr>
    </w:p>
    <w:p>
      <w:pPr>
        <w:jc w:val="both"/>
        <w:ind w:right="3239" w:firstLine="447"/>
        <w:spacing w:after="0" w:line="256" w:lineRule="auto"/>
        <w:tabs>
          <w:tab w:leader="none" w:pos="7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sz w:val="20"/>
          <w:szCs w:val="20"/>
          <w:color w:val="auto"/>
        </w:rPr>
      </w:pPr>
    </w:p>
    <w:p>
      <w:pPr>
        <w:jc w:val="both"/>
        <w:ind w:left="880" w:right="3239" w:hanging="433"/>
        <w:spacing w:after="0" w:line="235" w:lineRule="auto"/>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Courier New" w:cs="Courier New" w:eastAsia="Courier New" w:hAnsi="Courier New"/>
          <w:sz w:val="15"/>
          <w:szCs w:val="15"/>
          <w:color w:val="auto"/>
        </w:rPr>
      </w:pPr>
    </w:p>
    <w:p>
      <w:pPr>
        <w:jc w:val="both"/>
        <w:ind w:left="880" w:right="3239" w:hanging="433"/>
        <w:spacing w:after="0" w:line="235" w:lineRule="auto"/>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 over financial reporting.</w:t>
      </w:r>
    </w:p>
    <w:p>
      <w:pPr>
        <w:spacing w:after="0" w:line="167"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August 9, 2004</w:t>
      </w:r>
    </w:p>
    <w:p>
      <w:pPr>
        <w:ind w:left="158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 Roderick R. Baty</w:t>
      </w:r>
    </w:p>
    <w:p>
      <w:pPr>
        <w:ind w:left="2540"/>
        <w:spacing w:after="0" w:line="237" w:lineRule="auto"/>
        <w:rPr>
          <w:sz w:val="20"/>
          <w:szCs w:val="20"/>
          <w:color w:val="auto"/>
        </w:rPr>
      </w:pPr>
      <w:r>
        <w:rPr>
          <w:rFonts w:ascii="Courier New" w:cs="Courier New" w:eastAsia="Courier New" w:hAnsi="Courier New"/>
          <w:sz w:val="15"/>
          <w:szCs w:val="15"/>
          <w:color w:val="auto"/>
        </w:rPr>
        <w:t>-----------------------------------------------</w:t>
      </w:r>
    </w:p>
    <w:p>
      <w:pPr>
        <w:ind w:left="2900"/>
        <w:spacing w:after="0" w:line="238" w:lineRule="auto"/>
        <w:rPr>
          <w:sz w:val="20"/>
          <w:szCs w:val="20"/>
          <w:color w:val="auto"/>
        </w:rPr>
      </w:pPr>
      <w:r>
        <w:rPr>
          <w:rFonts w:ascii="Courier New" w:cs="Courier New" w:eastAsia="Courier New" w:hAnsi="Courier New"/>
          <w:sz w:val="15"/>
          <w:szCs w:val="15"/>
          <w:color w:val="auto"/>
        </w:rPr>
        <w:t>Roderick R. Baty</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Chairman, President and Chief Executive Officer</w:t>
      </w:r>
    </w:p>
    <w:p>
      <w:pPr>
        <w:sectPr>
          <w:pgSz w:w="11900" w:h="16838" w:orient="portrait"/>
          <w:cols w:equalWidth="0" w:num="1">
            <w:col w:w="10239"/>
          </w:cols>
          <w:pgMar w:left="220" w:top="135" w:right="1440" w:bottom="1440" w:gutter="0" w:footer="0" w:header="0"/>
        </w:sectPr>
      </w:pPr>
    </w:p>
    <w:bookmarkStart w:id="30" w:name="page31"/>
    <w:bookmarkEnd w:id="30"/>
    <w:p>
      <w:pPr>
        <w:jc w:val="right"/>
        <w:ind w:right="3239"/>
        <w:spacing w:after="0"/>
        <w:rPr>
          <w:sz w:val="20"/>
          <w:szCs w:val="20"/>
          <w:color w:val="auto"/>
        </w:rPr>
      </w:pPr>
      <w:r>
        <w:rPr>
          <w:rFonts w:ascii="Courier New" w:cs="Courier New" w:eastAsia="Courier New" w:hAnsi="Courier New"/>
          <w:sz w:val="15"/>
          <w:szCs w:val="15"/>
          <w:color w:val="auto"/>
        </w:rPr>
        <w:t>Exhibit 31.2</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CERTIFICATIONS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David L. Dyckman, certify that:</w:t>
      </w:r>
    </w:p>
    <w:p>
      <w:pPr>
        <w:spacing w:after="0" w:line="166" w:lineRule="exact"/>
        <w:rPr>
          <w:sz w:val="20"/>
          <w:szCs w:val="20"/>
          <w:color w:val="auto"/>
        </w:rPr>
      </w:pPr>
    </w:p>
    <w:p>
      <w:pPr>
        <w:ind w:left="700" w:hanging="253"/>
        <w:spacing w:after="0"/>
        <w:tabs>
          <w:tab w:leader="none" w:pos="7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quarterly report on Form 10-Q of NN, Inc.;</w:t>
      </w:r>
    </w:p>
    <w:p>
      <w:pPr>
        <w:spacing w:after="0" w:line="172" w:lineRule="exact"/>
        <w:rPr>
          <w:rFonts w:ascii="Courier New" w:cs="Courier New" w:eastAsia="Courier New" w:hAnsi="Courier New"/>
          <w:sz w:val="15"/>
          <w:szCs w:val="15"/>
          <w:color w:val="auto"/>
        </w:rPr>
      </w:pPr>
    </w:p>
    <w:p>
      <w:pPr>
        <w:jc w:val="both"/>
        <w:ind w:right="3239" w:firstLine="447"/>
        <w:spacing w:after="0" w:line="256" w:lineRule="auto"/>
        <w:tabs>
          <w:tab w:leader="none" w:pos="70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Courier New" w:cs="Courier New" w:eastAsia="Courier New" w:hAnsi="Courier New"/>
          <w:sz w:val="14"/>
          <w:szCs w:val="14"/>
          <w:color w:val="auto"/>
        </w:rPr>
      </w:pPr>
    </w:p>
    <w:p>
      <w:pPr>
        <w:jc w:val="both"/>
        <w:ind w:right="3239" w:firstLine="447"/>
        <w:spacing w:after="0" w:line="235" w:lineRule="auto"/>
        <w:tabs>
          <w:tab w:leader="none" w:pos="7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Courier New" w:cs="Courier New" w:eastAsia="Courier New" w:hAnsi="Courier New"/>
          <w:sz w:val="15"/>
          <w:szCs w:val="15"/>
          <w:color w:val="auto"/>
        </w:rPr>
      </w:pPr>
    </w:p>
    <w:p>
      <w:pPr>
        <w:jc w:val="both"/>
        <w:ind w:right="3239" w:firstLine="447"/>
        <w:spacing w:after="0" w:line="235" w:lineRule="auto"/>
        <w:tabs>
          <w:tab w:leader="none" w:pos="7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are responsible for establishing and maintaining disclosure controls and procedures (as defined in Exchange Act Rules 13a-15(e) and 15d-15(e)) for the registrant and have:</w:t>
      </w:r>
    </w:p>
    <w:p>
      <w:pPr>
        <w:spacing w:after="0" w:line="174" w:lineRule="exact"/>
        <w:rPr>
          <w:sz w:val="20"/>
          <w:szCs w:val="20"/>
          <w:color w:val="auto"/>
        </w:rPr>
      </w:pPr>
    </w:p>
    <w:p>
      <w:pPr>
        <w:jc w:val="both"/>
        <w:ind w:left="880" w:right="3239" w:hanging="433"/>
        <w:spacing w:after="0" w:line="236" w:lineRule="auto"/>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Courier New" w:cs="Courier New" w:eastAsia="Courier New" w:hAnsi="Courier New"/>
          <w:sz w:val="15"/>
          <w:szCs w:val="15"/>
          <w:color w:val="auto"/>
        </w:rPr>
      </w:pPr>
    </w:p>
    <w:p>
      <w:pPr>
        <w:jc w:val="both"/>
        <w:ind w:left="880" w:right="3239" w:hanging="433"/>
        <w:spacing w:after="0" w:line="235" w:lineRule="auto"/>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75" w:lineRule="exact"/>
        <w:rPr>
          <w:rFonts w:ascii="Courier New" w:cs="Courier New" w:eastAsia="Courier New" w:hAnsi="Courier New"/>
          <w:sz w:val="15"/>
          <w:szCs w:val="15"/>
          <w:color w:val="auto"/>
        </w:rPr>
      </w:pPr>
    </w:p>
    <w:p>
      <w:pPr>
        <w:jc w:val="both"/>
        <w:ind w:left="880" w:right="3239" w:hanging="433"/>
        <w:spacing w:after="0" w:line="236" w:lineRule="auto"/>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sz w:val="20"/>
          <w:szCs w:val="20"/>
          <w:color w:val="auto"/>
        </w:rPr>
      </w:pPr>
    </w:p>
    <w:p>
      <w:pPr>
        <w:jc w:val="both"/>
        <w:ind w:right="3239" w:firstLine="447"/>
        <w:spacing w:after="0" w:line="256" w:lineRule="auto"/>
        <w:tabs>
          <w:tab w:leader="none" w:pos="70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Courier New" w:cs="Courier New" w:eastAsia="Courier New" w:hAnsi="Courier New"/>
          <w:sz w:val="14"/>
          <w:szCs w:val="14"/>
          <w:color w:val="auto"/>
        </w:rPr>
      </w:pPr>
    </w:p>
    <w:p>
      <w:pPr>
        <w:jc w:val="both"/>
        <w:ind w:left="1320" w:right="3239" w:hanging="436"/>
        <w:spacing w:after="0" w:line="236" w:lineRule="auto"/>
        <w:tabs>
          <w:tab w:leader="none" w:pos="1320"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Courier New" w:cs="Courier New" w:eastAsia="Courier New" w:hAnsi="Courier New"/>
          <w:sz w:val="15"/>
          <w:szCs w:val="15"/>
          <w:color w:val="auto"/>
        </w:rPr>
      </w:pPr>
    </w:p>
    <w:p>
      <w:pPr>
        <w:jc w:val="both"/>
        <w:ind w:left="1320" w:right="3239" w:hanging="436"/>
        <w:spacing w:after="0" w:line="235" w:lineRule="auto"/>
        <w:tabs>
          <w:tab w:leader="none" w:pos="1320"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 over financial reporting.</w:t>
      </w:r>
    </w:p>
    <w:p>
      <w:pPr>
        <w:spacing w:after="0" w:line="16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Date:</w:t>
        <w:tab/>
        <w:t>August 9, 2004</w:t>
      </w:r>
    </w:p>
    <w:p>
      <w:pPr>
        <w:ind w:left="620"/>
        <w:spacing w:after="0" w:line="237" w:lineRule="auto"/>
        <w:rPr>
          <w:sz w:val="20"/>
          <w:szCs w:val="20"/>
          <w:color w:val="auto"/>
        </w:rPr>
      </w:pPr>
      <w:r>
        <w:rPr>
          <w:rFonts w:ascii="Courier New" w:cs="Courier New" w:eastAsia="Courier New" w:hAnsi="Courier New"/>
          <w:sz w:val="15"/>
          <w:szCs w:val="15"/>
          <w:color w:val="auto"/>
        </w:rPr>
        <w:t>--------------</w:t>
      </w:r>
    </w:p>
    <w:p>
      <w:pPr>
        <w:ind w:left="3680"/>
        <w:spacing w:after="0" w:line="238" w:lineRule="auto"/>
        <w:rPr>
          <w:sz w:val="20"/>
          <w:szCs w:val="20"/>
          <w:color w:val="auto"/>
        </w:rPr>
      </w:pPr>
      <w:r>
        <w:rPr>
          <w:rFonts w:ascii="Courier New" w:cs="Courier New" w:eastAsia="Courier New" w:hAnsi="Courier New"/>
          <w:sz w:val="15"/>
          <w:szCs w:val="15"/>
          <w:color w:val="auto"/>
        </w:rPr>
        <w:t>/s/ David L. Dyckman</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David L. Dyckman</w:t>
      </w:r>
    </w:p>
    <w:p>
      <w:pPr>
        <w:ind w:left="4040"/>
        <w:spacing w:after="0" w:line="237" w:lineRule="auto"/>
        <w:rPr>
          <w:sz w:val="20"/>
          <w:szCs w:val="20"/>
          <w:color w:val="auto"/>
        </w:rPr>
      </w:pPr>
      <w:r>
        <w:rPr>
          <w:rFonts w:ascii="Courier New" w:cs="Courier New" w:eastAsia="Courier New" w:hAnsi="Courier New"/>
          <w:sz w:val="15"/>
          <w:szCs w:val="15"/>
          <w:color w:val="auto"/>
        </w:rPr>
        <w:t>Chief Financial Officer</w:t>
      </w:r>
    </w:p>
    <w:p>
      <w:pPr>
        <w:sectPr>
          <w:pgSz w:w="11900" w:h="16838" w:orient="portrait"/>
          <w:cols w:equalWidth="0" w:num="1">
            <w:col w:w="10239"/>
          </w:cols>
          <w:pgMar w:left="220" w:top="135" w:right="1440" w:bottom="1440" w:gutter="0" w:footer="0" w:header="0"/>
        </w:sectPr>
      </w:pPr>
    </w:p>
    <w:bookmarkStart w:id="31" w:name="page32"/>
    <w:bookmarkEnd w:id="31"/>
    <w:p>
      <w:pPr>
        <w:jc w:val="right"/>
        <w:ind w:right="3239"/>
        <w:spacing w:after="0"/>
        <w:rPr>
          <w:sz w:val="20"/>
          <w:szCs w:val="20"/>
          <w:color w:val="auto"/>
        </w:rPr>
      </w:pPr>
      <w:r>
        <w:rPr>
          <w:rFonts w:ascii="Courier New" w:cs="Courier New" w:eastAsia="Courier New" w:hAnsi="Courier New"/>
          <w:sz w:val="15"/>
          <w:szCs w:val="15"/>
          <w:color w:val="auto"/>
        </w:rPr>
        <w:t>Exhibit 32.1</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CERTIFICATION OF CHIEF FINANCIAL OFFICER PURSUANT</w:t>
      </w:r>
    </w:p>
    <w:p>
      <w:pPr>
        <w:ind w:left="1400"/>
        <w:spacing w:after="0" w:line="237" w:lineRule="auto"/>
        <w:rPr>
          <w:sz w:val="20"/>
          <w:szCs w:val="20"/>
          <w:color w:val="auto"/>
        </w:rPr>
      </w:pPr>
      <w:r>
        <w:rPr>
          <w:rFonts w:ascii="Courier New" w:cs="Courier New" w:eastAsia="Courier New" w:hAnsi="Courier New"/>
          <w:sz w:val="15"/>
          <w:szCs w:val="15"/>
          <w:color w:val="auto"/>
        </w:rPr>
        <w:t>TO SECTION 906 OF THE SARBANES-OXLEY ACT OF 2002</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In connection with the Quarterly Report of NN, Inc. (the "Company") on Form 10-Q for the interim period ended June 30, 2004, as filed with the Securities and Exchange Commission on the date hereof (the "Report"), the undersigned, in the capacity and date indicated below, hereby certifies pursuant to 18 U.S.C. ss.1350, as adopted pursuant to ss.906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32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Date:</w:t>
        <w:tab/>
        <w:t>August 9, 2004</w:t>
      </w:r>
    </w:p>
    <w:p>
      <w:pPr>
        <w:ind w:left="620"/>
        <w:spacing w:after="0" w:line="237" w:lineRule="auto"/>
        <w:rPr>
          <w:sz w:val="20"/>
          <w:szCs w:val="20"/>
          <w:color w:val="auto"/>
        </w:rPr>
      </w:pPr>
      <w:r>
        <w:rPr>
          <w:rFonts w:ascii="Courier New" w:cs="Courier New" w:eastAsia="Courier New" w:hAnsi="Courier New"/>
          <w:sz w:val="15"/>
          <w:szCs w:val="15"/>
          <w:color w:val="auto"/>
        </w:rPr>
        <w:t>--------------</w:t>
      </w:r>
    </w:p>
    <w:p>
      <w:pPr>
        <w:ind w:left="3500"/>
        <w:spacing w:after="0" w:line="238" w:lineRule="auto"/>
        <w:rPr>
          <w:sz w:val="20"/>
          <w:szCs w:val="20"/>
          <w:color w:val="auto"/>
        </w:rPr>
      </w:pPr>
      <w:r>
        <w:rPr>
          <w:rFonts w:ascii="Courier New" w:cs="Courier New" w:eastAsia="Courier New" w:hAnsi="Courier New"/>
          <w:sz w:val="15"/>
          <w:szCs w:val="15"/>
          <w:color w:val="auto"/>
        </w:rPr>
        <w:t>/s/ Roderick R. Baty</w:t>
      </w:r>
    </w:p>
    <w:p>
      <w:pPr>
        <w:ind w:left="3500"/>
        <w:spacing w:after="0" w:line="237" w:lineRule="auto"/>
        <w:rPr>
          <w:sz w:val="20"/>
          <w:szCs w:val="20"/>
          <w:color w:val="auto"/>
        </w:rPr>
      </w:pPr>
      <w:r>
        <w:rPr>
          <w:rFonts w:ascii="Courier New" w:cs="Courier New" w:eastAsia="Courier New" w:hAnsi="Courier New"/>
          <w:sz w:val="15"/>
          <w:szCs w:val="15"/>
          <w:color w:val="auto"/>
        </w:rPr>
        <w:t>--------------------------------</w:t>
      </w:r>
    </w:p>
    <w:p>
      <w:pPr>
        <w:ind w:left="3860"/>
        <w:spacing w:after="0" w:line="238" w:lineRule="auto"/>
        <w:rPr>
          <w:sz w:val="20"/>
          <w:szCs w:val="20"/>
          <w:color w:val="auto"/>
        </w:rPr>
      </w:pPr>
      <w:r>
        <w:rPr>
          <w:rFonts w:ascii="Courier New" w:cs="Courier New" w:eastAsia="Courier New" w:hAnsi="Courier New"/>
          <w:sz w:val="15"/>
          <w:szCs w:val="15"/>
          <w:color w:val="auto"/>
        </w:rPr>
        <w:t>Roderick R. Baty</w:t>
      </w:r>
    </w:p>
    <w:p>
      <w:pPr>
        <w:ind w:left="3860"/>
        <w:spacing w:after="0" w:line="237" w:lineRule="auto"/>
        <w:rPr>
          <w:sz w:val="20"/>
          <w:szCs w:val="20"/>
          <w:color w:val="auto"/>
        </w:rPr>
      </w:pPr>
      <w:r>
        <w:rPr>
          <w:rFonts w:ascii="Courier New" w:cs="Courier New" w:eastAsia="Courier New" w:hAnsi="Courier New"/>
          <w:sz w:val="15"/>
          <w:szCs w:val="15"/>
          <w:color w:val="auto"/>
        </w:rPr>
        <w:t>Chairman, President and Chief</w:t>
      </w:r>
    </w:p>
    <w:p>
      <w:pPr>
        <w:ind w:left="3860"/>
        <w:spacing w:after="0" w:line="238" w:lineRule="auto"/>
        <w:rPr>
          <w:sz w:val="20"/>
          <w:szCs w:val="20"/>
          <w:color w:val="auto"/>
        </w:rPr>
      </w:pPr>
      <w:r>
        <w:rPr>
          <w:rFonts w:ascii="Courier New" w:cs="Courier New" w:eastAsia="Courier New" w:hAnsi="Courier New"/>
          <w:sz w:val="15"/>
          <w:szCs w:val="15"/>
          <w:color w:val="auto"/>
        </w:rPr>
        <w:t>Executive Officer</w:t>
      </w:r>
    </w:p>
    <w:p>
      <w:pPr>
        <w:spacing w:after="0" w:line="341"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[A signed original of this written statement required by Section 906 has been provided to NN, Inc. and will be retained by NN, Inc. and furnished to the Securities and Exchange Commission or its staff upon request.]</w:t>
      </w:r>
    </w:p>
    <w:p>
      <w:pPr>
        <w:sectPr>
          <w:pgSz w:w="11900" w:h="16838" w:orient="portrait"/>
          <w:cols w:equalWidth="0" w:num="1">
            <w:col w:w="10239"/>
          </w:cols>
          <w:pgMar w:left="220" w:top="135" w:right="1440" w:bottom="1440" w:gutter="0" w:footer="0" w:header="0"/>
        </w:sectPr>
      </w:pPr>
    </w:p>
    <w:bookmarkStart w:id="32" w:name="page33"/>
    <w:bookmarkEnd w:id="32"/>
    <w:p>
      <w:pPr>
        <w:jc w:val="right"/>
        <w:ind w:right="3239"/>
        <w:spacing w:after="0"/>
        <w:rPr>
          <w:sz w:val="20"/>
          <w:szCs w:val="20"/>
          <w:color w:val="auto"/>
        </w:rPr>
      </w:pPr>
      <w:r>
        <w:rPr>
          <w:rFonts w:ascii="Courier New" w:cs="Courier New" w:eastAsia="Courier New" w:hAnsi="Courier New"/>
          <w:sz w:val="15"/>
          <w:szCs w:val="15"/>
          <w:color w:val="auto"/>
        </w:rPr>
        <w:t>Exhibit 32.2</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CERTIFICATION OF CHIEF FINANCIAL OFFICER PURSUANT</w:t>
      </w:r>
    </w:p>
    <w:p>
      <w:pPr>
        <w:ind w:left="1400"/>
        <w:spacing w:after="0" w:line="237" w:lineRule="auto"/>
        <w:rPr>
          <w:sz w:val="20"/>
          <w:szCs w:val="20"/>
          <w:color w:val="auto"/>
        </w:rPr>
      </w:pPr>
      <w:r>
        <w:rPr>
          <w:rFonts w:ascii="Courier New" w:cs="Courier New" w:eastAsia="Courier New" w:hAnsi="Courier New"/>
          <w:sz w:val="15"/>
          <w:szCs w:val="15"/>
          <w:color w:val="auto"/>
        </w:rPr>
        <w:t>TO SECTION 906 OF THE SARBANES-OXLEY ACT OF 2002</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In connection with the Quarterly Report of NN, Inc. (the "Company") on Form 10-Q for the interim period ended June 30, 2004, as filed with the Securities and Exchange Commission on the date hereof (the "Report"), the undersigned, in the capacity and date indicated below, hereby certifies pursuant to 18 U.S.C. ss.1350, as adopted pursuant to ss.906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32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Date:</w:t>
        <w:tab/>
        <w:t>August 9, 2004</w:t>
      </w:r>
    </w:p>
    <w:p>
      <w:pPr>
        <w:ind w:left="620"/>
        <w:spacing w:after="0" w:line="237" w:lineRule="auto"/>
        <w:rPr>
          <w:sz w:val="20"/>
          <w:szCs w:val="20"/>
          <w:color w:val="auto"/>
        </w:rPr>
      </w:pPr>
      <w:r>
        <w:rPr>
          <w:rFonts w:ascii="Courier New" w:cs="Courier New" w:eastAsia="Courier New" w:hAnsi="Courier New"/>
          <w:sz w:val="15"/>
          <w:szCs w:val="15"/>
          <w:color w:val="auto"/>
        </w:rPr>
        <w:t>--------------</w:t>
      </w:r>
    </w:p>
    <w:p>
      <w:pPr>
        <w:ind w:left="3500"/>
        <w:spacing w:after="0" w:line="238" w:lineRule="auto"/>
        <w:rPr>
          <w:sz w:val="20"/>
          <w:szCs w:val="20"/>
          <w:color w:val="auto"/>
        </w:rPr>
      </w:pPr>
      <w:r>
        <w:rPr>
          <w:rFonts w:ascii="Courier New" w:cs="Courier New" w:eastAsia="Courier New" w:hAnsi="Courier New"/>
          <w:sz w:val="15"/>
          <w:szCs w:val="15"/>
          <w:color w:val="auto"/>
        </w:rPr>
        <w:t>/s/ David L. Dyckman</w:t>
      </w:r>
    </w:p>
    <w:p>
      <w:pPr>
        <w:ind w:left="3500"/>
        <w:spacing w:after="0" w:line="237" w:lineRule="auto"/>
        <w:rPr>
          <w:sz w:val="20"/>
          <w:szCs w:val="20"/>
          <w:color w:val="auto"/>
        </w:rPr>
      </w:pPr>
      <w:r>
        <w:rPr>
          <w:rFonts w:ascii="Courier New" w:cs="Courier New" w:eastAsia="Courier New" w:hAnsi="Courier New"/>
          <w:sz w:val="15"/>
          <w:szCs w:val="15"/>
          <w:color w:val="auto"/>
        </w:rPr>
        <w:t>--------------------</w:t>
      </w:r>
    </w:p>
    <w:p>
      <w:pPr>
        <w:ind w:left="3860"/>
        <w:spacing w:after="0" w:line="238" w:lineRule="auto"/>
        <w:rPr>
          <w:sz w:val="20"/>
          <w:szCs w:val="20"/>
          <w:color w:val="auto"/>
        </w:rPr>
      </w:pPr>
      <w:r>
        <w:rPr>
          <w:rFonts w:ascii="Courier New" w:cs="Courier New" w:eastAsia="Courier New" w:hAnsi="Courier New"/>
          <w:sz w:val="15"/>
          <w:szCs w:val="15"/>
          <w:color w:val="auto"/>
        </w:rPr>
        <w:t>David L. Dyckman</w:t>
      </w:r>
    </w:p>
    <w:p>
      <w:pPr>
        <w:ind w:left="3860"/>
        <w:spacing w:after="0" w:line="237" w:lineRule="auto"/>
        <w:rPr>
          <w:sz w:val="20"/>
          <w:szCs w:val="20"/>
          <w:color w:val="auto"/>
        </w:rPr>
      </w:pPr>
      <w:r>
        <w:rPr>
          <w:rFonts w:ascii="Courier New" w:cs="Courier New" w:eastAsia="Courier New" w:hAnsi="Courier New"/>
          <w:sz w:val="15"/>
          <w:szCs w:val="15"/>
          <w:color w:val="auto"/>
        </w:rPr>
        <w:t>Chief Financial Officer</w:t>
      </w:r>
    </w:p>
    <w:p>
      <w:pPr>
        <w:spacing w:after="0" w:line="342"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[A signed original of this written statement required by Section 906 has been provided to NN, Inc. and will be retained by NN, Inc. and furnished to the Securities and Exchange Commission or its staff upon request.]</w:t>
      </w:r>
    </w:p>
    <w:sectPr>
      <w:pgSz w:w="11900" w:h="16838" w:orient="portrait"/>
      <w:cols w:equalWidth="0" w:num="1">
        <w:col w:w="10239"/>
      </w:cols>
      <w:pgMar w:left="22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decimal"/>
      <w:start w:val="5"/>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2019-12-14T03:08:11Z</dcterms:created>
  <dcterms:modified xsi:type="dcterms:W3CDTF">2019-12-14T03:08:11Z</dcterms:modified>
</cp:coreProperties>
</file>