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9, 2018 (March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388620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On March 8, 2018, NN, Inc. (the “Company”) issued a press release announcing the Company’s financial results for the quarter and year ended December 31, 2017. The full text of the press release is furnished as Exhibit 99.1 and is incorporated herein by reference.</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68"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March 8, 2018</w:t>
        </w:r>
      </w:hyperlink>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9, 2018</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2359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412115</wp:posOffset>
            </wp:positionV>
            <wp:extent cx="184404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Burwell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SVP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3400" w:space="720"/>
            <w:col w:w="730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121" w:right="239" w:bottom="1440" w:gutter="0" w:footer="0" w:header="0"/>
          <w:type w:val="continuous"/>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FOURTH QUARTER AND FULL YEAR 2017 RESULTS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Johnson City, TN, March 8, 2018 –</w:t>
      </w:r>
      <w:r>
        <w:rPr>
          <w:rFonts w:ascii="Arial" w:cs="Arial" w:eastAsia="Arial" w:hAnsi="Arial"/>
          <w:sz w:val="18"/>
          <w:szCs w:val="18"/>
          <w:color w:val="auto"/>
        </w:rPr>
        <w:t>NN, Inc., (NASDAQ: NNBR), a diversified industrial company, today reported its financial results for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year ended December 31,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sales for the fourth quarter of 2017 increased $14.5 million, or 10%, to $156 million, compared to $142 million for the fourth quarter of 2016. Growth in the medical, aerospace and automotive end markets accounted for the increase.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GAAP basis, income from operations for the fourth quarter of 2017 was $4.0 million, compared to $6.4 million for the same period in 2016. Income (loss) from continuing operations on a GAAP basis for fourth quarter of 2017 was $54.3 million. This compares to Income (loss) from continuing operations on a GAAP basis of $(2.1) million in the fourth quarter of 2016. Income (loss) from continuing operations in 2017 was favorably impacted by $52.3 million of tax benefit due to the Tax Cuts and Jobs Act.</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 GAAP basis, income from operations for fourth quarter 2017 in the Autocam Precision Components segment was $6.3 million compared to $6.7 million for the same period in 2016.</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a GAAP basis, income from operations for fourth quarter 2017 in the Precision Engineered Products segment (PEP) was $8.6 million compared to $8.1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for 2017 increased $34.8 million, or 6%, to $620 million, compared to $585 million for the fourth quarter of 2016. Growth in the medical, aerospace and automotive end markets accounted for the increase.</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 GAAP basis, income from operations for 2017 was $33.5 million, compared to $35.7 million for 2016. Income (loss) from continuing operations on a GAAP basis for 2017 was $26.0 million. This compares to Income (loss) from continuing operations on a GAAP basis of $(9.6) million in 2016. Income (loss) from continuing operations in 2017 was favorably impacted by $52.3 million of tax benefit due to the Tax Cuts and Jobs Act.</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GAAP basis, income from operations for 2017 in the Autocam Precision Components segment was $34.4 million compared to $29.5 million for 2016.</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 GAAP basis, income from operations for 2017 in the Precision Engineered Products segment (PEP) was $36.8 million compared to $34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Adjusted income from operations for the fourth quarter of 2017 was $15.5 million, compared to $13.8 million for the same period in 2016. Adjusted net income increased to $8.2 million or $0.30 per diluted share from $5.7 million or $0.21 per diluted share for the same period in 2016.</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Richard Holder, President and Chief Executive Officer, commented, “During the quarter, we continued to execute on our strategy toward building a diversified industrial company. We had strong organic growth of 6% over the prior year and completed the acquisition of DRT Medical. Overall operating performance in the quarter was as expected. Operating margins were negatively impacted by substantial growth-oriented investments. Additionally, the fourth quarter is our lowest margin quarter of the year due to fewer production days.”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sales for the fourth quarter of 2017 were $82.1 million, compared to $78.7 million in the fourth quarter of 2016, an increase of 4.3% or $3.4 million. Growth in our Corporate Average Fuel Economy (CAFE) automotive business accounted for the increase. Adjusted income from operations for the quarter decreased $0.6 million to $7.4 million, compared to $8.0 million in the fourth quarter of 2016.</w:t>
      </w:r>
    </w:p>
    <w:p>
      <w:pPr>
        <w:spacing w:after="0" w:line="18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Mr. Holder commented, “Autocam continues to win new business and outgrow its CAFE related end market. During the fourth quarter, Autocam was preparing to launch several multi-year programs, which required substantial up-front investment. While these investments had negative impact on its profitability, they are expected to drive enhanced growth over the long 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for the fourth quarter of 2017 were $74.0 million, compared to $63.0 million in the fourth quarter of 2016, an increase of $11.0 million. Adjusted income from operations for the quarter was $15.2 million, compared to $14.0 million in 2016.</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Holder commented, “Like Autocam, the PEP group is in the process of executing launches on several large scale multi-year programs primarily in our Aerospace and Defense end market. Many of these costs are being incurred ahead of anticipated future revenues and therefore negatively impact overall margins in the short-term.”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Adjusted income from operations for 2017 was $67.8 million, compared to $70.9 million for 2016. Adjusted Net income increased to $42.8 million or $1.55 per diluted share from $33.8 million or $1.24 per diluted share for 2016.</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sales for 2017 were $336.9 million, compared to $326.1 million in 2016, an increase of 3.3% or $10.8 million. Growth in our Corporate Average Fuel Economy (CAFE) automotive business accounted for the increase. Adjusted income from operations for 2017 increased $1.6 million to $39.0 million, compared to $37.4 million in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for 2017 were $282.9 million, compared to $258.8 million in 2016, an increase of $24.1 million. Adjusted income from operations for 2017 was $58.8 million, compared to $58.4 million in 2016.</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Mr. Holder concluded, “The fourth quarter was a transitional quarter as we continued to lay the foundations for growth in 2018 and beyond through the initial execution of several large multi-year new sales programs across the enterprise. Additionally, we completed the acquisition of DRT Medical which further enhanced our Life Sciences portfolio. All of these initiatives underpin our strategic goal to strengthen our position as a global diversified industrial company.”</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full set of financial guidance for the fourth quarter and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160" w:firstLine="8"/>
        <w:spacing w:after="0" w:line="291"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this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1-800-289-0438 or 1-323-794-2423 Conference</w:t>
      </w:r>
    </w:p>
    <w:p>
      <w:pPr>
        <w:spacing w:after="0"/>
        <w:rPr>
          <w:rFonts w:ascii="Arial" w:cs="Arial" w:eastAsia="Arial" w:hAnsi="Arial"/>
          <w:sz w:val="16"/>
          <w:szCs w:val="16"/>
          <w:color w:val="auto"/>
        </w:rPr>
      </w:pPr>
      <w:r>
        <w:rPr>
          <w:rFonts w:ascii="Arial" w:cs="Arial" w:eastAsia="Arial" w:hAnsi="Arial"/>
          <w:sz w:val="18"/>
          <w:szCs w:val="18"/>
          <w:color w:val="auto"/>
        </w:rPr>
        <w:t>ID: 6831722. For those who are unavailable to listen to the live broadcast, a replay will be available shortly after the call for 90 days.</w:t>
      </w:r>
    </w:p>
    <w:p>
      <w:pPr>
        <w:spacing w:after="0" w:line="211" w:lineRule="exact"/>
        <w:rPr>
          <w:sz w:val="20"/>
          <w:szCs w:val="20"/>
          <w:color w:val="auto"/>
        </w:rPr>
      </w:pPr>
    </w:p>
    <w:p>
      <w:pPr>
        <w:ind w:right="140" w:firstLine="8"/>
        <w:spacing w:after="0" w:line="259"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income (loss) from continuing operations and adjusted diluted earnings per share. Each of adjusted income from operations, adjusted income (loss) from continuing operations and adjusted diluted earnings per share provide supplementary information about the impacts of acquisition related expenses, foreign-exchange and other non-operating impacts on our business.</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financial tables found later in this press release include a reconciliation of adjusted income from operations, adjusted income (loss) from continuing operations to the U.S. GAAP financial measures of income from operations, and income (loss) from continuing operations.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44 facilities in North America, Western Europe, Eastern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 Follow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4"/>
          </w:tcPr>
          <w:p>
            <w:pPr>
              <w:ind w:left="480"/>
              <w:spacing w:after="0"/>
              <w:rPr>
                <w:sz w:val="20"/>
                <w:szCs w:val="20"/>
                <w:color w:val="auto"/>
              </w:rPr>
            </w:pPr>
            <w:r>
              <w:rPr>
                <w:rFonts w:ascii="Arial" w:cs="Arial" w:eastAsia="Arial" w:hAnsi="Arial"/>
                <w:sz w:val="14"/>
                <w:szCs w:val="14"/>
                <w:b w:val="1"/>
                <w:bCs w:val="1"/>
                <w:color w:val="auto"/>
              </w:rPr>
              <w:t>Twelve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156,135</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141,644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619,793</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amortization shown separately below)</w:t>
            </w:r>
          </w:p>
        </w:tc>
        <w:tc>
          <w:tcPr>
            <w:tcW w:w="3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118,364</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104,824</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458,629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20,743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16,416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73,757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Acquisition related costs excluded from SG&amp;A</w:t>
            </w:r>
          </w:p>
        </w:tc>
        <w:tc>
          <w:tcPr>
            <w:tcW w:w="3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12,357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52,783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3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24"/>
        </w:trPr>
        <w:tc>
          <w:tcPr>
            <w:tcW w:w="46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6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33,543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12,169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14,162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52,085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Write-off of unamortized debt issuance costs</w:t>
            </w:r>
          </w:p>
        </w:tc>
        <w:tc>
          <w:tcPr>
            <w:tcW w:w="3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2,448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42,087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(receipts) on interest rate swap</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Derivative (gains) losses on change in interest rate swap</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3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rPr>
              <w:t>Continuing income (loss) before provision (benefit) for</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taxes and JV NI</w:t>
            </w:r>
          </w:p>
        </w:tc>
        <w:tc>
          <w:tcPr>
            <w:tcW w:w="3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(9,514)</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(6,469)</w:t>
            </w:r>
          </w:p>
        </w:tc>
        <w:tc>
          <w:tcPr>
            <w:tcW w:w="3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(58,313)</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(62,818)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(2,600)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(79,214)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1,768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54,291</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(2,101)</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26,027</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Reconciliation of GAAP Income from Operations to Non-GAAP Adjusted Income from Operations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70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Autocam Precision Components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5,837</w:t>
            </w:r>
          </w:p>
        </w:tc>
        <w:tc>
          <w:tcPr>
            <w:tcW w:w="3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adjusted 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7"/>
              </w:rPr>
              <w:t>Non-GAAP adjusted income from operations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shd w:val="clear" w:color="auto" w:fill="CCEEFF"/>
          </w:tcPr>
          <w:p>
            <w:pPr>
              <w:ind w:left="200"/>
              <w:spacing w:after="0" w:line="176" w:lineRule="exact"/>
              <w:rPr>
                <w:sz w:val="20"/>
                <w:szCs w:val="20"/>
                <w:color w:val="auto"/>
              </w:rPr>
            </w:pPr>
            <w:r>
              <w:rPr>
                <w:rFonts w:ascii="Arial" w:cs="Arial" w:eastAsia="Arial" w:hAnsi="Arial"/>
                <w:sz w:val="18"/>
                <w:szCs w:val="18"/>
                <w:color w:val="auto"/>
              </w:rPr>
              <w:t>(a)</w:t>
            </w:r>
          </w:p>
        </w:tc>
        <w:tc>
          <w:tcPr>
            <w:tcW w:w="100" w:type="dxa"/>
            <w:vAlign w:val="bottom"/>
            <w:tcBorders>
              <w:top w:val="single" w:sz="8" w:color="CCEEFF"/>
              <w:bottom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bottom w:val="single" w:sz="8" w:color="CCEEFF"/>
            </w:tcBorders>
            <w:gridSpan w:val="2"/>
            <w:vMerge w:val="restart"/>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15,484</w:t>
            </w:r>
          </w:p>
        </w:tc>
        <w:tc>
          <w:tcPr>
            <w:tcW w:w="3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bottom w:val="single" w:sz="8" w:color="CCEEFF"/>
            </w:tcBorders>
            <w:gridSpan w:val="2"/>
            <w:vMerge w:val="restart"/>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13,819</w:t>
            </w:r>
          </w:p>
        </w:tc>
        <w:tc>
          <w:tcPr>
            <w:tcW w:w="340" w:type="dxa"/>
            <w:vAlign w:val="bottom"/>
          </w:tcPr>
          <w:p>
            <w:pPr>
              <w:spacing w:after="0" w:line="20" w:lineRule="exact"/>
              <w:rPr>
                <w:sz w:val="1"/>
                <w:szCs w:val="1"/>
                <w:color w:val="auto"/>
              </w:rPr>
            </w:pPr>
          </w:p>
        </w:tc>
        <w:tc>
          <w:tcPr>
            <w:tcW w:w="3760" w:type="dxa"/>
            <w:vAlign w:val="bottom"/>
            <w:vMerge w:val="restart"/>
          </w:tcPr>
          <w:p>
            <w:pPr>
              <w:spacing w:after="0" w:line="176" w:lineRule="exact"/>
              <w:rPr>
                <w:sz w:val="20"/>
                <w:szCs w:val="20"/>
                <w:color w:val="auto"/>
              </w:rPr>
            </w:pPr>
            <w:r>
              <w:rPr>
                <w:rFonts w:ascii="Arial" w:cs="Arial" w:eastAsia="Arial" w:hAnsi="Arial"/>
                <w:sz w:val="18"/>
                <w:szCs w:val="18"/>
                <w:color w:val="auto"/>
              </w:rPr>
              <w:t>GAAP net sales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w w:val="87"/>
              </w:rPr>
              <w:t>82,084</w:t>
            </w:r>
          </w:p>
        </w:tc>
        <w:tc>
          <w:tcPr>
            <w:tcW w:w="38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w w:val="87"/>
              </w:rPr>
              <w:t>78,665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156,135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141,644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70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Precision Engineered Products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5,081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4,952</w:t>
            </w:r>
          </w:p>
        </w:tc>
        <w:tc>
          <w:tcPr>
            <w:tcW w:w="3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income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14,011</w:t>
            </w:r>
          </w:p>
        </w:tc>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74,051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62,979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Twelve Months Ended</w:t>
            </w:r>
          </w:p>
        </w:tc>
        <w:tc>
          <w:tcPr>
            <w:tcW w:w="3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700" w:type="dxa"/>
            <w:vAlign w:val="bottom"/>
            <w:gridSpan w:val="4"/>
          </w:tcPr>
          <w:p>
            <w:pPr>
              <w:jc w:val="right"/>
              <w:ind w:right="413"/>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Autocam Precision Components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5,658</w:t>
            </w:r>
          </w:p>
        </w:tc>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23,460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25,998</w:t>
            </w:r>
          </w:p>
        </w:tc>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Non-GAAP adjusted income from operations</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3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Share of net income from joint venture</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60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5,126</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5,938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67,791</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Non-GAAP adjusted income from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54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(a)</w:t>
            </w:r>
          </w:p>
        </w:tc>
        <w:tc>
          <w:tcPr>
            <w:tcW w:w="360" w:type="dxa"/>
            <w:vAlign w:val="bottom"/>
            <w:gridSpan w:val="2"/>
            <w:vMerge w:val="restart"/>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38,968</w:t>
            </w:r>
          </w:p>
        </w:tc>
        <w:tc>
          <w:tcPr>
            <w:tcW w:w="460" w:type="dxa"/>
            <w:vAlign w:val="bottom"/>
            <w:gridSpan w:val="2"/>
            <w:vMerge w:val="restart"/>
          </w:tcPr>
          <w:p>
            <w:pPr>
              <w:jc w:val="right"/>
              <w:spacing w:after="0" w:line="176" w:lineRule="exact"/>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37,363</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w w:val="89"/>
              </w:rPr>
              <w:t>619,793</w:t>
            </w:r>
          </w:p>
        </w:tc>
        <w:tc>
          <w:tcPr>
            <w:tcW w:w="36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w w:val="86"/>
              </w:rPr>
              <w:t>584,954</w:t>
            </w:r>
          </w:p>
        </w:tc>
        <w:tc>
          <w:tcPr>
            <w:tcW w:w="340" w:type="dxa"/>
            <w:vAlign w:val="bottom"/>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326,138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rPr>
              <w:t>Twelve Months Ended</w:t>
            </w:r>
          </w:p>
        </w:tc>
        <w:tc>
          <w:tcPr>
            <w:tcW w:w="3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700" w:type="dxa"/>
            <w:vAlign w:val="bottom"/>
            <w:gridSpan w:val="4"/>
          </w:tcPr>
          <w:p>
            <w:pPr>
              <w:jc w:val="right"/>
              <w:ind w:right="413"/>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Precision Engineered Products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33,966</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1,318</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19,980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22,465</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income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58,467</w:t>
            </w: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GAAP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282,941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258,816</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gridSpan w:val="5"/>
          </w:tcPr>
          <w:p>
            <w:pPr>
              <w:ind w:left="120"/>
              <w:spacing w:after="0"/>
              <w:rPr>
                <w:sz w:val="20"/>
                <w:szCs w:val="20"/>
                <w:color w:val="auto"/>
              </w:rPr>
            </w:pPr>
            <w:r>
              <w:rPr>
                <w:rFonts w:ascii="Arial" w:cs="Arial" w:eastAsia="Arial" w:hAnsi="Arial"/>
                <w:sz w:val="18"/>
                <w:szCs w:val="18"/>
                <w:i w:val="1"/>
                <w:iCs w:val="1"/>
                <w:color w:val="auto"/>
                <w:w w:val="92"/>
              </w:rPr>
              <w:t>Reconciliation of Income (Loss) from Continuing Operations to Non-GAAP Adjusted Income (Loss) from Continuing</w:t>
            </w:r>
          </w:p>
        </w:tc>
        <w:tc>
          <w:tcPr>
            <w:tcW w:w="2780" w:type="dxa"/>
            <w:vAlign w:val="bottom"/>
            <w:gridSpan w:val="10"/>
          </w:tcPr>
          <w:p>
            <w:pPr>
              <w:jc w:val="right"/>
              <w:ind w:right="120"/>
              <w:spacing w:after="0"/>
              <w:rPr>
                <w:sz w:val="20"/>
                <w:szCs w:val="20"/>
                <w:color w:val="auto"/>
              </w:rPr>
            </w:pPr>
            <w:r>
              <w:rPr>
                <w:rFonts w:ascii="Arial" w:cs="Arial" w:eastAsia="Arial" w:hAnsi="Arial"/>
                <w:sz w:val="18"/>
                <w:szCs w:val="18"/>
                <w:i w:val="1"/>
                <w:iCs w:val="1"/>
                <w:color w:val="auto"/>
                <w:w w:val="93"/>
              </w:rPr>
              <w:t>Operations and Income (Loss) from</w:t>
            </w:r>
          </w:p>
        </w:tc>
      </w:tr>
      <w:tr>
        <w:trPr>
          <w:trHeight w:val="230"/>
        </w:trPr>
        <w:tc>
          <w:tcPr>
            <w:tcW w:w="10660" w:type="dxa"/>
            <w:vAlign w:val="bottom"/>
            <w:gridSpan w:val="12"/>
          </w:tcPr>
          <w:p>
            <w:pPr>
              <w:ind w:left="1600"/>
              <w:spacing w:after="0"/>
              <w:rPr>
                <w:sz w:val="20"/>
                <w:szCs w:val="20"/>
                <w:color w:val="auto"/>
              </w:rPr>
            </w:pPr>
            <w:r>
              <w:rPr>
                <w:rFonts w:ascii="Arial" w:cs="Arial" w:eastAsia="Arial" w:hAnsi="Arial"/>
                <w:sz w:val="18"/>
                <w:szCs w:val="18"/>
                <w:i w:val="1"/>
                <w:iCs w:val="1"/>
                <w:color w:val="auto"/>
              </w:rPr>
              <w:t>Continuing Operations per diluted share to Adjusted Income (Loss) from Continuing Operations per diluted Share</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Twelve Months Ended</w:t>
            </w: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54,291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(9,608)</w:t>
            </w:r>
          </w:p>
        </w:tc>
        <w:tc>
          <w:tcPr>
            <w:tcW w:w="100" w:type="dxa"/>
            <w:vAlign w:val="bottom"/>
            <w:shd w:val="clear" w:color="auto" w:fill="CCEEFF"/>
          </w:tcPr>
          <w:p>
            <w:pPr>
              <w:spacing w:after="0"/>
              <w:rPr>
                <w:sz w:val="18"/>
                <w:szCs w:val="18"/>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10,401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3,455</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(gain)/loss on inter-company loans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42,087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27,894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30,712</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6,160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(3,502)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(22,947)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(16,201)</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Earnings from Precision Bearing Components group (4)</w:t>
            </w: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12,085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16,072</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Impact due to Tax Cuts and Jobs Act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(59,393)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(59,393)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Non-GAAP adjusted income (loss) from continuing operations (b)</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42,858</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33,814</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Twelve Months Ended</w:t>
            </w: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(gain)/loss on inter-company loans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unamortized debt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Pre-tax interest expense on cash held from divestiture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 reflected above (c)</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Earnings from Precision Bearing Components group (4)</w:t>
            </w: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Impact due to Tax Cuts and Jobs Act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Non-GAAP adjusted income (loss) from continuing operations per share (b)</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27,572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27,241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27,572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27,241</w:t>
            </w: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Precision Bearing Components group earnings for the period January 1 - August 16, 2017 and actual 2016 earnings</w:t>
      </w:r>
    </w:p>
    <w:p>
      <w:pPr>
        <w:sectPr>
          <w:pgSz w:w="11900" w:h="16838" w:orient="portrait"/>
          <w:cols w:equalWidth="0" w:num="1">
            <w:col w:w="11420"/>
          </w:cols>
          <w:pgMar w:left="240" w:top="274" w:right="239" w:bottom="1440" w:gutter="0" w:footer="0" w:header="0"/>
        </w:sectPr>
      </w:pPr>
    </w:p>
    <w:bookmarkStart w:id="8" w:name="page9"/>
    <w:bookmarkEnd w:id="8"/>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and Non-GAAP adjusted operating margin. Each of these non-GAAP financial measures provide supplementary information about the impacts of acquisition, divestiture and integration related expenses, foreign-exchange impacts on inter-company loans reorganizational and impairment charges. Over the past four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and adjusted operating margin provide useful information in assessing our underlying business trends and facilitates comparison of our long-term performance over given periods.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20" w:firstLine="8"/>
        <w:spacing w:after="0" w:line="293"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integration expense, non-operational charges related to acquisition, divestiture and restructuring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4"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Non-GAAP adjusted income (loss) from continuing operations , represents GAAP income (loss) from continuing operations, adjusted to exclude the</w:t>
      </w:r>
    </w:p>
    <w:p>
      <w:pPr>
        <w:spacing w:after="0" w:line="3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income(loss) from segment operations is not a measure of financial performance under GAAP and should not be considered as a measure of liquidity or as an alternative to GAAP income (loss) from continuing operations.</w:t>
      </w:r>
    </w:p>
    <w:p>
      <w:pPr>
        <w:spacing w:after="0" w:line="181" w:lineRule="exact"/>
        <w:rPr>
          <w:sz w:val="20"/>
          <w:szCs w:val="20"/>
          <w:color w:val="auto"/>
        </w:rPr>
      </w:pPr>
    </w:p>
    <w:p>
      <w:pPr>
        <w:ind w:right="6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40"/>
    </w:lvl>
  </w:abstractNum>
  <w:abstractNum w:abstractNumId="2">
    <w:nsid w:val="238E1F29"/>
    <w:multiLevelType w:val="hybridMultilevel"/>
    <w:lvl w:ilvl="0">
      <w:lvlJc w:val="left"/>
      <w:lvlText w:val="%1"/>
      <w:numFmt w:val="upperLetter"/>
      <w:start w:val="40"/>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2019-12-28T23:16:45Z</dcterms:created>
  <dcterms:modified xsi:type="dcterms:W3CDTF">2019-12-28T23:16:45Z</dcterms:modified>
</cp:coreProperties>
</file>