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Date of Report (Date of earliest event reported): August 9, 2018 (August 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255905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444500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520" w:space="720"/>
            <w:col w:w="286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20"/>
          </w:cols>
          <w:pgMar w:left="440" w:top="368" w:right="439" w:bottom="1440" w:gutter="0" w:footer="0" w:header="0"/>
          <w:type w:val="continuous"/>
        </w:sectPr>
      </w:pPr>
    </w:p>
    <w:p>
      <w:pPr>
        <w:spacing w:after="0" w:line="6"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6210 Ardrey Kell Road</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28277</w:t>
      </w:r>
    </w:p>
    <w:p>
      <w:pPr>
        <w:spacing w:after="0" w:line="62" w:lineRule="exact"/>
        <w:rPr>
          <w:sz w:val="24"/>
          <w:szCs w:val="24"/>
          <w:color w:val="auto"/>
        </w:rPr>
      </w:pPr>
    </w:p>
    <w:p>
      <w:pPr>
        <w:sectPr>
          <w:pgSz w:w="11900" w:h="16838" w:orient="portrait"/>
          <w:cols w:equalWidth="0" w:num="2">
            <w:col w:w="8320" w:space="720"/>
            <w:col w:w="1980"/>
          </w:cols>
          <w:pgMar w:left="440" w:top="368" w:right="439" w:bottom="1440" w:gutter="0" w:footer="0" w:header="0"/>
          <w:type w:val="continuous"/>
        </w:sectPr>
      </w:pPr>
    </w:p>
    <w:p>
      <w:pPr>
        <w:ind w:left="25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200" w:space="720"/>
            <w:col w:w="2100"/>
          </w:cols>
          <w:pgMar w:left="440" w:top="368"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0"/>
          </w:cols>
          <w:pgMar w:left="440" w:top="368" w:right="439" w:bottom="1440" w:gutter="0" w:footer="0" w:header="0"/>
          <w:type w:val="continuous"/>
        </w:sect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229235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25"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7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August 8, 2018, NN, Inc. (the “Company”) issued a press release announcing the Company’s financial results for the quarter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The full text of the press release is furnished as Exhibit 99.1 and is incorporated herein by reference.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the rules and regulations of the U.S. Securities and Exchange Commission (the “SEC”), the information furnished pursuant to Item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 of this Current Report on Form 8-K (including Exhibit 99.1) is deemed to have been furnished and shall not be deemed to be “filed” for purposes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Section 18 of the Securities Exchange Act of 1934, as amended, or otherwise subject to the liabilities of that section. Such information shall not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into any filing of the Company, whether made before or after the date hereof, regardless of any general incorporation language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such filing.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3280" w:type="dxa"/>
            <w:vAlign w:val="bottom"/>
          </w:tcPr>
          <w:p>
            <w:pPr>
              <w:spacing w:after="0"/>
              <w:rPr>
                <w:sz w:val="14"/>
                <w:szCs w:val="14"/>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40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Press Release issued by NN, Inc., dated August 8, 2018</w:t>
              </w:r>
            </w:hyperlink>
          </w:p>
        </w:tc>
      </w:tr>
    </w:tbl>
    <w:p>
      <w:pPr>
        <w:sectPr>
          <w:pgSz w:w="11900" w:h="16838" w:orient="portrait"/>
          <w:cols w:equalWidth="0" w:num="1">
            <w:col w:w="11020"/>
          </w:cols>
          <w:pgMar w:left="440" w:top="270"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2018</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w:t>
      </w:r>
    </w:p>
    <w:p>
      <w:pPr>
        <w:sectPr>
          <w:pgSz w:w="11900" w:h="16838" w:orient="portrait"/>
          <w:cols w:equalWidth="0" w:num="1">
            <w:col w:w="10720"/>
          </w:cols>
          <w:pgMar w:left="440" w:top="270"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823595" cy="797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3595" cy="797560"/>
                    </a:xfrm>
                    <a:prstGeom prst="rect">
                      <a:avLst/>
                    </a:prstGeom>
                    <a:noFill/>
                  </pic:spPr>
                </pic:pic>
              </a:graphicData>
            </a:graphic>
          </wp:anchor>
        </w:drawing>
        <w:drawing>
          <wp:anchor simplePos="0" relativeHeight="251657728" behindDoc="1" locked="0" layoutInCell="0" allowOverlap="1">
            <wp:simplePos x="0" y="0"/>
            <wp:positionH relativeFrom="column">
              <wp:posOffset>4903470</wp:posOffset>
            </wp:positionH>
            <wp:positionV relativeFrom="paragraph">
              <wp:posOffset>248920</wp:posOffset>
            </wp:positionV>
            <wp:extent cx="1844040" cy="557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4404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6210 Ardrey Kell Road</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Charlotte, NC 28277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ectPr>
          <w:pgSz w:w="11900" w:h="16838" w:orient="portrait"/>
          <w:cols w:equalWidth="0" w:num="1">
            <w:col w:w="11020"/>
          </w:cols>
          <w:pgMar w:left="440" w:top="121" w:right="4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Paul Taylor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VP Marketing &amp;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(980) 264-4313</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AT ABERNATHY MACGREGOR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Claire Walsh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371-5999</w:t>
      </w:r>
    </w:p>
    <w:p>
      <w:pPr>
        <w:spacing w:after="0" w:line="200" w:lineRule="exact"/>
        <w:rPr>
          <w:sz w:val="20"/>
          <w:szCs w:val="20"/>
          <w:color w:val="auto"/>
        </w:rPr>
      </w:pPr>
    </w:p>
    <w:p>
      <w:pPr>
        <w:sectPr>
          <w:pgSz w:w="11900" w:h="16838" w:orient="portrait"/>
          <w:cols w:equalWidth="0" w:num="2">
            <w:col w:w="5120" w:space="720"/>
            <w:col w:w="5180"/>
          </w:cols>
          <w:pgMar w:left="440" w:top="121" w:right="4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August 8, 2018</w:t>
      </w:r>
    </w:p>
    <w:p>
      <w:pPr>
        <w:sectPr>
          <w:pgSz w:w="11900" w:h="16838" w:orient="portrait"/>
          <w:cols w:equalWidth="0" w:num="1">
            <w:col w:w="11020"/>
          </w:cols>
          <w:pgMar w:left="440" w:top="121" w:right="4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 REPORTS SECOND QUARTER 2018 RESULTS</w:t>
      </w:r>
    </w:p>
    <w:p>
      <w:pPr>
        <w:spacing w:after="0" w:line="225"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Charlotte, NC, August 8, 2018 – </w:t>
      </w:r>
      <w:r>
        <w:rPr>
          <w:rFonts w:ascii="Arial" w:cs="Arial" w:eastAsia="Arial" w:hAnsi="Arial"/>
          <w:sz w:val="18"/>
          <w:szCs w:val="18"/>
          <w:color w:val="auto"/>
        </w:rPr>
        <w:t>NN, Inc., (NASDAQ: NNBR), a diversified industrial company, today reported its financial results for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June 30, 2018.</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Segment Recasting</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previously disclosed in January 2018, NN implemented a new enterprise and management structure and reorganized its businesses into three new segments. In the first quarter of 2018, NN began reporting its financial results based on these segments.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GAAP Results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Net sales for the second quarter of 2018 increased $38.4 million, or 24%, to $196.3 million, compared to $157.9 million for the second quarter of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driven by sales from acquisitions of $37.2 million and organic sales growth of $3.4 million.</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 GAAP basis, income (loss) from operations for the second quarter of 2018 was $(0.3) million, compared to $12.6 million for the same period in 2017. Net loss on a GAAP basis for second quarter of 2018 was $(24.5 million). This compares to net loss on a GAAP basis of $(21.1 million) in the second quarter of 2017. The second quarter of 2018 included $6.8 million in acquisition costs on a pretax basis and $12.9 million in debt extinguishment costs on a pre-tax basis. The second quarter of 2017 net loss included $39.6 million in debt extinguishment costs on a pretax basis and $5.2 million of income from discontinued operations, net of tax.</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a GAAP basis, income from operations for second quarter 2018 in the Life Sciences segment was $2.0 million, compared to $3.8 million for the same period in 2017.</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 GAAP basis, income from operations for second quarter 2018 in the Mobile Solutions segment was $7.4 million, compared to $10.7 million for the same period in 2017.</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a GAAP basis, income from operations for second quarter 2018 in the Power Solutions segment was $6.0 million, compared to $6.8 million for the same period in 2017.</w:t>
      </w:r>
    </w:p>
    <w:p>
      <w:pPr>
        <w:sectPr>
          <w:pgSz w:w="11900" w:h="16838" w:orient="portrait"/>
          <w:cols w:equalWidth="0" w:num="1">
            <w:col w:w="11020"/>
          </w:cols>
          <w:pgMar w:left="440" w:top="121" w:right="4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Adjusted Results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Adjusted income from operations for the second quarter of 2018 was $24.8 million, compared to $19.8 million for the same period in 2017. Adjusted net income increased to $10.5 million, or $0.38 per diluted share, from $8.8 million, or $0.32 per diluted share, for the same period in 2017.</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Richard Holder, President and Chief Executive Officer, commented, “During the quarter, we continued to execute on our strategy toward building a balanced diversified industrial company. With the completion of our acquisition of Paragon Medical this quarter, we are now well-positioned to grow all of our businesses organically. Our operating performance in the quarter was consistent with our expectations despite incurring much higher than planned spending on investments in new programs in our Mobile Solutions segment.”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Sciences</w:t>
      </w:r>
    </w:p>
    <w:p>
      <w:pPr>
        <w:spacing w:after="0" w:line="121"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Net sales for the second quarter of 2018 were $59.2 million, compared to $23.1 million in the second quarter of 2017, an increase of 156% or $36 million. Adjusted income from operations for the quarter was $12.9 million, compared to $6.0 million in 2017.</w:t>
      </w:r>
    </w:p>
    <w:p>
      <w:pPr>
        <w:spacing w:after="0" w:line="14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Mr. Holder commented, “We continued to build upon our momentum in Life Sciences, with the completion of our acquisition of Paragon Medical. With strengthened technical capabilities, expanded products and finished device offerings, and the addition of key talent, Life Sciences is well-positioned for sustained future growth. Our integration efforts related to the acquisition of Paragon Medical remain on track.”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Solutions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Net sales for the second quarter of 2018 were $88.1 million, compared to $86.7 million in the second quarter of 2017, an increase of 1.6% or</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$1.4 million. Adjusted income from operations for the quarter decreased $2.5 million to $9.1 million, compared to $11.6 million in the second quarter of 2017.</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Mr. Holder commented, “Mobile Solutions had approximately twice the number of sales programs starting-up than normal which led to greater than planned spending within the quarter.”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Solutions</w:t>
      </w:r>
    </w:p>
    <w:p>
      <w:pPr>
        <w:spacing w:after="0" w:line="121" w:lineRule="exact"/>
        <w:rPr>
          <w:sz w:val="20"/>
          <w:szCs w:val="20"/>
          <w:color w:val="auto"/>
        </w:rPr>
      </w:pPr>
    </w:p>
    <w:p>
      <w:pPr>
        <w:ind w:right="880"/>
        <w:spacing w:after="0" w:line="308" w:lineRule="auto"/>
        <w:rPr>
          <w:sz w:val="20"/>
          <w:szCs w:val="20"/>
          <w:color w:val="auto"/>
        </w:rPr>
      </w:pPr>
      <w:r>
        <w:rPr>
          <w:rFonts w:ascii="Arial" w:cs="Arial" w:eastAsia="Arial" w:hAnsi="Arial"/>
          <w:sz w:val="17"/>
          <w:szCs w:val="17"/>
          <w:color w:val="auto"/>
        </w:rPr>
        <w:t>Net sales for the second quarter of 2018 were $49.8 million, compared to $48.7 million in the second quarter of 2017, an increase of 2.2% or $1.1 million. Adjusted income from operations for the quarter was $10.8 million, compared to $9.5 million in 2017.</w:t>
      </w:r>
    </w:p>
    <w:p>
      <w:pPr>
        <w:spacing w:after="0" w:line="14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Mr. Holder commented, “Power Solutions continues to show growth primarily through Aerospace and Defense investments. We recently announced investments into state-of-the-art technologies, consistent with NN’s balanced portfolio approach and overall focus on expanding our capabilities in the Electrical and Aerospace end markets.”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The full set of financial guidance for the second quarter of 2018 can be found in our supplemental presentation posted in the Investor Relations section of our website at </w:t>
      </w:r>
      <w:r>
        <w:rPr>
          <w:rFonts w:ascii="Arial" w:cs="Arial" w:eastAsia="Arial" w:hAnsi="Arial"/>
          <w:sz w:val="18"/>
          <w:szCs w:val="18"/>
          <w:u w:val="single" w:color="auto"/>
          <w:color w:val="auto"/>
        </w:rPr>
        <w:t>www.nninc.com</w:t>
      </w:r>
      <w:r>
        <w:rPr>
          <w:rFonts w:ascii="Arial" w:cs="Arial" w:eastAsia="Arial" w:hAnsi="Arial"/>
          <w:sz w:val="18"/>
          <w:szCs w:val="18"/>
          <w:color w:val="auto"/>
        </w:rPr>
        <w:t>.</w:t>
      </w:r>
    </w:p>
    <w:p>
      <w:pPr>
        <w:spacing w:after="0" w:line="170" w:lineRule="exact"/>
        <w:rPr>
          <w:sz w:val="20"/>
          <w:szCs w:val="20"/>
          <w:color w:val="auto"/>
        </w:rPr>
      </w:pPr>
    </w:p>
    <w:p>
      <w:pPr>
        <w:ind w:right="40" w:firstLine="4"/>
        <w:spacing w:after="0" w:line="286" w:lineRule="auto"/>
        <w:tabs>
          <w:tab w:leader="none" w:pos="305"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will discuss its results during its quarterly investor conference call on August 9, 2018 at 9:00 a.m. ET. The call and supplemental presentation may be accessed via NN’s website, </w:t>
      </w:r>
      <w:r>
        <w:rPr>
          <w:rFonts w:ascii="Arial" w:cs="Arial" w:eastAsia="Arial" w:hAnsi="Arial"/>
          <w:sz w:val="17"/>
          <w:szCs w:val="17"/>
          <w:u w:val="single" w:color="auto"/>
          <w:color w:val="auto"/>
        </w:rPr>
        <w:t>www.nninc.com</w:t>
      </w:r>
      <w:r>
        <w:rPr>
          <w:rFonts w:ascii="Arial" w:cs="Arial" w:eastAsia="Arial" w:hAnsi="Arial"/>
          <w:sz w:val="17"/>
          <w:szCs w:val="17"/>
          <w:color w:val="auto"/>
        </w:rPr>
        <w:t>. The conference call can also be accessed by dialing 1-877-260-1479 or 1-334-323-0522 Conference ID: 1766392. For those who are unavailable to listen to the live broadcast, a replay will be available shortly after the call for 30 days.</w:t>
      </w:r>
    </w:p>
    <w:p>
      <w:pPr>
        <w:sectPr>
          <w:pgSz w:w="11900" w:h="16838" w:orient="portrait"/>
          <w:cols w:equalWidth="0" w:num="1">
            <w:col w:w="11020"/>
          </w:cols>
          <w:pgMar w:left="440" w:top="270" w:right="439" w:bottom="1440" w:gutter="0" w:footer="0" w:header="0"/>
        </w:sectPr>
      </w:pPr>
    </w:p>
    <w:bookmarkStart w:id="5" w:name="page6"/>
    <w:bookmarkEnd w:id="5"/>
    <w:p>
      <w:pPr>
        <w:ind w:right="260" w:firstLine="4"/>
        <w:spacing w:after="0" w:line="259" w:lineRule="auto"/>
        <w:tabs>
          <w:tab w:leader="none" w:pos="305"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discloses in this press release the non-GAAP financial measures of adjusted income from operations, adjusted net income (loss) and adjusted net income per diluted share. Each of adjusted income from operations, adjusted net income (loss) and adjusted net income per diluted share provide supplementary information about the impacts of restructuring and integration expense, acquisition and transition expenses, foreign-exchange, amortization of intangibles and other non-operating impacts on our business.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financial tables found later in this press release include a reconciliation of adjusted income from operations, adjusted net income (loss) and adjusted net income (loss) per diluted share to the U.S. GAAP financial measures of income from operations, net income (loss) and net income (loss) per diluted share.</w:t>
      </w:r>
    </w:p>
    <w:p>
      <w:pPr>
        <w:spacing w:after="0" w:line="181"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51 facilities in North America, Western Europe, Eastern Europe, South America and China.</w:t>
      </w:r>
    </w:p>
    <w:p>
      <w:pPr>
        <w:spacing w:after="0" w:line="166"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pacing w:after="0" w:line="19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2017. Except as required by law, we undertake no obligation to update or revise any forward-looking statements we make in our press releases, whether as a result of new information, future events or otherwise.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Financial Tables Follow</w:t>
      </w:r>
    </w:p>
    <w:p>
      <w:pPr>
        <w:sectPr>
          <w:pgSz w:w="11900" w:h="16838" w:orient="portrait"/>
          <w:cols w:equalWidth="0" w:num="1">
            <w:col w:w="10980"/>
          </w:cols>
          <w:pgMar w:left="440" w:top="274" w:right="47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of dollars, except per share data</w:t>
      </w:r>
    </w:p>
    <w:p>
      <w:pPr>
        <w:spacing w:after="0" w:line="244"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Three Months Ended</w:t>
      </w:r>
    </w:p>
    <w:p>
      <w:pPr>
        <w:jc w:val="center"/>
        <w:ind w:left="91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46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196,349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157,947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148,640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114,514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Acquisition related costs excluded from selling, general and administrative expense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Other operating expense (income)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integration expense</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8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39,639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Derivative loss on change in interest rate swap fair value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w w:val="99"/>
              </w:rPr>
              <w:t>Loss from continuing operations before benefit for income taxes and share of net income from joint venture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(31,105)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(39,721)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5,947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Loss from continuing operations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3"/>
              </w:rPr>
              <w:t>(24,511)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6"/>
              </w:rPr>
              <w:t>(26,374)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 (Note 2)</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7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(24,511)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(21,138)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loss per share: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auto"/>
              </w:rPr>
              <w:t>Loss from continuing operations per share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discontinued operations per share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auto"/>
              </w:rPr>
              <w:t>Net loss per share</w:t>
            </w: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shares outstanding</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net loss per share:</w:t>
            </w: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continuing operations per share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auto"/>
              </w:rPr>
              <w:t>Income from discontinued operations per share</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per share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vMerge w:val="restart"/>
          </w:tcPr>
          <w:p>
            <w:pPr>
              <w:ind w:left="340"/>
              <w:spacing w:after="0"/>
              <w:rPr>
                <w:sz w:val="20"/>
                <w:szCs w:val="20"/>
                <w:color w:val="auto"/>
              </w:rPr>
            </w:pPr>
            <w:r>
              <w:rPr>
                <w:rFonts w:ascii="Arial" w:cs="Arial" w:eastAsia="Arial" w:hAnsi="Arial"/>
                <w:sz w:val="18"/>
                <w:szCs w:val="18"/>
                <w:color w:val="auto"/>
              </w:rPr>
              <w:t>Weighted average shares outstanding</w:t>
            </w: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common share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7" w:name="page8"/>
    <w:bookmarkEnd w:id="7"/>
    <w:p>
      <w:pPr>
        <w:jc w:val="center"/>
        <w:ind w:right="-15"/>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GAAP Income from Operations to Non-GAAP Adjusted Income from Operations</w:t>
      </w:r>
    </w:p>
    <w:p>
      <w:pPr>
        <w:sectPr>
          <w:pgSz w:w="11900" w:h="16838" w:orient="portrait"/>
          <w:cols w:equalWidth="0" w:num="1">
            <w:col w:w="11016"/>
          </w:cols>
          <w:pgMar w:left="444" w:top="270" w:right="439" w:bottom="1440" w:gutter="0" w:footer="0" w:header="0"/>
        </w:sectPr>
      </w:pPr>
    </w:p>
    <w:p>
      <w:pPr>
        <w:spacing w:after="0" w:line="312" w:lineRule="exact"/>
        <w:rPr>
          <w:sz w:val="20"/>
          <w:szCs w:val="20"/>
          <w:color w:val="auto"/>
        </w:rPr>
      </w:pPr>
    </w:p>
    <w:tbl>
      <w:tblPr>
        <w:tblLayout w:type="fixed"/>
        <w:tblInd w:w="16"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2"/>
                <w:szCs w:val="12"/>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NN, Inc. Consolidated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12,642</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w w:val="95"/>
              </w:rPr>
              <w:t>Restructuring and integration expense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6,978</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Non-GAAP adjusted income from</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operations (a)</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24,754</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19,768</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40" w:type="dxa"/>
            <w:vAlign w:val="bottom"/>
            <w:gridSpan w:val="2"/>
            <w:vMerge w:val="restart"/>
          </w:tcPr>
          <w:p>
            <w:pPr>
              <w:spacing w:after="0"/>
              <w:rPr>
                <w:sz w:val="20"/>
                <w:szCs w:val="20"/>
                <w:color w:val="auto"/>
              </w:rPr>
            </w:pPr>
            <w:r>
              <w:rPr>
                <w:rFonts w:ascii="Arial" w:cs="Arial" w:eastAsia="Arial" w:hAnsi="Arial"/>
                <w:sz w:val="18"/>
                <w:szCs w:val="18"/>
                <w:color w:val="auto"/>
              </w:rPr>
              <w:t>Non-GAAP adjusted operating</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ind w:left="140"/>
              <w:spacing w:after="0"/>
              <w:rPr>
                <w:sz w:val="20"/>
                <w:szCs w:val="20"/>
                <w:color w:val="auto"/>
              </w:rPr>
            </w:pPr>
            <w:r>
              <w:rPr>
                <w:rFonts w:ascii="Arial" w:cs="Arial" w:eastAsia="Arial" w:hAnsi="Arial"/>
                <w:sz w:val="18"/>
                <w:szCs w:val="18"/>
                <w:color w:val="auto"/>
              </w:rPr>
              <w:t>margin (1)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08"/>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196,349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157,947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2"/>
                <w:szCs w:val="12"/>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Mobile Solutions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7,380</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10,688</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w w:val="95"/>
              </w:rPr>
              <w:t>Restructuring and integration expense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8"/>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Non-GAAP adjusted income from</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operations (a)</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11,568</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40" w:type="dxa"/>
            <w:vAlign w:val="bottom"/>
            <w:gridSpan w:val="2"/>
            <w:vMerge w:val="restart"/>
          </w:tcPr>
          <w:p>
            <w:pPr>
              <w:spacing w:after="0"/>
              <w:rPr>
                <w:sz w:val="20"/>
                <w:szCs w:val="20"/>
                <w:color w:val="auto"/>
              </w:rPr>
            </w:pPr>
            <w:r>
              <w:rPr>
                <w:rFonts w:ascii="Arial" w:cs="Arial" w:eastAsia="Arial" w:hAnsi="Arial"/>
                <w:sz w:val="18"/>
                <w:szCs w:val="18"/>
                <w:color w:val="auto"/>
              </w:rPr>
              <w:t>Share of net income from joint</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ind w:left="140"/>
              <w:spacing w:after="0"/>
              <w:rPr>
                <w:sz w:val="20"/>
                <w:szCs w:val="20"/>
                <w:color w:val="auto"/>
              </w:rPr>
            </w:pPr>
            <w:r>
              <w:rPr>
                <w:rFonts w:ascii="Arial" w:cs="Arial" w:eastAsia="Arial" w:hAnsi="Arial"/>
                <w:sz w:val="18"/>
                <w:szCs w:val="18"/>
                <w:color w:val="auto"/>
              </w:rPr>
              <w:t>venture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647</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Non-GAAP adjusted income from</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operations with JV</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9,751</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12,812</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tcPr>
          <w:p>
            <w:pPr>
              <w:spacing w:after="0" w:line="201" w:lineRule="exact"/>
              <w:rPr>
                <w:sz w:val="20"/>
                <w:szCs w:val="20"/>
                <w:color w:val="auto"/>
              </w:rPr>
            </w:pPr>
            <w:r>
              <w:rPr>
                <w:rFonts w:ascii="Arial" w:cs="Arial" w:eastAsia="Arial" w:hAnsi="Arial"/>
                <w:sz w:val="18"/>
                <w:szCs w:val="18"/>
                <w:color w:val="auto"/>
              </w:rPr>
              <w:t>Non-GAAP adjusted operating</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ind w:left="140"/>
              <w:spacing w:after="0"/>
              <w:rPr>
                <w:sz w:val="20"/>
                <w:szCs w:val="20"/>
                <w:color w:val="auto"/>
              </w:rPr>
            </w:pPr>
            <w:r>
              <w:rPr>
                <w:rFonts w:ascii="Arial" w:cs="Arial" w:eastAsia="Arial" w:hAnsi="Arial"/>
                <w:sz w:val="18"/>
                <w:szCs w:val="18"/>
                <w:color w:val="auto"/>
              </w:rPr>
              <w:t>margin (1)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08"/>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88,079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86,658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2"/>
                <w:szCs w:val="12"/>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Elimination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9"/>
        </w:trPr>
        <w:tc>
          <w:tcPr>
            <w:tcW w:w="346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100" w:type="dxa"/>
            <w:vAlign w:val="bottom"/>
          </w:tcPr>
          <w:p>
            <w:pPr>
              <w:spacing w:after="0"/>
              <w:rPr>
                <w:sz w:val="12"/>
                <w:szCs w:val="12"/>
                <w:color w:val="auto"/>
              </w:rPr>
            </w:pPr>
          </w:p>
        </w:tc>
        <w:tc>
          <w:tcPr>
            <w:tcW w:w="5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2"/>
                <w:szCs w:val="12"/>
                <w:color w:val="auto"/>
              </w:rPr>
            </w:pPr>
          </w:p>
        </w:tc>
        <w:tc>
          <w:tcPr>
            <w:tcW w:w="5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Power Solutions</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100" w:type="dxa"/>
            <w:vAlign w:val="bottom"/>
          </w:tcPr>
          <w:p>
            <w:pPr>
              <w:spacing w:after="0"/>
              <w:rPr>
                <w:sz w:val="18"/>
                <w:szCs w:val="18"/>
                <w:color w:val="auto"/>
              </w:rPr>
            </w:pPr>
          </w:p>
        </w:tc>
        <w:tc>
          <w:tcPr>
            <w:tcW w:w="104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1,784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9"/>
                <w:szCs w:val="19"/>
                <w:color w:val="auto"/>
              </w:rPr>
            </w:pPr>
          </w:p>
        </w:tc>
        <w:tc>
          <w:tcPr>
            <w:tcW w:w="1040" w:type="dxa"/>
            <w:vAlign w:val="bottom"/>
            <w:gridSpan w:val="2"/>
          </w:tcPr>
          <w:p>
            <w:pPr>
              <w:jc w:val="right"/>
              <w:ind w:right="468"/>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Non-GAAP adjusted income from</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w w:val="87"/>
              </w:rPr>
              <w:t>10,784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9,544</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color w:val="auto"/>
              </w:rPr>
              <w:t>Non-GAAP adjusted operating margin (1)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8"/>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w w:val="87"/>
              </w:rPr>
              <w:t>49,820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48,734</w:t>
            </w:r>
          </w:p>
        </w:tc>
        <w:tc>
          <w:tcPr>
            <w:tcW w:w="0" w:type="dxa"/>
            <w:vAlign w:val="bottom"/>
          </w:tcPr>
          <w:p>
            <w:pPr>
              <w:spacing w:after="0"/>
              <w:rPr>
                <w:sz w:val="1"/>
                <w:szCs w:val="1"/>
                <w:color w:val="auto"/>
              </w:rPr>
            </w:pPr>
          </w:p>
        </w:tc>
      </w:tr>
      <w:tr>
        <w:trPr>
          <w:trHeight w:val="342"/>
        </w:trPr>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9"/>
        </w:trPr>
        <w:tc>
          <w:tcPr>
            <w:tcW w:w="346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100" w:type="dxa"/>
            <w:vAlign w:val="bottom"/>
          </w:tcPr>
          <w:p>
            <w:pPr>
              <w:spacing w:after="0"/>
              <w:rPr>
                <w:sz w:val="12"/>
                <w:szCs w:val="12"/>
                <w:color w:val="auto"/>
              </w:rPr>
            </w:pPr>
          </w:p>
        </w:tc>
        <w:tc>
          <w:tcPr>
            <w:tcW w:w="5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2"/>
                <w:szCs w:val="12"/>
                <w:color w:val="auto"/>
              </w:rPr>
            </w:pPr>
          </w:p>
        </w:tc>
        <w:tc>
          <w:tcPr>
            <w:tcW w:w="5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Life Sciences</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100" w:type="dxa"/>
            <w:vAlign w:val="bottom"/>
          </w:tcPr>
          <w:p>
            <w:pPr>
              <w:spacing w:after="0"/>
              <w:rPr>
                <w:sz w:val="18"/>
                <w:szCs w:val="18"/>
                <w:color w:val="auto"/>
              </w:rPr>
            </w:pPr>
          </w:p>
        </w:tc>
        <w:tc>
          <w:tcPr>
            <w:tcW w:w="1040" w:type="dxa"/>
            <w:vAlign w:val="bottom"/>
            <w:gridSpan w:val="2"/>
          </w:tcPr>
          <w:p>
            <w:pPr>
              <w:jc w:val="right"/>
              <w:ind w:right="468"/>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6,149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9"/>
                <w:szCs w:val="19"/>
                <w:color w:val="auto"/>
              </w:rPr>
            </w:pPr>
          </w:p>
        </w:tc>
        <w:tc>
          <w:tcPr>
            <w:tcW w:w="1040" w:type="dxa"/>
            <w:vAlign w:val="bottom"/>
            <w:gridSpan w:val="2"/>
          </w:tcPr>
          <w:p>
            <w:pPr>
              <w:jc w:val="right"/>
              <w:ind w:right="468"/>
              <w:spacing w:after="0"/>
              <w:rPr>
                <w:sz w:val="20"/>
                <w:szCs w:val="20"/>
                <w:color w:val="auto"/>
              </w:rPr>
            </w:pPr>
            <w:r>
              <w:rPr>
                <w:rFonts w:ascii="Arial" w:cs="Arial" w:eastAsia="Arial" w:hAnsi="Arial"/>
                <w:sz w:val="18"/>
                <w:szCs w:val="18"/>
                <w:color w:val="auto"/>
              </w:rPr>
              <w:t>3,093</w:t>
            </w: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Non-GAAP adjusted income from</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w w:val="87"/>
              </w:rPr>
              <w:t>12,879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6,040</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color w:val="auto"/>
              </w:rPr>
              <w:t>Non-GAAP adjusted operating margin (1)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8"/>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w w:val="87"/>
              </w:rPr>
              <w:t>59,153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23,114</w:t>
            </w:r>
          </w:p>
        </w:tc>
        <w:tc>
          <w:tcPr>
            <w:tcW w:w="0" w:type="dxa"/>
            <w:vAlign w:val="bottom"/>
          </w:tcPr>
          <w:p>
            <w:pPr>
              <w:spacing w:after="0"/>
              <w:rPr>
                <w:sz w:val="1"/>
                <w:szCs w:val="1"/>
                <w:color w:val="auto"/>
              </w:rPr>
            </w:pPr>
          </w:p>
        </w:tc>
      </w:tr>
    </w:tbl>
    <w:p>
      <w:pPr>
        <w:spacing w:after="0" w:line="2387" w:lineRule="exact"/>
        <w:rPr>
          <w:sz w:val="20"/>
          <w:szCs w:val="20"/>
          <w:color w:val="auto"/>
        </w:rPr>
      </w:pPr>
    </w:p>
    <w:p>
      <w:pPr>
        <w:sectPr>
          <w:pgSz w:w="11900" w:h="16838" w:orient="portrait"/>
          <w:cols w:equalWidth="0" w:num="2">
            <w:col w:w="5296" w:space="320"/>
            <w:col w:w="5400"/>
          </w:cols>
          <w:pgMar w:left="444" w:top="270" w:right="439" w:bottom="1440" w:gutter="0" w:footer="0" w:header="0"/>
          <w:type w:val="continuous"/>
        </w:sectPr>
      </w:pPr>
    </w:p>
    <w:p>
      <w:pPr>
        <w:spacing w:after="0" w:line="177" w:lineRule="exact"/>
        <w:rPr>
          <w:sz w:val="20"/>
          <w:szCs w:val="20"/>
          <w:color w:val="auto"/>
        </w:rPr>
      </w:pPr>
    </w:p>
    <w:p>
      <w:pPr>
        <w:ind w:left="436" w:hanging="436"/>
        <w:spacing w:after="0"/>
        <w:tabs>
          <w:tab w:leader="none" w:pos="436" w:val="left"/>
        </w:tabs>
        <w:numPr>
          <w:ilvl w:val="0"/>
          <w:numId w:val="4"/>
        </w:numPr>
        <w:rPr>
          <w:rFonts w:ascii="Arial" w:cs="Arial" w:eastAsia="Arial" w:hAnsi="Arial"/>
          <w:sz w:val="16"/>
          <w:szCs w:val="16"/>
          <w:color w:val="auto"/>
        </w:rPr>
      </w:pPr>
      <w:r>
        <w:rPr>
          <w:rFonts w:ascii="Arial" w:cs="Arial" w:eastAsia="Arial" w:hAnsi="Arial"/>
          <w:sz w:val="16"/>
          <w:szCs w:val="16"/>
          <w:color w:val="auto"/>
        </w:rPr>
        <w:t>Non-GAAP adjusted operating margin = Non-GAAP adjusted income from operations/ GAAP net sales</w:t>
      </w:r>
    </w:p>
    <w:p>
      <w:pPr>
        <w:sectPr>
          <w:pgSz w:w="11900" w:h="16838" w:orient="portrait"/>
          <w:cols w:equalWidth="0" w:num="1">
            <w:col w:w="11016"/>
          </w:cols>
          <w:pgMar w:left="444" w:top="270" w:right="439" w:bottom="1440" w:gutter="0" w:footer="0" w:header="0"/>
          <w:type w:val="continuous"/>
        </w:sectPr>
      </w:pPr>
    </w:p>
    <w:bookmarkStart w:id="8" w:name="page9"/>
    <w:bookmarkEnd w:id="8"/>
    <w:p>
      <w:pPr>
        <w:jc w:val="center"/>
        <w:ind w:left="520" w:right="8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Net Income (Loss) to Non-GAAP Adjusted Net Income (Loss) and Net Income (Loss) per Diluted Share to Non-GAAP Adjusted Net Income (Loss) per Diluted Share</w:t>
      </w:r>
    </w:p>
    <w:p>
      <w:pPr>
        <w:spacing w:after="0" w:line="172"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tcPr>
          <w:p>
            <w:pPr>
              <w:jc w:val="center"/>
              <w:ind w:left="393"/>
              <w:spacing w:after="0" w:line="149" w:lineRule="exact"/>
              <w:rPr>
                <w:sz w:val="20"/>
                <w:szCs w:val="20"/>
                <w:color w:val="auto"/>
              </w:rPr>
            </w:pPr>
            <w:r>
              <w:rPr>
                <w:rFonts w:ascii="Arial" w:cs="Arial" w:eastAsia="Arial" w:hAnsi="Arial"/>
                <w:sz w:val="14"/>
                <w:szCs w:val="14"/>
                <w:b w:val="1"/>
                <w:bCs w:val="1"/>
                <w:color w:val="auto"/>
                <w:w w:val="92"/>
              </w:rPr>
              <w:t>June 30,</w:t>
            </w: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$000s</w:t>
            </w:r>
          </w:p>
        </w:tc>
        <w:tc>
          <w:tcPr>
            <w:tcW w:w="80" w:type="dxa"/>
            <w:vAlign w:val="bottom"/>
          </w:tcPr>
          <w:p>
            <w:pPr>
              <w:spacing w:after="0"/>
              <w:rPr>
                <w:sz w:val="14"/>
                <w:szCs w:val="14"/>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(24,511)</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(21,138)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Pre-tax acquisition and transition expense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16,477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Pre-tax foreign exchange (gain) loss on inter-company loans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Pre-tax restructuring and integration expense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Pre-tax write-off unamortized debt issuance costs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Pre-tax gain on change in fair value of interest rate swap</w:t>
            </w:r>
          </w:p>
        </w:tc>
        <w:tc>
          <w:tcPr>
            <w:tcW w:w="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Pre-tax amortization of intangibles and deferred financing costs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Pre-tax interest expense on cash held from divestiture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Tax effect of adjustment reflected above (c)</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(7,598)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Impact due to tax cuts and jobs act</w:t>
            </w:r>
          </w:p>
        </w:tc>
        <w:tc>
          <w:tcPr>
            <w:tcW w:w="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(5,236)</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Non-GAAP adjusted net income (loss) (d)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10,504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tcPr>
          <w:p>
            <w:pPr>
              <w:jc w:val="center"/>
              <w:ind w:left="393"/>
              <w:spacing w:after="0" w:line="149" w:lineRule="exact"/>
              <w:rPr>
                <w:sz w:val="20"/>
                <w:szCs w:val="20"/>
                <w:color w:val="auto"/>
              </w:rPr>
            </w:pPr>
            <w:r>
              <w:rPr>
                <w:rFonts w:ascii="Arial" w:cs="Arial" w:eastAsia="Arial" w:hAnsi="Arial"/>
                <w:sz w:val="14"/>
                <w:szCs w:val="14"/>
                <w:b w:val="1"/>
                <w:bCs w:val="1"/>
                <w:color w:val="auto"/>
                <w:w w:val="92"/>
              </w:rPr>
              <w:t>June 30,</w:t>
            </w: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Amounts per share, diluted</w:t>
            </w:r>
          </w:p>
        </w:tc>
        <w:tc>
          <w:tcPr>
            <w:tcW w:w="80" w:type="dxa"/>
            <w:vAlign w:val="bottom"/>
          </w:tcPr>
          <w:p>
            <w:pPr>
              <w:spacing w:after="0"/>
              <w:rPr>
                <w:sz w:val="14"/>
                <w:szCs w:val="14"/>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net income (loss) per diluted share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Pre-tax acquisition and transition expense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0.59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Pre-tax foreign exchange (gain) loss on inter-company loans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Pre-tax restructuring and integration expense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Pre-tax write-off unamortized debt issuance costs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Pre-tax gain on change in fair value of interest rate swap</w:t>
            </w:r>
          </w:p>
        </w:tc>
        <w:tc>
          <w:tcPr>
            <w:tcW w:w="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Pre-tax amortization of intangibles and deferred financing costs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Pre-tax interest expense on cash held from divestiture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Tax effect of adjustment reflected above (c)</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Impact due to tax cuts and jobs act</w:t>
            </w:r>
          </w:p>
        </w:tc>
        <w:tc>
          <w:tcPr>
            <w:tcW w:w="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Non-GAAP adjusted net income (loss) per diluted share (d)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diluted</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27,696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The Company discloses in this presentation the non-GAAP financial measures of adjusted income from operations, adjusted net income (loss), and adjusted net income per diluted share. Each of these non-GAAP financial measures provides supplementary information about the impacts of acquisition, divestiture and integration related expenses, foreign-exchange impacts on inter-company loans, reorganizational and impairment charges. Over the past four years, we have completed nine acquisitions, three of which were transformative for the Company, and sold two of our businesses. The costs we incurred in completing such acquisitions, including the amortization of intangibles and deferred financing costs, and these divestitures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Other non-operating charges are excluded as the charges are not indicative of our ongoing operating cost. We believe the presentation of adjusted income from operations, adjusted net income (loss), and adjusted net income per diluted share provide useful information in assessing our underlying business trends and facilitates comparison of our long-term performance over given periods.</w:t>
      </w:r>
    </w:p>
    <w:p>
      <w:pPr>
        <w:spacing w:after="0" w:line="183"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w:t>
      </w:r>
    </w:p>
    <w:p>
      <w:pPr>
        <w:sectPr>
          <w:pgSz w:w="11900" w:h="16838" w:orient="portrait"/>
          <w:cols w:equalWidth="0" w:num="1">
            <w:col w:w="10960"/>
          </w:cols>
          <w:pgMar w:left="440" w:top="270" w:right="499" w:bottom="1440" w:gutter="0" w:footer="0" w:header="0"/>
        </w:sectPr>
      </w:pPr>
    </w:p>
    <w:bookmarkStart w:id="9" w:name="page10"/>
    <w:bookmarkEnd w:id="9"/>
    <w:p>
      <w:pPr>
        <w:ind w:left="436" w:right="80" w:hanging="436"/>
        <w:spacing w:after="0" w:line="252" w:lineRule="auto"/>
        <w:tabs>
          <w:tab w:leader="none" w:pos="436"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Adjusted income from operations represents GAAP income from operations, adjusted to exclude the effects of restructuring and integration expense; non-operational charges related to acquisition and transition expense, intangible amortization costs for fair value step-up in values related to acquisitions,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from operations is not a measure of financial performance under GAAP and should not be considered as a measure of liquidity or as an alternative to GAAP income from operations.</w:t>
      </w:r>
    </w:p>
    <w:p>
      <w:pPr>
        <w:spacing w:after="0" w:line="5" w:lineRule="exact"/>
        <w:rPr>
          <w:rFonts w:ascii="Arial" w:cs="Arial" w:eastAsia="Arial" w:hAnsi="Arial"/>
          <w:sz w:val="18"/>
          <w:szCs w:val="18"/>
          <w:color w:val="auto"/>
        </w:rPr>
      </w:pPr>
    </w:p>
    <w:p>
      <w:pPr>
        <w:ind w:left="436" w:right="140" w:hanging="436"/>
        <w:spacing w:after="0" w:line="265" w:lineRule="auto"/>
        <w:tabs>
          <w:tab w:leader="none" w:pos="43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line item reflects the aggregate tax effect of all nontax adjustments reflected in the table above. In addition, the footnotes above indicate the after-tax amount of each individual adjustment item. NN, Inc. estimates the tax effect of the adjustment items identified in the reconciliation schedule above by applying NN, Inc’s. overall estimated effective tax rate to the pretax amount, unless the nature of the item and/or the tax jurisdiction in which the item has been recorded requires application of a specific tax rate or tax treatment.</w:t>
      </w:r>
    </w:p>
    <w:p>
      <w:pPr>
        <w:ind w:left="436" w:hanging="436"/>
        <w:spacing w:after="0" w:line="287" w:lineRule="auto"/>
        <w:tabs>
          <w:tab w:leader="none" w:pos="436"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Non-GAAP adjusted net income (loss) represents GAAP net income (loss) adjusted to exclude the tax-affected effects of restructuring and integration charges (related to plant closures and other charges incurred to implement our strategic goals that do not necessarily represent a major strategic shift in operations), charges related to acquisition and transition costs, amortization of intangibles costs for fair value step-up in values related to acquisitions and amortization of deferred financing costs, foreign exchange gain (loss) on inter-company loans, gains and losses in the fair value of interest rate swaps, estimated interest expense on cash held from divestiture, the impact of the Tax Cut and Jobs Act and income from discontinued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(loss) from segment operations is not a measure of financial performance under GAAP and should not be considered as a measure of liquidity or as an alternative to GAAP income (loss) from continuing operations.</w:t>
      </w:r>
    </w:p>
    <w:sectPr>
      <w:pgSz w:w="11900" w:h="16838" w:orient="portrait"/>
      <w:cols w:equalWidth="0" w:num="1">
        <w:col w:w="10976"/>
      </w:cols>
      <w:pgMar w:left="444"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40"/>
    </w:lvl>
  </w:abstractNum>
  <w:abstractNum w:abstractNumId="2">
    <w:nsid w:val="625558EC"/>
    <w:multiLevelType w:val="hybridMultilevel"/>
    <w:lvl w:ilvl="0">
      <w:lvlJc w:val="left"/>
      <w:lvlText w:val="%1"/>
      <w:numFmt w:val="upperLetter"/>
      <w:start w:val="40"/>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2019-12-28T19:56:12Z</dcterms:created>
  <dcterms:modified xsi:type="dcterms:W3CDTF">2019-12-28T19:56:12Z</dcterms:modified>
</cp:coreProperties>
</file>