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9" w:lineRule="exact"/>
        <w:rPr>
          <w:sz w:val="24"/>
          <w:szCs w:val="24"/>
          <w:color w:val="auto"/>
        </w:rPr>
      </w:pPr>
    </w:p>
    <w:p>
      <w:pPr>
        <w:ind w:left="4000" w:right="2100" w:hanging="3902"/>
        <w:spacing w:after="0" w:line="532" w:lineRule="auto"/>
        <w:tabs>
          <w:tab w:leader="none" w:pos="27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March 31, 2008</w:t>
      </w:r>
    </w:p>
    <w:p>
      <w:pPr>
        <w:spacing w:after="0" w:line="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o TRANSITION REPORT PURSUANT TO SECTION 13 OR 15(d) OF THE SECURITIES EXCHANGE ACT OF 1934</w:t>
      </w:r>
    </w:p>
    <w:p>
      <w:pPr>
        <w:spacing w:after="0" w:line="25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25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tbl>
      <w:tblPr>
        <w:tblLayout w:type="fixed"/>
        <w:tblInd w:w="960" w:type="dxa"/>
        <w:tblCellMar>
          <w:top w:w="0" w:type="dxa"/>
          <w:left w:w="0" w:type="dxa"/>
          <w:bottom w:w="0" w:type="dxa"/>
          <w:right w:w="0" w:type="dxa"/>
        </w:tblCellMar>
      </w:tblPr>
      <w:tr>
        <w:trPr>
          <w:trHeight w:val="533"/>
        </w:trPr>
        <w:tc>
          <w:tcPr>
            <w:tcW w:w="2420" w:type="dxa"/>
            <w:vAlign w:val="bottom"/>
          </w:tcPr>
          <w:p>
            <w:pPr>
              <w:spacing w:after="0"/>
              <w:rPr>
                <w:sz w:val="24"/>
                <w:szCs w:val="24"/>
                <w:color w:val="auto"/>
              </w:rPr>
            </w:pPr>
          </w:p>
        </w:tc>
        <w:tc>
          <w:tcPr>
            <w:tcW w:w="6980" w:type="dxa"/>
            <w:vAlign w:val="bottom"/>
          </w:tcPr>
          <w:p>
            <w:pPr>
              <w:jc w:val="center"/>
              <w:ind w:right="2219"/>
              <w:spacing w:after="0"/>
              <w:rPr>
                <w:sz w:val="20"/>
                <w:szCs w:val="20"/>
                <w:color w:val="auto"/>
              </w:rPr>
            </w:pPr>
            <w:r>
              <w:rPr>
                <w:rFonts w:ascii="Times New Roman" w:cs="Times New Roman" w:eastAsia="Times New Roman" w:hAnsi="Times New Roman"/>
                <w:sz w:val="43"/>
                <w:szCs w:val="43"/>
                <w:b w:val="1"/>
                <w:bCs w:val="1"/>
                <w:color w:val="auto"/>
                <w:w w:val="99"/>
              </w:rPr>
              <w:t>NN, Inc.</w:t>
            </w:r>
          </w:p>
        </w:tc>
      </w:tr>
      <w:tr>
        <w:trPr>
          <w:trHeight w:val="234"/>
        </w:trPr>
        <w:tc>
          <w:tcPr>
            <w:tcW w:w="2420" w:type="dxa"/>
            <w:vAlign w:val="bottom"/>
          </w:tcPr>
          <w:p>
            <w:pPr>
              <w:spacing w:after="0"/>
              <w:rPr>
                <w:sz w:val="20"/>
                <w:szCs w:val="20"/>
                <w:color w:val="auto"/>
              </w:rPr>
            </w:pPr>
          </w:p>
        </w:tc>
        <w:tc>
          <w:tcPr>
            <w:tcW w:w="6980" w:type="dxa"/>
            <w:vAlign w:val="bottom"/>
          </w:tcPr>
          <w:p>
            <w:pPr>
              <w:jc w:val="center"/>
              <w:ind w:right="21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41"/>
        </w:trPr>
        <w:tc>
          <w:tcPr>
            <w:tcW w:w="24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980" w:type="dxa"/>
            <w:vAlign w:val="bottom"/>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69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37"/>
        </w:trPr>
        <w:tc>
          <w:tcPr>
            <w:tcW w:w="2420" w:type="dxa"/>
            <w:vAlign w:val="bottom"/>
          </w:tcPr>
          <w:p>
            <w:pPr>
              <w:spacing w:after="0"/>
              <w:rPr>
                <w:sz w:val="24"/>
                <w:szCs w:val="24"/>
                <w:color w:val="auto"/>
              </w:rPr>
            </w:pPr>
          </w:p>
        </w:tc>
        <w:tc>
          <w:tcPr>
            <w:tcW w:w="6980" w:type="dxa"/>
            <w:vAlign w:val="bottom"/>
          </w:tcPr>
          <w:p>
            <w:pPr>
              <w:jc w:val="center"/>
              <w:ind w:right="2219"/>
              <w:spacing w:after="0"/>
              <w:rPr>
                <w:sz w:val="20"/>
                <w:szCs w:val="20"/>
                <w:color w:val="auto"/>
              </w:rPr>
            </w:pPr>
            <w:r>
              <w:rPr>
                <w:rFonts w:ascii="Times New Roman" w:cs="Times New Roman" w:eastAsia="Times New Roman" w:hAnsi="Times New Roman"/>
                <w:sz w:val="18"/>
                <w:szCs w:val="18"/>
                <w:b w:val="1"/>
                <w:bCs w:val="1"/>
                <w:color w:val="auto"/>
                <w:w w:val="99"/>
              </w:rPr>
              <w:t>2000 Waters Edge Drive</w:t>
            </w:r>
          </w:p>
        </w:tc>
      </w:tr>
      <w:tr>
        <w:trPr>
          <w:trHeight w:val="216"/>
        </w:trPr>
        <w:tc>
          <w:tcPr>
            <w:tcW w:w="2420" w:type="dxa"/>
            <w:vAlign w:val="bottom"/>
          </w:tcPr>
          <w:p>
            <w:pPr>
              <w:spacing w:after="0"/>
              <w:rPr>
                <w:sz w:val="18"/>
                <w:szCs w:val="18"/>
                <w:color w:val="auto"/>
              </w:rPr>
            </w:pPr>
          </w:p>
        </w:tc>
        <w:tc>
          <w:tcPr>
            <w:tcW w:w="6980" w:type="dxa"/>
            <w:vAlign w:val="bottom"/>
          </w:tcPr>
          <w:p>
            <w:pPr>
              <w:jc w:val="center"/>
              <w:ind w:right="2219"/>
              <w:spacing w:after="0"/>
              <w:rPr>
                <w:sz w:val="20"/>
                <w:szCs w:val="20"/>
                <w:color w:val="auto"/>
              </w:rPr>
            </w:pPr>
            <w:r>
              <w:rPr>
                <w:rFonts w:ascii="Times New Roman" w:cs="Times New Roman" w:eastAsia="Times New Roman" w:hAnsi="Times New Roman"/>
                <w:sz w:val="18"/>
                <w:szCs w:val="18"/>
                <w:b w:val="1"/>
                <w:bCs w:val="1"/>
                <w:color w:val="auto"/>
                <w:w w:val="99"/>
              </w:rPr>
              <w:t>Building C, Suite 12</w:t>
            </w:r>
          </w:p>
        </w:tc>
      </w:tr>
      <w:tr>
        <w:trPr>
          <w:trHeight w:val="220"/>
        </w:trPr>
        <w:tc>
          <w:tcPr>
            <w:tcW w:w="2420" w:type="dxa"/>
            <w:vAlign w:val="bottom"/>
          </w:tcPr>
          <w:p>
            <w:pPr>
              <w:spacing w:after="0"/>
              <w:rPr>
                <w:sz w:val="19"/>
                <w:szCs w:val="19"/>
                <w:color w:val="auto"/>
              </w:rPr>
            </w:pPr>
          </w:p>
        </w:tc>
        <w:tc>
          <w:tcPr>
            <w:tcW w:w="698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tc>
      </w:tr>
      <w:tr>
        <w:trPr>
          <w:trHeight w:val="234"/>
        </w:trPr>
        <w:tc>
          <w:tcPr>
            <w:tcW w:w="2420" w:type="dxa"/>
            <w:vAlign w:val="bottom"/>
          </w:tcPr>
          <w:p>
            <w:pPr>
              <w:spacing w:after="0"/>
              <w:rPr>
                <w:sz w:val="20"/>
                <w:szCs w:val="20"/>
                <w:color w:val="auto"/>
              </w:rPr>
            </w:pPr>
          </w:p>
        </w:tc>
        <w:tc>
          <w:tcPr>
            <w:tcW w:w="6980" w:type="dxa"/>
            <w:vAlign w:val="bottom"/>
          </w:tcPr>
          <w:p>
            <w:pPr>
              <w:jc w:val="center"/>
              <w:ind w:right="215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r>
        <w:trPr>
          <w:trHeight w:val="441"/>
        </w:trPr>
        <w:tc>
          <w:tcPr>
            <w:tcW w:w="2420" w:type="dxa"/>
            <w:vAlign w:val="bottom"/>
          </w:tcPr>
          <w:p>
            <w:pPr>
              <w:spacing w:after="0"/>
              <w:rPr>
                <w:sz w:val="24"/>
                <w:szCs w:val="24"/>
                <w:color w:val="auto"/>
              </w:rPr>
            </w:pPr>
          </w:p>
        </w:tc>
        <w:tc>
          <w:tcPr>
            <w:tcW w:w="6980" w:type="dxa"/>
            <w:vAlign w:val="bottom"/>
          </w:tcPr>
          <w:p>
            <w:pPr>
              <w:jc w:val="center"/>
              <w:ind w:right="2159"/>
              <w:spacing w:after="0"/>
              <w:rPr>
                <w:sz w:val="20"/>
                <w:szCs w:val="20"/>
                <w:color w:val="auto"/>
              </w:rPr>
            </w:pPr>
            <w:r>
              <w:rPr>
                <w:rFonts w:ascii="Times New Roman" w:cs="Times New Roman" w:eastAsia="Times New Roman" w:hAnsi="Times New Roman"/>
                <w:sz w:val="18"/>
                <w:szCs w:val="18"/>
                <w:b w:val="1"/>
                <w:bCs w:val="1"/>
                <w:color w:val="auto"/>
                <w:w w:val="99"/>
              </w:rPr>
              <w:t>(423) 743-9151</w:t>
            </w:r>
          </w:p>
        </w:tc>
      </w:tr>
      <w:tr>
        <w:trPr>
          <w:trHeight w:val="234"/>
        </w:trPr>
        <w:tc>
          <w:tcPr>
            <w:tcW w:w="2420" w:type="dxa"/>
            <w:vAlign w:val="bottom"/>
          </w:tcPr>
          <w:p>
            <w:pPr>
              <w:spacing w:after="0"/>
              <w:rPr>
                <w:sz w:val="20"/>
                <w:szCs w:val="20"/>
                <w:color w:val="auto"/>
              </w:rPr>
            </w:pPr>
          </w:p>
        </w:tc>
        <w:tc>
          <w:tcPr>
            <w:tcW w:w="6980" w:type="dxa"/>
            <w:vAlign w:val="bottom"/>
          </w:tcPr>
          <w:p>
            <w:pPr>
              <w:jc w:val="center"/>
              <w:ind w:right="2219"/>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00" w:lineRule="exact"/>
        <w:rPr>
          <w:sz w:val="24"/>
          <w:szCs w:val="24"/>
          <w:color w:val="auto"/>
        </w:rPr>
      </w:pPr>
    </w:p>
    <w:p>
      <w:pPr>
        <w:spacing w:after="0" w:line="268"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tabs>
          <w:tab w:leader="none" w:pos="2600" w:val="left"/>
          <w:tab w:leader="none" w:pos="3500" w:val="left"/>
        </w:tabs>
        <w:rPr>
          <w:sz w:val="20"/>
          <w:szCs w:val="20"/>
          <w:color w:val="auto"/>
        </w:rPr>
      </w:pPr>
      <w:r>
        <w:rPr>
          <w:rFonts w:ascii="Times New Roman" w:cs="Times New Roman" w:eastAsia="Times New Roman" w:hAnsi="Times New Roman"/>
          <w:sz w:val="18"/>
          <w:szCs w:val="18"/>
          <w:color w:val="auto"/>
        </w:rPr>
        <w:t>requirements for the past 90 days.</w:t>
        <w:tab/>
        <w:t>Yes x</w:t>
      </w:r>
      <w:r>
        <w:rPr>
          <w:sz w:val="20"/>
          <w:szCs w:val="20"/>
          <w:color w:val="auto"/>
        </w:rPr>
        <w:tab/>
      </w:r>
      <w:r>
        <w:rPr>
          <w:rFonts w:ascii="Times New Roman" w:cs="Times New Roman" w:eastAsia="Times New Roman" w:hAnsi="Times New Roman"/>
          <w:sz w:val="17"/>
          <w:szCs w:val="17"/>
          <w:color w:val="auto"/>
        </w:rPr>
        <w:t>No o</w:t>
      </w:r>
    </w:p>
    <w:p>
      <w:pPr>
        <w:spacing w:after="0" w:line="23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filer,","accelerated filer" and "smaller reporting company" in Rule 12b-2 of the Exchange Act. (Check one):</w:t>
      </w:r>
    </w:p>
    <w:p>
      <w:pPr>
        <w:ind w:left="500" w:right="3660" w:firstLine="189"/>
        <w:spacing w:after="0" w:line="261" w:lineRule="auto"/>
        <w:rPr>
          <w:sz w:val="20"/>
          <w:szCs w:val="20"/>
          <w:color w:val="auto"/>
        </w:rPr>
      </w:pPr>
      <w:r>
        <w:rPr>
          <w:rFonts w:ascii="Times New Roman" w:cs="Times New Roman" w:eastAsia="Times New Roman" w:hAnsi="Times New Roman"/>
          <w:sz w:val="18"/>
          <w:szCs w:val="18"/>
          <w:color w:val="auto"/>
        </w:rPr>
        <w:t>Large accelerated filer o Accelerated filer x Non-accelerated filer o Smaller reporting company o (Do not check if a smaller reporting company)</w:t>
      </w:r>
    </w:p>
    <w:p>
      <w:pPr>
        <w:spacing w:after="0" w:line="200" w:lineRule="exact"/>
        <w:rPr>
          <w:sz w:val="24"/>
          <w:szCs w:val="24"/>
          <w:color w:val="auto"/>
        </w:rPr>
      </w:pPr>
    </w:p>
    <w:p>
      <w:pPr>
        <w:spacing w:after="0" w:line="223" w:lineRule="exact"/>
        <w:rPr>
          <w:sz w:val="24"/>
          <w:szCs w:val="24"/>
          <w:color w:val="auto"/>
        </w:rPr>
      </w:pPr>
    </w:p>
    <w:p>
      <w:pPr>
        <w:spacing w:after="0"/>
        <w:tabs>
          <w:tab w:leader="none" w:pos="83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Yes o No x</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7, 2008, there were 15,854,643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43" w:right="599" w:bottom="1440" w:gutter="0" w:footer="0" w:header="0"/>
        </w:sectPr>
      </w:pPr>
    </w:p>
    <w:bookmarkStart w:id="1" w:name="page2"/>
    <w:bookmarkEnd w:id="1"/>
    <w:p>
      <w:pPr>
        <w:ind w:left="4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98"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18"/>
          <w:szCs w:val="18"/>
          <w:b w:val="1"/>
          <w:bCs w:val="1"/>
          <w:color w:val="auto"/>
        </w:rPr>
        <w:t>Part</w:t>
      </w:r>
      <w:r>
        <w:rPr>
          <w:sz w:val="20"/>
          <w:szCs w:val="20"/>
          <w:color w:val="auto"/>
        </w:rPr>
        <w:tab/>
      </w:r>
      <w:r>
        <w:rPr>
          <w:rFonts w:ascii="Times New Roman" w:cs="Times New Roman" w:eastAsia="Times New Roman" w:hAnsi="Times New Roman"/>
          <w:sz w:val="17"/>
          <w:szCs w:val="17"/>
          <w:b w:val="1"/>
          <w:bCs w:val="1"/>
          <w:color w:val="auto"/>
        </w:rPr>
        <w:t>Page</w:t>
      </w:r>
    </w:p>
    <w:p>
      <w:pPr>
        <w:ind w:left="860"/>
        <w:spacing w:after="0" w:line="187" w:lineRule="auto"/>
        <w:rPr>
          <w:sz w:val="20"/>
          <w:szCs w:val="20"/>
          <w:color w:val="auto"/>
        </w:rPr>
      </w:pPr>
      <w:r>
        <w:rPr>
          <w:rFonts w:ascii="Times New Roman" w:cs="Times New Roman" w:eastAsia="Times New Roman" w:hAnsi="Times New Roman"/>
          <w:sz w:val="12"/>
          <w:szCs w:val="12"/>
          <w:b w:val="1"/>
          <w:bCs w:val="1"/>
          <w:color w:val="auto"/>
        </w:rPr>
        <w:t>Financial Information</w:t>
      </w:r>
    </w:p>
    <w:p>
      <w:pPr>
        <w:spacing w:after="0" w:line="1" w:lineRule="exact"/>
        <w:rPr>
          <w:sz w:val="20"/>
          <w:szCs w:val="20"/>
          <w:color w:val="auto"/>
        </w:rPr>
      </w:pPr>
    </w:p>
    <w:p>
      <w:pPr>
        <w:spacing w:after="0"/>
        <w:tabs>
          <w:tab w:leader="none" w:pos="906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59861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17145"/>
                    </a:xfrm>
                    <a:prstGeom prst="rect">
                      <a:avLst/>
                    </a:prstGeom>
                    <a:noFill/>
                  </pic:spPr>
                </pic:pic>
              </a:graphicData>
            </a:graphic>
          </wp:anchor>
        </w:drawing>
      </w:r>
    </w:p>
    <w:p>
      <w:pPr>
        <w:spacing w:after="0" w:line="239"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Financial Statements:</w:t>
      </w:r>
    </w:p>
    <w:p>
      <w:pPr>
        <w:spacing w:after="0" w:line="2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 for the three months ended March 31, 2008 and</w:t>
      </w:r>
    </w:p>
    <w:p>
      <w:pPr>
        <w:spacing w:after="0" w:line="27" w:lineRule="exact"/>
        <w:rPr>
          <w:sz w:val="20"/>
          <w:szCs w:val="20"/>
          <w:color w:val="auto"/>
        </w:rPr>
      </w:pPr>
    </w:p>
    <w:p>
      <w:pPr>
        <w:ind w:left="860"/>
        <w:spacing w:after="0"/>
        <w:tabs>
          <w:tab w:leader="dot" w:pos="9180" w:val="left"/>
        </w:tabs>
        <w:rPr>
          <w:sz w:val="20"/>
          <w:szCs w:val="20"/>
          <w:color w:val="auto"/>
        </w:rPr>
      </w:pPr>
      <w:r>
        <w:rPr>
          <w:rFonts w:ascii="Times New Roman" w:cs="Times New Roman" w:eastAsia="Times New Roman" w:hAnsi="Times New Roman"/>
          <w:sz w:val="18"/>
          <w:szCs w:val="18"/>
          <w:color w:val="auto"/>
        </w:rPr>
        <w:t>2007 (Unaudited)</w:t>
      </w:r>
      <w:r>
        <w:rPr>
          <w:sz w:val="20"/>
          <w:szCs w:val="20"/>
          <w:color w:val="auto"/>
        </w:rPr>
        <w:tab/>
      </w:r>
      <w:r>
        <w:rPr>
          <w:rFonts w:ascii="Times New Roman" w:cs="Times New Roman" w:eastAsia="Times New Roman" w:hAnsi="Times New Roman"/>
          <w:sz w:val="16"/>
          <w:szCs w:val="16"/>
          <w:color w:val="auto"/>
        </w:rPr>
        <w:t>2</w:t>
      </w:r>
    </w:p>
    <w:p>
      <w:pPr>
        <w:spacing w:after="0" w:line="220" w:lineRule="exact"/>
        <w:rPr>
          <w:sz w:val="20"/>
          <w:szCs w:val="20"/>
          <w:color w:val="auto"/>
        </w:rPr>
      </w:pPr>
    </w:p>
    <w:p>
      <w:pPr>
        <w:ind w:left="860"/>
        <w:spacing w:after="0"/>
        <w:tabs>
          <w:tab w:leader="dot" w:pos="9180" w:val="left"/>
        </w:tabs>
        <w:rPr>
          <w:sz w:val="20"/>
          <w:szCs w:val="20"/>
          <w:color w:val="auto"/>
        </w:rPr>
      </w:pPr>
      <w:r>
        <w:rPr>
          <w:rFonts w:ascii="Times New Roman" w:cs="Times New Roman" w:eastAsia="Times New Roman" w:hAnsi="Times New Roman"/>
          <w:sz w:val="18"/>
          <w:szCs w:val="18"/>
          <w:color w:val="auto"/>
        </w:rPr>
        <w:t>Condensed Consolidated Balance Sheets at March 31, 2008 and December 31, 2007 (unaudited)</w:t>
      </w:r>
      <w:r>
        <w:rPr>
          <w:sz w:val="20"/>
          <w:szCs w:val="20"/>
          <w:color w:val="auto"/>
        </w:rPr>
        <w:tab/>
      </w:r>
      <w:r>
        <w:rPr>
          <w:rFonts w:ascii="Times New Roman" w:cs="Times New Roman" w:eastAsia="Times New Roman" w:hAnsi="Times New Roman"/>
          <w:sz w:val="16"/>
          <w:szCs w:val="16"/>
          <w:color w:val="auto"/>
        </w:rPr>
        <w:t>3</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months ended March 31,</w:t>
      </w:r>
    </w:p>
    <w:p>
      <w:pPr>
        <w:spacing w:after="0" w:line="27" w:lineRule="exact"/>
        <w:rPr>
          <w:sz w:val="20"/>
          <w:szCs w:val="20"/>
          <w:color w:val="auto"/>
        </w:rPr>
      </w:pPr>
    </w:p>
    <w:p>
      <w:pPr>
        <w:ind w:left="860"/>
        <w:spacing w:after="0"/>
        <w:tabs>
          <w:tab w:leader="dot" w:pos="9160" w:val="left"/>
        </w:tabs>
        <w:rPr>
          <w:sz w:val="20"/>
          <w:szCs w:val="20"/>
          <w:color w:val="auto"/>
        </w:rPr>
      </w:pPr>
      <w:r>
        <w:rPr>
          <w:rFonts w:ascii="Times New Roman" w:cs="Times New Roman" w:eastAsia="Times New Roman" w:hAnsi="Times New Roman"/>
          <w:sz w:val="18"/>
          <w:szCs w:val="18"/>
          <w:color w:val="auto"/>
        </w:rPr>
        <w:t>2008 (unaudited)</w:t>
      </w:r>
      <w:r>
        <w:rPr>
          <w:sz w:val="20"/>
          <w:szCs w:val="20"/>
          <w:color w:val="auto"/>
        </w:rPr>
        <w:tab/>
      </w:r>
      <w:r>
        <w:rPr>
          <w:rFonts w:ascii="Times New Roman" w:cs="Times New Roman" w:eastAsia="Times New Roman" w:hAnsi="Times New Roman"/>
          <w:sz w:val="16"/>
          <w:szCs w:val="16"/>
          <w:color w:val="auto"/>
        </w:rPr>
        <w:t>4</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2008 and 2007</w:t>
      </w:r>
    </w:p>
    <w:p>
      <w:pPr>
        <w:spacing w:after="0" w:line="27" w:lineRule="exact"/>
        <w:rPr>
          <w:sz w:val="20"/>
          <w:szCs w:val="20"/>
          <w:color w:val="auto"/>
        </w:rPr>
      </w:pPr>
    </w:p>
    <w:p>
      <w:pPr>
        <w:ind w:left="860"/>
        <w:spacing w:after="0"/>
        <w:tabs>
          <w:tab w:leader="dot" w:pos="9180" w:val="left"/>
        </w:tabs>
        <w:rPr>
          <w:sz w:val="20"/>
          <w:szCs w:val="20"/>
          <w:color w:val="auto"/>
        </w:rPr>
      </w:pPr>
      <w:r>
        <w:rPr>
          <w:rFonts w:ascii="Times New Roman" w:cs="Times New Roman" w:eastAsia="Times New Roman" w:hAnsi="Times New Roman"/>
          <w:sz w:val="18"/>
          <w:szCs w:val="18"/>
          <w:color w:val="auto"/>
        </w:rPr>
        <w:t>(unaudited)</w:t>
      </w:r>
      <w:r>
        <w:rPr>
          <w:sz w:val="20"/>
          <w:szCs w:val="20"/>
          <w:color w:val="auto"/>
        </w:rPr>
        <w:tab/>
      </w:r>
      <w:r>
        <w:rPr>
          <w:rFonts w:ascii="Times New Roman" w:cs="Times New Roman" w:eastAsia="Times New Roman" w:hAnsi="Times New Roman"/>
          <w:sz w:val="16"/>
          <w:szCs w:val="16"/>
          <w:color w:val="auto"/>
        </w:rPr>
        <w:t>5</w:t>
      </w:r>
    </w:p>
    <w:p>
      <w:pPr>
        <w:spacing w:after="0" w:line="207" w:lineRule="exact"/>
        <w:rPr>
          <w:sz w:val="20"/>
          <w:szCs w:val="20"/>
          <w:color w:val="auto"/>
        </w:rPr>
      </w:pPr>
    </w:p>
    <w:p>
      <w:pPr>
        <w:ind w:left="860"/>
        <w:spacing w:after="0"/>
        <w:tabs>
          <w:tab w:leader="dot" w:pos="9180" w:val="left"/>
        </w:tabs>
        <w:rPr>
          <w:sz w:val="20"/>
          <w:szCs w:val="20"/>
          <w:color w:val="auto"/>
        </w:rPr>
      </w:pPr>
      <w:r>
        <w:rPr>
          <w:rFonts w:ascii="Times New Roman" w:cs="Times New Roman" w:eastAsia="Times New Roman" w:hAnsi="Times New Roman"/>
          <w:sz w:val="18"/>
          <w:szCs w:val="18"/>
          <w:color w:val="auto"/>
        </w:rPr>
        <w:t>Notes to Consolidated Financial Statements (unaudited)</w:t>
      </w:r>
      <w:r>
        <w:rPr>
          <w:sz w:val="20"/>
          <w:szCs w:val="20"/>
          <w:color w:val="auto"/>
        </w:rPr>
        <w:tab/>
      </w:r>
      <w:r>
        <w:rPr>
          <w:rFonts w:ascii="Times New Roman" w:cs="Times New Roman" w:eastAsia="Times New Roman" w:hAnsi="Times New Roman"/>
          <w:sz w:val="16"/>
          <w:szCs w:val="16"/>
          <w:color w:val="auto"/>
        </w:rPr>
        <w:t>6</w:t>
      </w:r>
    </w:p>
    <w:p>
      <w:pPr>
        <w:spacing w:after="0" w:line="225"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18"/>
          <w:szCs w:val="18"/>
          <w:color w:val="auto"/>
        </w:rPr>
        <w:t>12</w:t>
      </w:r>
    </w:p>
    <w:p>
      <w:pPr>
        <w:spacing w:after="0" w:line="225"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Quantitative and Qualitative Disclosures about Market Risk</w:t>
      </w:r>
      <w:r>
        <w:rPr>
          <w:sz w:val="20"/>
          <w:szCs w:val="20"/>
          <w:color w:val="auto"/>
        </w:rPr>
        <w:tab/>
      </w:r>
      <w:r>
        <w:rPr>
          <w:rFonts w:ascii="Times New Roman" w:cs="Times New Roman" w:eastAsia="Times New Roman" w:hAnsi="Times New Roman"/>
          <w:sz w:val="18"/>
          <w:szCs w:val="18"/>
          <w:color w:val="auto"/>
        </w:rPr>
        <w:t>16</w:t>
      </w:r>
    </w:p>
    <w:p>
      <w:pPr>
        <w:spacing w:after="0" w:line="279"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Controls and Procedures</w:t>
      </w:r>
      <w:r>
        <w:rPr>
          <w:sz w:val="20"/>
          <w:szCs w:val="20"/>
          <w:color w:val="auto"/>
        </w:rPr>
        <w:tab/>
      </w:r>
      <w:r>
        <w:rPr>
          <w:rFonts w:ascii="Times New Roman" w:cs="Times New Roman" w:eastAsia="Times New Roman" w:hAnsi="Times New Roman"/>
          <w:sz w:val="18"/>
          <w:szCs w:val="18"/>
          <w:color w:val="auto"/>
        </w:rPr>
        <w:t>16</w:t>
      </w:r>
    </w:p>
    <w:p>
      <w:pPr>
        <w:spacing w:after="0" w:line="221"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Legal Proceedings</w:t>
      </w:r>
      <w:r>
        <w:rPr>
          <w:sz w:val="20"/>
          <w:szCs w:val="20"/>
          <w:color w:val="auto"/>
        </w:rPr>
        <w:tab/>
      </w: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1A.</w:t>
        <w:tab/>
        <w:t>Risk Factors</w:t>
      </w:r>
      <w:r>
        <w:rPr>
          <w:sz w:val="20"/>
          <w:szCs w:val="20"/>
          <w:color w:val="auto"/>
        </w:rPr>
        <w:tab/>
      </w: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color w:val="auto"/>
        </w:rPr>
        <w:t>Unregistered Sales of Equity Securities and Use of Proceeds</w:t>
      </w:r>
      <w:r>
        <w:rPr>
          <w:sz w:val="20"/>
          <w:szCs w:val="20"/>
          <w:color w:val="auto"/>
        </w:rPr>
        <w:tab/>
      </w: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Defaults Upon Senior Securities</w:t>
      </w:r>
      <w:r>
        <w:rPr>
          <w:sz w:val="20"/>
          <w:szCs w:val="20"/>
          <w:color w:val="auto"/>
        </w:rPr>
        <w:tab/>
      </w: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Submission of Matters to a Vote of Security Holders</w:t>
      </w:r>
      <w:r>
        <w:rPr>
          <w:sz w:val="20"/>
          <w:szCs w:val="20"/>
          <w:color w:val="auto"/>
        </w:rPr>
        <w:tab/>
      </w: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Other Information</w:t>
      </w:r>
      <w:r>
        <w:rPr>
          <w:sz w:val="20"/>
          <w:szCs w:val="20"/>
          <w:color w:val="auto"/>
        </w:rPr>
        <w:tab/>
      </w: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left="40"/>
        <w:spacing w:after="0"/>
        <w:tabs>
          <w:tab w:leader="none" w:pos="840" w:val="left"/>
          <w:tab w:leader="dot" w:pos="914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Exhibits</w:t>
      </w:r>
      <w:r>
        <w:rPr>
          <w:sz w:val="20"/>
          <w:szCs w:val="20"/>
          <w:color w:val="auto"/>
        </w:rPr>
        <w:tab/>
      </w:r>
      <w:r>
        <w:rPr>
          <w:rFonts w:ascii="Times New Roman" w:cs="Times New Roman" w:eastAsia="Times New Roman" w:hAnsi="Times New Roman"/>
          <w:sz w:val="18"/>
          <w:szCs w:val="18"/>
          <w:color w:val="auto"/>
        </w:rPr>
        <w:t>17</w:t>
      </w:r>
    </w:p>
    <w:p>
      <w:pPr>
        <w:spacing w:after="0" w:line="225" w:lineRule="exact"/>
        <w:rPr>
          <w:sz w:val="20"/>
          <w:szCs w:val="20"/>
          <w:color w:val="auto"/>
        </w:rPr>
      </w:pPr>
    </w:p>
    <w:p>
      <w:pPr>
        <w:ind w:left="40"/>
        <w:spacing w:after="0"/>
        <w:tabs>
          <w:tab w:leader="dot" w:pos="9140" w:val="left"/>
        </w:tabs>
        <w:rPr>
          <w:sz w:val="20"/>
          <w:szCs w:val="20"/>
          <w:color w:val="auto"/>
        </w:rPr>
      </w:pPr>
      <w:r>
        <w:rPr>
          <w:rFonts w:ascii="Times New Roman" w:cs="Times New Roman" w:eastAsia="Times New Roman" w:hAnsi="Times New Roman"/>
          <w:sz w:val="18"/>
          <w:szCs w:val="18"/>
          <w:color w:val="auto"/>
        </w:rPr>
        <w:t>Signatures</w:t>
      </w:r>
      <w:r>
        <w:rPr>
          <w:sz w:val="20"/>
          <w:szCs w:val="20"/>
          <w:color w:val="auto"/>
        </w:rPr>
        <w:tab/>
      </w:r>
      <w:r>
        <w:rPr>
          <w:rFonts w:ascii="Times New Roman" w:cs="Times New Roman" w:eastAsia="Times New Roman" w:hAnsi="Times New Roman"/>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20"/>
          </w:cols>
          <w:pgMar w:left="1240" w:top="360" w:right="1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68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 and Comprehensive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 of Dollars,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121,542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products sold (exclusive of depreciation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amortization shown 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common share: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 of Dollars)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$614 and $1,412,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378,461</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58,142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Dividends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pension and other</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234,307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220,035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378,461</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Paid 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(Thousands of Dollars and Shares)</w:t>
            </w:r>
          </w:p>
        </w:tc>
        <w:tc>
          <w:tcPr>
            <w:tcW w:w="140" w:type="dxa"/>
            <w:vAlign w:val="bottom"/>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45,032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57,083</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27,769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Shares issued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ind w:left="420"/>
              <w:spacing w:after="0" w:line="198" w:lineRule="exact"/>
              <w:rPr>
                <w:sz w:val="20"/>
                <w:szCs w:val="20"/>
                <w:color w:val="auto"/>
              </w:rPr>
            </w:pPr>
            <w:r>
              <w:rPr>
                <w:rFonts w:ascii="Times New Roman" w:cs="Times New Roman" w:eastAsia="Times New Roman" w:hAnsi="Times New Roman"/>
                <w:sz w:val="18"/>
                <w:szCs w:val="18"/>
                <w:color w:val="auto"/>
              </w:rPr>
              <w:t>Amortization of restricted stock</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 option expense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Dividends declared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(1,268)</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Cumulative translation gain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45,347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60,917</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37,731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 of Dollars)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5,102</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(used) by operating</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expense from issuance of restricted stock and incentive stock options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disposals of property, plant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intangibles and goodwill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cash from book overdraft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 of short-term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payment on capital lease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long term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issuance cost paid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 of related party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12,902</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Reduced note payable to customer with offsetting reduction to accounts receivable ($428 in 2008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$366 in 2007) and an increase to interest expense ($56 in 2008 and $78 in 2007)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 declared but not paid</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1,268</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1.</w:t>
        <w:tab/>
        <w:t>Interim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of NN, Inc. (the “Company”) have not been audited, except that the balance sheet at December 31, 2007 is derived from the Company’s consolidated audited financial statements. In the opinion of the Company’s management, the financial statements reflect all adjustments necessary to fairly state the results of operations for the three month periods ended March 31, 2008 and 2007, the Company’s financial position at March 31, 2008 and December 31, 2007, and the cash flows for the three month periods ended March 31, 2008 and 2007.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21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2007 which we filed with the Securities and Exchange Commission on March 17, 2008.</w:t>
      </w:r>
    </w:p>
    <w:p>
      <w:pPr>
        <w:spacing w:after="0" w:line="21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results for the three month period ended March 31, 2008 are not necessarily indicative of results for the year ending December 31, 2008 or any other future periods.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Inventories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Cost is determined using the first-in, first-out method.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are comprised of the following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7"/>
        </w:trPr>
        <w:tc>
          <w:tcPr>
            <w:tcW w:w="14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March</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14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18"/>
                <w:szCs w:val="18"/>
                <w:color w:val="auto"/>
              </w:rPr>
            </w:pPr>
          </w:p>
        </w:tc>
      </w:tr>
      <w:tr>
        <w:trPr>
          <w:trHeight w:val="245"/>
        </w:trPr>
        <w:tc>
          <w:tcPr>
            <w:tcW w:w="144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15,076</w:t>
            </w:r>
          </w:p>
        </w:tc>
      </w:tr>
      <w:tr>
        <w:trPr>
          <w:trHeight w:val="216"/>
        </w:trPr>
        <w:tc>
          <w:tcPr>
            <w:tcW w:w="14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12,779</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9,808</w:t>
            </w:r>
          </w:p>
        </w:tc>
      </w:tr>
      <w:tr>
        <w:trPr>
          <w:trHeight w:val="216"/>
        </w:trPr>
        <w:tc>
          <w:tcPr>
            <w:tcW w:w="14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29,824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28,925</w:t>
            </w:r>
          </w:p>
        </w:tc>
      </w:tr>
      <w:tr>
        <w:trPr>
          <w:trHeight w:val="216"/>
        </w:trPr>
        <w:tc>
          <w:tcPr>
            <w:tcW w:w="14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inventory reserves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(1,988)</w:t>
            </w:r>
          </w:p>
        </w:tc>
      </w:tr>
      <w:tr>
        <w:trPr>
          <w:trHeight w:val="27"/>
        </w:trPr>
        <w:tc>
          <w:tcPr>
            <w:tcW w:w="1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144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51,821</w:t>
            </w:r>
          </w:p>
        </w:tc>
      </w:tr>
      <w:tr>
        <w:trPr>
          <w:trHeight w:val="20"/>
        </w:trPr>
        <w:tc>
          <w:tcPr>
            <w:tcW w:w="1440" w:type="dxa"/>
            <w:vAlign w:val="bottom"/>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on consignment at customer locations as of March 31, 2008 and December 31, 2007 totaled $6,722 and $5,702, respectively.</w:t>
      </w:r>
    </w:p>
    <w:p>
      <w:pPr>
        <w:spacing w:after="0" w:line="27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3.</w:t>
        <w:tab/>
        <w:t>Net Income Per Share</w:t>
      </w:r>
    </w:p>
    <w:p>
      <w:pPr>
        <w:spacing w:after="0" w:line="200" w:lineRule="exact"/>
        <w:rPr>
          <w:sz w:val="20"/>
          <w:szCs w:val="20"/>
          <w:color w:val="auto"/>
        </w:rPr>
      </w:pPr>
    </w:p>
    <w:p>
      <w:pPr>
        <w:spacing w:after="0" w:line="29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(Thousands of Dollars, Except Share and Per Share Data)</w:t>
            </w:r>
          </w:p>
        </w:tc>
        <w:tc>
          <w:tcPr>
            <w:tcW w:w="22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15,854,643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16,813,351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107,460</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219,986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dilutive shares outstanding</w:t>
            </w:r>
          </w:p>
        </w:tc>
        <w:tc>
          <w:tcPr>
            <w:tcW w:w="2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15,962,103</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17,033,337</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224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41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66" w:right="2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Excluded from the dilutive shares outstanding for the three month period ended March 31, 2008 were 1,016,800 anti-dilutive options which had exercise prices ranging from $9.36 to $12.62. Excluded from the dilutive shares outstanding for the three month period ended March 31, 2007 were 503,250 anti-dilutive options which had exercise prices ranging from $11.29 and $12.62.</w:t>
      </w:r>
    </w:p>
    <w:p>
      <w:pPr>
        <w:spacing w:after="0" w:line="22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segment information and the accounting policies of each segment are the same as those described in the “Segment Information” footnote and the “Summary of Significant Accounting Policies and Practices” footnote, respectively, in our annual report on Form 10-K for the fiscal year ended December 31, 2007. We evaluate segment performance based on segment net income or loss after income taxes. We account for inter-segment sales and transfers at current market prices. We did not have any significant inter-segment transactions during the three month periods ended March 31, 2008 and 2007.</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245"/>
        </w:trPr>
        <w:tc>
          <w:tcPr>
            <w:tcW w:w="27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r>
      <w:tr>
        <w:trPr>
          <w:trHeight w:val="223"/>
        </w:trPr>
        <w:tc>
          <w:tcPr>
            <w:tcW w:w="27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2008</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2007</w:t>
            </w:r>
          </w:p>
        </w:tc>
        <w:tc>
          <w:tcPr>
            <w:tcW w:w="640" w:type="dxa"/>
            <w:vAlign w:val="bottom"/>
            <w:tcBorders>
              <w:bottom w:val="single" w:sz="8" w:color="auto"/>
            </w:tcBorders>
          </w:tcPr>
          <w:p>
            <w:pPr>
              <w:spacing w:after="0"/>
              <w:rPr>
                <w:sz w:val="19"/>
                <w:szCs w:val="19"/>
                <w:color w:val="auto"/>
              </w:rPr>
            </w:pPr>
          </w:p>
        </w:tc>
      </w:tr>
      <w:tr>
        <w:trPr>
          <w:trHeight w:val="194"/>
        </w:trPr>
        <w:tc>
          <w:tcPr>
            <w:tcW w:w="2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Plastic</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Plastic</w:t>
            </w:r>
          </w:p>
        </w:tc>
        <w:tc>
          <w:tcPr>
            <w:tcW w:w="64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Precision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Precision</w:t>
            </w: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64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Bearing</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Rubber</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Bearing</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Metal</w:t>
            </w: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Rubber</w:t>
            </w:r>
          </w:p>
        </w:tc>
        <w:tc>
          <w:tcPr>
            <w:tcW w:w="64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w:t>
            </w: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w:t>
            </w:r>
          </w:p>
        </w:tc>
        <w:tc>
          <w:tcPr>
            <w:tcW w:w="64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ponents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ponents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ponents</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All</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ponents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ponents</w:t>
            </w: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ponents</w:t>
            </w: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All</w:t>
            </w:r>
          </w:p>
        </w:tc>
      </w:tr>
      <w:tr>
        <w:trPr>
          <w:trHeight w:val="24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Segment Segment Segment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Segment Segment Segment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198"/>
        </w:trPr>
        <w:tc>
          <w:tcPr>
            <w:tcW w:w="27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Revenues from</w:t>
            </w:r>
          </w:p>
        </w:tc>
        <w:tc>
          <w:tcPr>
            <w:tcW w:w="7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34"/>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external customers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$ 90,441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$ 19,099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$ 12,002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$ 77,285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$ 18,028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$ 12,631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Segment net income</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2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r>
    </w:tbl>
    <w:p>
      <w:pPr>
        <w:spacing w:after="0" w:line="2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5.</w:t>
        <w:tab/>
        <w:t>Pensions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 defined benefit pension plan covering the employees at our Eltmann, Germany facility. The benefits are based on the expected years of service; however, as the plan was curtailed in 2006, the plan will no longer incur service cost. The plan is unfunded. There were no prior service costs recognized in the three months ended March 31, 2008 and 2007.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Net Periodic Pension Cost:</w:t>
      </w:r>
    </w:p>
    <w:p>
      <w:pPr>
        <w:spacing w:after="0" w:line="200" w:lineRule="exact"/>
        <w:rPr>
          <w:sz w:val="20"/>
          <w:szCs w:val="20"/>
          <w:color w:val="auto"/>
        </w:rPr>
      </w:pPr>
    </w:p>
    <w:p>
      <w:pPr>
        <w:spacing w:after="0" w:line="26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8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r>
      <w:tr>
        <w:trPr>
          <w:trHeight w:val="245"/>
        </w:trPr>
        <w:tc>
          <w:tcPr>
            <w:tcW w:w="5480" w:type="dxa"/>
            <w:vAlign w:val="bottom"/>
          </w:tcPr>
          <w:p>
            <w:pPr>
              <w:spacing w:after="0"/>
              <w:rPr>
                <w:sz w:val="21"/>
                <w:szCs w:val="21"/>
                <w:color w:val="auto"/>
              </w:rPr>
            </w:pPr>
          </w:p>
        </w:tc>
        <w:tc>
          <w:tcPr>
            <w:tcW w:w="20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00" w:type="dxa"/>
            <w:vAlign w:val="bottom"/>
            <w:tcBorders>
              <w:bottom w:val="single" w:sz="8" w:color="auto"/>
            </w:tcBorders>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00" w:type="dxa"/>
            <w:vAlign w:val="bottom"/>
          </w:tcPr>
          <w:p>
            <w:pPr>
              <w:spacing w:after="0"/>
              <w:rPr>
                <w:sz w:val="18"/>
                <w:szCs w:val="18"/>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71</w:t>
            </w: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58</w:t>
            </w: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5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contribute approximately $285 to the Eltmann, Germany pension plan in 2008. As of March 31, 2008, approximately $70 of contributions had been made.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Indemnity</w:t>
      </w:r>
    </w:p>
    <w:p>
      <w:pPr>
        <w:spacing w:after="0" w:line="25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months ended March 31, 2008 and 2007:</w:t>
      </w:r>
    </w:p>
    <w:p>
      <w:pPr>
        <w:spacing w:after="0" w:line="200" w:lineRule="exact"/>
        <w:rPr>
          <w:sz w:val="20"/>
          <w:szCs w:val="20"/>
          <w:color w:val="auto"/>
        </w:rPr>
      </w:pPr>
    </w:p>
    <w:p>
      <w:pPr>
        <w:spacing w:after="0" w:line="24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8,020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Amounts accrued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employees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Payments to pension funds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6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7,975</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and Early Retirement Provisions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two plans that cover our Veenendaal, The Netherlands employees. One provides an award for employees who achieve 25 or 40 years of service and the other is for employees who retire before normal retirement age. These plans are both unfunded and the benefits are based on years of service and rate of compensation increase. The table below summarizes the changes in the two plans combined during the three month periods ended March 31, 2008 and 2007.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2007</w:t>
            </w:r>
          </w:p>
        </w:tc>
        <w:tc>
          <w:tcPr>
            <w:tcW w:w="8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New Accounting Pronouncements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September 2006, the FASB issued SFAS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which provides guidance on how to measure assets and liabilities that are measured at fair value. SFAS 157 applies whenever another U.S. GAAP standard requires (or permits) assets or liabilities to be measured at fair value but does not expand the use of fair value to any new circumstances. This standard requires additional disclosures in both annual and quarterly reports. SFAS 157 was effective for financial statements issued for fiscal years beginning after November 15, 2007, excluding non-financial assets and liabilities except those that are recognized or disclosed at fair value on a recurring basis. The adoption of SFAS 157 for non-financial assets and liabilities was deferred until January 1, 2009. We are still evaluating the effect of adoption of SFAS 157 on our non-financial assets and liabilities. We adopted the provisions of SFAS 157 that pertain to financial assets and liabilities on January 1, 2008 and this has had no effect on our income from operations, cash flows, and financial condition.</w:t>
      </w:r>
    </w:p>
    <w:p>
      <w:pPr>
        <w:spacing w:after="0" w:line="212"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In February, 2007, the FASB issued SFAS 159, "</w:t>
      </w:r>
      <w:r>
        <w:rPr>
          <w:rFonts w:ascii="Times New Roman" w:cs="Times New Roman" w:eastAsia="Times New Roman" w:hAnsi="Times New Roman"/>
          <w:sz w:val="18"/>
          <w:szCs w:val="18"/>
          <w:i w:val="1"/>
          <w:iCs w:val="1"/>
          <w:color w:val="auto"/>
        </w:rPr>
        <w:t>The Fair Value Option for Financial Assets and Financial Liabilities</w:t>
      </w:r>
      <w:r>
        <w:rPr>
          <w:rFonts w:ascii="Times New Roman" w:cs="Times New Roman" w:eastAsia="Times New Roman" w:hAnsi="Times New Roman"/>
          <w:sz w:val="18"/>
          <w:szCs w:val="18"/>
          <w:color w:val="auto"/>
        </w:rPr>
        <w:t>—Including an amendment of FASB Statement No. 115" (SFAS 159). SFAS 159 permits companies to choose to measure many financial instruments and certain other items at fair value at specified election dates. Upon adoption, an entity shall report unrealized gains and losses on items for</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which the fair value option has been elected in earnings at each subsequent reporting date. Most of the provisions apply only to entities that elect the fair value option. However, the amendment to SFAS 115, "Accounting for Certain Investments in Debt and Equity Securities," applies to all entities with available for sale and trading securities. SFAS 159 was effective for us as of January 1, 2008. We have elected not to adopt the provisions of SFAS 159 for our existing financial liabilities. We will continue to report our existing financial liabilities on a cost basis as we believe this is a better representation of our actual financial obligations.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Short-Term Debt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at March 31, 2008 and December 31, 2007 consisted of the following:</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7"/>
        </w:trPr>
        <w:tc>
          <w:tcPr>
            <w:tcW w:w="14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45"/>
        </w:trPr>
        <w:tc>
          <w:tcPr>
            <w:tcW w:w="144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31, 2007</w:t>
            </w:r>
          </w:p>
        </w:tc>
        <w:tc>
          <w:tcPr>
            <w:tcW w:w="8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40" w:type="dxa"/>
            <w:vAlign w:val="bottom"/>
          </w:tcPr>
          <w:p>
            <w:pPr>
              <w:spacing w:after="0"/>
              <w:rPr>
                <w:sz w:val="17"/>
                <w:szCs w:val="17"/>
                <w:color w:val="auto"/>
              </w:rPr>
            </w:pPr>
          </w:p>
        </w:tc>
        <w:tc>
          <w:tcPr>
            <w:tcW w:w="660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under our $135,000 revolving credit facility bearing interest at a floating rate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equal to LIBOR (2.75% at March 31, 2008) plus an applicable margin of 0.60 to</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66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0.925, expiring September 20, 2011.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70,476</w:t>
            </w: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40" w:type="dxa"/>
            <w:vAlign w:val="bottom"/>
          </w:tcPr>
          <w:p>
            <w:pPr>
              <w:spacing w:after="0"/>
              <w:rPr>
                <w:sz w:val="17"/>
                <w:szCs w:val="17"/>
                <w:color w:val="auto"/>
              </w:rPr>
            </w:pPr>
          </w:p>
        </w:tc>
        <w:tc>
          <w:tcPr>
            <w:tcW w:w="660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under our $40,000 aggregate principal amount of senior notes bearing interest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at a fixed rate of 4.89% maturing on April 26, 2014. Annual principal payments of</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66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$5,714 begin on April 26, 2008 and extend through the date of maturity.</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440" w:type="dxa"/>
            <w:vAlign w:val="bottom"/>
          </w:tcPr>
          <w:p>
            <w:pPr>
              <w:spacing w:after="0"/>
              <w:rPr>
                <w:sz w:val="17"/>
                <w:szCs w:val="17"/>
                <w:color w:val="auto"/>
              </w:rPr>
            </w:pPr>
          </w:p>
        </w:tc>
        <w:tc>
          <w:tcPr>
            <w:tcW w:w="660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 term note payable with customer related to acquiring equipment from customer as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part of long term supply agreement. Note carries a 0% rate of interest. Interest 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this note has been imputed at a rate of 5.41%. Note is reduced by applying a fixed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66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amount per piece purchased by customer.</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1,568</w:t>
            </w:r>
          </w:p>
        </w:tc>
      </w:tr>
      <w:tr>
        <w:trPr>
          <w:trHeight w:val="216"/>
        </w:trPr>
        <w:tc>
          <w:tcPr>
            <w:tcW w:w="1440" w:type="dxa"/>
            <w:vAlign w:val="bottom"/>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111,440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112,044</w:t>
            </w:r>
          </w:p>
        </w:tc>
      </w:tr>
      <w:tr>
        <w:trPr>
          <w:trHeight w:val="216"/>
        </w:trPr>
        <w:tc>
          <w:tcPr>
            <w:tcW w:w="14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66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11,851</w:t>
            </w:r>
          </w:p>
        </w:tc>
      </w:tr>
      <w:tr>
        <w:trPr>
          <w:trHeight w:val="216"/>
        </w:trPr>
        <w:tc>
          <w:tcPr>
            <w:tcW w:w="1440" w:type="dxa"/>
            <w:vAlign w:val="bottom"/>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1440" w:type="dxa"/>
            <w:vAlign w:val="bottom"/>
          </w:tcPr>
          <w:p>
            <w:pPr>
              <w:spacing w:after="0"/>
              <w:rPr>
                <w:sz w:val="20"/>
                <w:szCs w:val="20"/>
                <w:color w:val="auto"/>
              </w:rPr>
            </w:pPr>
          </w:p>
        </w:tc>
        <w:tc>
          <w:tcPr>
            <w:tcW w:w="66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Long-term debt, excluding current maturities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100,193</w:t>
            </w:r>
          </w:p>
        </w:tc>
      </w:tr>
      <w:tr>
        <w:trPr>
          <w:trHeight w:val="20"/>
        </w:trPr>
        <w:tc>
          <w:tcPr>
            <w:tcW w:w="1440" w:type="dxa"/>
            <w:vAlign w:val="bottom"/>
          </w:tcPr>
          <w:p>
            <w:pPr>
              <w:spacing w:after="0" w:line="20" w:lineRule="exact"/>
              <w:rPr>
                <w:sz w:val="1"/>
                <w:szCs w:val="1"/>
                <w:color w:val="auto"/>
              </w:rPr>
            </w:pPr>
          </w:p>
        </w:tc>
        <w:tc>
          <w:tcPr>
            <w:tcW w:w="6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current maturities of long-term debt as of March 31, 2008 are composed primarily of $4,643 of short term borrowings under the short term portion of the revolving credit facility and the $5,714 first installment on our senior notes due April 26, 2008.</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were in compliance with all covenants related to the $135.0 million credit facility and the $40.0 million senior notes as of March 31, 2008. The specific covenants to which we are subject are disclosed in our annual report on Form 10-K for the year ended December 31, 2007.</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 period ended March 31, 2008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Precision</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Plastic and</w:t>
            </w:r>
          </w:p>
        </w:tc>
        <w:tc>
          <w:tcPr>
            <w:tcW w:w="11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Rubber</w:t>
            </w:r>
          </w:p>
        </w:tc>
        <w:tc>
          <w:tcPr>
            <w:tcW w:w="11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Bearing</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1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440" w:type="dxa"/>
            <w:vAlign w:val="bottom"/>
          </w:tcPr>
          <w:p>
            <w:pPr>
              <w:spacing w:after="0"/>
              <w:rPr>
                <w:sz w:val="21"/>
                <w:szCs w:val="21"/>
                <w:color w:val="auto"/>
              </w:rPr>
            </w:pPr>
          </w:p>
        </w:tc>
        <w:tc>
          <w:tcPr>
            <w:tcW w:w="31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98"/>
              </w:rPr>
              <w:t>(In Thousands of Dollars)</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80" w:type="dxa"/>
            <w:vAlign w:val="bottom"/>
          </w:tcPr>
          <w:p>
            <w:pPr>
              <w:spacing w:after="0"/>
              <w:rPr>
                <w:sz w:val="21"/>
                <w:szCs w:val="21"/>
                <w:color w:val="auto"/>
              </w:rPr>
            </w:pPr>
          </w:p>
        </w:tc>
        <w:tc>
          <w:tcPr>
            <w:tcW w:w="96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1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44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99"/>
              </w:rPr>
              <w:t>Balance as of January 1, 2008</w:t>
            </w:r>
          </w:p>
        </w:tc>
        <w:tc>
          <w:tcPr>
            <w:tcW w:w="1780" w:type="dxa"/>
            <w:vAlign w:val="bottom"/>
            <w:tcBorders>
              <w:top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4,274</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9,442</w:t>
            </w: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39,471</w:t>
            </w:r>
          </w:p>
        </w:tc>
        <w:tc>
          <w:tcPr>
            <w:tcW w:w="2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Currency impacts</w:t>
            </w:r>
          </w:p>
        </w:tc>
        <w:tc>
          <w:tcPr>
            <w:tcW w:w="1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1,003</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318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99"/>
              </w:rPr>
              <w:t>Balance as of March 31, 2008</w:t>
            </w: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4,274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10,445</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40,474</w:t>
            </w:r>
          </w:p>
        </w:tc>
        <w:tc>
          <w:tcPr>
            <w:tcW w:w="20" w:type="dxa"/>
            <w:vAlign w:val="bottom"/>
          </w:tcPr>
          <w:p>
            <w:pPr>
              <w:spacing w:after="0"/>
              <w:rPr>
                <w:sz w:val="22"/>
                <w:szCs w:val="22"/>
                <w:color w:val="auto"/>
              </w:rPr>
            </w:pPr>
          </w:p>
        </w:tc>
      </w:tr>
      <w:tr>
        <w:trPr>
          <w:trHeight w:val="723"/>
        </w:trPr>
        <w:tc>
          <w:tcPr>
            <w:tcW w:w="46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Note 9.  Intangible assets, net of amortization</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0"/>
        </w:trPr>
        <w:tc>
          <w:tcPr>
            <w:tcW w:w="1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Precision Metal</w:t>
            </w:r>
          </w:p>
        </w:tc>
        <w:tc>
          <w:tcPr>
            <w:tcW w:w="17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Metal Bearing</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1440" w:type="dxa"/>
            <w:vAlign w:val="bottom"/>
          </w:tcPr>
          <w:p>
            <w:pPr>
              <w:spacing w:after="0"/>
              <w:rPr>
                <w:sz w:val="21"/>
                <w:szCs w:val="21"/>
                <w:color w:val="auto"/>
              </w:rPr>
            </w:pPr>
          </w:p>
        </w:tc>
        <w:tc>
          <w:tcPr>
            <w:tcW w:w="31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(In Thousands of Dollars)</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60" w:type="dxa"/>
            <w:vAlign w:val="bottom"/>
          </w:tcPr>
          <w:p>
            <w:pPr>
              <w:spacing w:after="0"/>
              <w:rPr>
                <w:sz w:val="21"/>
                <w:szCs w:val="21"/>
                <w:color w:val="auto"/>
              </w:rPr>
            </w:pPr>
          </w:p>
        </w:tc>
        <w:tc>
          <w:tcPr>
            <w:tcW w:w="17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44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99"/>
              </w:rPr>
              <w:t>Balance as of January 1, 2008</w:t>
            </w: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6,484</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1,895</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0" w:type="dxa"/>
            <w:vAlign w:val="bottom"/>
          </w:tcPr>
          <w:p>
            <w:pPr>
              <w:spacing w:after="0"/>
              <w:rPr>
                <w:sz w:val="18"/>
                <w:szCs w:val="18"/>
                <w:color w:val="auto"/>
              </w:rPr>
            </w:pPr>
          </w:p>
        </w:tc>
      </w:tr>
      <w:tr>
        <w:trPr>
          <w:trHeight w:val="239"/>
        </w:trPr>
        <w:tc>
          <w:tcPr>
            <w:tcW w:w="144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(199)</w:t>
            </w:r>
          </w:p>
        </w:tc>
        <w:tc>
          <w:tcPr>
            <w:tcW w:w="4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(154)</w:t>
            </w:r>
          </w:p>
        </w:tc>
        <w:tc>
          <w:tcPr>
            <w:tcW w:w="4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20"/>
                <w:szCs w:val="20"/>
                <w:color w:val="auto"/>
              </w:rPr>
            </w:pPr>
          </w:p>
        </w:tc>
      </w:tr>
      <w:tr>
        <w:trPr>
          <w:trHeight w:val="227"/>
        </w:trPr>
        <w:tc>
          <w:tcPr>
            <w:tcW w:w="144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impacts</w:t>
            </w:r>
          </w:p>
        </w:tc>
        <w:tc>
          <w:tcPr>
            <w:tcW w:w="1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18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9"/>
              </w:rPr>
              <w:t>Balance as of March 31, 2008</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6,285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1,771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2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Of the intangible assets within the Precision Metal Components Segment, the majority of the value is a customer relationship intangible with a net carrying value of $6,174. This intangible asset has an estimated useful life of 10 years and $167 of amortization expense was recorded in the first three months of 2008. The remainder of the intangibles is made up of a covenant not to compete and a favorable leasehold interest with net carrying values of $50 and $61, respectively. These items are amortizable over two and two and a half years, respectively, and $19 and $13 in amortization expense, respectively, was recorded in 2008. The accumulated amortization related to all of these intangible assets at March 31, 2008 was $895. Also, in the Precision Metal Components Segment is an intangible asset not subject to amortization of $900 related to the value of the trade names of Whirlaway.</w:t>
      </w:r>
    </w:p>
    <w:p>
      <w:pPr>
        <w:spacing w:after="0" w:line="21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Within the Metal Bearing Components Segment is a contract intangible. This intangible asset is subject to amortization over approximately 5 years and amortization expense will approximate $500 for each of the five years. For the three months ended March 31, 2008, the amortization expense totaled $154 and accumulated amortization totaled $1,114 at March 31, 2008.</w:t>
      </w:r>
    </w:p>
    <w:p>
      <w:pPr>
        <w:spacing w:after="0" w:line="2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Stock Compensation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three month periods ended March 31, 2008 and 2007, approximately $315 and $134, respectively, of compensation expense was recognized in selling, general and administrative expense for all share-based awards. On March 6, 2008, the Company granted 160,000 options to the non-executive directors, officers and certain other key employees.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6" w:right="27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option activity for the three month period ended March 31, 2008:</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38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3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Value ($000)</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2008</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11.69</w:t>
            </w: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0"/>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2008</w:t>
            </w: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18"/>
                <w:szCs w:val="18"/>
                <w:color w:val="auto"/>
              </w:rPr>
              <w:t xml:space="preserve">$ 1,587 </w:t>
            </w:r>
            <w:r>
              <w:rPr>
                <w:rFonts w:ascii="Times New Roman" w:cs="Times New Roman" w:eastAsia="Times New Roman" w:hAnsi="Times New Roman"/>
                <w:sz w:val="25"/>
                <w:szCs w:val="25"/>
                <w:color w:val="auto"/>
                <w:vertAlign w:val="superscript"/>
              </w:rPr>
              <w:t>(1)</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2008</w:t>
            </w: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  59 </w:t>
            </w:r>
            <w:r>
              <w:rPr>
                <w:rFonts w:ascii="Times New Roman" w:cs="Times New Roman" w:eastAsia="Times New Roman" w:hAnsi="Times New Roman"/>
                <w:sz w:val="25"/>
                <w:szCs w:val="25"/>
                <w:color w:val="auto"/>
                <w:vertAlign w:val="superscript"/>
              </w:rPr>
              <w:t>(1)</w:t>
            </w:r>
          </w:p>
        </w:tc>
      </w:tr>
      <w:tr>
        <w:trPr>
          <w:trHeight w:val="21"/>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Intrinsic value is the amount by which the market price of the stock was greater than the exercise price of each individual option grant at March 31,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recognized compensation costs before tax for restricted stock awards in the three month periods ended March 31, 2008 and 2007 were approximately $15 and $13, respectively. The unrecognized compensation cost before tax for these awards at March 31, 2008 and 2007 total approximately $16 and $103, respectively, to be recognized over approximately three months and one year and three months, respectively. As of March 31, 2008, the actual cumulative forfeiture rate of the awards granted was approximately 10%. During the three month period ended March 31, 2008, there have not been any shares granted, vested or forfeited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compensation expense recognized during the three month periods ended March 31, 2008 and 2007 related to this plan was $113 and $0. At March 31, 2008 there was $792 of unrecognized compensation cost, before tax, to be recognized over approximately one year and nine months. During the three month period ended March 31, 2008, there have not been any performance units granted, vested or forfeited</w:t>
      </w:r>
    </w:p>
    <w:p>
      <w:pPr>
        <w:spacing w:after="0" w:line="22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Provision for Income Taxes</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2008, the difference between the federal statutory tax rate of 34% and our effective tax rate of 30% is due to non-U.S. based earnings taxed at lower rates. The income tax rates in many of the foreign countries in which we operate are lower than the U.S federal rate. In addition, we utilized net operating loss carryforwards to offset taxable income at our German and Slovakian operations.</w:t>
      </w:r>
    </w:p>
    <w:p>
      <w:pPr>
        <w:spacing w:after="0" w:line="2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The Company has contributed to an escrow fund along with 42 other potentially responsible parties for the purpose of investigating and addressing the environmental issues at the facility. The Company’s contribution through the end of March 31, 2008 to the account was $23. A Remedial Investigation and Risk Assessment report funded by the escrow fund was submitted to the EPA in December 2007. As of the date of this report, we do not know whether we have any liability beyond the contribution to the escrow account mentioned earlier, related to this vendor’s actions, or estimatable range for any potential liability. The Company believes its contribution to the remediation of the site, if any, would be approximately 1.083% or less of the volume of waste sent to the facility and the Company asserts that its waste was non-hazardous.</w:t>
      </w:r>
    </w:p>
    <w:p>
      <w:pPr>
        <w:spacing w:after="0" w:line="21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risk factors are disclosed in our Annual Report on Form 10-K for the fiscal year ended December 31, 2007 under Item 1.A. “Risk Factors”. There have been no material changes to these risk factors since December 31, 2007.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2008 Compared to the Three Months Ended March 31, 2007.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 RESULTS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144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144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121,542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107,944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13,598</w:t>
            </w:r>
          </w:p>
        </w:tc>
      </w:tr>
      <w:tr>
        <w:trPr>
          <w:trHeight w:val="198"/>
        </w:trPr>
        <w:tc>
          <w:tcPr>
            <w:tcW w:w="1440" w:type="dxa"/>
            <w:vAlign w:val="bottom"/>
          </w:tcPr>
          <w:p>
            <w:pPr>
              <w:spacing w:after="0"/>
              <w:rPr>
                <w:sz w:val="17"/>
                <w:szCs w:val="17"/>
                <w:color w:val="auto"/>
              </w:rPr>
            </w:pPr>
          </w:p>
        </w:tc>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products sold (exclusive of depreciation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440" w:type="dxa"/>
            <w:vAlign w:val="bottom"/>
          </w:tcPr>
          <w:p>
            <w:pPr>
              <w:spacing w:after="0"/>
              <w:rPr>
                <w:sz w:val="20"/>
                <w:szCs w:val="20"/>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amortization shown separately below)</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96,494</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85,082</w:t>
            </w: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11,412</w:t>
            </w:r>
          </w:p>
        </w:tc>
      </w:tr>
      <w:tr>
        <w:trPr>
          <w:trHeight w:val="216"/>
        </w:trPr>
        <w:tc>
          <w:tcPr>
            <w:tcW w:w="14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14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14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4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4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144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7,311</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14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1440" w:type="dxa"/>
            <w:vAlign w:val="bottom"/>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1,347</w:t>
            </w:r>
          </w:p>
        </w:tc>
      </w:tr>
      <w:tr>
        <w:trPr>
          <w:trHeight w:val="21"/>
        </w:trPr>
        <w:tc>
          <w:tcPr>
            <w:tcW w:w="14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Sales have increased due to the appreciation in value of Euro denominated sales relative to the U.S. Dollar ($8.7 million). In addition, sales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due to higher sales volume primarily in our Metal Bearings Components Segment due to market share gains and strong levels of industrial end market demand in North America and Europe ($5.7 million). Finally, sales have increased due to price increases from passing through raw material inflation to customers ($1.0 million). Partially offsetting these increases are price decreases given to several large customers in agreement with contractual terms ($0.6 million), unfavorable product mix to existing customers ($0.8 million), and unfavorable currency mix at our European operations due to non-Euro denominated sales having less value relative to the Euro ($0.4 million).</w:t>
      </w:r>
    </w:p>
    <w:p>
      <w:pPr>
        <w:spacing w:after="0" w:line="2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(exclusive of depreciation and amortization). </w:t>
      </w:r>
      <w:r>
        <w:rPr>
          <w:rFonts w:ascii="Times New Roman" w:cs="Times New Roman" w:eastAsia="Times New Roman" w:hAnsi="Times New Roman"/>
          <w:sz w:val="18"/>
          <w:szCs w:val="18"/>
          <w:color w:val="auto"/>
        </w:rPr>
        <w:t>Cost of products sold increased primarily due to the increase in value of Euro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denominated costs relative to the U.S. Dollar ($6.9 million). In addition, cost of products sold increased due to higher sales volumes primarily in our Metal Bearing Components Segment ($4.3 million). Furthermore, these costs increased due to unfavorable mix of products sold ($0.5 million). Finally, raw material, labor and utility inflation increased the total ($2.1 million). Offsetting these increases were favorable impacts from our Level 3 cost reduction program and other planned projects focused on reducing cost of manufacturing and from operating improvements at our three newest operations: Whirlaway, China, and Slovakia ($2.4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The increase was primarily due to the increase in the value of Euro denominated cost relative to the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($0.6 million). Additionally, expenses were higher due to greater share-based compensation expense ($0.2 million).</w:t>
      </w:r>
    </w:p>
    <w:p>
      <w:pPr>
        <w:spacing w:after="0" w:line="23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These costs are higher due to the increase in the value of the Euro based depreciation and amortization relative to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 ($0.4 million). Additionally, depreciation expense increased for depreciation on assets placed in service at our new plants in China and Slovakia ($0.3 million).</w:t>
      </w:r>
    </w:p>
    <w:p>
      <w:pPr>
        <w:spacing w:after="0" w:line="20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is lower due to decreases in the base Libor interest rate which reduced the cost of borrowing under our variable rate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0" w:right="279" w:bottom="1440" w:gutter="0" w:footer="0" w:header="0"/>
        </w:sectPr>
      </w:pPr>
    </w:p>
    <w:bookmarkStart w:id="13" w:name="page14"/>
    <w:bookmarkEnd w:id="13"/>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2008 first quarter effective rate of 30.2% was lower than the 2007 first quarter effective rate of 39.4% due to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reductions in Italy, higher levels of income in lower tax rate countries and due to offsetting German and Slovakian taxable income with net-operating loss carry forwards.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BY SEGMENT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9"/>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METAL BEARING COMPONENTS SEGMENT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7"/>
        </w:trPr>
        <w:tc>
          <w:tcPr>
            <w:tcW w:w="144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9"/>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440" w:type="dxa"/>
            <w:vAlign w:val="bottom"/>
          </w:tcPr>
          <w:p>
            <w:pPr>
              <w:spacing w:after="0"/>
              <w:rPr>
                <w:sz w:val="21"/>
                <w:szCs w:val="21"/>
                <w:color w:val="auto"/>
              </w:rPr>
            </w:pPr>
          </w:p>
        </w:tc>
        <w:tc>
          <w:tcPr>
            <w:tcW w:w="5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90,441</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13,156</w:t>
            </w:r>
          </w:p>
        </w:tc>
      </w:tr>
      <w:tr>
        <w:trPr>
          <w:trHeight w:val="216"/>
        </w:trPr>
        <w:tc>
          <w:tcPr>
            <w:tcW w:w="1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5,973</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1,090</w:t>
            </w:r>
          </w:p>
        </w:tc>
      </w:tr>
    </w:tbl>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sales increase in the Metal Bearing Components Segment was primarily due to the positive impacts from the rise in value of Euro based sales relative to the U.S. Dollar ($8.7 million). Additionally, the Metal Bearing Components Segment experienced higher sales volume in North America, Europe and Asia due to new programs, market share gains, and strong European and North American industrial end market demand ($5.4 million). Finally, sales increased due to price increases related to passing through raw material inflation to customers ($1.0 million). These increases were partially offset by unfavorable product mix ($0.8 million), unfavorable currency mix at our European operations from non-Euro denominated sales having less value relative to the Euro ($0.4 million) and due to contractual price decreases to certain large customers ($0.8 million).</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Segment net income increased due to the higher sales volume ($1.0 million) and production efficiencies from our Level 3 program and other cost reduction initiatives especially at our Asia and Slovakia operations ($1.2 million). In addition, net income increased due to a reduction in the effective tax rate resulting from the lowering of Italian tax rates, utilization of net operating losses to eliminate German and Slovakian taxable income and higher levels of income in low tax countries ($0.6 million). Offsetting these gains were inflation impacts, net of material price pass through ($0.5 million) and unfavorable sales price/mix impacts ($1.2 million).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PRECISION METAL COMPONENTS SEGMENT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7"/>
        </w:trPr>
        <w:tc>
          <w:tcPr>
            <w:tcW w:w="14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9"/>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440" w:type="dxa"/>
            <w:vAlign w:val="bottom"/>
          </w:tcPr>
          <w:p>
            <w:pPr>
              <w:spacing w:after="0"/>
              <w:rPr>
                <w:sz w:val="21"/>
                <w:szCs w:val="21"/>
                <w:color w:val="auto"/>
              </w:rPr>
            </w:pPr>
          </w:p>
        </w:tc>
        <w:tc>
          <w:tcPr>
            <w:tcW w:w="5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19,099</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1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r>
    </w:tbl>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Sales at the Precision Metal Components Segment were higher due to increased sales volume ($1.1 million). The volume increased as demand at our largest heating, ventilation and air conditioning equipment customer began to normalize from unusually low levels in 2007 and due to new business with other customers.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segment’s net income was higher due to the increased sales volume ($0.2 million). In addition, net income was higher due to production efficiencies in labor and manufacturing supplies ($0.4 million).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PLASTIC AND RUBBER COMPONENTS SEGMENT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7"/>
        </w:trPr>
        <w:tc>
          <w:tcPr>
            <w:tcW w:w="144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9"/>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440" w:type="dxa"/>
            <w:vAlign w:val="bottom"/>
          </w:tcPr>
          <w:p>
            <w:pPr>
              <w:spacing w:after="0"/>
              <w:rPr>
                <w:sz w:val="21"/>
                <w:szCs w:val="21"/>
                <w:color w:val="auto"/>
              </w:rPr>
            </w:pPr>
          </w:p>
        </w:tc>
        <w:tc>
          <w:tcPr>
            <w:tcW w:w="5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4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12,002</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1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Revenues in the Plastic and Rubber Components Segment were down due to lower sales volume in the automotive market ($0.8 million). The lower sales were due to a general downturn in that market and the effects of a strike at a major U.S. automotive supplier which affected several of our customers’ sales volumes. This decrease was partially offset by the impact of price increases at certain customers ($0.2 million).</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Segment net income was negatively affected by the volume decreases in sales net of cost of goods sold ($0.2 million). Planned cost reduction projects offset inflationary impacts.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assets and current assets increased approximately $16.6 million and $6.2 million, respectively, from the December 31, 2007 balance due to appreciation of Euro denominated account balances relative to the U.S. Dollar. Factoring out the foreign exchange effects, accounts receivable was higher due to increased sales volume in the first quarter of 2008 over the fourth quarter of 2007 and due to timing of certain customer payments ($12.8 million). Inventories were higher ($1.2 million) due to increased production levels in the first quarter of 2008. Factoring out foreign exchange effects, property, plant and equipment decreased as year to date capital spending has been lower than depreciation ($1.1 million).</w:t>
      </w:r>
    </w:p>
    <w:p>
      <w:pPr>
        <w:spacing w:after="0" w:line="2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Total liabilities and current liabilities increased approximately $6.3 million and $4.4 million, respectively, from the December 31, 2007 balance due to appreciation of Euro denominated balances relative to the U.S. Dollar. Factoring out the foreign exchange effects, the accounts payable growth was primarily due to increased purchasing levels from higher production levels in the first quarter of 2008 ($4.0 million). In addition, due to the declared but unpaid dividend, liabilities increased in the first quarter ($1.3 million). Finally, liabilities increased due to the accrual of taxes owed on first quarter income ($1.7 million).</w:t>
      </w:r>
    </w:p>
    <w:p>
      <w:pPr>
        <w:spacing w:after="0" w:line="2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Working capital, which consists principally of accounts receivable and inventories offset by accounts payable, was $61.1 million at March 31, 2008 as compared to $53.8 million at December 31, 2007. The ratio of current assets to current liabilities decreased from 1.64:1 at December 31, 2007 to 1.63:1 at March 31, 2008. The increase in working capital, net of foreign exchange impacts, was due primarily to the increase in accounts receivable balances ($12.8 million). Offsetting the increase in receivables was an increase in accounts payable ($4.0 million), an increase in income taxes payable ($1.7 million), and the addition of dividends payable ($1.3 million) for the first quarter dividend declared and not paid.</w:t>
      </w:r>
    </w:p>
    <w:p>
      <w:pPr>
        <w:spacing w:after="0" w:line="21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flow provided by operations was $4.4 million during the first three months of 2008 compared with cash flow used by operations of $0.1 million during the first three months of 2007. The increase in cash flow provided by operations was due to increased net income and increases in accounts payable and income taxes payable.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Amounts outstanding under our $135.0 million credit facility and our $40.0 million notes as of March 31, 2008 were $70.2 million and $40.0 million, respectively. See Note 7 of the Notes to Consolidated Financial Statements. We were in compliance with all covenants of our $135.0 million credit facility and our $40.0 million senior notes as of March 31, 2008. As of March 31, 2008, the Company had $64.8 million of availability under the $135.0 million revolving credit facility.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5" w:name="page16"/>
    <w:bookmarkEnd w:id="15"/>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Many of our locations use the Euro as their functional currency. In 2008, the fluctuation of the Euro against the U.S. Dollar favorably impacted revenue and income and increased the value of assets and liabilities, as the average Euro exchange rate was higher for the three months ended March 31, 2008 compared with the three months ended March 31, 2007 and the spot rate at March 31, 2008 was higher than the exchange rate at December 31, 2007. As of March 31, 2008, no currency hedges were in place. Changes in value of the U.S. Dollar and/or Euro against foreign currencies could impair our ability to compete with international competitors for foreign as well as domestic sales.</w:t>
      </w:r>
    </w:p>
    <w:p>
      <w:pPr>
        <w:spacing w:after="0" w:line="21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2008, we plan to spend approximately $18.5 million on capital expenditures. Of this amount, approximately $4.9 million has been spent through March 31, 2008. We intend to finance future fixed asset purchases with cash generated from operations and funds available under the credit facilities described above. We believe that funds generated from operations and borrowings from the credit facilities will be sufficient to finance our working capital needs, projected capital expenditure requirements, stock repurchase program and dividend payments through December 2008.</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third quarter of 2007, our Board of Directors authorized a new stock repurchase program under which we are authorized to repurchase up to $25 million in our common stock during the subsequent 12 months in the open market or in private transactions, in accordance with applicable laws and regulations. During the three month period ended March 31, 2008, the Company did not repurchase any shares under this plan or make any other repurchases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2008, a dividend was declared on March 31, 2008 totaling $1.3 million. This dividend was paid on April 30, 2008.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Historically, our net sales in the Metal Bearing Components Segment historically have been of a seasonal nature due to the fact that a significant portion of our sales are to European customers that have significantly slower production during the month of August.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significant accounting policies, including the assumptions and judgments underlying them, are disclosed in our annual report on Form 10-K for the year ended December 31, 2007,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three month period ended March 31, 2008 was adoption of SFAS 157 and SFAS 159 related to accounting for financial assets and liabilities under fair value. SFAS 157 and SFAS 159 have had no effect on the financial statements for the three month period ended March 31, 2008.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Concentration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supply agreements with SKF for tapered rollers and steel cages and with the Schaeffler Group for steel balls expire May 1, 2008 and June 30, 2008, respectively. We are in the process of negotiating new supply contracts with both of these customers. Generally upon expiration of a supply contract, sales continue under the same commercial terms until new contracts are finalized. Upon finalizing the new contracts, generally the terms are retroactive to the date the prior contract expired.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Restructuring</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previously mentioned in our annual report on Form 10-K for the year ended December 31, 2007, during the first quarter of 2008 we officially signed an agreement with representatives of the Eltmann, Germany plant employees that contained significant contract revisions including new wage rates and increase hours worked per week. This contract is in effect for two years. During this time we have agreed not to involuntarily downsize employment levels at this location.</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After the contract has expired, it is possible we might incur significant cash and non-cash restructuring costs and impairment charges related to reducing or eliminating the work force at this location.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2008, we had $70.2 million outstanding under our variable rate revolving credit facilities and $40.0 million fixed rate senior notes outstanding. See Note 7 of the Notes to Consolidated Financial Statements. At March 31, 2008, a one-percent increase in the interest rate charged on our outstanding variable rate borrowings would result in interest expense increasing annually by approximately $0.7 million.</w:t>
      </w:r>
    </w:p>
    <w:p>
      <w:pPr>
        <w:spacing w:after="0" w:line="2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did not hold a position in any foreign currency hedging instruments as of March 31, 2008.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18"/>
          <w:szCs w:val="18"/>
          <w:b w:val="1"/>
          <w:bCs w:val="1"/>
          <w:color w:val="auto"/>
        </w:rPr>
        <w:t>Controls and Procedures</w:t>
      </w:r>
    </w:p>
    <w:p>
      <w:pPr>
        <w:spacing w:after="0" w:line="2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management, including the Chief Executive Officer and Chief Financial Officer, concluded that our disclosure controls and procedures are effective as of March 31, 2008, the end of the period covered by this quarterly report.</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2008, management remediated a material weakness in our internal control over the accounting for impairment of customer relationship intangible assets that occurred during the three month periods ended June 30, 2007 and September 30, 2007. Management’s remediation efforts focused on applying a correct interpretation of SFAS 144,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in evaluating whether the Company’s intangible assets are impaired. Please refer to the amended Quarterly Reports on Form 10-Q/A for the three month periods ended June 30, 2007 and September 30, 2007 filed with the Securities and Exchange Commission on February 27, 2008 for further information.</w:t>
      </w:r>
    </w:p>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fiscal quarter ended March 31, 2008 in our internal control over financial reporting or in other factors that have materially affected, or are reasonably likely to materially affect, our internal control over financial reporting other than the remediation of the material weakness discussed above.</w:t>
      </w: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The Company has contributed to an escrow fund along with 42 other potentially responsible parties for the purpose of investigating and addressing the environmental issues at the facility. The Company’s contribution through the end of March 31, 2008 to the account was $23. A Remedial Investigation and Risk Assessment report funded by the escrow fund was submitted to the EPA in December 2007. As of the date of this report, we do not know whether we have any liability beyond the contribution to the escrow account mentioned earlier, related to this vendor’s actions, or estimatable range for any potential liability. The Company believes its contribution to the remediation of the site, if any, would be approximately 1.083% or less of the volume of waste sent to the facility and the Company asserts that its waste was non-hazardous.</w:t>
      </w:r>
    </w:p>
    <w:p>
      <w:pPr>
        <w:spacing w:after="0" w:line="21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not been any material changes in risk factors from those disclosed our annual report on Form 10-K for the year ended December 31, 2007 filed on March 17, 2008.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860" w:hanging="18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860" w:hanging="18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left="860" w:hanging="18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2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31.1 Certification of Chief Executive Officer pursuant to Section 302 of Sarbanes-Oxley Act.</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31.2 Certification of Chief Financial Officer pursuant to Section 302 of Sarbanes-Oxley Act.</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32.1 Certification of Chief Executive Officer pursuant to Section 906 of Sarbanes-Oxley Act.</w:t>
      </w:r>
    </w:p>
    <w:p>
      <w:pPr>
        <w:spacing w:after="0" w:line="2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32.2  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18" w:name="page19"/>
    <w:bookmarkEnd w:id="18"/>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8, 2008</w:t>
      </w:r>
      <w:r>
        <w:rPr>
          <w:sz w:val="20"/>
          <w:szCs w:val="20"/>
          <w:color w:val="auto"/>
        </w:rPr>
        <w:tab/>
      </w:r>
      <w:r>
        <w:rPr>
          <w:rFonts w:ascii="Times New Roman" w:cs="Times New Roman" w:eastAsia="Times New Roman" w:hAnsi="Times New Roman"/>
          <w:sz w:val="18"/>
          <w:szCs w:val="18"/>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Roderick R. Baty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8, 2008</w:t>
      </w:r>
      <w:r>
        <w:rPr>
          <w:sz w:val="20"/>
          <w:szCs w:val="20"/>
          <w:color w:val="auto"/>
        </w:rPr>
        <w:tab/>
      </w:r>
      <w:r>
        <w:rPr>
          <w:rFonts w:ascii="Times New Roman" w:cs="Times New Roman" w:eastAsia="Times New Roman" w:hAnsi="Times New Roman"/>
          <w:sz w:val="18"/>
          <w:szCs w:val="18"/>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James H. Dorton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 Corporate Development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8, 2008</w:t>
      </w:r>
      <w:r>
        <w:rPr>
          <w:sz w:val="20"/>
          <w:szCs w:val="20"/>
          <w:color w:val="auto"/>
        </w:rPr>
        <w:tab/>
      </w:r>
      <w:r>
        <w:rPr>
          <w:rFonts w:ascii="Times New Roman" w:cs="Times New Roman" w:eastAsia="Times New Roman" w:hAnsi="Times New Roman"/>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William C. Kelly, Jr.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Administrative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7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8, 2008</w:t>
      </w:r>
      <w:r>
        <w:rPr>
          <w:sz w:val="20"/>
          <w:szCs w:val="20"/>
          <w:color w:val="auto"/>
        </w:rPr>
        <w:tab/>
      </w:r>
      <w:r>
        <w:rPr>
          <w:rFonts w:ascii="Times New Roman" w:cs="Times New Roman" w:eastAsia="Times New Roman" w:hAnsi="Times New Roman"/>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Corporate Controller</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25" w:right="439" w:bottom="1440" w:gutter="0" w:footer="0" w:header="0"/>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Roderick R. Baty, certify that:</w:t>
      </w:r>
    </w:p>
    <w:p>
      <w:pPr>
        <w:spacing w:after="0" w:line="279"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279" w:lineRule="exact"/>
        <w:rPr>
          <w:rFonts w:ascii="Times New Roman" w:cs="Times New Roman" w:eastAsia="Times New Roman" w:hAnsi="Times New Roman"/>
          <w:sz w:val="18"/>
          <w:szCs w:val="18"/>
          <w:color w:val="auto"/>
        </w:rPr>
      </w:pPr>
    </w:p>
    <w:p>
      <w:pPr>
        <w:ind w:right="260" w:firstLine="8"/>
        <w:spacing w:after="0" w:line="282"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Times New Roman" w:cs="Times New Roman" w:eastAsia="Times New Roman" w:hAnsi="Times New Roman"/>
          <w:sz w:val="18"/>
          <w:szCs w:val="18"/>
          <w:color w:val="auto"/>
        </w:rPr>
      </w:pPr>
    </w:p>
    <w:p>
      <w:pPr>
        <w:ind w:right="240" w:firstLine="8"/>
        <w:spacing w:after="0" w:line="282"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ind w:firstLine="8"/>
        <w:spacing w:after="0" w:line="266"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960" w:hanging="297"/>
        <w:spacing w:after="0" w:line="266"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307"/>
        <w:spacing w:after="0" w:line="266"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297"/>
        <w:spacing w:after="0" w:line="266"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307"/>
        <w:spacing w:after="0" w:line="266"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8"/>
          <w:szCs w:val="18"/>
          <w:color w:val="auto"/>
        </w:rPr>
      </w:pPr>
    </w:p>
    <w:p>
      <w:pPr>
        <w:ind w:right="160" w:firstLine="8"/>
        <w:spacing w:after="0" w:line="282"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960" w:hanging="297"/>
        <w:spacing w:after="0" w:line="28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hanging="307"/>
        <w:spacing w:after="0" w:line="282" w:lineRule="auto"/>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Date: May 8, 2008</w:t>
      </w:r>
      <w:r>
        <w:rPr>
          <w:sz w:val="20"/>
          <w:szCs w:val="20"/>
          <w:color w:val="auto"/>
        </w:rPr>
        <w:tab/>
      </w:r>
      <w:r>
        <w:rPr>
          <w:rFonts w:ascii="Times New Roman" w:cs="Times New Roman" w:eastAsia="Times New Roman" w:hAnsi="Times New Roman"/>
          <w:sz w:val="17"/>
          <w:szCs w:val="17"/>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43180</wp:posOffset>
            </wp:positionV>
            <wp:extent cx="2529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Roderick R. Baty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420"/>
          </w:cols>
          <w:pgMar w:left="240" w:top="117"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 Dorton, certify that:</w:t>
      </w:r>
    </w:p>
    <w:p>
      <w:pPr>
        <w:spacing w:after="0" w:line="279"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279" w:lineRule="exact"/>
        <w:rPr>
          <w:rFonts w:ascii="Times New Roman" w:cs="Times New Roman" w:eastAsia="Times New Roman" w:hAnsi="Times New Roman"/>
          <w:sz w:val="18"/>
          <w:szCs w:val="18"/>
          <w:color w:val="auto"/>
        </w:rPr>
      </w:pPr>
    </w:p>
    <w:p>
      <w:pPr>
        <w:ind w:right="260" w:firstLine="8"/>
        <w:spacing w:after="0" w:line="282"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Times New Roman" w:cs="Times New Roman" w:eastAsia="Times New Roman" w:hAnsi="Times New Roman"/>
          <w:sz w:val="18"/>
          <w:szCs w:val="18"/>
          <w:color w:val="auto"/>
        </w:rPr>
      </w:pPr>
    </w:p>
    <w:p>
      <w:pPr>
        <w:ind w:right="240" w:firstLine="8"/>
        <w:spacing w:after="0" w:line="282"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60" w:firstLine="8"/>
        <w:spacing w:after="0" w:line="266" w:lineRule="auto"/>
        <w:tabs>
          <w:tab w:leader="none" w:pos="5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960" w:hanging="297"/>
        <w:spacing w:after="0" w:line="266"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307"/>
        <w:spacing w:after="0" w:line="266"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297"/>
        <w:spacing w:after="0" w:line="266"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307"/>
        <w:spacing w:after="0" w:line="266"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8"/>
        <w:spacing w:after="0" w:line="282" w:lineRule="auto"/>
        <w:tabs>
          <w:tab w:leader="none" w:pos="3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960" w:hanging="297"/>
        <w:spacing w:after="0" w:line="282" w:lineRule="auto"/>
        <w:tabs>
          <w:tab w:leader="none" w:pos="19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700" w:hanging="287"/>
        <w:spacing w:after="0" w:line="282" w:lineRule="auto"/>
        <w:tabs>
          <w:tab w:leader="none" w:pos="1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Date: May 8, 2008</w:t>
      </w:r>
      <w:r>
        <w:rPr>
          <w:sz w:val="20"/>
          <w:szCs w:val="20"/>
          <w:color w:val="auto"/>
        </w:rPr>
        <w:tab/>
      </w:r>
      <w:r>
        <w:rPr>
          <w:rFonts w:ascii="Times New Roman" w:cs="Times New Roman" w:eastAsia="Times New Roman" w:hAnsi="Times New Roman"/>
          <w:sz w:val="17"/>
          <w:szCs w:val="17"/>
          <w:color w:val="auto"/>
        </w:rPr>
        <w:t>/s/James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James H. Dorton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 Corporate Development and</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Date: May 8, 2008</w:t>
      </w:r>
      <w:r>
        <w:rPr>
          <w:sz w:val="20"/>
          <w:szCs w:val="20"/>
          <w:color w:val="auto"/>
        </w:rPr>
        <w:tab/>
      </w:r>
      <w:r>
        <w:rPr>
          <w:rFonts w:ascii="Times New Roman" w:cs="Times New Roman" w:eastAsia="Times New Roman" w:hAnsi="Times New Roman"/>
          <w:sz w:val="17"/>
          <w:szCs w:val="17"/>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43180</wp:posOffset>
            </wp:positionV>
            <wp:extent cx="25298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Roderick R. Baty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March 31,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Date: May 8, 2008</w:t>
      </w:r>
      <w:r>
        <w:rPr>
          <w:sz w:val="20"/>
          <w:szCs w:val="20"/>
          <w:color w:val="auto"/>
        </w:rPr>
        <w:tab/>
      </w:r>
      <w:r>
        <w:rPr>
          <w:rFonts w:ascii="Times New Roman" w:cs="Times New Roman" w:eastAsia="Times New Roman" w:hAnsi="Times New Roman"/>
          <w:sz w:val="17"/>
          <w:szCs w:val="17"/>
          <w:color w:val="auto"/>
        </w:rPr>
        <w:t>/s/James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James H. Dorton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 Corporate Development</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2019-12-14T02:35:00Z</dcterms:created>
  <dcterms:modified xsi:type="dcterms:W3CDTF">2019-12-14T02:35:00Z</dcterms:modified>
</cp:coreProperties>
</file>