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700" w:right="4380"/>
        <w:spacing w:after="0"/>
        <w:rPr>
          <w:sz w:val="20"/>
          <w:szCs w:val="20"/>
          <w:color w:val="auto"/>
        </w:rPr>
      </w:pPr>
      <w:r>
        <w:rPr>
          <w:rFonts w:ascii="Courier New" w:cs="Courier New" w:eastAsia="Courier New" w:hAnsi="Courier New"/>
          <w:sz w:val="15"/>
          <w:szCs w:val="15"/>
          <w:color w:val="auto"/>
        </w:rPr>
        <w:t>As filed with the Securities and Exchange Commission on February 6, 2003 Registration No. 333-100119</w:t>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28"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b w:val="1"/>
          <w:bCs w:val="1"/>
          <w:color w:val="auto"/>
        </w:rPr>
        <w:t>UNITED STATES</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b w:val="1"/>
          <w:bCs w:val="1"/>
          <w:color w:val="auto"/>
        </w:rPr>
        <w:t>SECURITIES AND EXCHANGE COMMISSION</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b w:val="1"/>
          <w:bCs w:val="1"/>
          <w:color w:val="auto"/>
        </w:rPr>
        <w:t>WASHINGTON, D.C. 20549</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b w:val="1"/>
          <w:bCs w:val="1"/>
          <w:color w:val="auto"/>
        </w:rPr>
        <w:t>Amendment No. 2</w:t>
      </w:r>
    </w:p>
    <w:p>
      <w:pPr>
        <w:spacing w:after="0" w:line="2"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b w:val="1"/>
          <w:bCs w:val="1"/>
          <w:color w:val="auto"/>
        </w:rPr>
        <w:t>to</w:t>
      </w:r>
    </w:p>
    <w:p>
      <w:pPr>
        <w:spacing w:after="0" w:line="2"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b w:val="1"/>
          <w:bCs w:val="1"/>
          <w:color w:val="auto"/>
        </w:rPr>
        <w:t>FORM S-3</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b w:val="1"/>
          <w:bCs w:val="1"/>
          <w:color w:val="auto"/>
        </w:rPr>
        <w:t>REGISTRATION STATEMENT</w:t>
      </w:r>
    </w:p>
    <w:p>
      <w:pPr>
        <w:spacing w:after="0" w:line="2"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b w:val="1"/>
          <w:bCs w:val="1"/>
          <w:color w:val="auto"/>
        </w:rPr>
        <w:t>UNDER</w:t>
      </w:r>
    </w:p>
    <w:p>
      <w:pPr>
        <w:spacing w:after="0" w:line="2"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b w:val="1"/>
          <w:bCs w:val="1"/>
          <w:color w:val="auto"/>
        </w:rPr>
        <w:t>THE SECURITIES ACT OF 1933</w:t>
      </w:r>
    </w:p>
    <w:p>
      <w:pPr>
        <w:spacing w:after="0" w:line="346"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18"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b w:val="1"/>
          <w:bCs w:val="1"/>
          <w:color w:val="auto"/>
        </w:rPr>
        <w:t>NN, Inc.</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(Exact name of registrant as</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specified in its charter)</w:t>
      </w:r>
    </w:p>
    <w:p>
      <w:pPr>
        <w:sectPr>
          <w:pgSz w:w="11900" w:h="16838" w:orient="portrait"/>
          <w:cols w:equalWidth="0" w:num="1">
            <w:col w:w="11520"/>
          </w:cols>
          <w:pgMar w:left="240" w:top="577" w:right="139" w:bottom="0" w:gutter="0" w:footer="0" w:header="0"/>
        </w:sectPr>
      </w:pPr>
    </w:p>
    <w:p>
      <w:pPr>
        <w:spacing w:after="0" w:line="346"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b w:val="1"/>
          <w:bCs w:val="1"/>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12"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of incorporation or</w:t>
      </w:r>
    </w:p>
    <w:p>
      <w:pPr>
        <w:spacing w:after="0" w:line="2"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organization)</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b w:val="1"/>
          <w:bCs w:val="1"/>
          <w:color w:val="auto"/>
        </w:rPr>
        <w:t>62-1096725</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355" w:lineRule="exact"/>
        <w:rPr>
          <w:sz w:val="24"/>
          <w:szCs w:val="24"/>
          <w:color w:val="auto"/>
        </w:rPr>
      </w:pPr>
    </w:p>
    <w:p>
      <w:pPr>
        <w:sectPr>
          <w:pgSz w:w="11900" w:h="16838" w:orient="portrait"/>
          <w:cols w:equalWidth="0" w:num="2">
            <w:col w:w="4460" w:space="720"/>
            <w:col w:w="6340"/>
          </w:cols>
          <w:pgMar w:left="240" w:top="577" w:right="139" w:bottom="0" w:gutter="0" w:footer="0" w:header="0"/>
          <w:type w:val="continuous"/>
        </w:sectPr>
      </w:pPr>
    </w:p>
    <w:p>
      <w:pPr>
        <w:ind w:left="2580"/>
        <w:spacing w:after="0"/>
        <w:rPr>
          <w:sz w:val="20"/>
          <w:szCs w:val="20"/>
          <w:color w:val="auto"/>
        </w:rPr>
      </w:pPr>
      <w:r>
        <w:rPr>
          <w:rFonts w:ascii="Courier New" w:cs="Courier New" w:eastAsia="Courier New" w:hAnsi="Courier New"/>
          <w:sz w:val="15"/>
          <w:szCs w:val="15"/>
          <w:b w:val="1"/>
          <w:bCs w:val="1"/>
          <w:color w:val="auto"/>
        </w:rPr>
        <w:t>2000 Waters Edge Drive</w:t>
      </w:r>
    </w:p>
    <w:p>
      <w:pPr>
        <w:spacing w:after="0" w:line="4" w:lineRule="exact"/>
        <w:rPr>
          <w:sz w:val="24"/>
          <w:szCs w:val="24"/>
          <w:color w:val="auto"/>
        </w:rPr>
      </w:pPr>
    </w:p>
    <w:p>
      <w:pPr>
        <w:ind w:left="2320"/>
        <w:spacing w:after="0"/>
        <w:rPr>
          <w:sz w:val="20"/>
          <w:szCs w:val="20"/>
          <w:color w:val="auto"/>
        </w:rPr>
      </w:pPr>
      <w:r>
        <w:rPr>
          <w:rFonts w:ascii="Courier New" w:cs="Courier New" w:eastAsia="Courier New" w:hAnsi="Courier New"/>
          <w:sz w:val="14"/>
          <w:szCs w:val="14"/>
          <w:b w:val="1"/>
          <w:bCs w:val="1"/>
          <w:color w:val="auto"/>
        </w:rPr>
        <w:t>Johnson City, Tennessee 37604</w:t>
      </w:r>
    </w:p>
    <w:p>
      <w:pPr>
        <w:spacing w:after="0" w:line="1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b w:val="1"/>
          <w:bCs w:val="1"/>
          <w:color w:val="auto"/>
        </w:rPr>
        <w:t>(423) 743-9151</w:t>
      </w:r>
    </w:p>
    <w:p>
      <w:pPr>
        <w:sectPr>
          <w:pgSz w:w="11900" w:h="16838" w:orient="portrait"/>
          <w:cols w:equalWidth="0" w:num="1">
            <w:col w:w="11520"/>
          </w:cols>
          <w:pgMar w:left="240" w:top="577" w:right="139" w:bottom="0" w:gutter="0" w:footer="0" w:header="0"/>
          <w:type w:val="continuous"/>
        </w:sectPr>
      </w:pPr>
    </w:p>
    <w:p>
      <w:pPr>
        <w:spacing w:after="0" w:line="2" w:lineRule="exact"/>
        <w:rPr>
          <w:sz w:val="24"/>
          <w:szCs w:val="24"/>
          <w:color w:val="auto"/>
        </w:rPr>
      </w:pPr>
    </w:p>
    <w:p>
      <w:pPr>
        <w:jc w:val="center"/>
        <w:ind w:right="4280"/>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2"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including area code, of registrant's principal</w:t>
      </w:r>
    </w:p>
    <w:p>
      <w:pPr>
        <w:spacing w:after="0" w:line="2"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executive offices)</w:t>
      </w:r>
    </w:p>
    <w:p>
      <w:pPr>
        <w:spacing w:after="0" w:line="174"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b w:val="1"/>
          <w:bCs w:val="1"/>
          <w:color w:val="auto"/>
        </w:rPr>
        <w:t>Roderick R. Baty</w:t>
      </w:r>
    </w:p>
    <w:p>
      <w:pPr>
        <w:spacing w:after="0" w:line="2" w:lineRule="exact"/>
        <w:rPr>
          <w:sz w:val="24"/>
          <w:szCs w:val="24"/>
          <w:color w:val="auto"/>
        </w:rPr>
      </w:pPr>
    </w:p>
    <w:p>
      <w:pPr>
        <w:ind w:left="1960"/>
        <w:spacing w:after="0"/>
        <w:rPr>
          <w:sz w:val="20"/>
          <w:szCs w:val="20"/>
          <w:color w:val="auto"/>
        </w:rPr>
      </w:pPr>
      <w:r>
        <w:rPr>
          <w:rFonts w:ascii="Courier New" w:cs="Courier New" w:eastAsia="Courier New" w:hAnsi="Courier New"/>
          <w:sz w:val="15"/>
          <w:szCs w:val="15"/>
          <w:b w:val="1"/>
          <w:bCs w:val="1"/>
          <w:color w:val="auto"/>
        </w:rPr>
        <w:t>President and Chief Executive Officer</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b w:val="1"/>
          <w:bCs w:val="1"/>
          <w:color w:val="auto"/>
        </w:rPr>
        <w:t>2000 Waters Edge Drive</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b w:val="1"/>
          <w:bCs w:val="1"/>
          <w:color w:val="auto"/>
        </w:rPr>
        <w:t>Johnson City, Tennessee 37604</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b w:val="1"/>
          <w:bCs w:val="1"/>
          <w:color w:val="auto"/>
        </w:rPr>
        <w:t>(423) 743-9151</w:t>
      </w:r>
    </w:p>
    <w:p>
      <w:pPr>
        <w:spacing w:after="0" w:line="2"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2" w:lineRule="exact"/>
        <w:rPr>
          <w:sz w:val="24"/>
          <w:szCs w:val="24"/>
          <w:color w:val="auto"/>
        </w:rPr>
      </w:pPr>
    </w:p>
    <w:p>
      <w:pPr>
        <w:ind w:left="1700"/>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b w:val="1"/>
          <w:bCs w:val="1"/>
          <w:color w:val="auto"/>
        </w:rPr>
        <w:t>With Copies to:</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b w:val="1"/>
          <w:bCs w:val="1"/>
          <w:color w:val="auto"/>
        </w:rPr>
        <w:t>James M. Ash</w:t>
      </w:r>
    </w:p>
    <w:p>
      <w:pPr>
        <w:spacing w:after="0" w:line="2"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b w:val="1"/>
          <w:bCs w:val="1"/>
          <w:color w:val="auto"/>
        </w:rPr>
        <w:t>Blackwell Sanders Peper Martin LLP</w:t>
      </w:r>
    </w:p>
    <w:p>
      <w:pPr>
        <w:spacing w:after="0" w:line="2"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b w:val="1"/>
          <w:bCs w:val="1"/>
          <w:color w:val="auto"/>
        </w:rPr>
        <w:t>2300 Main Street, Suite 1000</w:t>
      </w:r>
    </w:p>
    <w:p>
      <w:pPr>
        <w:spacing w:after="0" w:line="2"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b w:val="1"/>
          <w:bCs w:val="1"/>
          <w:color w:val="auto"/>
        </w:rPr>
        <w:t>Kansas City, Missouri 64108</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b w:val="1"/>
          <w:bCs w:val="1"/>
          <w:color w:val="auto"/>
        </w:rPr>
        <w:t>(816) 983-8000</w:t>
      </w:r>
    </w:p>
    <w:p>
      <w:pPr>
        <w:spacing w:after="0" w:line="348" w:lineRule="exact"/>
        <w:rPr>
          <w:sz w:val="24"/>
          <w:szCs w:val="24"/>
          <w:color w:val="auto"/>
        </w:rPr>
      </w:pPr>
    </w:p>
    <w:p>
      <w:pPr>
        <w:ind w:right="4640"/>
        <w:spacing w:after="0" w:line="241" w:lineRule="auto"/>
        <w:rPr>
          <w:sz w:val="20"/>
          <w:szCs w:val="20"/>
          <w:color w:val="auto"/>
        </w:rPr>
      </w:pPr>
      <w:r>
        <w:rPr>
          <w:rFonts w:ascii="Courier New" w:cs="Courier New" w:eastAsia="Courier New" w:hAnsi="Courier New"/>
          <w:sz w:val="15"/>
          <w:szCs w:val="15"/>
          <w:b w:val="1"/>
          <w:bCs w:val="1"/>
          <w:color w:val="auto"/>
        </w:rPr>
        <w:t xml:space="preserve">Approximate date of commencement of proposed sale to the public: </w:t>
      </w:r>
      <w:r>
        <w:rPr>
          <w:rFonts w:ascii="Courier New" w:cs="Courier New" w:eastAsia="Courier New" w:hAnsi="Courier New"/>
          <w:sz w:val="15"/>
          <w:szCs w:val="15"/>
          <w:color w:val="auto"/>
        </w:rPr>
        <w:t>From time to</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time after this Registration Statement becomes effective, as determined by market conditions and other factors.</w:t>
      </w:r>
    </w:p>
    <w:p>
      <w:pPr>
        <w:spacing w:after="0" w:line="176" w:lineRule="exact"/>
        <w:rPr>
          <w:sz w:val="24"/>
          <w:szCs w:val="24"/>
          <w:color w:val="auto"/>
        </w:rPr>
      </w:pPr>
    </w:p>
    <w:p>
      <w:pPr>
        <w:ind w:right="4460"/>
        <w:spacing w:after="0" w:line="274"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54" w:lineRule="exact"/>
        <w:rPr>
          <w:sz w:val="24"/>
          <w:szCs w:val="24"/>
          <w:color w:val="auto"/>
        </w:rPr>
      </w:pPr>
    </w:p>
    <w:p>
      <w:pPr>
        <w:ind w:right="4380"/>
        <w:spacing w:after="0" w:line="242"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investment plans, check the following box. |X|</w:t>
      </w:r>
    </w:p>
    <w:p>
      <w:pPr>
        <w:spacing w:after="0" w:line="175" w:lineRule="exact"/>
        <w:rPr>
          <w:sz w:val="24"/>
          <w:szCs w:val="24"/>
          <w:color w:val="auto"/>
        </w:rPr>
      </w:pPr>
    </w:p>
    <w:p>
      <w:pPr>
        <w:ind w:right="4380"/>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earlier effective registration statement for the same offering. | |</w:t>
      </w:r>
    </w:p>
    <w:p>
      <w:pPr>
        <w:spacing w:after="0" w:line="175" w:lineRule="exact"/>
        <w:rPr>
          <w:sz w:val="24"/>
          <w:szCs w:val="24"/>
          <w:color w:val="auto"/>
        </w:rPr>
      </w:pPr>
    </w:p>
    <w:p>
      <w:pPr>
        <w:ind w:right="4560"/>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right="4900"/>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00" w:lineRule="exact"/>
        <w:rPr>
          <w:sz w:val="24"/>
          <w:szCs w:val="24"/>
          <w:color w:val="auto"/>
        </w:rPr>
      </w:pP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6080" w:type="dxa"/>
            <w:vAlign w:val="bottom"/>
            <w:gridSpan w:val="3"/>
          </w:tcPr>
          <w:p>
            <w:pPr>
              <w:ind w:left="2220"/>
              <w:spacing w:after="0"/>
              <w:rPr>
                <w:sz w:val="20"/>
                <w:szCs w:val="20"/>
                <w:color w:val="auto"/>
              </w:rPr>
            </w:pPr>
            <w:r>
              <w:rPr>
                <w:rFonts w:ascii="Courier New" w:cs="Courier New" w:eastAsia="Courier New" w:hAnsi="Courier New"/>
                <w:sz w:val="15"/>
                <w:szCs w:val="15"/>
                <w:b w:val="1"/>
                <w:bCs w:val="1"/>
                <w:color w:val="auto"/>
              </w:rPr>
              <w:t>CALCULATION OF REGISTRATION FEE</w:t>
            </w: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580" w:type="dxa"/>
            <w:vAlign w:val="bottom"/>
          </w:tcPr>
          <w:p>
            <w:pPr>
              <w:ind w:left="6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21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Proposed maximum</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Proposed maximum</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4100" w:type="dxa"/>
            <w:vAlign w:val="bottom"/>
          </w:tcPr>
          <w:p>
            <w:pPr>
              <w:ind w:left="340"/>
              <w:spacing w:after="0"/>
              <w:rPr>
                <w:sz w:val="20"/>
                <w:szCs w:val="20"/>
                <w:color w:val="auto"/>
              </w:rPr>
            </w:pPr>
            <w:r>
              <w:rPr>
                <w:rFonts w:ascii="Courier New" w:cs="Courier New" w:eastAsia="Courier New" w:hAnsi="Courier New"/>
                <w:sz w:val="15"/>
                <w:szCs w:val="15"/>
                <w:color w:val="auto"/>
              </w:rPr>
              <w:t>Title of each class of securities to be</w:t>
            </w:r>
          </w:p>
        </w:tc>
        <w:tc>
          <w:tcPr>
            <w:tcW w:w="400" w:type="dxa"/>
            <w:vAlign w:val="bottom"/>
          </w:tcPr>
          <w:p>
            <w:pPr>
              <w:spacing w:after="0"/>
              <w:rPr>
                <w:sz w:val="14"/>
                <w:szCs w:val="14"/>
                <w:color w:val="auto"/>
              </w:rPr>
            </w:pPr>
          </w:p>
        </w:tc>
        <w:tc>
          <w:tcPr>
            <w:tcW w:w="1580" w:type="dxa"/>
            <w:vAlign w:val="bottom"/>
          </w:tcPr>
          <w:p>
            <w:pPr>
              <w:ind w:left="60"/>
              <w:spacing w:after="0"/>
              <w:rPr>
                <w:sz w:val="20"/>
                <w:szCs w:val="20"/>
                <w:color w:val="auto"/>
              </w:rPr>
            </w:pPr>
            <w:r>
              <w:rPr>
                <w:rFonts w:ascii="Courier New" w:cs="Courier New" w:eastAsia="Courier New" w:hAnsi="Courier New"/>
                <w:sz w:val="15"/>
                <w:szCs w:val="15"/>
                <w:color w:val="auto"/>
              </w:rPr>
              <w:t>Amount to be</w:t>
            </w: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offering price</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Aggregate offering</w:t>
            </w:r>
          </w:p>
        </w:tc>
        <w:tc>
          <w:tcPr>
            <w:tcW w:w="30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Amount of</w:t>
            </w:r>
          </w:p>
        </w:tc>
      </w:tr>
      <w:tr>
        <w:trPr>
          <w:trHeight w:val="172"/>
        </w:trPr>
        <w:tc>
          <w:tcPr>
            <w:tcW w:w="4100" w:type="dxa"/>
            <w:vAlign w:val="bottom"/>
          </w:tcPr>
          <w:p>
            <w:pPr>
              <w:ind w:left="1600"/>
              <w:spacing w:after="0"/>
              <w:rPr>
                <w:sz w:val="20"/>
                <w:szCs w:val="20"/>
                <w:color w:val="auto"/>
              </w:rPr>
            </w:pPr>
            <w:r>
              <w:rPr>
                <w:rFonts w:ascii="Courier New" w:cs="Courier New" w:eastAsia="Courier New" w:hAnsi="Courier New"/>
                <w:sz w:val="15"/>
                <w:szCs w:val="15"/>
                <w:color w:val="auto"/>
              </w:rPr>
              <w:t>registered</w:t>
            </w:r>
          </w:p>
        </w:tc>
        <w:tc>
          <w:tcPr>
            <w:tcW w:w="400" w:type="dxa"/>
            <w:vAlign w:val="bottom"/>
          </w:tcPr>
          <w:p>
            <w:pPr>
              <w:spacing w:after="0"/>
              <w:rPr>
                <w:sz w:val="14"/>
                <w:szCs w:val="1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registered</w:t>
            </w:r>
          </w:p>
        </w:tc>
        <w:tc>
          <w:tcPr>
            <w:tcW w:w="1780" w:type="dxa"/>
            <w:vAlign w:val="bottom"/>
          </w:tcPr>
          <w:p>
            <w:pPr>
              <w:ind w:left="260"/>
              <w:spacing w:after="0"/>
              <w:rPr>
                <w:sz w:val="20"/>
                <w:szCs w:val="20"/>
                <w:color w:val="auto"/>
              </w:rPr>
            </w:pPr>
            <w:r>
              <w:rPr>
                <w:rFonts w:ascii="Courier New" w:cs="Courier New" w:eastAsia="Courier New" w:hAnsi="Courier New"/>
                <w:sz w:val="15"/>
                <w:szCs w:val="15"/>
                <w:color w:val="auto"/>
              </w:rPr>
              <w:t>per share</w:t>
            </w:r>
          </w:p>
        </w:tc>
        <w:tc>
          <w:tcPr>
            <w:tcW w:w="1800" w:type="dxa"/>
            <w:vAlign w:val="bottom"/>
          </w:tcPr>
          <w:p>
            <w:pPr>
              <w:ind w:left="620"/>
              <w:spacing w:after="0"/>
              <w:rPr>
                <w:sz w:val="20"/>
                <w:szCs w:val="20"/>
                <w:color w:val="auto"/>
              </w:rPr>
            </w:pPr>
            <w:r>
              <w:rPr>
                <w:rFonts w:ascii="Courier New" w:cs="Courier New" w:eastAsia="Courier New" w:hAnsi="Courier New"/>
                <w:sz w:val="15"/>
                <w:szCs w:val="15"/>
                <w:color w:val="auto"/>
              </w:rPr>
              <w:t>price</w:t>
            </w: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registration fee</w:t>
            </w:r>
          </w:p>
        </w:tc>
      </w:tr>
      <w:tr>
        <w:trPr>
          <w:trHeight w:val="172"/>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580" w:type="dxa"/>
            <w:vAlign w:val="bottom"/>
          </w:tcPr>
          <w:p>
            <w:pPr>
              <w:ind w:left="6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21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Primary Offering:</w:t>
            </w:r>
          </w:p>
        </w:tc>
        <w:tc>
          <w:tcPr>
            <w:tcW w:w="400" w:type="dxa"/>
            <w:vAlign w:val="bottom"/>
          </w:tcPr>
          <w:p>
            <w:pPr>
              <w:spacing w:after="0"/>
              <w:rPr>
                <w:sz w:val="14"/>
                <w:szCs w:val="14"/>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5"/>
                <w:szCs w:val="15"/>
                <w:color w:val="auto"/>
              </w:rPr>
              <w:t>(1)</w:t>
            </w: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(1)</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$ 36,000,000 (2)</w:t>
            </w:r>
          </w:p>
        </w:tc>
        <w:tc>
          <w:tcPr>
            <w:tcW w:w="300" w:type="dxa"/>
            <w:vAlign w:val="bottom"/>
          </w:tcPr>
          <w:p>
            <w:pPr>
              <w:spacing w:after="0"/>
              <w:rPr>
                <w:sz w:val="14"/>
                <w:szCs w:val="14"/>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$ 3,312 (2)</w:t>
            </w:r>
          </w:p>
        </w:tc>
      </w:tr>
      <w:tr>
        <w:trPr>
          <w:trHeight w:val="172"/>
        </w:trPr>
        <w:tc>
          <w:tcPr>
            <w:tcW w:w="4100" w:type="dxa"/>
            <w:vAlign w:val="bottom"/>
          </w:tcPr>
          <w:p>
            <w:pPr>
              <w:ind w:left="340"/>
              <w:spacing w:after="0"/>
              <w:rPr>
                <w:sz w:val="20"/>
                <w:szCs w:val="20"/>
                <w:color w:val="auto"/>
              </w:rPr>
            </w:pPr>
            <w:r>
              <w:rPr>
                <w:rFonts w:ascii="Courier New" w:cs="Courier New" w:eastAsia="Courier New" w:hAnsi="Courier New"/>
                <w:sz w:val="15"/>
                <w:szCs w:val="15"/>
                <w:color w:val="auto"/>
              </w:rPr>
              <w:t>Common Stock, par value $.01 per share</w:t>
            </w: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580" w:type="dxa"/>
            <w:vAlign w:val="bottom"/>
          </w:tcPr>
          <w:p>
            <w:pPr>
              <w:ind w:left="6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21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Secondary Offering:</w:t>
            </w: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3,733,664 shares</w:t>
            </w:r>
          </w:p>
        </w:tc>
        <w:tc>
          <w:tcPr>
            <w:tcW w:w="1780" w:type="dxa"/>
            <w:vAlign w:val="bottom"/>
          </w:tcPr>
          <w:p>
            <w:pPr>
              <w:ind w:left="260"/>
              <w:spacing w:after="0"/>
              <w:rPr>
                <w:sz w:val="20"/>
                <w:szCs w:val="20"/>
                <w:color w:val="auto"/>
              </w:rPr>
            </w:pPr>
            <w:r>
              <w:rPr>
                <w:rFonts w:ascii="Courier New" w:cs="Courier New" w:eastAsia="Courier New" w:hAnsi="Courier New"/>
                <w:sz w:val="15"/>
                <w:szCs w:val="15"/>
                <w:color w:val="auto"/>
              </w:rPr>
              <w:t>$ 9.39 (3)</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$ 35,059,104 (3)</w:t>
            </w:r>
          </w:p>
        </w:tc>
        <w:tc>
          <w:tcPr>
            <w:tcW w:w="30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$ 3,225</w:t>
            </w:r>
          </w:p>
        </w:tc>
      </w:tr>
    </w:tbl>
    <w:p>
      <w:pPr>
        <w:sectPr>
          <w:pgSz w:w="11900" w:h="16838" w:orient="portrait"/>
          <w:cols w:equalWidth="0" w:num="1">
            <w:col w:w="11520"/>
          </w:cols>
          <w:pgMar w:left="240" w:top="577" w:right="139" w:bottom="0" w:gutter="0" w:footer="0" w:header="0"/>
          <w:type w:val="continuous"/>
        </w:sectPr>
      </w:pPr>
    </w:p>
    <w:bookmarkStart w:id="1" w:name="page2"/>
    <w:bookmarkEnd w:id="1"/>
    <w:p>
      <w:pPr>
        <w:ind w:left="348"/>
        <w:spacing w:after="0"/>
        <w:rPr>
          <w:sz w:val="20"/>
          <w:szCs w:val="20"/>
          <w:color w:val="auto"/>
        </w:rPr>
      </w:pPr>
      <w:r>
        <w:rPr>
          <w:rFonts w:ascii="Courier New" w:cs="Courier New" w:eastAsia="Courier New" w:hAnsi="Courier New"/>
          <w:sz w:val="15"/>
          <w:szCs w:val="15"/>
          <w:color w:val="auto"/>
        </w:rPr>
        <w:t>Common Stock, par value $.01 per share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 -----------------</w:t>
      </w:r>
    </w:p>
    <w:p>
      <w:pPr>
        <w:spacing w:after="0" w:line="12" w:lineRule="exact"/>
        <w:rPr>
          <w:sz w:val="20"/>
          <w:szCs w:val="20"/>
          <w:color w:val="auto"/>
        </w:rPr>
      </w:pPr>
    </w:p>
    <w:p>
      <w:pPr>
        <w:ind w:left="8"/>
        <w:spacing w:after="0"/>
        <w:tabs>
          <w:tab w:leader="none" w:pos="4908" w:val="left"/>
          <w:tab w:leader="none" w:pos="6608" w:val="left"/>
          <w:tab w:leader="none" w:pos="8128" w:val="left"/>
          <w:tab w:leader="none" w:pos="10088"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$ 73,876,903</w:t>
      </w:r>
      <w:r>
        <w:rPr>
          <w:sz w:val="20"/>
          <w:szCs w:val="20"/>
          <w:color w:val="auto"/>
        </w:rPr>
        <w:tab/>
      </w:r>
      <w:r>
        <w:rPr>
          <w:rFonts w:ascii="Courier New" w:cs="Courier New" w:eastAsia="Courier New" w:hAnsi="Courier New"/>
          <w:sz w:val="14"/>
          <w:szCs w:val="14"/>
          <w:color w:val="auto"/>
        </w:rPr>
        <w:t>$ 6,537(4)</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 -----------------</w:t>
      </w:r>
    </w:p>
    <w:p>
      <w:pPr>
        <w:spacing w:after="0" w:line="184" w:lineRule="exact"/>
        <w:rPr>
          <w:sz w:val="20"/>
          <w:szCs w:val="20"/>
          <w:color w:val="auto"/>
        </w:rPr>
      </w:pPr>
    </w:p>
    <w:p>
      <w:pPr>
        <w:ind w:left="348" w:hanging="348"/>
        <w:spacing w:after="0"/>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required in accordance with Rule 457(o).</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in accordance with Rule 457(o).</w:t>
      </w:r>
    </w:p>
    <w:p>
      <w:pPr>
        <w:spacing w:after="0" w:line="3" w:lineRule="exact"/>
        <w:rPr>
          <w:rFonts w:ascii="Courier New" w:cs="Courier New" w:eastAsia="Courier New" w:hAnsi="Courier New"/>
          <w:sz w:val="15"/>
          <w:szCs w:val="15"/>
          <w:color w:val="auto"/>
        </w:rPr>
      </w:pPr>
    </w:p>
    <w:p>
      <w:pPr>
        <w:ind w:left="8" w:right="4560" w:hanging="8"/>
        <w:spacing w:after="0" w:line="241" w:lineRule="auto"/>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in accordance with Rule 457 based on the average of the high and low sales prices on September 24, 2002 as reported by the Nasdaq National Market.</w:t>
      </w:r>
    </w:p>
    <w:p>
      <w:pPr>
        <w:spacing w:after="0" w:line="4" w:lineRule="exact"/>
        <w:rPr>
          <w:rFonts w:ascii="Courier New" w:cs="Courier New" w:eastAsia="Courier New" w:hAnsi="Courier New"/>
          <w:sz w:val="15"/>
          <w:szCs w:val="15"/>
          <w:color w:val="auto"/>
        </w:rPr>
      </w:pPr>
    </w:p>
    <w:p>
      <w:pPr>
        <w:ind w:left="8" w:right="4640" w:hanging="8"/>
        <w:spacing w:after="0" w:line="241" w:lineRule="auto"/>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previously paid $6,797. The amount of the registration fee has been reduced due to the number of shares in the Secondary Offering being reduced to 3,733,664.</w:t>
      </w:r>
    </w:p>
    <w:p>
      <w:pPr>
        <w:spacing w:after="0" w:line="348" w:lineRule="exact"/>
        <w:rPr>
          <w:sz w:val="20"/>
          <w:szCs w:val="20"/>
          <w:color w:val="auto"/>
        </w:rPr>
      </w:pPr>
    </w:p>
    <w:p>
      <w:pPr>
        <w:ind w:left="8" w:right="4460" w:firstLine="805"/>
        <w:spacing w:after="0" w:line="242" w:lineRule="auto"/>
        <w:rPr>
          <w:sz w:val="20"/>
          <w:szCs w:val="20"/>
          <w:color w:val="auto"/>
        </w:rPr>
      </w:pPr>
      <w:r>
        <w:rPr>
          <w:rFonts w:ascii="Courier New" w:cs="Courier New" w:eastAsia="Courier New" w:hAnsi="Courier New"/>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302260</wp:posOffset>
            </wp:positionV>
            <wp:extent cx="7292975"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 w:right="4380"/>
        <w:spacing w:after="0" w:line="242"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b w:val="1"/>
          <w:bCs w:val="1"/>
          <w:color w:val="auto"/>
        </w:rPr>
        <w:t>SUBJECT TO COMPLETION, DATED FEBRUARY 6, 2003</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w:t>
      </w:r>
    </w:p>
    <w:p>
      <w:pPr>
        <w:spacing w:after="0" w:line="346" w:lineRule="exact"/>
        <w:rPr>
          <w:sz w:val="20"/>
          <w:szCs w:val="20"/>
          <w:color w:val="auto"/>
        </w:rPr>
      </w:pPr>
    </w:p>
    <w:p>
      <w:pPr>
        <w:jc w:val="center"/>
        <w:ind w:right="4372"/>
        <w:spacing w:after="0"/>
        <w:rPr>
          <w:sz w:val="20"/>
          <w:szCs w:val="20"/>
          <w:color w:val="auto"/>
        </w:rPr>
      </w:pPr>
      <w:r>
        <w:rPr>
          <w:rFonts w:ascii="Courier New" w:cs="Courier New" w:eastAsia="Courier New" w:hAnsi="Courier New"/>
          <w:sz w:val="15"/>
          <w:szCs w:val="15"/>
          <w:b w:val="1"/>
          <w:bCs w:val="1"/>
          <w:color w:val="auto"/>
        </w:rPr>
        <w:t>[LOGO]</w:t>
      </w:r>
    </w:p>
    <w:p>
      <w:pPr>
        <w:spacing w:after="0" w:line="2" w:lineRule="exact"/>
        <w:rPr>
          <w:sz w:val="20"/>
          <w:szCs w:val="20"/>
          <w:color w:val="auto"/>
        </w:rPr>
      </w:pPr>
    </w:p>
    <w:p>
      <w:pPr>
        <w:jc w:val="center"/>
        <w:ind w:right="4372"/>
        <w:spacing w:after="0"/>
        <w:rPr>
          <w:sz w:val="20"/>
          <w:szCs w:val="20"/>
          <w:color w:val="auto"/>
        </w:rPr>
      </w:pPr>
      <w:r>
        <w:rPr>
          <w:rFonts w:ascii="Courier New" w:cs="Courier New" w:eastAsia="Courier New" w:hAnsi="Courier New"/>
          <w:sz w:val="15"/>
          <w:szCs w:val="15"/>
          <w:b w:val="1"/>
          <w:bCs w:val="1"/>
          <w:color w:val="auto"/>
        </w:rPr>
        <w:t>NN, INC.</w:t>
      </w:r>
    </w:p>
    <w:p>
      <w:pPr>
        <w:spacing w:after="0" w:line="2" w:lineRule="exact"/>
        <w:rPr>
          <w:sz w:val="20"/>
          <w:szCs w:val="20"/>
          <w:color w:val="auto"/>
        </w:rPr>
      </w:pPr>
    </w:p>
    <w:p>
      <w:pPr>
        <w:jc w:val="center"/>
        <w:ind w:right="4372"/>
        <w:spacing w:after="0"/>
        <w:rPr>
          <w:sz w:val="20"/>
          <w:szCs w:val="20"/>
          <w:color w:val="auto"/>
        </w:rPr>
      </w:pPr>
      <w:r>
        <w:rPr>
          <w:rFonts w:ascii="Courier New" w:cs="Courier New" w:eastAsia="Courier New" w:hAnsi="Courier New"/>
          <w:sz w:val="15"/>
          <w:szCs w:val="15"/>
          <w:b w:val="1"/>
          <w:bCs w:val="1"/>
          <w:color w:val="auto"/>
        </w:rPr>
        <w:t>COMMON STOCK</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b w:val="1"/>
          <w:bCs w:val="1"/>
          <w:color w:val="auto"/>
        </w:rPr>
        <w:t>--------------------</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b w:val="1"/>
          <w:bCs w:val="1"/>
          <w:color w:val="auto"/>
        </w:rPr>
        <w:t>$36,000,000 of Company Shares</w:t>
      </w:r>
    </w:p>
    <w:p>
      <w:pPr>
        <w:spacing w:after="0" w:line="200" w:lineRule="exact"/>
        <w:rPr>
          <w:sz w:val="20"/>
          <w:szCs w:val="20"/>
          <w:color w:val="auto"/>
        </w:rPr>
      </w:pPr>
    </w:p>
    <w:p>
      <w:pPr>
        <w:spacing w:after="0" w:line="318"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b w:val="1"/>
          <w:bCs w:val="1"/>
          <w:color w:val="auto"/>
        </w:rPr>
        <w:t>3,733,664 of Selling Stockholders Shares</w:t>
      </w:r>
    </w:p>
    <w:p>
      <w:pPr>
        <w:spacing w:after="0" w:line="200" w:lineRule="exact"/>
        <w:rPr>
          <w:sz w:val="20"/>
          <w:szCs w:val="20"/>
          <w:color w:val="auto"/>
        </w:rPr>
      </w:pPr>
    </w:p>
    <w:p>
      <w:pPr>
        <w:spacing w:after="0" w:line="320" w:lineRule="exact"/>
        <w:rPr>
          <w:sz w:val="20"/>
          <w:szCs w:val="20"/>
          <w:color w:val="auto"/>
        </w:rPr>
      </w:pPr>
    </w:p>
    <w:p>
      <w:pPr>
        <w:jc w:val="both"/>
        <w:ind w:left="8" w:right="4560" w:firstLine="805"/>
        <w:spacing w:after="0" w:line="241" w:lineRule="auto"/>
        <w:rPr>
          <w:sz w:val="20"/>
          <w:szCs w:val="20"/>
          <w:color w:val="auto"/>
        </w:rPr>
      </w:pPr>
      <w:r>
        <w:rPr>
          <w:rFonts w:ascii="Courier New" w:cs="Courier New" w:eastAsia="Courier New" w:hAnsi="Courier New"/>
          <w:sz w:val="15"/>
          <w:szCs w:val="15"/>
          <w:color w:val="auto"/>
        </w:rPr>
        <w:t>By this prospectus from time to time, we may offer and sell shares of our common stock, par value $.01 per share, having an aggregate offering price of up to $36,000,000.</w:t>
      </w:r>
    </w:p>
    <w:p>
      <w:pPr>
        <w:spacing w:after="0" w:line="348" w:lineRule="exact"/>
        <w:rPr>
          <w:sz w:val="20"/>
          <w:szCs w:val="20"/>
          <w:color w:val="auto"/>
        </w:rPr>
      </w:pPr>
    </w:p>
    <w:p>
      <w:pPr>
        <w:jc w:val="both"/>
        <w:ind w:left="8" w:right="4380" w:firstLine="805"/>
        <w:spacing w:after="0" w:line="242" w:lineRule="auto"/>
        <w:rPr>
          <w:sz w:val="20"/>
          <w:szCs w:val="20"/>
          <w:color w:val="auto"/>
        </w:rPr>
      </w:pPr>
      <w:r>
        <w:rPr>
          <w:rFonts w:ascii="Courier New" w:cs="Courier New" w:eastAsia="Courier New" w:hAnsi="Courier New"/>
          <w:sz w:val="15"/>
          <w:szCs w:val="15"/>
          <w:color w:val="auto"/>
        </w:rPr>
        <w:t>Up to 3,733,664 shares of common stock may be sold from time to time in one or more offerings by the selling stockholders identified on page 11. We will not receive any proceeds from sales of shares of our common stock by the selling stockholders.</w:t>
      </w:r>
    </w:p>
    <w:p>
      <w:pPr>
        <w:spacing w:after="0" w:line="347" w:lineRule="exact"/>
        <w:rPr>
          <w:sz w:val="20"/>
          <w:szCs w:val="20"/>
          <w:color w:val="auto"/>
        </w:rPr>
      </w:pPr>
    </w:p>
    <w:p>
      <w:pPr>
        <w:ind w:left="8" w:right="4380" w:firstLine="805"/>
        <w:spacing w:after="0" w:line="242" w:lineRule="auto"/>
        <w:rPr>
          <w:sz w:val="20"/>
          <w:szCs w:val="20"/>
          <w:color w:val="auto"/>
        </w:rPr>
      </w:pPr>
      <w:r>
        <w:rPr>
          <w:rFonts w:ascii="Courier New" w:cs="Courier New" w:eastAsia="Courier New" w:hAnsi="Courier New"/>
          <w:sz w:val="15"/>
          <w:szCs w:val="15"/>
          <w:color w:val="auto"/>
        </w:rPr>
        <w:t>We will provide you with a prospectus supplement before we or any of the selling stockholders sell any common stock under this prospectus. Any prospectus supplement will inform you about the specific terms of an offering by us or any selling stockholder, will list the names of any underwriters or agents, and may also add, update or change information contained in this prospectus. You should read this prospectus, the documents that are incorporated by reference in this prospectus and any prospectus supplement carefully before investing. This prospectus may not be used to sell any common stock unless it is accompanied by a prospectus supplement.</w:t>
      </w:r>
    </w:p>
    <w:p>
      <w:pPr>
        <w:spacing w:after="0" w:line="350" w:lineRule="exact"/>
        <w:rPr>
          <w:sz w:val="20"/>
          <w:szCs w:val="20"/>
          <w:color w:val="auto"/>
        </w:rPr>
      </w:pPr>
    </w:p>
    <w:p>
      <w:pPr>
        <w:ind w:left="8" w:right="4380" w:firstLine="805"/>
        <w:spacing w:after="0" w:line="242" w:lineRule="auto"/>
        <w:rPr>
          <w:sz w:val="20"/>
          <w:szCs w:val="20"/>
          <w:color w:val="auto"/>
        </w:rPr>
      </w:pPr>
      <w:r>
        <w:rPr>
          <w:rFonts w:ascii="Courier New" w:cs="Courier New" w:eastAsia="Courier New" w:hAnsi="Courier New"/>
          <w:sz w:val="15"/>
          <w:szCs w:val="15"/>
          <w:color w:val="auto"/>
        </w:rPr>
        <w:t>We may offer these securities directly to investors, or through agents, underwriters or dealers. See "Plan of Distribution" on page 12. Each prospectus supplement will provide the terms of the plan of distribution relating to each offering of common stock.</w:t>
      </w:r>
    </w:p>
    <w:p>
      <w:pPr>
        <w:spacing w:after="0" w:line="347" w:lineRule="exact"/>
        <w:rPr>
          <w:sz w:val="20"/>
          <w:szCs w:val="20"/>
          <w:color w:val="auto"/>
        </w:rPr>
      </w:pPr>
    </w:p>
    <w:p>
      <w:pPr>
        <w:ind w:left="8" w:right="4820" w:firstLine="805"/>
        <w:spacing w:after="0"/>
        <w:rPr>
          <w:sz w:val="20"/>
          <w:szCs w:val="20"/>
          <w:color w:val="auto"/>
        </w:rPr>
      </w:pPr>
      <w:r>
        <w:rPr>
          <w:rFonts w:ascii="Courier New" w:cs="Courier New" w:eastAsia="Courier New" w:hAnsi="Courier New"/>
          <w:sz w:val="15"/>
          <w:szCs w:val="15"/>
          <w:color w:val="auto"/>
        </w:rPr>
        <w:t>Our common stock is quoted on the Nasdaq National Market under the symbol "NNBR."</w:t>
      </w:r>
    </w:p>
    <w:p>
      <w:pPr>
        <w:spacing w:after="0" w:line="176" w:lineRule="exact"/>
        <w:rPr>
          <w:sz w:val="20"/>
          <w:szCs w:val="20"/>
          <w:color w:val="auto"/>
        </w:rPr>
      </w:pPr>
    </w:p>
    <w:p>
      <w:pPr>
        <w:ind w:left="8" w:right="4640" w:firstLine="805"/>
        <w:spacing w:after="0" w:line="241" w:lineRule="auto"/>
        <w:rPr>
          <w:sz w:val="20"/>
          <w:szCs w:val="20"/>
          <w:color w:val="auto"/>
        </w:rPr>
      </w:pPr>
      <w:r>
        <w:rPr>
          <w:rFonts w:ascii="Courier New" w:cs="Courier New" w:eastAsia="Courier New" w:hAnsi="Courier New"/>
          <w:sz w:val="15"/>
          <w:szCs w:val="15"/>
          <w:b w:val="1"/>
          <w:bCs w:val="1"/>
          <w:color w:val="auto"/>
        </w:rPr>
        <w:t>Investing in our common stock involves risks. See "Risk Factors" beginning on page 4 to read about the risks you should consider before buying our common stock.</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4380" w:firstLine="805"/>
        <w:spacing w:after="0" w:line="242" w:lineRule="auto"/>
        <w:rPr>
          <w:sz w:val="20"/>
          <w:szCs w:val="20"/>
          <w:color w:val="auto"/>
        </w:rPr>
      </w:pPr>
      <w:r>
        <w:rPr>
          <w:rFonts w:ascii="Courier New" w:cs="Courier New" w:eastAsia="Courier New" w:hAnsi="Courier New"/>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3"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8"/>
          </w:cols>
          <w:pgMar w:left="232" w:top="140" w:right="139" w:bottom="0" w:gutter="0" w:footer="0" w:header="0"/>
        </w:sectPr>
      </w:pPr>
    </w:p>
    <w:bookmarkStart w:id="2" w:name="page3"/>
    <w:bookmarkEnd w:id="2"/>
    <w:p>
      <w:pPr>
        <w:ind w:left="1420"/>
        <w:spacing w:after="0"/>
        <w:rPr>
          <w:sz w:val="20"/>
          <w:szCs w:val="20"/>
          <w:color w:val="auto"/>
        </w:rPr>
      </w:pPr>
      <w:r>
        <w:rPr>
          <w:rFonts w:ascii="Courier New" w:cs="Courier New" w:eastAsia="Courier New" w:hAnsi="Courier New"/>
          <w:sz w:val="15"/>
          <w:szCs w:val="15"/>
          <w:color w:val="auto"/>
        </w:rPr>
        <w:t>The date of this Prospectus is ____________,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7292975"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ABOUT THIS PROSPECTUS</w:t>
      </w:r>
      <w:r>
        <w:rPr>
          <w:sz w:val="20"/>
          <w:szCs w:val="20"/>
          <w:color w:val="auto"/>
        </w:rPr>
        <w:tab/>
      </w:r>
      <w:r>
        <w:rPr>
          <w:rFonts w:ascii="Courier New" w:cs="Courier New" w:eastAsia="Courier New" w:hAnsi="Courier New"/>
          <w:sz w:val="13"/>
          <w:szCs w:val="13"/>
          <w:color w:val="auto"/>
        </w:rPr>
        <w:t>1</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RECENT DEVELOPMENTS</w:t>
      </w:r>
      <w:r>
        <w:rPr>
          <w:sz w:val="20"/>
          <w:szCs w:val="20"/>
          <w:color w:val="auto"/>
        </w:rPr>
        <w:tab/>
      </w:r>
      <w:r>
        <w:rPr>
          <w:rFonts w:ascii="Courier New" w:cs="Courier New" w:eastAsia="Courier New" w:hAnsi="Courier New"/>
          <w:sz w:val="13"/>
          <w:szCs w:val="13"/>
          <w:color w:val="auto"/>
        </w:rPr>
        <w:t>1</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NN, INC</w:t>
      </w:r>
      <w:r>
        <w:rPr>
          <w:sz w:val="20"/>
          <w:szCs w:val="20"/>
          <w:color w:val="auto"/>
        </w:rPr>
        <w:tab/>
      </w:r>
      <w:r>
        <w:rPr>
          <w:rFonts w:ascii="Courier New" w:cs="Courier New" w:eastAsia="Courier New" w:hAnsi="Courier New"/>
          <w:sz w:val="13"/>
          <w:szCs w:val="13"/>
          <w:color w:val="auto"/>
        </w:rPr>
        <w:t>8</w:t>
      </w:r>
    </w:p>
    <w:p>
      <w:pPr>
        <w:spacing w:after="0" w:line="2"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10</w:t>
      </w:r>
    </w:p>
    <w:p>
      <w:pPr>
        <w:spacing w:after="0" w:line="2"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12</w:t>
      </w:r>
    </w:p>
    <w:p>
      <w:pPr>
        <w:spacing w:after="0" w:line="2"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INCORPORATION OF CERTAIN DOCUMENTS BY REFERENCE</w:t>
      </w:r>
      <w:r>
        <w:rPr>
          <w:sz w:val="20"/>
          <w:szCs w:val="20"/>
          <w:color w:val="auto"/>
        </w:rPr>
        <w:tab/>
      </w: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729297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b w:val="1"/>
          <w:bCs w:val="1"/>
          <w:color w:val="auto"/>
        </w:rPr>
        <w:t>ABOUT THIS PROSPECTUS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prospectus is part of a registration statement on Form S-3 that we filed with the Securities and Exchange Commission using a "shelf" registration process. Under the shelf registration process, we may, from time to time, offer and sell shares of our common stock described in this prospectus in one or more offerings up to a total dollar amount of $36,000,000. In addition, up to 3,733,664 shares of our common stock may be sold from time to time in one or more offerings by several of our stockholders. We will not receive any proceeds from any sale of the shares by the selling stockholders.</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This prospectus provides you with a general description of the securities we may offer. Each time we or the selling stockholders sell common stock, we will provide a prospectus supplement that will contain specific information about the method and terms of that offering. The prospectus supplement may also add, update or change information contained in this prospectus. If there is any inconsistency between the information in this prospectus and a prospectus supplement, you should rely on the information in that prospectus supplement. You should read both this prospectus and any applicable prospectus supplement together with additional information described below under the heading "Where You Can Find More Information."</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When acquiring any securities discussed in this prospectus, you should rely upon the information contained in this prospectus and the prospectus supplement, including the information incorporated by reference.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and the selling stockholders may sell the common stock to or through underwriters, dealers or agents or directly to purchasers. The applicable prospectus supplement will provide the names of any underwriters, dealers or agents involved in the sale of the common stock, and any applicable fee, commission or discount arrangements with them. For a more detailed description of the various means by which we may distribute the common stock, you should read the information under the heading "Plan of Distribution."</w:t>
      </w:r>
    </w:p>
    <w:p>
      <w:pPr>
        <w:spacing w:after="0" w:line="177"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As used in this prospectus and any prospectus supplement, the terms "we," "us," "our," "NN" or the "Company," refer collectively to NN, Inc. and its subsidiaries.</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b w:val="1"/>
          <w:bCs w:val="1"/>
          <w:color w:val="auto"/>
        </w:rPr>
        <w:t>RECENT DEVELOPMENTS</w:t>
      </w:r>
    </w:p>
    <w:p>
      <w:pPr>
        <w:spacing w:after="0" w:line="176"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On December 20, 2002, we acquired the 23 percent interest in NN Euroball, ApS ("Euroball") held by INA/FAG. Euroball was formed in 2000 by the Company, FAG Kugelfischer Georg Schaefler AG, which was subsequently acquired by INA - Schaeffler KG (collectively, "INA/FAG") and AB SKF ("SKF"). INA/FAG is a global bearing manufacturer and one of our largest customers. We paid approximately 13.4 million Euros for INA/FAG's interest in Euroball. Following the closing of the transaction, we own 77 percent of the outstanding shares of Euroball and SKF owns the remaining 23 percent. SKF consented to our purchase of INA/FAG's interest pursuant to the terms of the Euroball Shareholder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83185</wp:posOffset>
            </wp:positionV>
            <wp:extent cx="729297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ectPr>
          <w:pgSz w:w="11900" w:h="16838" w:orient="portrait"/>
          <w:cols w:equalWidth="0" w:num="1">
            <w:col w:w="10219"/>
          </w:cols>
          <w:pgMar w:left="240" w:top="656" w:right="1440" w:bottom="185" w:gutter="0" w:footer="0" w:header="0"/>
        </w:sectPr>
      </w:pPr>
    </w:p>
    <w:bookmarkStart w:id="3" w:name="page4"/>
    <w:bookmarkEnd w:id="3"/>
    <w:p>
      <w:pPr>
        <w:ind w:right="3599"/>
        <w:spacing w:after="0" w:line="241" w:lineRule="auto"/>
        <w:rPr>
          <w:sz w:val="20"/>
          <w:szCs w:val="20"/>
          <w:color w:val="auto"/>
        </w:rPr>
      </w:pPr>
      <w:r>
        <w:rPr>
          <w:rFonts w:ascii="Courier New" w:cs="Courier New" w:eastAsia="Courier New" w:hAnsi="Courier New"/>
          <w:sz w:val="15"/>
          <w:szCs w:val="15"/>
          <w:color w:val="auto"/>
        </w:rPr>
        <w:t>SKF has the right, beginning January 1, 2003 to require us to purchase its interest in Euroball, based on a formula price detailed in the Euroball Shareholder Agreement.</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On December 9, 2002, we announced that we had signed a letter of intent to acquire certain component manufacturing operations of SKF in Veenendaal, The Netherlands. SKF, a Swedish corporation, is a global bearing manufacturer and one of our major customers. The transaction, which is expected to close in the first quarter of 2003, is subject to a number of conditions, including the execution of a definitive asset acquisition agreement, completion of due diligence, approval of NN and SKF's boards of directors and any necessary approval of relevant government agencies. The on-going negotations between the parties have included the possibility of offering shares of our common stock under this prospectus as all or part of the purchase price for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729297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b w:val="1"/>
          <w:bCs w:val="1"/>
          <w:color w:val="auto"/>
        </w:rPr>
        <w:t>RISK FACTORS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i w:val="1"/>
          <w:iCs w:val="1"/>
          <w:color w:val="auto"/>
        </w:rPr>
        <w:t>You should carefully consider the following risks and uncertainties and any risks and uncertainties contained in the accompanying prospectus supplement, and all other information contained in or incorporated by reference in this prospectus and the prospectus supplement,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349" w:lineRule="exact"/>
        <w:rPr>
          <w:sz w:val="20"/>
          <w:szCs w:val="20"/>
          <w:color w:val="auto"/>
        </w:rPr>
      </w:pPr>
    </w:p>
    <w:p>
      <w:pPr>
        <w:ind w:left="880" w:right="3159"/>
        <w:spacing w:after="0"/>
        <w:rPr>
          <w:sz w:val="20"/>
          <w:szCs w:val="20"/>
          <w:color w:val="auto"/>
        </w:rPr>
      </w:pPr>
      <w:r>
        <w:rPr>
          <w:rFonts w:ascii="Courier New" w:cs="Courier New" w:eastAsia="Courier New" w:hAnsi="Courier New"/>
          <w:sz w:val="15"/>
          <w:szCs w:val="15"/>
          <w:b w:val="1"/>
          <w:bCs w:val="1"/>
          <w:i w:val="1"/>
          <w:iCs w:val="1"/>
          <w:color w:val="auto"/>
        </w:rPr>
        <w:t>The demand for our products is cyclical, which could adversely impact our revenues.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77" w:lineRule="exact"/>
        <w:rPr>
          <w:sz w:val="20"/>
          <w:szCs w:val="20"/>
          <w:color w:val="auto"/>
        </w:rPr>
      </w:pPr>
    </w:p>
    <w:p>
      <w:pPr>
        <w:ind w:left="880" w:right="3159"/>
        <w:spacing w:after="0" w:line="241" w:lineRule="auto"/>
        <w:rPr>
          <w:sz w:val="20"/>
          <w:szCs w:val="20"/>
          <w:color w:val="auto"/>
        </w:rPr>
      </w:pPr>
      <w:r>
        <w:rPr>
          <w:rFonts w:ascii="Courier New" w:cs="Courier New" w:eastAsia="Courier New" w:hAnsi="Courier New"/>
          <w:sz w:val="15"/>
          <w:szCs w:val="15"/>
          <w:b w:val="1"/>
          <w:bCs w:val="1"/>
          <w:i w:val="1"/>
          <w:iCs w:val="1"/>
          <w:color w:val="auto"/>
        </w:rPr>
        <w:t>We depend on a very limited number of foreign sources for our primary raw material and are subject to risks of shortages and price fluctuation.</w:t>
      </w:r>
    </w:p>
    <w:p>
      <w:pPr>
        <w:spacing w:after="0" w:line="176" w:lineRule="exact"/>
        <w:rPr>
          <w:sz w:val="20"/>
          <w:szCs w:val="20"/>
          <w:color w:val="auto"/>
        </w:rPr>
      </w:pPr>
    </w:p>
    <w:p>
      <w:pPr>
        <w:ind w:right="3079" w:firstLine="894"/>
        <w:spacing w:after="0" w:line="261"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66" w:lineRule="exact"/>
        <w:rPr>
          <w:sz w:val="20"/>
          <w:szCs w:val="20"/>
          <w:color w:val="auto"/>
        </w:rPr>
      </w:pPr>
    </w:p>
    <w:p>
      <w:pPr>
        <w:ind w:left="880" w:right="3159"/>
        <w:spacing w:after="0"/>
        <w:rPr>
          <w:sz w:val="20"/>
          <w:szCs w:val="20"/>
          <w:color w:val="auto"/>
        </w:rPr>
      </w:pPr>
      <w:r>
        <w:rPr>
          <w:rFonts w:ascii="Courier New" w:cs="Courier New" w:eastAsia="Courier New" w:hAnsi="Courier New"/>
          <w:sz w:val="15"/>
          <w:szCs w:val="15"/>
          <w:b w:val="1"/>
          <w:bCs w:val="1"/>
          <w:i w:val="1"/>
          <w:iCs w:val="1"/>
          <w:color w:val="auto"/>
        </w:rPr>
        <w:t>We operate in and sell products to customers outside the U.S. and are subject to several related risks.</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73" w:lineRule="exact"/>
        <w:rPr>
          <w:sz w:val="20"/>
          <w:szCs w:val="20"/>
          <w:color w:val="auto"/>
        </w:rPr>
      </w:pPr>
    </w:p>
    <w:p>
      <w:pPr>
        <w:ind w:left="1340" w:hanging="454"/>
        <w:spacing w:after="0"/>
        <w:tabs>
          <w:tab w:leader="none" w:pos="1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foreign currency fluctuations;</w:t>
      </w:r>
    </w:p>
    <w:p>
      <w:pPr>
        <w:spacing w:after="0" w:line="175" w:lineRule="exact"/>
        <w:rPr>
          <w:rFonts w:ascii="Courier New" w:cs="Courier New" w:eastAsia="Courier New" w:hAnsi="Courier New"/>
          <w:sz w:val="15"/>
          <w:szCs w:val="15"/>
          <w:color w:val="auto"/>
        </w:rPr>
      </w:pPr>
    </w:p>
    <w:p>
      <w:pPr>
        <w:ind w:left="1340" w:right="3339" w:hanging="454"/>
        <w:spacing w:after="0" w:line="241" w:lineRule="auto"/>
        <w:tabs>
          <w:tab w:leader="none" w:pos="1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trade, monetary and fiscal policies, laws and regulations, and other activities of governments, agencies and similar organizations;</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trade restrictions or prohibitions;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192405</wp:posOffset>
            </wp:positionV>
            <wp:extent cx="729297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40" w:right="3259" w:hanging="454"/>
        <w:spacing w:after="0"/>
        <w:tabs>
          <w:tab w:leader="none" w:pos="13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tax rates that discourage the repatriation of funds to the U.S.;</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import or other duties or taxes; and</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unstable governments or legal systems in countries in which our</w:t>
      </w:r>
    </w:p>
    <w:p>
      <w:pPr>
        <w:sectPr>
          <w:pgSz w:w="11900" w:h="16838" w:orient="portrait"/>
          <w:cols w:equalWidth="0" w:num="1">
            <w:col w:w="10219"/>
          </w:cols>
          <w:pgMar w:left="240" w:top="485" w:right="1440" w:bottom="0" w:gutter="0" w:footer="0" w:header="0"/>
        </w:sectPr>
      </w:pPr>
    </w:p>
    <w:bookmarkStart w:id="4" w:name="page5"/>
    <w:bookmarkEnd w:id="4"/>
    <w:p>
      <w:pPr>
        <w:ind w:left="1340"/>
        <w:spacing w:after="0"/>
        <w:rPr>
          <w:sz w:val="20"/>
          <w:szCs w:val="20"/>
          <w:color w:val="auto"/>
        </w:rPr>
      </w:pPr>
      <w:r>
        <w:rPr>
          <w:rFonts w:ascii="Courier New" w:cs="Courier New" w:eastAsia="Courier New" w:hAnsi="Courier New"/>
          <w:sz w:val="15"/>
          <w:szCs w:val="15"/>
          <w:color w:val="auto"/>
        </w:rPr>
        <w:t>suppliers, manufacturing operations, and customers are located.</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We do not have a hedging program in place to help limit the risk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164" w:lineRule="exact"/>
        <w:rPr>
          <w:sz w:val="20"/>
          <w:szCs w:val="20"/>
          <w:color w:val="auto"/>
        </w:rPr>
      </w:pPr>
    </w:p>
    <w:p>
      <w:pPr>
        <w:jc w:val="both"/>
        <w:ind w:right="3159" w:firstLine="894"/>
        <w:spacing w:after="0" w:line="242" w:lineRule="auto"/>
        <w:rPr>
          <w:sz w:val="20"/>
          <w:szCs w:val="20"/>
          <w:color w:val="auto"/>
        </w:rPr>
      </w:pPr>
      <w:r>
        <w:rPr>
          <w:rFonts w:ascii="Courier New" w:cs="Courier New" w:eastAsia="Courier New" w:hAnsi="Courier New"/>
          <w:sz w:val="15"/>
          <w:szCs w:val="15"/>
          <w:color w:val="auto"/>
        </w:rPr>
        <w:t>In addition, due to the typical slower summer manufacturing season in Europe, we expect that revenues in the third fiscal quarter will reflect lower sales, as our sales to foreign customers have increased as a percentage of net sales.</w:t>
      </w:r>
    </w:p>
    <w:p>
      <w:pPr>
        <w:spacing w:after="0" w:line="175" w:lineRule="exact"/>
        <w:rPr>
          <w:sz w:val="20"/>
          <w:szCs w:val="20"/>
          <w:color w:val="auto"/>
        </w:rPr>
      </w:pPr>
    </w:p>
    <w:p>
      <w:pPr>
        <w:jc w:val="both"/>
        <w:ind w:left="880" w:right="3079"/>
        <w:spacing w:after="0" w:line="241" w:lineRule="auto"/>
        <w:rPr>
          <w:sz w:val="20"/>
          <w:szCs w:val="20"/>
          <w:color w:val="auto"/>
        </w:rPr>
      </w:pPr>
      <w:r>
        <w:rPr>
          <w:rFonts w:ascii="Courier New" w:cs="Courier New" w:eastAsia="Courier New" w:hAnsi="Courier New"/>
          <w:sz w:val="15"/>
          <w:szCs w:val="15"/>
          <w:b w:val="1"/>
          <w:bCs w:val="1"/>
          <w:i w:val="1"/>
          <w:iCs w:val="1"/>
          <w:color w:val="auto"/>
        </w:rPr>
        <w:t>We depend heavily on a relatively limited number of customers, and the loss of any major customer would have a material adverse effect on our business.</w:t>
      </w:r>
    </w:p>
    <w:p>
      <w:pPr>
        <w:spacing w:after="0" w:line="348"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Sales to various U.S. and foreign divisions of SKF, which is one of the largest bearing manufacturers in the world, accounted for approximately 35% of consolidated net sales in 2001, and sales to INA/FAG accounted for approximately 19% of consolidated net sales in 2001. During 2001, our ten largest customers accounted for approximately 73% of our consolidated net sales. None of our other customers individually accounted for more than 5% of our consolidated net sales for 2001. The loss of all or a substantial portion of sales to these customers would cause us to lose a substantial portion of our revenue and would lower our profit margin and cash flows from operations.</w:t>
      </w:r>
    </w:p>
    <w:p>
      <w:pPr>
        <w:spacing w:after="0" w:line="350" w:lineRule="exact"/>
        <w:rPr>
          <w:sz w:val="20"/>
          <w:szCs w:val="20"/>
          <w:color w:val="auto"/>
        </w:rPr>
      </w:pPr>
    </w:p>
    <w:p>
      <w:pPr>
        <w:ind w:left="880" w:right="3519"/>
        <w:spacing w:after="0"/>
        <w:rPr>
          <w:sz w:val="20"/>
          <w:szCs w:val="20"/>
          <w:color w:val="auto"/>
        </w:rPr>
      </w:pPr>
      <w:r>
        <w:rPr>
          <w:rFonts w:ascii="Courier New" w:cs="Courier New" w:eastAsia="Courier New" w:hAnsi="Courier New"/>
          <w:sz w:val="15"/>
          <w:szCs w:val="15"/>
          <w:b w:val="1"/>
          <w:bCs w:val="1"/>
          <w:i w:val="1"/>
          <w:iCs w:val="1"/>
          <w:color w:val="auto"/>
        </w:rPr>
        <w:t>The costs and difficulties of integrating acquired business could impede our future growth.</w:t>
      </w:r>
    </w:p>
    <w:p>
      <w:pPr>
        <w:spacing w:after="0" w:line="348"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350" w:lineRule="exact"/>
        <w:rPr>
          <w:sz w:val="20"/>
          <w:szCs w:val="20"/>
          <w:color w:val="auto"/>
        </w:rPr>
      </w:pPr>
    </w:p>
    <w:p>
      <w:pPr>
        <w:ind w:left="880" w:right="3159"/>
        <w:spacing w:after="0"/>
        <w:rPr>
          <w:sz w:val="20"/>
          <w:szCs w:val="20"/>
          <w:color w:val="auto"/>
        </w:rPr>
      </w:pPr>
      <w:r>
        <w:rPr>
          <w:rFonts w:ascii="Courier New" w:cs="Courier New" w:eastAsia="Courier New" w:hAnsi="Courier New"/>
          <w:sz w:val="15"/>
          <w:szCs w:val="15"/>
          <w:b w:val="1"/>
          <w:bCs w:val="1"/>
          <w:i w:val="1"/>
          <w:iCs w:val="1"/>
          <w:color w:val="auto"/>
        </w:rPr>
        <w:t>We may not be able to continue to make the acquisitions necessary for us to realize our growth strategy.</w:t>
      </w:r>
    </w:p>
    <w:p>
      <w:pPr>
        <w:spacing w:after="0" w:line="348"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83185</wp:posOffset>
            </wp:positionV>
            <wp:extent cx="729297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component business in 1999, formed Euroball with our two largest bearing customers, SKF and INA/FAG, in 2000 and acquired our bearing seal operations in 2001.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63"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Additionally, SKF, the minority shareholder in Euroball, has the right to require us to purchase its interest beginning in January 2003. The Company may need to borrow funds to pay for all or a portion of the purchase of SKF's interest or may be required to make a purchase at a time that is less favorable to the Company.</w:t>
      </w:r>
    </w:p>
    <w:p>
      <w:pPr>
        <w:spacing w:after="0" w:line="347" w:lineRule="exact"/>
        <w:rPr>
          <w:sz w:val="20"/>
          <w:szCs w:val="20"/>
          <w:color w:val="auto"/>
        </w:rPr>
      </w:pPr>
    </w:p>
    <w:p>
      <w:pPr>
        <w:jc w:val="both"/>
        <w:ind w:left="880" w:right="3159"/>
        <w:spacing w:after="0" w:line="241" w:lineRule="auto"/>
        <w:rPr>
          <w:sz w:val="20"/>
          <w:szCs w:val="20"/>
          <w:color w:val="auto"/>
        </w:rPr>
      </w:pPr>
      <w:r>
        <w:rPr>
          <w:rFonts w:ascii="Courier New" w:cs="Courier New" w:eastAsia="Courier New" w:hAnsi="Courier New"/>
          <w:sz w:val="15"/>
          <w:szCs w:val="15"/>
          <w:b w:val="1"/>
          <w:bCs w:val="1"/>
          <w:i w:val="1"/>
          <w:iCs w:val="1"/>
          <w:color w:val="auto"/>
        </w:rPr>
        <w:t>Our growth strategy depends on outsourcing, and if the industry trend toward outsourcing does not continue, our business could be adversely affected.</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77" w:lineRule="exact"/>
        <w:rPr>
          <w:sz w:val="20"/>
          <w:szCs w:val="20"/>
          <w:color w:val="auto"/>
        </w:rPr>
      </w:pPr>
    </w:p>
    <w:p>
      <w:pPr>
        <w:ind w:left="880" w:right="3519"/>
        <w:spacing w:after="0" w:line="274" w:lineRule="auto"/>
        <w:rPr>
          <w:sz w:val="20"/>
          <w:szCs w:val="20"/>
          <w:color w:val="auto"/>
        </w:rPr>
      </w:pPr>
      <w:r>
        <w:rPr>
          <w:rFonts w:ascii="Courier New" w:cs="Courier New" w:eastAsia="Courier New" w:hAnsi="Courier New"/>
          <w:sz w:val="14"/>
          <w:szCs w:val="14"/>
          <w:b w:val="1"/>
          <w:bCs w:val="1"/>
          <w:i w:val="1"/>
          <w:iCs w:val="1"/>
          <w:color w:val="auto"/>
        </w:rPr>
        <w:t>Our market is highly competitive and many of our competitors have significant advantages that could adversely affect our business.</w:t>
      </w:r>
    </w:p>
    <w:p>
      <w:pPr>
        <w:spacing w:after="0" w:line="154" w:lineRule="exact"/>
        <w:rPr>
          <w:sz w:val="20"/>
          <w:szCs w:val="20"/>
          <w:color w:val="auto"/>
        </w:rPr>
      </w:pPr>
    </w:p>
    <w:p>
      <w:pPr>
        <w:ind w:right="3079" w:firstLine="894"/>
        <w:spacing w:after="0"/>
        <w:rPr>
          <w:sz w:val="20"/>
          <w:szCs w:val="20"/>
          <w:color w:val="auto"/>
        </w:rPr>
      </w:pPr>
      <w:r>
        <w:rPr>
          <w:rFonts w:ascii="Courier New" w:cs="Courier New" w:eastAsia="Courier New" w:hAnsi="Courier New"/>
          <w:sz w:val="15"/>
          <w:szCs w:val="15"/>
          <w:color w:val="auto"/>
        </w:rPr>
        <w:t>The global market for bearing components is highly competitive, with a majority of production represented by the captive production operations of</w:t>
      </w:r>
    </w:p>
    <w:p>
      <w:pPr>
        <w:sectPr>
          <w:pgSz w:w="11900" w:h="16838" w:orient="portrait"/>
          <w:cols w:equalWidth="0" w:num="1">
            <w:col w:w="10219"/>
          </w:cols>
          <w:pgMar w:left="240" w:top="140" w:right="1440" w:bottom="0" w:gutter="0" w:footer="0" w:header="0"/>
        </w:sectPr>
      </w:pPr>
    </w:p>
    <w:bookmarkStart w:id="5" w:name="page6"/>
    <w:bookmarkEnd w:id="5"/>
    <w:p>
      <w:pPr>
        <w:ind w:right="3079"/>
        <w:spacing w:after="0" w:line="262" w:lineRule="auto"/>
        <w:rPr>
          <w:sz w:val="20"/>
          <w:szCs w:val="20"/>
          <w:color w:val="auto"/>
        </w:rPr>
      </w:pPr>
      <w:r>
        <w:rPr>
          <w:rFonts w:ascii="Courier New" w:cs="Courier New" w:eastAsia="Courier New" w:hAnsi="Courier New"/>
          <w:sz w:val="14"/>
          <w:szCs w:val="14"/>
          <w:color w:val="auto"/>
        </w:rPr>
        <w:t>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3" w:lineRule="exact"/>
        <w:rPr>
          <w:sz w:val="20"/>
          <w:szCs w:val="20"/>
          <w:color w:val="auto"/>
        </w:rPr>
      </w:pPr>
    </w:p>
    <w:p>
      <w:pPr>
        <w:ind w:left="880" w:right="3159"/>
        <w:spacing w:after="0" w:line="241" w:lineRule="auto"/>
        <w:rPr>
          <w:sz w:val="20"/>
          <w:szCs w:val="20"/>
          <w:color w:val="auto"/>
        </w:rPr>
      </w:pPr>
      <w:r>
        <w:rPr>
          <w:rFonts w:ascii="Courier New" w:cs="Courier New" w:eastAsia="Courier New" w:hAnsi="Courier New"/>
          <w:sz w:val="15"/>
          <w:szCs w:val="15"/>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We have significantly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currently are not operating at full capacity and our results of operations for 2001 and the first and second quarters of 2002 were adversely affected by the under-utilization of our production facilities, and we face risks of further under-utilization or inefficient utilization of our production facilities in future years.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192405</wp:posOffset>
            </wp:positionV>
            <wp:extent cx="729297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b w:val="1"/>
          <w:bCs w:val="1"/>
          <w:i w:val="1"/>
          <w:iCs w:val="1"/>
          <w:color w:val="auto"/>
        </w:rPr>
        <w:t>The price of our common stock may be volatile.</w:t>
      </w:r>
    </w:p>
    <w:p>
      <w:pPr>
        <w:spacing w:after="0" w:line="176" w:lineRule="exact"/>
        <w:rPr>
          <w:sz w:val="20"/>
          <w:szCs w:val="20"/>
          <w:color w:val="auto"/>
        </w:rPr>
      </w:pPr>
    </w:p>
    <w:p>
      <w:pPr>
        <w:ind w:right="3259" w:firstLine="894"/>
        <w:spacing w:after="0" w:line="267" w:lineRule="auto"/>
        <w:rPr>
          <w:sz w:val="20"/>
          <w:szCs w:val="20"/>
          <w:color w:val="auto"/>
        </w:rPr>
      </w:pPr>
      <w:r>
        <w:rPr>
          <w:rFonts w:ascii="Courier New" w:cs="Courier New" w:eastAsia="Courier New" w:hAnsi="Courier New"/>
          <w:sz w:val="14"/>
          <w:szCs w:val="14"/>
          <w:color w:val="auto"/>
        </w:rPr>
        <w:t>The market price of our common stock could be subject to significant fluctuations after this offering, and may decline below the public offering price. Among the factors that could affect our stock price are:</w:t>
      </w:r>
    </w:p>
    <w:p>
      <w:pPr>
        <w:spacing w:after="0" w:line="157" w:lineRule="exact"/>
        <w:rPr>
          <w:sz w:val="20"/>
          <w:szCs w:val="20"/>
          <w:color w:val="auto"/>
        </w:rPr>
      </w:pPr>
    </w:p>
    <w:p>
      <w:pPr>
        <w:ind w:left="1340" w:hanging="454"/>
        <w:spacing w:after="0"/>
        <w:tabs>
          <w:tab w:leader="none" w:pos="1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operating and financial performance and prospects;</w:t>
      </w:r>
    </w:p>
    <w:p>
      <w:pPr>
        <w:spacing w:after="0" w:line="175" w:lineRule="exact"/>
        <w:rPr>
          <w:rFonts w:ascii="Courier New" w:cs="Courier New" w:eastAsia="Courier New" w:hAnsi="Courier New"/>
          <w:sz w:val="15"/>
          <w:szCs w:val="15"/>
          <w:color w:val="auto"/>
        </w:rPr>
      </w:pPr>
    </w:p>
    <w:p>
      <w:pPr>
        <w:ind w:left="1340" w:right="3159" w:hanging="454"/>
        <w:spacing w:after="0" w:line="274" w:lineRule="auto"/>
        <w:tabs>
          <w:tab w:leader="none" w:pos="13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variations in the rate of growth of our financial indicators, such as earnings per share, net income and revenues;</w:t>
      </w:r>
    </w:p>
    <w:p>
      <w:pPr>
        <w:spacing w:after="0" w:line="153" w:lineRule="exact"/>
        <w:rPr>
          <w:rFonts w:ascii="Courier New" w:cs="Courier New" w:eastAsia="Courier New" w:hAnsi="Courier New"/>
          <w:sz w:val="14"/>
          <w:szCs w:val="14"/>
          <w:color w:val="auto"/>
        </w:rPr>
      </w:pPr>
    </w:p>
    <w:p>
      <w:pPr>
        <w:ind w:left="1340" w:right="3699" w:hanging="454"/>
        <w:spacing w:after="0"/>
        <w:tabs>
          <w:tab w:leader="none" w:pos="1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revenue or earnings estimates or publication of research reports by analysts;</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any member of our senior management team;</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speculation in the press or investment community;</w:t>
      </w:r>
    </w:p>
    <w:p>
      <w:pPr>
        <w:spacing w:after="0" w:line="175" w:lineRule="exact"/>
        <w:rPr>
          <w:rFonts w:ascii="Courier New" w:cs="Courier New" w:eastAsia="Courier New" w:hAnsi="Courier New"/>
          <w:sz w:val="15"/>
          <w:szCs w:val="15"/>
          <w:color w:val="auto"/>
        </w:rPr>
      </w:pPr>
    </w:p>
    <w:p>
      <w:pPr>
        <w:ind w:left="1340" w:right="3159" w:hanging="454"/>
        <w:spacing w:after="0"/>
        <w:tabs>
          <w:tab w:leader="none" w:pos="1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actions by us or our competitors, such as acquisitions or restructurings;</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our common stock by stockholders;</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conditions; and</w:t>
      </w:r>
    </w:p>
    <w:p>
      <w:pPr>
        <w:spacing w:after="0" w:line="175" w:lineRule="exact"/>
        <w:rPr>
          <w:rFonts w:ascii="Courier New" w:cs="Courier New" w:eastAsia="Courier New" w:hAnsi="Courier New"/>
          <w:sz w:val="15"/>
          <w:szCs w:val="15"/>
          <w:color w:val="auto"/>
        </w:rPr>
      </w:pPr>
    </w:p>
    <w:p>
      <w:pPr>
        <w:ind w:left="1340" w:right="3079" w:hanging="454"/>
        <w:spacing w:after="0"/>
        <w:tabs>
          <w:tab w:leader="none" w:pos="1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and international economic, legal and regulatory factors unrelated to our performance.</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75" w:lineRule="exact"/>
        <w:rPr>
          <w:sz w:val="20"/>
          <w:szCs w:val="20"/>
          <w:color w:val="auto"/>
        </w:rPr>
      </w:pPr>
    </w:p>
    <w:p>
      <w:pPr>
        <w:ind w:left="880" w:right="3159"/>
        <w:spacing w:after="0" w:line="274" w:lineRule="auto"/>
        <w:rPr>
          <w:sz w:val="20"/>
          <w:szCs w:val="20"/>
          <w:color w:val="auto"/>
        </w:rPr>
      </w:pPr>
      <w:r>
        <w:rPr>
          <w:rFonts w:ascii="Courier New" w:cs="Courier New" w:eastAsia="Courier New" w:hAnsi="Courier New"/>
          <w:sz w:val="14"/>
          <w:szCs w:val="14"/>
          <w:b w:val="1"/>
          <w:bCs w:val="1"/>
          <w:i w:val="1"/>
          <w:iCs w:val="1"/>
          <w:color w:val="auto"/>
        </w:rPr>
        <w:t>Provisions in our charter documents and Delaware law may inhibit a takeover, which could adversely affect the value of our common stock.</w:t>
      </w:r>
    </w:p>
    <w:p>
      <w:pPr>
        <w:spacing w:after="0" w:line="154" w:lineRule="exact"/>
        <w:rPr>
          <w:sz w:val="20"/>
          <w:szCs w:val="20"/>
          <w:color w:val="auto"/>
        </w:rPr>
      </w:pPr>
    </w:p>
    <w:p>
      <w:pPr>
        <w:ind w:right="3079" w:firstLine="894"/>
        <w:spacing w:after="0" w:line="262" w:lineRule="auto"/>
        <w:rPr>
          <w:sz w:val="20"/>
          <w:szCs w:val="20"/>
          <w:color w:val="auto"/>
        </w:rPr>
      </w:pPr>
      <w:r>
        <w:rPr>
          <w:rFonts w:ascii="Courier New" w:cs="Courier New" w:eastAsia="Courier New" w:hAnsi="Courier New"/>
          <w:sz w:val="14"/>
          <w:szCs w:val="14"/>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63"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192405</wp:posOffset>
            </wp:positionV>
            <wp:extent cx="729297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ectPr>
          <w:pgSz w:w="11900" w:h="16838" w:orient="portrait"/>
          <w:cols w:equalWidth="0" w:num="1">
            <w:col w:w="10219"/>
          </w:cols>
          <w:pgMar w:left="240" w:top="141" w:right="1440" w:bottom="0" w:gutter="0" w:footer="0" w:header="0"/>
        </w:sectPr>
      </w:pPr>
    </w:p>
    <w:bookmarkStart w:id="6" w:name="page7"/>
    <w:bookmarkEnd w:id="6"/>
    <w:p>
      <w:pPr>
        <w:jc w:val="both"/>
        <w:ind w:right="3159" w:firstLine="894"/>
        <w:spacing w:after="0" w:line="267" w:lineRule="auto"/>
        <w:rPr>
          <w:sz w:val="20"/>
          <w:szCs w:val="20"/>
          <w:color w:val="auto"/>
        </w:rPr>
      </w:pPr>
      <w:r>
        <w:rPr>
          <w:rFonts w:ascii="Courier New" w:cs="Courier New" w:eastAsia="Courier New" w:hAnsi="Courier New"/>
          <w:sz w:val="14"/>
          <w:szCs w:val="14"/>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192405</wp:posOffset>
            </wp:positionV>
            <wp:extent cx="729297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b w:val="1"/>
          <w:bCs w:val="1"/>
          <w:color w:val="auto"/>
        </w:rPr>
        <w:t>NN, INC.</w:t>
      </w:r>
    </w:p>
    <w:p>
      <w:pPr>
        <w:spacing w:after="0" w:line="176" w:lineRule="exact"/>
        <w:rPr>
          <w:sz w:val="20"/>
          <w:szCs w:val="20"/>
          <w:color w:val="auto"/>
        </w:rPr>
      </w:pPr>
    </w:p>
    <w:p>
      <w:pPr>
        <w:ind w:right="3079" w:firstLine="886"/>
        <w:spacing w:after="0" w:line="261" w:lineRule="auto"/>
        <w:tabs>
          <w:tab w:leader="none" w:pos="1163"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338"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Our bearing component products presently account for approximately 90% of our consolidated revenue and sales of high precision plastic products account for the balance. We estimate that the size of the global market for balls, rollers, seals and plastic retainers is $3.5 billion. Captive component production of bearing manufacturers accounts for approximately 65% of this market, while independent manufacturers currently serve approximately 35% of the market. We believe that we are a leader in the independent manufacturers segment of the market with a 14%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it provides them with significant financial advantages, including lower long-term component costs and improved returns on invested capital.</w:t>
      </w:r>
    </w:p>
    <w:p>
      <w:pPr>
        <w:spacing w:after="0" w:line="354"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We intend to continue to capitalize on this growing trend of outsourcing within our global bearing customer base. Recent successes include joining with our two largest bearing customers, SKF and INA/FAG, to create our majority-owned subsidiary, Euroball. In forming Euroball, we contributed our Ireland ball manufacturing facility, while SKF and INA/FAG contributed their captive ball manufacturing facilities in Italy and Germany. On December 20, 2002, we purchased all of INA/FAG's interest in Euroball, increasing our holdings in Euroball to 77 percent. This transaction is described in the Section entitled "Recent Developments" beginning on page 1. Both SKF and INA/FAG independently entered into long-term supply agreements designating Euroball as their primary supplier of ball products in Europe. Through Euroball, we are Europe's leading provider of precision balls.</w:t>
      </w:r>
    </w:p>
    <w:p>
      <w:pPr>
        <w:spacing w:after="0" w:line="352" w:lineRule="exact"/>
        <w:rPr>
          <w:sz w:val="20"/>
          <w:szCs w:val="20"/>
          <w:color w:val="auto"/>
        </w:rPr>
      </w:pPr>
    </w:p>
    <w:p>
      <w:pPr>
        <w:ind w:right="3079" w:firstLine="894"/>
        <w:spacing w:after="0" w:line="263" w:lineRule="auto"/>
        <w:rPr>
          <w:sz w:val="20"/>
          <w:szCs w:val="20"/>
          <w:color w:val="auto"/>
        </w:rPr>
      </w:pPr>
      <w:r>
        <w:rPr>
          <w:rFonts w:ascii="Courier New" w:cs="Courier New" w:eastAsia="Courier New" w:hAnsi="Courier New"/>
          <w:sz w:val="14"/>
          <w:szCs w:val="14"/>
          <w:color w:val="auto"/>
        </w:rPr>
        <w:t>We operate eight North American and European manufacturing facilities. Our two U. S. ball and roller production facilities are located in Tennessee and our Euroball subsidiary operates three manufacturing facilities located in Ireland, Germany and Italy. Our seal, retainer and other plastic products are manufactured in three facilities located in Connecticut, Texas and Mexico.</w:t>
      </w:r>
    </w:p>
    <w:p>
      <w:pPr>
        <w:spacing w:after="0" w:line="163"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Our principal executive offices are located at 2000 Waters Edge Drive, Johnson City, Tennessee 37604 and our telephone number is (423) 743-9151. Our Internet website address is www.nnbr.com. Information contained on our website is not part of this prospectus.</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192405</wp:posOffset>
            </wp:positionV>
            <wp:extent cx="729297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b w:val="1"/>
          <w:bCs w:val="1"/>
          <w:color w:val="auto"/>
        </w:rPr>
        <w:t>Cautionary Statement Concerning Forward-Looking Statements</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This prospectus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4 through 7 of this prospectus.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expect as required by applicable law.</w:t>
      </w:r>
    </w:p>
    <w:p>
      <w:pPr>
        <w:sectPr>
          <w:pgSz w:w="11900" w:h="16838" w:orient="portrait"/>
          <w:cols w:equalWidth="0" w:num="1">
            <w:col w:w="10219"/>
          </w:cols>
          <w:pgMar w:left="240" w:top="141" w:right="1440" w:bottom="0" w:gutter="0" w:footer="0" w:header="0"/>
        </w:sectPr>
      </w:pPr>
    </w:p>
    <w:bookmarkStart w:id="7" w:name="page8"/>
    <w:bookmarkEnd w:id="7"/>
    <w:p>
      <w:pPr>
        <w:ind w:left="3488"/>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192405</wp:posOffset>
            </wp:positionV>
            <wp:extent cx="729297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b w:val="1"/>
          <w:bCs w:val="1"/>
          <w:color w:val="auto"/>
        </w:rPr>
        <w:t>USE OF PROCEEDS</w:t>
      </w:r>
    </w:p>
    <w:p>
      <w:pPr>
        <w:spacing w:after="0" w:line="348"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Unless otherwise indicated in a prospectus supplement, we intend to use the net cash proceeds from this offering to repay a portion of the borrowings outstanding under the term loan portion of our existing credit facilities as required under those arrangements. The term loan under our credit facility expires on July 1, 2006 and bears interest at a floating rate equal to LIBOR (1.38% at December 31, 2002) plus an applicable margin of 0.75% to 2.00% based upon calculated financial ratios. Additionally, we may receive certain non-cash manufacturing assets in connection with the potential asset acquisition from SKF in Veenendaal, The Netherlands (as described in "Recent Developments beginning on page 1) as proceeds from this offering, which we intend to use in our business operations.</w:t>
      </w:r>
    </w:p>
    <w:p>
      <w:pPr>
        <w:spacing w:after="0" w:line="179"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To the extent that the net cash proceeds of any offering pursuant to this prospectus are not used to repay indebtedness under our credit facilities, we anticipate that the proceeds will be used for general operational purposes, which may include, but are not limited to, working capital, capital expenditures and future acquisitions. In addition, the minority shareholder in Euroball, SKF, has the right to require us to purchase its interest beginning January 2003 based on a formula price. The purchase price would be determined at the time SKF exercises such right based on multiples of the annualized average monthly income and average monthly EBITDA of Euroball, reduced by its short and long term borrowings. Under this formula, which is set forth in detail in the Euroball Shareholder Agreement, the purchase price increases as Euroball's annualized average monthly income and average monthly EBITDA increase and decreases as its short and long term borrowings increase. If SKF were to exercise that right, we may use a portion of the shares in this offering to raise funds to purchase the interest or we may issue shares of common stock directly as all or a portion of the payment.</w:t>
      </w:r>
    </w:p>
    <w:p>
      <w:pPr>
        <w:spacing w:after="0" w:line="355" w:lineRule="exact"/>
        <w:rPr>
          <w:sz w:val="20"/>
          <w:szCs w:val="20"/>
          <w:color w:val="auto"/>
        </w:rPr>
      </w:pPr>
    </w:p>
    <w:p>
      <w:pPr>
        <w:ind w:left="8" w:right="3159" w:firstLine="894"/>
        <w:spacing w:after="0"/>
        <w:rPr>
          <w:sz w:val="20"/>
          <w:szCs w:val="20"/>
          <w:color w:val="auto"/>
        </w:rPr>
      </w:pPr>
      <w:r>
        <w:rPr>
          <w:rFonts w:ascii="Courier New" w:cs="Courier New" w:eastAsia="Courier New" w:hAnsi="Courier New"/>
          <w:sz w:val="15"/>
          <w:szCs w:val="15"/>
          <w:color w:val="auto"/>
        </w:rPr>
        <w:t>We will not receive any of the proceeds from sales of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192405</wp:posOffset>
            </wp:positionV>
            <wp:extent cx="729297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b w:val="1"/>
          <w:bCs w:val="1"/>
          <w:color w:val="auto"/>
        </w:rPr>
        <w:t>SELLING STOCKHOLDERS</w:t>
      </w:r>
    </w:p>
    <w:p>
      <w:pPr>
        <w:spacing w:after="0" w:line="348" w:lineRule="exact"/>
        <w:rPr>
          <w:sz w:val="20"/>
          <w:szCs w:val="20"/>
          <w:color w:val="auto"/>
        </w:rPr>
      </w:pPr>
    </w:p>
    <w:p>
      <w:pPr>
        <w:ind w:left="8" w:right="3159" w:firstLine="894"/>
        <w:spacing w:after="0" w:line="242"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our common stock as of December 31, 2002, and as by the stockholders who are selling shares of common stock in this offering, and as adjusted to reflect the sale of shares offered in this prospectus. Unless otherwise noted, to our knowledge each selling stockholder has sole voting and investment power over the shares shown.</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ind w:right="1185"/>
              <w:spacing w:after="0"/>
              <w:rPr>
                <w:sz w:val="20"/>
                <w:szCs w:val="20"/>
                <w:color w:val="auto"/>
              </w:rPr>
            </w:pPr>
            <w:r>
              <w:rPr>
                <w:rFonts w:ascii="Courier New" w:cs="Courier New" w:eastAsia="Courier New" w:hAnsi="Courier New"/>
                <w:sz w:val="15"/>
                <w:szCs w:val="15"/>
                <w:b w:val="1"/>
                <w:bCs w:val="1"/>
                <w:color w:val="auto"/>
                <w:w w:val="92"/>
              </w:rPr>
              <w:t>Shares</w:t>
            </w:r>
          </w:p>
        </w:tc>
        <w:tc>
          <w:tcPr>
            <w:tcW w:w="1200" w:type="dxa"/>
            <w:vAlign w:val="bottom"/>
          </w:tcPr>
          <w:p>
            <w:pPr>
              <w:spacing w:after="0"/>
              <w:rPr>
                <w:sz w:val="14"/>
                <w:szCs w:val="14"/>
                <w:color w:val="auto"/>
              </w:rPr>
            </w:pPr>
          </w:p>
        </w:tc>
        <w:tc>
          <w:tcPr>
            <w:tcW w:w="2380" w:type="dxa"/>
            <w:vAlign w:val="bottom"/>
            <w:gridSpan w:val="2"/>
          </w:tcPr>
          <w:p>
            <w:pPr>
              <w:jc w:val="right"/>
              <w:ind w:right="1005"/>
              <w:spacing w:after="0"/>
              <w:rPr>
                <w:sz w:val="20"/>
                <w:szCs w:val="20"/>
                <w:color w:val="auto"/>
              </w:rPr>
            </w:pPr>
            <w:r>
              <w:rPr>
                <w:rFonts w:ascii="Courier New" w:cs="Courier New" w:eastAsia="Courier New" w:hAnsi="Courier New"/>
                <w:sz w:val="15"/>
                <w:szCs w:val="15"/>
                <w:b w:val="1"/>
                <w:bCs w:val="1"/>
                <w:color w:val="auto"/>
              </w:rPr>
              <w:t>Shares</w:t>
            </w:r>
          </w:p>
        </w:tc>
      </w:tr>
      <w:tr>
        <w:trPr>
          <w:trHeight w:val="172"/>
        </w:trPr>
        <w:tc>
          <w:tcPr>
            <w:tcW w:w="1880" w:type="dxa"/>
            <w:vAlign w:val="bottom"/>
          </w:tcPr>
          <w:p>
            <w:pPr>
              <w:spacing w:after="0"/>
              <w:rPr>
                <w:sz w:val="14"/>
                <w:szCs w:val="14"/>
                <w:color w:val="auto"/>
              </w:rPr>
            </w:pPr>
          </w:p>
        </w:tc>
        <w:tc>
          <w:tcPr>
            <w:tcW w:w="2940" w:type="dxa"/>
            <w:vAlign w:val="bottom"/>
            <w:gridSpan w:val="2"/>
          </w:tcPr>
          <w:p>
            <w:pPr>
              <w:ind w:left="620"/>
              <w:spacing w:after="0"/>
              <w:rPr>
                <w:sz w:val="20"/>
                <w:szCs w:val="20"/>
                <w:color w:val="auto"/>
              </w:rPr>
            </w:pPr>
            <w:r>
              <w:rPr>
                <w:rFonts w:ascii="Courier New" w:cs="Courier New" w:eastAsia="Courier New" w:hAnsi="Courier New"/>
                <w:sz w:val="15"/>
                <w:szCs w:val="15"/>
                <w:b w:val="1"/>
                <w:bCs w:val="1"/>
                <w:color w:val="auto"/>
              </w:rPr>
              <w:t>Beneficially Owned</w:t>
            </w:r>
          </w:p>
        </w:tc>
        <w:tc>
          <w:tcPr>
            <w:tcW w:w="1200" w:type="dxa"/>
            <w:vAlign w:val="bottom"/>
          </w:tcPr>
          <w:p>
            <w:pPr>
              <w:spacing w:after="0"/>
              <w:rPr>
                <w:sz w:val="14"/>
                <w:szCs w:val="14"/>
                <w:color w:val="auto"/>
              </w:rPr>
            </w:pPr>
          </w:p>
        </w:tc>
        <w:tc>
          <w:tcPr>
            <w:tcW w:w="2380" w:type="dxa"/>
            <w:vAlign w:val="bottom"/>
            <w:gridSpan w:val="2"/>
          </w:tcPr>
          <w:p>
            <w:pPr>
              <w:jc w:val="center"/>
              <w:ind w:right="45"/>
              <w:spacing w:after="0"/>
              <w:rPr>
                <w:sz w:val="20"/>
                <w:szCs w:val="20"/>
                <w:color w:val="auto"/>
              </w:rPr>
            </w:pPr>
            <w:r>
              <w:rPr>
                <w:rFonts w:ascii="Courier New" w:cs="Courier New" w:eastAsia="Courier New" w:hAnsi="Courier New"/>
                <w:sz w:val="15"/>
                <w:szCs w:val="15"/>
                <w:b w:val="1"/>
                <w:bCs w:val="1"/>
                <w:color w:val="auto"/>
                <w:w w:val="99"/>
              </w:rPr>
              <w:t>Beneficially Owned</w:t>
            </w:r>
          </w:p>
        </w:tc>
      </w:tr>
      <w:tr>
        <w:trPr>
          <w:trHeight w:val="172"/>
        </w:trPr>
        <w:tc>
          <w:tcPr>
            <w:tcW w:w="1880" w:type="dxa"/>
            <w:vAlign w:val="bottom"/>
          </w:tcPr>
          <w:p>
            <w:pPr>
              <w:spacing w:after="0"/>
              <w:rPr>
                <w:sz w:val="14"/>
                <w:szCs w:val="14"/>
                <w:color w:val="auto"/>
              </w:rPr>
            </w:pPr>
          </w:p>
        </w:tc>
        <w:tc>
          <w:tcPr>
            <w:tcW w:w="2940" w:type="dxa"/>
            <w:vAlign w:val="bottom"/>
            <w:gridSpan w:val="2"/>
          </w:tcPr>
          <w:p>
            <w:pPr>
              <w:ind w:left="620"/>
              <w:spacing w:after="0"/>
              <w:rPr>
                <w:sz w:val="20"/>
                <w:szCs w:val="20"/>
                <w:color w:val="auto"/>
              </w:rPr>
            </w:pPr>
            <w:r>
              <w:rPr>
                <w:rFonts w:ascii="Courier New" w:cs="Courier New" w:eastAsia="Courier New" w:hAnsi="Courier New"/>
                <w:sz w:val="15"/>
                <w:szCs w:val="15"/>
                <w:b w:val="1"/>
                <w:bCs w:val="1"/>
                <w:color w:val="auto"/>
              </w:rPr>
              <w:t>Prior to Offering</w:t>
            </w:r>
          </w:p>
        </w:tc>
        <w:tc>
          <w:tcPr>
            <w:tcW w:w="1200" w:type="dxa"/>
            <w:vAlign w:val="bottom"/>
          </w:tcPr>
          <w:p>
            <w:pPr>
              <w:ind w:left="180"/>
              <w:spacing w:after="0"/>
              <w:rPr>
                <w:sz w:val="20"/>
                <w:szCs w:val="20"/>
                <w:color w:val="auto"/>
              </w:rPr>
            </w:pPr>
            <w:r>
              <w:rPr>
                <w:rFonts w:ascii="Courier New" w:cs="Courier New" w:eastAsia="Courier New" w:hAnsi="Courier New"/>
                <w:sz w:val="15"/>
                <w:szCs w:val="15"/>
                <w:b w:val="1"/>
                <w:bCs w:val="1"/>
                <w:color w:val="auto"/>
              </w:rPr>
              <w:t>Shares</w:t>
            </w:r>
          </w:p>
        </w:tc>
        <w:tc>
          <w:tcPr>
            <w:tcW w:w="2380" w:type="dxa"/>
            <w:vAlign w:val="bottom"/>
            <w:gridSpan w:val="2"/>
          </w:tcPr>
          <w:p>
            <w:pPr>
              <w:jc w:val="center"/>
              <w:ind w:right="45"/>
              <w:spacing w:after="0"/>
              <w:rPr>
                <w:sz w:val="20"/>
                <w:szCs w:val="20"/>
                <w:color w:val="auto"/>
              </w:rPr>
            </w:pPr>
            <w:r>
              <w:rPr>
                <w:rFonts w:ascii="Courier New" w:cs="Courier New" w:eastAsia="Courier New" w:hAnsi="Courier New"/>
                <w:sz w:val="15"/>
                <w:szCs w:val="15"/>
                <w:b w:val="1"/>
                <w:bCs w:val="1"/>
                <w:color w:val="auto"/>
                <w:w w:val="99"/>
              </w:rPr>
              <w:t>After Offering</w:t>
            </w:r>
          </w:p>
        </w:tc>
      </w:tr>
      <w:tr>
        <w:trPr>
          <w:trHeight w:val="172"/>
        </w:trPr>
        <w:tc>
          <w:tcPr>
            <w:tcW w:w="1880" w:type="dxa"/>
            <w:vAlign w:val="bottom"/>
          </w:tcPr>
          <w:p>
            <w:pPr>
              <w:spacing w:after="0"/>
              <w:rPr>
                <w:sz w:val="14"/>
                <w:szCs w:val="14"/>
                <w:color w:val="auto"/>
              </w:rPr>
            </w:pPr>
          </w:p>
        </w:tc>
        <w:tc>
          <w:tcPr>
            <w:tcW w:w="2940" w:type="dxa"/>
            <w:vAlign w:val="bottom"/>
            <w:gridSpan w:val="2"/>
          </w:tcPr>
          <w:p>
            <w:pPr>
              <w:ind w:left="620"/>
              <w:spacing w:after="0"/>
              <w:rPr>
                <w:sz w:val="20"/>
                <w:szCs w:val="20"/>
                <w:color w:val="auto"/>
              </w:rPr>
            </w:pPr>
            <w:r>
              <w:rPr>
                <w:rFonts w:ascii="Courier New" w:cs="Courier New" w:eastAsia="Courier New" w:hAnsi="Courier New"/>
                <w:sz w:val="15"/>
                <w:szCs w:val="15"/>
                <w:b w:val="1"/>
                <w:bCs w:val="1"/>
                <w:color w:val="auto"/>
              </w:rPr>
              <w:t>------------------</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b w:val="1"/>
                <w:bCs w:val="1"/>
                <w:color w:val="auto"/>
              </w:rPr>
              <w:t>Being</w:t>
            </w:r>
          </w:p>
        </w:tc>
        <w:tc>
          <w:tcPr>
            <w:tcW w:w="2380" w:type="dxa"/>
            <w:vAlign w:val="bottom"/>
            <w:gridSpan w:val="2"/>
          </w:tcPr>
          <w:p>
            <w:pPr>
              <w:jc w:val="center"/>
              <w:ind w:right="45"/>
              <w:spacing w:after="0"/>
              <w:rPr>
                <w:sz w:val="20"/>
                <w:szCs w:val="20"/>
                <w:color w:val="auto"/>
              </w:rPr>
            </w:pPr>
            <w:r>
              <w:rPr>
                <w:rFonts w:ascii="Courier New" w:cs="Courier New" w:eastAsia="Courier New" w:hAnsi="Courier New"/>
                <w:sz w:val="15"/>
                <w:szCs w:val="15"/>
                <w:b w:val="1"/>
                <w:bCs w:val="1"/>
                <w:color w:val="auto"/>
                <w:w w:val="99"/>
              </w:rPr>
              <w:t>------------------</w:t>
            </w:r>
          </w:p>
        </w:tc>
      </w:tr>
      <w:tr>
        <w:trPr>
          <w:trHeight w:val="172"/>
        </w:trPr>
        <w:tc>
          <w:tcPr>
            <w:tcW w:w="188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b w:val="1"/>
                <w:bCs w:val="1"/>
                <w:color w:val="auto"/>
              </w:rPr>
              <w:t>Number</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b w:val="1"/>
                <w:bCs w:val="1"/>
                <w:color w:val="auto"/>
              </w:rPr>
              <w:t>Percent (%)(1)</w:t>
            </w:r>
          </w:p>
        </w:tc>
        <w:tc>
          <w:tcPr>
            <w:tcW w:w="1200" w:type="dxa"/>
            <w:vAlign w:val="bottom"/>
          </w:tcPr>
          <w:p>
            <w:pPr>
              <w:ind w:left="180"/>
              <w:spacing w:after="0"/>
              <w:rPr>
                <w:sz w:val="20"/>
                <w:szCs w:val="20"/>
                <w:color w:val="auto"/>
              </w:rPr>
            </w:pPr>
            <w:r>
              <w:rPr>
                <w:rFonts w:ascii="Courier New" w:cs="Courier New" w:eastAsia="Courier New" w:hAnsi="Courier New"/>
                <w:sz w:val="15"/>
                <w:szCs w:val="15"/>
                <w:b w:val="1"/>
                <w:bCs w:val="1"/>
                <w:color w:val="auto"/>
              </w:rPr>
              <w:t>Offered</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b w:val="1"/>
                <w:bCs w:val="1"/>
                <w:color w:val="auto"/>
              </w:rPr>
              <w:t>Number</w:t>
            </w:r>
          </w:p>
        </w:tc>
        <w:tc>
          <w:tcPr>
            <w:tcW w:w="1260" w:type="dxa"/>
            <w:vAlign w:val="bottom"/>
          </w:tcPr>
          <w:p>
            <w:pPr>
              <w:spacing w:after="0"/>
              <w:rPr>
                <w:sz w:val="20"/>
                <w:szCs w:val="20"/>
                <w:color w:val="auto"/>
              </w:rPr>
            </w:pPr>
            <w:r>
              <w:rPr>
                <w:rFonts w:ascii="Courier New" w:cs="Courier New" w:eastAsia="Courier New" w:hAnsi="Courier New"/>
                <w:sz w:val="15"/>
                <w:szCs w:val="15"/>
                <w:b w:val="1"/>
                <w:bCs w:val="1"/>
                <w:color w:val="auto"/>
                <w:w w:val="98"/>
              </w:rPr>
              <w:t>Percent (%)(1)</w:t>
            </w:r>
          </w:p>
        </w:tc>
      </w:tr>
      <w:tr>
        <w:trPr>
          <w:trHeight w:val="172"/>
        </w:trPr>
        <w:tc>
          <w:tcPr>
            <w:tcW w:w="188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b w:val="1"/>
                <w:bCs w:val="1"/>
                <w:color w:val="auto"/>
              </w:rPr>
              <w:t>------</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b w:val="1"/>
                <w:bCs w:val="1"/>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5"/>
                <w:szCs w:val="15"/>
                <w:b w:val="1"/>
                <w:bCs w:val="1"/>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b w:val="1"/>
                <w:bCs w:val="1"/>
                <w:color w:val="auto"/>
              </w:rPr>
              <w:t>------</w:t>
            </w:r>
          </w:p>
        </w:tc>
        <w:tc>
          <w:tcPr>
            <w:tcW w:w="1260" w:type="dxa"/>
            <w:vAlign w:val="bottom"/>
          </w:tcPr>
          <w:p>
            <w:pPr>
              <w:spacing w:after="0"/>
              <w:rPr>
                <w:sz w:val="20"/>
                <w:szCs w:val="20"/>
                <w:color w:val="auto"/>
              </w:rPr>
            </w:pPr>
            <w:r>
              <w:rPr>
                <w:rFonts w:ascii="Courier New" w:cs="Courier New" w:eastAsia="Courier New" w:hAnsi="Courier New"/>
                <w:sz w:val="15"/>
                <w:szCs w:val="15"/>
                <w:b w:val="1"/>
                <w:bCs w:val="1"/>
                <w:color w:val="auto"/>
              </w:rPr>
              <w:t>-----------</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Richard D. Ennen (2)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2,844,668(3)</w:t>
            </w:r>
          </w:p>
        </w:tc>
        <w:tc>
          <w:tcPr>
            <w:tcW w:w="1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2,844,668</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Michael D. Huff (4)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662,227(5)</w:t>
            </w:r>
          </w:p>
        </w:tc>
        <w:tc>
          <w:tcPr>
            <w:tcW w:w="1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662,227</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Janet M. Huff</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225,000</w:t>
            </w:r>
          </w:p>
        </w:tc>
        <w:tc>
          <w:tcPr>
            <w:tcW w:w="1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225,000</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Monica C. Ennen</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129,900(6)</w:t>
            </w:r>
          </w:p>
        </w:tc>
        <w:tc>
          <w:tcPr>
            <w:tcW w:w="1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129,900</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Deborah E. Bagierek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96,869(7)</w:t>
            </w:r>
          </w:p>
        </w:tc>
        <w:tc>
          <w:tcPr>
            <w:tcW w:w="1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96,869</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Amounts are less than one percent.</w:t>
      </w:r>
    </w:p>
    <w:p>
      <w:pPr>
        <w:spacing w:after="0" w:line="348" w:lineRule="exact"/>
        <w:rPr>
          <w:sz w:val="20"/>
          <w:szCs w:val="20"/>
          <w:color w:val="auto"/>
        </w:rPr>
      </w:pPr>
    </w:p>
    <w:p>
      <w:pPr>
        <w:ind w:left="8" w:right="3159" w:hanging="8"/>
        <w:spacing w:after="0" w:line="241"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15,369,807 shares of NN's common stock outstanding on December 31, 2002. The percentage of shares owned after the offering assumes that NN sells 3,830,000 shares pursuant to this prospectus.</w:t>
      </w:r>
    </w:p>
    <w:p>
      <w:pPr>
        <w:spacing w:after="0" w:line="348" w:lineRule="exact"/>
        <w:rPr>
          <w:rFonts w:ascii="Courier New" w:cs="Courier New" w:eastAsia="Courier New" w:hAnsi="Courier New"/>
          <w:sz w:val="15"/>
          <w:szCs w:val="15"/>
          <w:color w:val="auto"/>
        </w:rPr>
      </w:pPr>
    </w:p>
    <w:p>
      <w:pPr>
        <w:ind w:left="8" w:right="3079" w:hanging="8"/>
        <w:spacing w:after="0" w:line="241"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Ennen currently sits on the Company's Board of Directors and has since the Company's formation in 1980. He was Chairman of the Board from the formation of the Company until September of 2001.</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1,800,000 shares held by the Richard D. Ennen Charitable Remainder</w:t>
      </w:r>
    </w:p>
    <w:p>
      <w:pPr>
        <w:sectPr>
          <w:pgSz w:w="11900" w:h="16838" w:orient="portrait"/>
          <w:cols w:equalWidth="0" w:num="1">
            <w:col w:w="10227"/>
          </w:cols>
          <w:pgMar w:left="232" w:top="1000" w:right="1440" w:bottom="0" w:gutter="0" w:footer="0" w:header="0"/>
        </w:sectPr>
      </w:pPr>
    </w:p>
    <w:bookmarkStart w:id="8" w:name="page9"/>
    <w:bookmarkEnd w:id="8"/>
    <w:p>
      <w:pPr>
        <w:ind w:left="8" w:right="3159"/>
        <w:spacing w:after="0" w:line="242" w:lineRule="auto"/>
        <w:rPr>
          <w:sz w:val="20"/>
          <w:szCs w:val="20"/>
          <w:color w:val="auto"/>
        </w:rPr>
      </w:pPr>
      <w:r>
        <w:rPr>
          <w:rFonts w:ascii="Courier New" w:cs="Courier New" w:eastAsia="Courier New" w:hAnsi="Courier New"/>
          <w:sz w:val="15"/>
          <w:szCs w:val="15"/>
          <w:color w:val="auto"/>
        </w:rPr>
        <w:t>Unitrust of which Mr. Ennen is the trustee and 200,000 shares held by the Ennen Charitable Trust of which Mr. Ennen is the trustee. Mr. Ennen disclaims beneficial ownership to the shares held by his former spouse, Monica Ennen, and his daughter, Deborah E. Bagierek.</w:t>
      </w:r>
    </w:p>
    <w:p>
      <w:pPr>
        <w:spacing w:after="0" w:line="175" w:lineRule="exact"/>
        <w:rPr>
          <w:sz w:val="20"/>
          <w:szCs w:val="20"/>
          <w:color w:val="auto"/>
        </w:rPr>
      </w:pPr>
    </w:p>
    <w:p>
      <w:pPr>
        <w:ind w:left="8" w:right="3339" w:hanging="8"/>
        <w:spacing w:after="0"/>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Huff currently sits on the Company's Board of Directors and has since the Company's formation in 1980.</w:t>
      </w:r>
    </w:p>
    <w:p>
      <w:pPr>
        <w:spacing w:after="0" w:line="176" w:lineRule="exact"/>
        <w:rPr>
          <w:rFonts w:ascii="Courier New" w:cs="Courier New" w:eastAsia="Courier New" w:hAnsi="Courier New"/>
          <w:sz w:val="15"/>
          <w:szCs w:val="15"/>
          <w:color w:val="auto"/>
        </w:rPr>
      </w:pPr>
    </w:p>
    <w:p>
      <w:pPr>
        <w:ind w:left="8" w:right="3439" w:hanging="8"/>
        <w:spacing w:after="0" w:line="241" w:lineRule="auto"/>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23,000 shares subject to presently exercisable options, and (ii) 225,000 shares held directly by Mr. Huff's spouse, for which Mr. Huff disclaims beneficial ownership.</w:t>
      </w:r>
    </w:p>
    <w:p>
      <w:pPr>
        <w:spacing w:after="0" w:line="348" w:lineRule="exact"/>
        <w:rPr>
          <w:rFonts w:ascii="Courier New" w:cs="Courier New" w:eastAsia="Courier New" w:hAnsi="Courier New"/>
          <w:sz w:val="15"/>
          <w:szCs w:val="15"/>
          <w:color w:val="auto"/>
        </w:rPr>
      </w:pPr>
    </w:p>
    <w:p>
      <w:pPr>
        <w:ind w:left="8" w:right="3519" w:hanging="8"/>
        <w:spacing w:after="0"/>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Ms. Ennen's shares are held by the Monica Conway Ennen Trust, of which Ms. Ennen is a trustee.</w:t>
      </w:r>
    </w:p>
    <w:p>
      <w:pPr>
        <w:spacing w:after="0" w:line="176" w:lineRule="exact"/>
        <w:rPr>
          <w:rFonts w:ascii="Courier New" w:cs="Courier New" w:eastAsia="Courier New" w:hAnsi="Courier New"/>
          <w:sz w:val="15"/>
          <w:szCs w:val="15"/>
          <w:color w:val="auto"/>
        </w:rPr>
      </w:pPr>
    </w:p>
    <w:p>
      <w:pPr>
        <w:ind w:left="8" w:right="3259" w:hanging="8"/>
        <w:spacing w:after="0"/>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Ms. Bagierek's shares are held by the Deborah Ennen Bagierek Trust, of which Ms. Bagierek is a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192405</wp:posOffset>
            </wp:positionV>
            <wp:extent cx="729297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b w:val="1"/>
          <w:bCs w:val="1"/>
          <w:color w:val="auto"/>
        </w:rPr>
        <w:t>PLAN OF DISTRIBUTION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b w:val="1"/>
          <w:bCs w:val="1"/>
          <w:color w:val="auto"/>
        </w:rPr>
        <w:t>Company Offering</w:t>
      </w:r>
    </w:p>
    <w:p>
      <w:pPr>
        <w:spacing w:after="0" w:line="176" w:lineRule="exact"/>
        <w:rPr>
          <w:sz w:val="20"/>
          <w:szCs w:val="20"/>
          <w:color w:val="auto"/>
        </w:rPr>
      </w:pPr>
    </w:p>
    <w:p>
      <w:pPr>
        <w:ind w:left="8" w:right="3159" w:firstLine="894"/>
        <w:spacing w:after="0"/>
        <w:rPr>
          <w:sz w:val="20"/>
          <w:szCs w:val="20"/>
          <w:color w:val="auto"/>
        </w:rPr>
      </w:pPr>
      <w:r>
        <w:rPr>
          <w:rFonts w:ascii="Courier New" w:cs="Courier New" w:eastAsia="Courier New" w:hAnsi="Courier New"/>
          <w:sz w:val="15"/>
          <w:szCs w:val="15"/>
          <w:color w:val="auto"/>
        </w:rPr>
        <w:t>We may offer and sell the shares being offered by this prospectus and any accompanying prospectus supplement:</w:t>
      </w:r>
    </w:p>
    <w:p>
      <w:pPr>
        <w:spacing w:after="0" w:line="174" w:lineRule="exact"/>
        <w:rPr>
          <w:sz w:val="20"/>
          <w:szCs w:val="20"/>
          <w:color w:val="auto"/>
        </w:rPr>
      </w:pPr>
    </w:p>
    <w:p>
      <w:pPr>
        <w:ind w:left="1348" w:hanging="454"/>
        <w:spacing w:after="0"/>
        <w:tabs>
          <w:tab w:leader="none" w:pos="1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agents;</w:t>
      </w:r>
    </w:p>
    <w:p>
      <w:pPr>
        <w:spacing w:after="0" w:line="174" w:lineRule="exact"/>
        <w:rPr>
          <w:rFonts w:ascii="Courier New" w:cs="Courier New" w:eastAsia="Courier New" w:hAnsi="Courier New"/>
          <w:sz w:val="15"/>
          <w:szCs w:val="15"/>
          <w:color w:val="auto"/>
        </w:rPr>
      </w:pPr>
    </w:p>
    <w:p>
      <w:pPr>
        <w:ind w:left="1348" w:hanging="454"/>
        <w:spacing w:after="0"/>
        <w:tabs>
          <w:tab w:leader="none" w:pos="1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one or more underwriters or dealers;</w:t>
      </w:r>
    </w:p>
    <w:p>
      <w:pPr>
        <w:spacing w:after="0" w:line="175" w:lineRule="exact"/>
        <w:rPr>
          <w:rFonts w:ascii="Courier New" w:cs="Courier New" w:eastAsia="Courier New" w:hAnsi="Courier New"/>
          <w:sz w:val="15"/>
          <w:szCs w:val="15"/>
          <w:color w:val="auto"/>
        </w:rPr>
      </w:pPr>
    </w:p>
    <w:p>
      <w:pPr>
        <w:ind w:left="1348" w:right="3159" w:hanging="454"/>
        <w:spacing w:after="0" w:line="242" w:lineRule="auto"/>
        <w:tabs>
          <w:tab w:leader="none" w:pos="1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 block trade in which the broker or dealer engaged to handle the block trade will attempt to sell the shares as agent, but may position and resell a portion of the block as principal to facilitate the transaction;</w:t>
      </w:r>
    </w:p>
    <w:p>
      <w:pPr>
        <w:spacing w:after="0" w:line="174" w:lineRule="exact"/>
        <w:rPr>
          <w:rFonts w:ascii="Courier New" w:cs="Courier New" w:eastAsia="Courier New" w:hAnsi="Courier New"/>
          <w:sz w:val="15"/>
          <w:szCs w:val="15"/>
          <w:color w:val="auto"/>
        </w:rPr>
      </w:pPr>
    </w:p>
    <w:p>
      <w:pPr>
        <w:ind w:left="1348" w:right="3159" w:hanging="454"/>
        <w:spacing w:after="0"/>
        <w:tabs>
          <w:tab w:leader="none" w:pos="1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to one or more purchasers in exchange for cash or other assets; or</w:t>
      </w:r>
    </w:p>
    <w:p>
      <w:pPr>
        <w:spacing w:after="0" w:line="174" w:lineRule="exact"/>
        <w:rPr>
          <w:rFonts w:ascii="Courier New" w:cs="Courier New" w:eastAsia="Courier New" w:hAnsi="Courier New"/>
          <w:sz w:val="15"/>
          <w:szCs w:val="15"/>
          <w:color w:val="auto"/>
        </w:rPr>
      </w:pPr>
    </w:p>
    <w:p>
      <w:pPr>
        <w:ind w:left="1348" w:hanging="454"/>
        <w:spacing w:after="0"/>
        <w:tabs>
          <w:tab w:leader="none" w:pos="1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 combination of any of these methods of sale.</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To the extent required, this prospectus may be amended and/or supplemented from time to time to describe a specific plan of distribution.</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b w:val="1"/>
          <w:bCs w:val="1"/>
          <w:color w:val="auto"/>
        </w:rPr>
        <w:t>Selling Stockholders Offering</w:t>
      </w:r>
    </w:p>
    <w:p>
      <w:pPr>
        <w:spacing w:after="0" w:line="176" w:lineRule="exact"/>
        <w:rPr>
          <w:sz w:val="20"/>
          <w:szCs w:val="20"/>
          <w:color w:val="auto"/>
        </w:rPr>
      </w:pPr>
    </w:p>
    <w:p>
      <w:pPr>
        <w:ind w:left="8" w:right="3259" w:firstLine="894"/>
        <w:spacing w:after="0" w:line="267" w:lineRule="auto"/>
        <w:rPr>
          <w:sz w:val="20"/>
          <w:szCs w:val="20"/>
          <w:color w:val="auto"/>
        </w:rPr>
      </w:pPr>
      <w:r>
        <w:rPr>
          <w:rFonts w:ascii="Courier New" w:cs="Courier New" w:eastAsia="Courier New" w:hAnsi="Courier New"/>
          <w:sz w:val="14"/>
          <w:szCs w:val="14"/>
          <w:color w:val="auto"/>
        </w:rPr>
        <w:t>The selling stockholders, separately or together, may offer and sell their portion of the shares being offered by this prospectus and any accompanying prospectus supplement only on the following terms and conditions:</w:t>
      </w:r>
    </w:p>
    <w:p>
      <w:pPr>
        <w:spacing w:after="0" w:line="159" w:lineRule="exact"/>
        <w:rPr>
          <w:sz w:val="20"/>
          <w:szCs w:val="20"/>
          <w:color w:val="auto"/>
        </w:rPr>
      </w:pPr>
    </w:p>
    <w:p>
      <w:pPr>
        <w:ind w:left="1608" w:right="3259" w:hanging="803"/>
        <w:spacing w:after="0" w:line="274" w:lineRule="auto"/>
        <w:tabs>
          <w:tab w:leader="none" w:pos="160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may be offered or sold by any selling stockholder prior to March 31, 2003 unless the Company agrees otherwise.</w:t>
      </w:r>
    </w:p>
    <w:p>
      <w:pPr>
        <w:spacing w:after="0" w:line="153" w:lineRule="exact"/>
        <w:rPr>
          <w:rFonts w:ascii="Courier New" w:cs="Courier New" w:eastAsia="Courier New" w:hAnsi="Courier New"/>
          <w:sz w:val="14"/>
          <w:szCs w:val="14"/>
          <w:color w:val="auto"/>
        </w:rPr>
      </w:pPr>
    </w:p>
    <w:p>
      <w:pPr>
        <w:ind w:left="1608" w:right="3079" w:hanging="803"/>
        <w:spacing w:after="0" w:line="242" w:lineRule="auto"/>
        <w:tabs>
          <w:tab w:leader="none" w:pos="16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offered or sold by any selling stockholder prior to December 31, 2003 must be offered or sold through McDonald Investments Inc. and Legg Mason Wood Walker Incorporated together or with one or more underwriters or dealers.</w:t>
      </w:r>
    </w:p>
    <w:p>
      <w:pPr>
        <w:spacing w:after="0" w:line="174" w:lineRule="exact"/>
        <w:rPr>
          <w:rFonts w:ascii="Courier New" w:cs="Courier New" w:eastAsia="Courier New" w:hAnsi="Courier New"/>
          <w:sz w:val="15"/>
          <w:szCs w:val="15"/>
          <w:color w:val="auto"/>
        </w:rPr>
      </w:pPr>
    </w:p>
    <w:p>
      <w:pPr>
        <w:ind w:left="1608" w:right="3159" w:hanging="803"/>
        <w:spacing w:after="0" w:line="241" w:lineRule="auto"/>
        <w:tabs>
          <w:tab w:leader="none" w:pos="16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by any selling stockholder must include a minimum of 500,000 shares in aggregate unless the Company agrees otherwise.</w:t>
      </w:r>
    </w:p>
    <w:p>
      <w:pPr>
        <w:spacing w:after="0" w:line="176" w:lineRule="exact"/>
        <w:rPr>
          <w:rFonts w:ascii="Courier New" w:cs="Courier New" w:eastAsia="Courier New" w:hAnsi="Courier New"/>
          <w:sz w:val="15"/>
          <w:szCs w:val="15"/>
          <w:color w:val="auto"/>
        </w:rPr>
      </w:pPr>
    </w:p>
    <w:p>
      <w:pPr>
        <w:ind w:left="1608" w:right="3439" w:hanging="803"/>
        <w:spacing w:after="0" w:line="241" w:lineRule="auto"/>
        <w:tabs>
          <w:tab w:leader="none" w:pos="16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receive at least five business days prior written notice of any proposed sale by any selling stockholder.</w:t>
      </w:r>
    </w:p>
    <w:p>
      <w:pPr>
        <w:spacing w:after="0" w:line="176" w:lineRule="exact"/>
        <w:rPr>
          <w:rFonts w:ascii="Courier New" w:cs="Courier New" w:eastAsia="Courier New" w:hAnsi="Courier New"/>
          <w:sz w:val="15"/>
          <w:szCs w:val="15"/>
          <w:color w:val="auto"/>
        </w:rPr>
      </w:pPr>
    </w:p>
    <w:p>
      <w:pPr>
        <w:ind w:left="1608" w:right="3159" w:hanging="803"/>
        <w:spacing w:after="0" w:line="274" w:lineRule="auto"/>
        <w:tabs>
          <w:tab w:leader="none" w:pos="160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delay any sale by any selling stockholder for up to 90 days by written notice to the selling stockholder.</w:t>
      </w:r>
    </w:p>
    <w:p>
      <w:pPr>
        <w:spacing w:after="0" w:line="153" w:lineRule="exact"/>
        <w:rPr>
          <w:rFonts w:ascii="Courier New" w:cs="Courier New" w:eastAsia="Courier New" w:hAnsi="Courier New"/>
          <w:sz w:val="14"/>
          <w:szCs w:val="14"/>
          <w:color w:val="auto"/>
        </w:rPr>
      </w:pPr>
    </w:p>
    <w:p>
      <w:pPr>
        <w:ind w:left="1608" w:right="3159" w:hanging="803"/>
        <w:spacing w:after="0" w:line="242" w:lineRule="auto"/>
        <w:tabs>
          <w:tab w:leader="none" w:pos="16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and any selling stockholder participates together in an offering under this prospectus, the Company will have the right to choose to sell shares from its portion of this offering in priority to sales by the selling stockholders.</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192405</wp:posOffset>
            </wp:positionV>
            <wp:extent cx="729297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The selling stockholders and any underwriters, dealers or agents that the selling stockholders use to sell their shares may be deemed to be "underwriters" within the meaning of the Securities Act of 1933, as amended, and any discount, commission or concession received by them and any profit on the resale of shares as principal may be deemed to be underwriting discounts or commissions under the Securities Act. Because the selling stockholders may be deemed to be underwriters, the selling stockholders may be subject to the prospectus delivery requirements of the Securities Act.</w:t>
      </w:r>
    </w:p>
    <w:p>
      <w:pPr>
        <w:sectPr>
          <w:pgSz w:w="11900" w:h="16838" w:orient="portrait"/>
          <w:cols w:equalWidth="0" w:num="1">
            <w:col w:w="10227"/>
          </w:cols>
          <w:pgMar w:left="232" w:top="141" w:right="1440" w:bottom="0" w:gutter="0" w:footer="0" w:header="0"/>
        </w:sectPr>
      </w:pPr>
    </w:p>
    <w:bookmarkStart w:id="9" w:name="page10"/>
    <w:bookmarkEnd w:id="9"/>
    <w:p>
      <w:pPr>
        <w:spacing w:after="0" w:line="7" w:lineRule="exact"/>
        <w:rPr>
          <w:sz w:val="20"/>
          <w:szCs w:val="20"/>
          <w:color w:val="auto"/>
        </w:rPr>
      </w:pPr>
    </w:p>
    <w:p>
      <w:pPr>
        <w:ind w:right="3259" w:firstLine="894"/>
        <w:spacing w:after="0" w:line="242" w:lineRule="auto"/>
        <w:rPr>
          <w:sz w:val="20"/>
          <w:szCs w:val="20"/>
          <w:color w:val="auto"/>
        </w:rPr>
      </w:pPr>
      <w:r>
        <w:rPr>
          <w:rFonts w:ascii="Courier New" w:cs="Courier New" w:eastAsia="Courier New" w:hAnsi="Courier New"/>
          <w:sz w:val="15"/>
          <w:szCs w:val="15"/>
          <w:color w:val="auto"/>
        </w:rPr>
        <w:t>The selling stockholders may also transfer the common stock held by them by gift or other non-sale related transfer, in which case the donees, transferees or other successors-in-interest will be deemed to be selling stockholders. The number of shares offered by a particular selling stockholder under this prospectus will decrease as and when it takes any of the above actions, although the aggregate number of shares offered by the selling stockholders will remain unchanged. The plan of distribution for that selling stockholder's shares will otherwise remain unchanged. In addition, any offered shares by the selling stockholders covered by this prospectus that qualify for sale pursuant to Rule 144 may be sold under Rule 144 under the Securities Act rather than pursuant to this prospectus.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General Matters</w:t>
      </w:r>
    </w:p>
    <w:p>
      <w:pPr>
        <w:spacing w:after="0" w:line="176" w:lineRule="exact"/>
        <w:rPr>
          <w:sz w:val="20"/>
          <w:szCs w:val="20"/>
          <w:color w:val="auto"/>
        </w:rPr>
      </w:pPr>
    </w:p>
    <w:p>
      <w:pPr>
        <w:ind w:right="3159" w:firstLine="894"/>
        <w:spacing w:after="0" w:line="241" w:lineRule="auto"/>
        <w:rPr>
          <w:sz w:val="20"/>
          <w:szCs w:val="20"/>
          <w:color w:val="auto"/>
        </w:rPr>
      </w:pPr>
      <w:r>
        <w:rPr>
          <w:rFonts w:ascii="Courier New" w:cs="Courier New" w:eastAsia="Courier New" w:hAnsi="Courier New"/>
          <w:sz w:val="15"/>
          <w:szCs w:val="15"/>
          <w:color w:val="auto"/>
        </w:rPr>
        <w:t>We have agreed to pay the majority of the costs and expenses incurred in connection with the registration under the Securities Act of the offered shares, including:</w:t>
      </w:r>
    </w:p>
    <w:p>
      <w:pPr>
        <w:spacing w:after="0" w:line="176" w:lineRule="exact"/>
        <w:rPr>
          <w:sz w:val="20"/>
          <w:szCs w:val="20"/>
          <w:color w:val="auto"/>
        </w:rPr>
      </w:pPr>
    </w:p>
    <w:p>
      <w:pPr>
        <w:ind w:left="1340" w:right="3079" w:hanging="454"/>
        <w:spacing w:after="0"/>
        <w:tabs>
          <w:tab w:leader="none" w:pos="13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registration and filing fees related to the company's portion of the offering;</w:t>
      </w:r>
    </w:p>
    <w:p>
      <w:pPr>
        <w:spacing w:after="0" w:line="176" w:lineRule="exact"/>
        <w:rPr>
          <w:rFonts w:ascii="Courier New" w:cs="Courier New" w:eastAsia="Courier New" w:hAnsi="Courier New"/>
          <w:sz w:val="15"/>
          <w:szCs w:val="15"/>
          <w:color w:val="auto"/>
        </w:rPr>
      </w:pPr>
    </w:p>
    <w:p>
      <w:pPr>
        <w:ind w:left="1340" w:right="3159" w:hanging="454"/>
        <w:spacing w:after="0" w:line="241" w:lineRule="auto"/>
        <w:tabs>
          <w:tab w:leader="none" w:pos="13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Printing fees and expenses related to the company's portion of the offering or to an offering including both Company shares and shares owned by the selling stockholders; and</w:t>
      </w:r>
    </w:p>
    <w:p>
      <w:pPr>
        <w:spacing w:after="0" w:line="176" w:lineRule="exact"/>
        <w:rPr>
          <w:rFonts w:ascii="Courier New" w:cs="Courier New" w:eastAsia="Courier New" w:hAnsi="Courier New"/>
          <w:sz w:val="15"/>
          <w:szCs w:val="15"/>
          <w:color w:val="auto"/>
        </w:rPr>
      </w:pPr>
    </w:p>
    <w:p>
      <w:pPr>
        <w:ind w:left="1340" w:right="3259" w:hanging="454"/>
        <w:spacing w:after="0"/>
        <w:tabs>
          <w:tab w:leader="none" w:pos="13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disbursements of counsel, accountants and underwriters for 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selling stockholders will pay:</w:t>
      </w:r>
    </w:p>
    <w:p>
      <w:pPr>
        <w:spacing w:after="0" w:line="176" w:lineRule="exact"/>
        <w:rPr>
          <w:sz w:val="20"/>
          <w:szCs w:val="20"/>
          <w:color w:val="auto"/>
        </w:rPr>
      </w:pPr>
    </w:p>
    <w:p>
      <w:pPr>
        <w:ind w:left="1340" w:right="3259" w:hanging="454"/>
        <w:spacing w:after="0"/>
        <w:tabs>
          <w:tab w:leader="none" w:pos="13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registration and filing fees related to their portion of an offering;</w:t>
      </w:r>
    </w:p>
    <w:p>
      <w:pPr>
        <w:spacing w:after="0" w:line="176" w:lineRule="exact"/>
        <w:rPr>
          <w:rFonts w:ascii="Courier New" w:cs="Courier New" w:eastAsia="Courier New" w:hAnsi="Courier New"/>
          <w:sz w:val="15"/>
          <w:szCs w:val="15"/>
          <w:color w:val="auto"/>
        </w:rPr>
      </w:pPr>
    </w:p>
    <w:p>
      <w:pPr>
        <w:ind w:left="1340" w:right="3079" w:hanging="454"/>
        <w:spacing w:after="0"/>
        <w:tabs>
          <w:tab w:leader="none" w:pos="13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Printing fees and expenses related to any offering exclusively of their shares;</w:t>
      </w:r>
    </w:p>
    <w:p>
      <w:pPr>
        <w:spacing w:after="0" w:line="176" w:lineRule="exact"/>
        <w:rPr>
          <w:rFonts w:ascii="Courier New" w:cs="Courier New" w:eastAsia="Courier New" w:hAnsi="Courier New"/>
          <w:sz w:val="15"/>
          <w:szCs w:val="15"/>
          <w:color w:val="auto"/>
        </w:rPr>
      </w:pPr>
    </w:p>
    <w:p>
      <w:pPr>
        <w:ind w:left="1340" w:right="3339" w:hanging="454"/>
        <w:spacing w:after="0"/>
        <w:tabs>
          <w:tab w:leader="none" w:pos="13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underwriting discounts and commissions with respect to the shares of common stock they sell hereunder;</w:t>
      </w:r>
    </w:p>
    <w:p>
      <w:pPr>
        <w:spacing w:after="0" w:line="176" w:lineRule="exact"/>
        <w:rPr>
          <w:rFonts w:ascii="Courier New" w:cs="Courier New" w:eastAsia="Courier New" w:hAnsi="Courier New"/>
          <w:sz w:val="15"/>
          <w:szCs w:val="15"/>
          <w:color w:val="auto"/>
        </w:rPr>
      </w:pPr>
    </w:p>
    <w:p>
      <w:pPr>
        <w:ind w:left="1340" w:right="3439" w:hanging="454"/>
        <w:spacing w:after="0"/>
        <w:tabs>
          <w:tab w:leader="none" w:pos="13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disbursements of any counsel retained by the selling stockholders; and</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taxes, if any.</w:t>
      </w:r>
    </w:p>
    <w:p>
      <w:pPr>
        <w:spacing w:after="0" w:line="176" w:lineRule="exact"/>
        <w:rPr>
          <w:sz w:val="20"/>
          <w:szCs w:val="20"/>
          <w:color w:val="auto"/>
        </w:rPr>
      </w:pPr>
    </w:p>
    <w:p>
      <w:pPr>
        <w:ind w:right="3079" w:firstLine="894"/>
        <w:spacing w:after="0"/>
        <w:rPr>
          <w:sz w:val="20"/>
          <w:szCs w:val="20"/>
          <w:color w:val="auto"/>
        </w:rPr>
      </w:pPr>
      <w:r>
        <w:rPr>
          <w:rFonts w:ascii="Courier New" w:cs="Courier New" w:eastAsia="Courier New" w:hAnsi="Courier New"/>
          <w:sz w:val="15"/>
          <w:szCs w:val="15"/>
          <w:color w:val="auto"/>
        </w:rPr>
        <w:t>The distribution of the common stock may be effected from time to time in one or more transactions:</w:t>
      </w:r>
    </w:p>
    <w:p>
      <w:pPr>
        <w:spacing w:after="0" w:line="174" w:lineRule="exact"/>
        <w:rPr>
          <w:sz w:val="20"/>
          <w:szCs w:val="20"/>
          <w:color w:val="auto"/>
        </w:rPr>
      </w:pPr>
    </w:p>
    <w:p>
      <w:pPr>
        <w:ind w:left="1340" w:hanging="454"/>
        <w:spacing w:after="0"/>
        <w:tabs>
          <w:tab w:leader="none" w:pos="1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fixed price or prices, which may be changed;</w:t>
      </w:r>
    </w:p>
    <w:p>
      <w:pPr>
        <w:spacing w:after="0" w:line="174" w:lineRule="exact"/>
        <w:rPr>
          <w:rFonts w:ascii="Courier New" w:cs="Courier New" w:eastAsia="Courier New" w:hAnsi="Courier New"/>
          <w:sz w:val="15"/>
          <w:szCs w:val="15"/>
          <w:color w:val="auto"/>
        </w:rPr>
      </w:pPr>
    </w:p>
    <w:p>
      <w:pPr>
        <w:ind w:left="3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7"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market prices prevailing at the time of sale;</w:t>
      </w:r>
    </w:p>
    <w:p>
      <w:pPr>
        <w:spacing w:after="0" w:line="175" w:lineRule="exact"/>
        <w:rPr>
          <w:rFonts w:ascii="Courier New" w:cs="Courier New" w:eastAsia="Courier New" w:hAnsi="Courier New"/>
          <w:sz w:val="15"/>
          <w:szCs w:val="15"/>
          <w:color w:val="auto"/>
        </w:rPr>
      </w:pPr>
    </w:p>
    <w:p>
      <w:pPr>
        <w:ind w:left="1340" w:right="3159" w:hanging="454"/>
        <w:spacing w:after="0"/>
        <w:tabs>
          <w:tab w:leader="none" w:pos="1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prices related to the market prices prevailing at the time of sale; or</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negotiated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-884555</wp:posOffset>
            </wp:positionV>
            <wp:extent cx="729297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15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Offers to purchase the common stock may be solicited by agents designated by us from time to time. Any agent involved in the offer or sale of the common stock will be named, and any commissions payable by us to the agent will be described, in the applicable prospectus supplement. Any agent may be deemed to be an underwriter, as such term is defined in the Securities Act of 1933, of the common stock so offered and sold.</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If we and/or any selling stockholders offer and sell common stock through an underwriter or underwriters, we and/or the selling stockholders will execute an underwriting agreement with the underwriter or underwriters at the time the common stock is sold to them. The names of the specific managing underwriter or underwriters, as well as any other underwriters, and the terms of the transactions, including compensation of the underwriters and dealers, which may be in the form of discounts, concessions or commissions, if any, will be described in the applicable prospectus supplement, which will be used by the underwriters to make resales of the common stock. That prospectus supplement and this prospectus will be used by the underwriters to make resales of the common stock. If underwriters are used in the sale of any common stock in connection with this prospectus, the common stock will be acquired by the underwriters for their own account and may be resold from time to time in one or more transactions, including negotiated transactions, at fixed public offering prices or at varying prices determined by the underwriters and us at the time of sale. Common stock may be offered to the public either through underwriting syndicates represented by managing underwriters or directly by one or more underwriters. If any underwriter or underwriters are used in the sale of common stock, unless otherwise indicated in a related prospectus supplement, the underwriting agreement will provide that the obligations of the underwriters are subject to some conditions precedent and that with respect to a sale of the common stock the underwriters will be obligated to purchase all such common stock if any are purchased.</w:t>
      </w:r>
    </w:p>
    <w:p>
      <w:pPr>
        <w:spacing w:after="0" w:line="188" w:lineRule="exact"/>
        <w:rPr>
          <w:sz w:val="20"/>
          <w:szCs w:val="20"/>
          <w:color w:val="auto"/>
        </w:rPr>
      </w:pPr>
    </w:p>
    <w:p>
      <w:pPr>
        <w:jc w:val="both"/>
        <w:ind w:right="3079" w:firstLine="894"/>
        <w:spacing w:after="0" w:line="267" w:lineRule="auto"/>
        <w:rPr>
          <w:sz w:val="20"/>
          <w:szCs w:val="20"/>
          <w:color w:val="auto"/>
        </w:rPr>
      </w:pPr>
      <w:r>
        <w:rPr>
          <w:rFonts w:ascii="Courier New" w:cs="Courier New" w:eastAsia="Courier New" w:hAnsi="Courier New"/>
          <w:sz w:val="14"/>
          <w:szCs w:val="14"/>
          <w:color w:val="auto"/>
        </w:rPr>
        <w:t>If any underwriters are involved in the offer and sale, they will be permitted to engage in transactions that maintain or otherwise affect the price of the common stock. These transactions may include over-allotment transactions,</w:t>
      </w:r>
    </w:p>
    <w:p>
      <w:pPr>
        <w:sectPr>
          <w:pgSz w:w="11900" w:h="16845" w:orient="portrait"/>
          <w:cols w:equalWidth="0" w:num="1">
            <w:col w:w="10219"/>
          </w:cols>
          <w:pgMar w:left="240" w:top="313" w:right="1440" w:bottom="0" w:gutter="0" w:footer="0" w:header="0"/>
        </w:sectPr>
      </w:pPr>
    </w:p>
    <w:bookmarkStart w:id="10" w:name="page11"/>
    <w:bookmarkEnd w:id="10"/>
    <w:p>
      <w:pPr>
        <w:ind w:right="3079"/>
        <w:spacing w:after="0" w:line="242" w:lineRule="auto"/>
        <w:rPr>
          <w:sz w:val="20"/>
          <w:szCs w:val="20"/>
          <w:color w:val="auto"/>
        </w:rPr>
      </w:pPr>
      <w:r>
        <w:rPr>
          <w:rFonts w:ascii="Courier New" w:cs="Courier New" w:eastAsia="Courier New" w:hAnsi="Courier New"/>
          <w:sz w:val="15"/>
          <w:szCs w:val="15"/>
          <w:color w:val="auto"/>
        </w:rPr>
        <w:t>purchases to cover short positions created by the underwriter in connection with the offering and the imposition of penalty bids. If an underwriter creates a short position in the common stock in connection with the offering, i.e., if it sells more common stock than set forth on the cover page of the applicable prospectus supplement, the underwriter may reduce that short position by purchasing the common stock in the open market. In general, purchases of common stock to reduce a short position could cause the price of the common stock to be higher than it might be in the absence of such purchases. As noted above, underwriters may also choose to impose penalty bids on other underwriters and/or selling group members. This means that if underwriters purchase common stock on the open market to reduce their short position or to stabilize the price of the common stock, they may reclaim the amount of the selling concession from those underwriters and/or selling group members who sold such common stock as part of the offering.</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192405</wp:posOffset>
            </wp:positionV>
            <wp:extent cx="729297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Neither we nor any underwriter make any representation or prediction as to the direction or magnitude of any effect that the transactions described above may have on the price of the common stock. In addition, neither we nor any underwriter make any representation that such underwriter will engage in such transactions or that such transactions, once commenced, will not be discontinued without notice.</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If we and/or the selling stockholders offer and sell common stock through a dealer, we, the selling stockholders or an underwriter will sell the common stock to the dealer, as principal. The dealer may then resell the common stock to the public at varying prices to be determined by the dealer at the time of resale. Any such dealer may be deemed to be an underwriter, as such term is defined in the Securities Act of 1933, of the common stock so offered and sold. The name of the dealer and the terms of the transactions will be set forth in the applicable prospectus supplement.</w:t>
      </w:r>
    </w:p>
    <w:p>
      <w:pPr>
        <w:spacing w:after="0" w:line="177"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We and/or the selling stockholders may solicit offers to purchase the common stock directly and we and/or the selling stockholders may sell the common stock directly to institutional or other investors, who may be deemed an underwriter within the meaning of the Securities Act of 1933 with respect to any resales of the common stock. The terms of these sales will be described in the applicable prospectus supplement.</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We and/or the selling stockholders may enter into agreements with agents, underwriters and dealers under which we and/or the selling stockholders may agree to indemnify the agents, underwriters and dealers against certain liabilities, including liabilities under the Securities Act of 1933, or to contribute to payments they may be required to make with respect to these liabilities. The terms and conditions of this indemnification or contribution will be described in the applicable prospectus supplement. Some of the agents, underwriters or dealers, or their affiliates may be customers of, engage in transactions with or perform services for us and/or the selling stockholders in the ordinary course of business.</w:t>
      </w:r>
    </w:p>
    <w:p>
      <w:pPr>
        <w:spacing w:after="0" w:line="179" w:lineRule="exact"/>
        <w:rPr>
          <w:sz w:val="20"/>
          <w:szCs w:val="20"/>
          <w:color w:val="auto"/>
        </w:rPr>
      </w:pPr>
    </w:p>
    <w:p>
      <w:pPr>
        <w:ind w:right="3259" w:firstLine="894"/>
        <w:spacing w:after="0" w:line="242" w:lineRule="auto"/>
        <w:rPr>
          <w:sz w:val="20"/>
          <w:szCs w:val="20"/>
          <w:color w:val="auto"/>
        </w:rPr>
      </w:pPr>
      <w:r>
        <w:rPr>
          <w:rFonts w:ascii="Courier New" w:cs="Courier New" w:eastAsia="Courier New" w:hAnsi="Courier New"/>
          <w:sz w:val="15"/>
          <w:szCs w:val="15"/>
          <w:color w:val="auto"/>
        </w:rPr>
        <w:t>We and/or the selling stockholders may authorize our respective agents, dealers or underwriters to solicit offers to purchase common stock at the public offering price under delayed delivery contracts. The terms of these delayed delivery contracts, including when payment for and delivery of the common stock sold will be made under the contracts and any conditions to each party's performance set forth in the contracts, will be described in the applicable prospectus supplement. The compensation received by underwriters or agents soliciting purchases of common stock under delayed delivery contracts will also be described in the applicable prospectus supplement.</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192405</wp:posOffset>
            </wp:positionV>
            <wp:extent cx="729297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b w:val="1"/>
          <w:bCs w:val="1"/>
          <w:color w:val="auto"/>
        </w:rPr>
        <w:t>LEGAL MATTERS</w:t>
      </w:r>
    </w:p>
    <w:p>
      <w:pPr>
        <w:spacing w:after="0" w:line="176" w:lineRule="exact"/>
        <w:rPr>
          <w:sz w:val="20"/>
          <w:szCs w:val="20"/>
          <w:color w:val="auto"/>
        </w:rPr>
      </w:pPr>
    </w:p>
    <w:p>
      <w:pPr>
        <w:jc w:val="both"/>
        <w:ind w:right="3339" w:firstLine="894"/>
        <w:spacing w:after="0" w:line="241" w:lineRule="auto"/>
        <w:rPr>
          <w:sz w:val="20"/>
          <w:szCs w:val="20"/>
          <w:color w:val="auto"/>
        </w:rPr>
      </w:pPr>
      <w:r>
        <w:rPr>
          <w:rFonts w:ascii="Courier New" w:cs="Courier New" w:eastAsia="Courier New" w:hAnsi="Courier New"/>
          <w:sz w:val="15"/>
          <w:szCs w:val="15"/>
          <w:color w:val="auto"/>
        </w:rPr>
        <w:t>The validity of the common stock offered hereby will be passed upon for us by Blackwell Sanders Peper Martin LLP, Two Pershing Square, 2300 Main Street, Suite 1000, Kansas City, Missouri 64108.</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b w:val="1"/>
          <w:bCs w:val="1"/>
          <w:color w:val="auto"/>
        </w:rPr>
        <w:t>EXPERTS</w:t>
      </w:r>
    </w:p>
    <w:p>
      <w:pPr>
        <w:spacing w:after="0" w:line="176" w:lineRule="exact"/>
        <w:rPr>
          <w:sz w:val="20"/>
          <w:szCs w:val="20"/>
          <w:color w:val="auto"/>
        </w:rPr>
      </w:pPr>
    </w:p>
    <w:p>
      <w:pPr>
        <w:ind w:right="3159" w:firstLine="894"/>
        <w:spacing w:after="0" w:line="262" w:lineRule="auto"/>
        <w:rPr>
          <w:sz w:val="20"/>
          <w:szCs w:val="20"/>
          <w:color w:val="auto"/>
        </w:rPr>
      </w:pPr>
      <w:r>
        <w:rPr>
          <w:rFonts w:ascii="Courier New" w:cs="Courier New" w:eastAsia="Courier New" w:hAnsi="Courier New"/>
          <w:sz w:val="14"/>
          <w:szCs w:val="14"/>
          <w:color w:val="auto"/>
        </w:rPr>
        <w:t>Our consolidated financial statements as of December 31, 2001 and 2000, and for each of the years in the two-year period ended December 31, 2001, have been incorporated by reference in this prospectus and the registration statement on Form S-3 in reliance upon the report of KPMG LLP, independent accountants incorporated by reference herein, and upon the authority of said firm as experts in accounting and auditing. The audit report covering the December 31, 2001 financial statements refers to a change in the Company's method of accounting for derivative instruments and hedging activities.</w:t>
      </w:r>
    </w:p>
    <w:p>
      <w:pPr>
        <w:spacing w:after="0" w:line="163"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Our consolidated financial statements as of December 31, 1999 and for the year then ended have been incorporated in this registration statement by reference to the Annual Report on Form 10-K for the year ended December 31, 2001, and have been so incorporated in reliance on the report of PricewaterhouseCoopers LLP, independent accountants, given on the authority of said firm as experts in auditing and accounting.</w:t>
      </w:r>
    </w:p>
    <w:p>
      <w:pPr>
        <w:sectPr>
          <w:pgSz w:w="11900" w:h="16838" w:orient="portrait"/>
          <w:cols w:equalWidth="0" w:num="1">
            <w:col w:w="10219"/>
          </w:cols>
          <w:pgMar w:left="240" w:top="141" w:right="1440" w:bottom="0" w:gutter="0" w:footer="0" w:header="0"/>
        </w:sectPr>
      </w:pPr>
    </w:p>
    <w:bookmarkStart w:id="11" w:name="page12"/>
    <w:bookmarkEnd w:id="11"/>
    <w:p>
      <w:pPr>
        <w:ind w:left="2040"/>
        <w:spacing w:after="0"/>
        <w:rPr>
          <w:sz w:val="20"/>
          <w:szCs w:val="20"/>
          <w:color w:val="auto"/>
        </w:rPr>
      </w:pPr>
      <w:r>
        <w:rPr>
          <w:rFonts w:ascii="Courier New" w:cs="Courier New" w:eastAsia="Courier New" w:hAnsi="Courier New"/>
          <w:sz w:val="15"/>
          <w:szCs w:val="15"/>
          <w:b w:val="1"/>
          <w:bCs w:val="1"/>
          <w:color w:val="auto"/>
        </w:rPr>
        <w:t>WHERE YOU CAN FIND MORE INFORMATION</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We file annual, quarterly and special reports, proxy statements and other information with the SEC. You may read and copy any of these materials at the SEC's Public Reference Room, 450 Fifth Street, N.W., Washington, D.C. 20549. You may obtain information on the operation of the Public Reference Room by calling the SEC at 1-800-SEC-0330. Our SEC filings, including the registration statement, will also be available to you on the SEC's website. The address of this website is http://www.sec.gov.</w:t>
      </w:r>
    </w:p>
    <w:p>
      <w:pPr>
        <w:spacing w:after="0" w:line="177" w:lineRule="exact"/>
        <w:rPr>
          <w:sz w:val="20"/>
          <w:szCs w:val="20"/>
          <w:color w:val="auto"/>
        </w:rPr>
      </w:pPr>
    </w:p>
    <w:p>
      <w:pPr>
        <w:ind w:right="3259" w:firstLine="894"/>
        <w:spacing w:after="0" w:line="242" w:lineRule="auto"/>
        <w:rPr>
          <w:sz w:val="20"/>
          <w:szCs w:val="20"/>
          <w:color w:val="auto"/>
        </w:rPr>
      </w:pPr>
      <w:r>
        <w:rPr>
          <w:rFonts w:ascii="Courier New" w:cs="Courier New" w:eastAsia="Courier New" w:hAnsi="Courier New"/>
          <w:sz w:val="15"/>
          <w:szCs w:val="15"/>
          <w:color w:val="auto"/>
        </w:rPr>
        <w:t>We have filed a registration statement on Form S-3 with the SEC to register shares of our common stock. This prospectus is part of that registration statement and, as permitted by the SEC's rules, does not contain all of the information included in the registration statement. For further information about us and this offering, you may refer to the registration statement and its exhibits. You can review and copy the registration statement and its exhibits at the public reference rooms maintained by the SEC or on the SEC's website described above.</w:t>
      </w:r>
    </w:p>
    <w:p>
      <w:pPr>
        <w:spacing w:after="0" w:line="177"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This prospectus may contain summaries of contracts or other documents. Because they are summaries, they will not contain all of the information that may be important to you. If you would like complete information about a contract or other document, you should read the copy filed as an exhibit to the registration statement.</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b w:val="1"/>
          <w:bCs w:val="1"/>
          <w:color w:val="auto"/>
        </w:rPr>
        <w:t>INCORPORATION OF CERTAIN DOCUMENTS BY REFERENCE</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192405</wp:posOffset>
            </wp:positionV>
            <wp:extent cx="729297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or supersede this information. We incorporate by reference the following documents as well as any future filing we will make with the SEC under Sections 13(a), 13(c), 14 or 15(d) of the Securities Exchange Act of 1934:</w:t>
      </w:r>
    </w:p>
    <w:p>
      <w:pPr>
        <w:spacing w:after="0" w:line="176" w:lineRule="exact"/>
        <w:rPr>
          <w:sz w:val="20"/>
          <w:szCs w:val="20"/>
          <w:color w:val="auto"/>
        </w:rPr>
      </w:pPr>
    </w:p>
    <w:p>
      <w:pPr>
        <w:ind w:left="1340" w:right="3339" w:hanging="454"/>
        <w:spacing w:after="0"/>
        <w:tabs>
          <w:tab w:leader="none" w:pos="1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year ended December 31, 2001, as amended by Form 10-K/A;</w:t>
      </w:r>
    </w:p>
    <w:p>
      <w:pPr>
        <w:spacing w:after="0" w:line="176" w:lineRule="exact"/>
        <w:rPr>
          <w:rFonts w:ascii="Courier New" w:cs="Courier New" w:eastAsia="Courier New" w:hAnsi="Courier New"/>
          <w:sz w:val="15"/>
          <w:szCs w:val="15"/>
          <w:color w:val="auto"/>
        </w:rPr>
      </w:pPr>
    </w:p>
    <w:p>
      <w:pPr>
        <w:ind w:left="1340" w:right="3259" w:hanging="454"/>
        <w:spacing w:after="0"/>
        <w:tabs>
          <w:tab w:leader="none" w:pos="1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quarters ended March 31, 2002, June 30, 2002 and September 30, 2002;</w:t>
      </w:r>
    </w:p>
    <w:p>
      <w:pPr>
        <w:spacing w:after="0" w:line="348" w:lineRule="exact"/>
        <w:rPr>
          <w:rFonts w:ascii="Courier New" w:cs="Courier New" w:eastAsia="Courier New" w:hAnsi="Courier New"/>
          <w:sz w:val="15"/>
          <w:szCs w:val="15"/>
          <w:color w:val="auto"/>
        </w:rPr>
      </w:pPr>
    </w:p>
    <w:p>
      <w:pPr>
        <w:ind w:left="1340" w:right="3079" w:hanging="454"/>
        <w:spacing w:after="0" w:line="242" w:lineRule="auto"/>
        <w:tabs>
          <w:tab w:leader="none" w:pos="1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filed with the SEC on June 7, 2002, July 18, 2002, August 6, 2002, September 27, 2002, November 1, 2002, November 5, 2002, December 9, 2002 and December 20, 2002;</w:t>
      </w:r>
    </w:p>
    <w:p>
      <w:pPr>
        <w:spacing w:after="0" w:line="346" w:lineRule="exact"/>
        <w:rPr>
          <w:rFonts w:ascii="Courier New" w:cs="Courier New" w:eastAsia="Courier New" w:hAnsi="Courier New"/>
          <w:sz w:val="15"/>
          <w:szCs w:val="15"/>
          <w:color w:val="auto"/>
        </w:rPr>
      </w:pPr>
    </w:p>
    <w:p>
      <w:pPr>
        <w:ind w:left="1340" w:right="3519" w:hanging="454"/>
        <w:spacing w:after="0" w:line="241" w:lineRule="auto"/>
        <w:tabs>
          <w:tab w:leader="none" w:pos="1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the amended registration statement on Form 8-A/A filed with the SEC on November 22, 2002.</w:t>
      </w:r>
    </w:p>
    <w:p>
      <w:pPr>
        <w:spacing w:after="0" w:line="176" w:lineRule="exact"/>
        <w:rPr>
          <w:sz w:val="20"/>
          <w:szCs w:val="20"/>
          <w:color w:val="auto"/>
        </w:rPr>
      </w:pPr>
    </w:p>
    <w:p>
      <w:pPr>
        <w:ind w:right="3439" w:firstLine="894"/>
        <w:spacing w:after="0"/>
        <w:rPr>
          <w:sz w:val="20"/>
          <w:szCs w:val="20"/>
          <w:color w:val="auto"/>
        </w:rPr>
      </w:pPr>
      <w:r>
        <w:rPr>
          <w:rFonts w:ascii="Courier New" w:cs="Courier New" w:eastAsia="Courier New" w:hAnsi="Courier New"/>
          <w:sz w:val="15"/>
          <w:szCs w:val="15"/>
          <w:color w:val="auto"/>
        </w:rPr>
        <w:t>You may request a copy of these filings, at no cost, by written or telephone request to:</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NN, Inc.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Attn: Corporate Secretary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2000 Waters Edge Drive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Johnson City, Tennessee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(423) 743-9151</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This prospectus may contain information that updates, modifies or is contrary to information in one or more of the documents incorporated by reference in this prospectus. Reports we file with the SEC after the date of this prospectus may also contain information that updates, modifies or is contrary to information in this prospectus or in documents incorporated by reference in this prospectus. Investors should review these reports as they may disclose a change in our business, prospects, financial condition or other affairs after the date of this prospectus.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192405</wp:posOffset>
            </wp:positionV>
            <wp:extent cx="729297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The following table sets forth the costs and expenses payable by us in connection with the sale of Common Stock being registered. All amounts other than the registration fee are estimates.</w:t>
      </w:r>
    </w:p>
    <w:p>
      <w:pPr>
        <w:sectPr>
          <w:pgSz w:w="11900" w:h="16838" w:orient="portrait"/>
          <w:cols w:equalWidth="0" w:num="1">
            <w:col w:w="10219"/>
          </w:cols>
          <w:pgMar w:left="240" w:top="312" w:right="1440" w:bottom="13" w:gutter="0" w:footer="0" w:header="0"/>
        </w:sectPr>
      </w:pPr>
    </w:p>
    <w:bookmarkStart w:id="12" w:name="page13"/>
    <w:bookmarkEnd w:id="12"/>
    <w:tbl>
      <w:tblPr>
        <w:tblLayout w:type="fixed"/>
        <w:tblInd w:w="8" w:type="dxa"/>
        <w:tblCellMar>
          <w:top w:w="0" w:type="dxa"/>
          <w:left w:w="0" w:type="dxa"/>
          <w:bottom w:w="0" w:type="dxa"/>
          <w:right w:w="0" w:type="dxa"/>
        </w:tblCellMar>
      </w:tblPr>
      <w:tr>
        <w:trPr>
          <w:trHeight w:val="170"/>
        </w:trPr>
        <w:tc>
          <w:tcPr>
            <w:tcW w:w="428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2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$ 6,537</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2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340,000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2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120,000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Nasdaq National Market listing fee</w:t>
            </w:r>
          </w:p>
        </w:tc>
        <w:tc>
          <w:tcPr>
            <w:tcW w:w="2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22,500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Printing and engraving expenses</w:t>
            </w:r>
          </w:p>
        </w:tc>
        <w:tc>
          <w:tcPr>
            <w:tcW w:w="2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60,000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Miscellaneous fees and expenses</w:t>
            </w:r>
          </w:p>
        </w:tc>
        <w:tc>
          <w:tcPr>
            <w:tcW w:w="2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20,963</w:t>
            </w:r>
          </w:p>
        </w:tc>
      </w:tr>
      <w:tr>
        <w:trPr>
          <w:trHeight w:val="172"/>
        </w:trPr>
        <w:tc>
          <w:tcPr>
            <w:tcW w:w="428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800"/>
              <w:spacing w:after="0"/>
              <w:rPr>
                <w:sz w:val="20"/>
                <w:szCs w:val="20"/>
                <w:color w:val="auto"/>
              </w:rPr>
            </w:pPr>
            <w:r>
              <w:rPr>
                <w:rFonts w:ascii="Courier New" w:cs="Courier New" w:eastAsia="Courier New" w:hAnsi="Courier New"/>
                <w:sz w:val="15"/>
                <w:szCs w:val="15"/>
                <w:color w:val="auto"/>
              </w:rPr>
              <w:t>Total</w:t>
            </w:r>
          </w:p>
        </w:tc>
        <w:tc>
          <w:tcPr>
            <w:tcW w:w="2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$570,000</w:t>
            </w:r>
          </w:p>
        </w:tc>
      </w:tr>
      <w:tr>
        <w:trPr>
          <w:trHeight w:val="172"/>
        </w:trPr>
        <w:tc>
          <w:tcPr>
            <w:tcW w:w="428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6"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The Company has entered into indemnification agreements with certain officers and directors of the Company. Under these agreements, the Company agrees to hold harmless and indemnify each indemnitee generally to the full extent permitted by Section 145 of the Delaware General Corporation Law (the "DGCL") and against any and all liabilities, expenses, judgments, fines, penalties and costs in connection with any threatened, pending or completed action, suit or proceeding, whether civil, criminal, administrative or investigative to which the indemnitee is made a party by reason of the fact that the indemnitee has, is or at the time becomes a director or officer of the Company or any other entity at the request of the Company.</w:t>
      </w:r>
    </w:p>
    <w:p>
      <w:pPr>
        <w:spacing w:after="0" w:line="179"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Section 145 permits a corporation to indemnify certain persons, including officers and directors, who are (or are threatened to be made) parties to any threatened, pending or completed legal action (whether civil, criminal, threatened or investigative) for reason of their being officers or directors. The indemnity may include expenses, attorneys' fees, judgments, fines and reasonably incurred costs of settlement, provided the officer and director acted in good faith and in a manner he reasonably believed to be in or not opposed to the corporation's best interest and, in the case of criminal proceedings, he had no reasonable cause to believe that his conduct was illegal. The corporation may indemnify officers and directors in derivative actions (in which suit is brought by a shareholder on behalf of the corporation) under the same conditions, except that no indemnification is permitted without judicial approval if the officer or director is judged liable for negligence or misconduct in the performance of his duty to the corporation. If the officer or director is successful on the merits or otherwise in defense of any action referred to above, the corporation must indemnify him against the expenses and attorneys' fees he actually and reasonably incurred.</w:t>
      </w:r>
    </w:p>
    <w:p>
      <w:pPr>
        <w:spacing w:after="0" w:line="200" w:lineRule="exact"/>
        <w:rPr>
          <w:sz w:val="20"/>
          <w:szCs w:val="20"/>
          <w:color w:val="auto"/>
        </w:rPr>
      </w:pPr>
    </w:p>
    <w:p>
      <w:pPr>
        <w:spacing w:after="0" w:line="32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192405</wp:posOffset>
            </wp:positionV>
            <wp:extent cx="729297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right="3079" w:firstLine="894"/>
        <w:spacing w:after="0" w:line="241" w:lineRule="auto"/>
        <w:rPr>
          <w:sz w:val="20"/>
          <w:szCs w:val="20"/>
          <w:color w:val="auto"/>
        </w:rPr>
      </w:pPr>
      <w:r>
        <w:rPr>
          <w:rFonts w:ascii="Courier New" w:cs="Courier New" w:eastAsia="Courier New" w:hAnsi="Courier New"/>
          <w:sz w:val="15"/>
          <w:szCs w:val="15"/>
          <w:color w:val="auto"/>
        </w:rPr>
        <w:t>The Company has obtained liability insurance coverage for its officers and directors with respect to actions arising out of the performance of such officer's or director's duty in his or her capacity as such.</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16. EXHIBITS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1.1* Form of Underwriting Agreement</w:t>
      </w:r>
    </w:p>
    <w:p>
      <w:pPr>
        <w:spacing w:after="0" w:line="176" w:lineRule="exact"/>
        <w:rPr>
          <w:sz w:val="20"/>
          <w:szCs w:val="20"/>
          <w:color w:val="auto"/>
        </w:rPr>
      </w:pPr>
    </w:p>
    <w:p>
      <w:pPr>
        <w:ind w:left="448" w:right="3339" w:hanging="446"/>
        <w:spacing w:after="0" w:line="241" w:lineRule="auto"/>
        <w:tabs>
          <w:tab w:leader="none" w:pos="428" w:val="left"/>
        </w:tabs>
        <w:rPr>
          <w:sz w:val="20"/>
          <w:szCs w:val="20"/>
          <w:color w:val="auto"/>
        </w:rPr>
      </w:pPr>
      <w:r>
        <w:rPr>
          <w:rFonts w:ascii="Courier New" w:cs="Courier New" w:eastAsia="Courier New" w:hAnsi="Courier New"/>
          <w:sz w:val="15"/>
          <w:szCs w:val="15"/>
          <w:color w:val="auto"/>
        </w:rPr>
        <w:t>3.1</w:t>
        <w:tab/>
        <w:t>Restated Certificate of Incorporation of the Company. (incorporated by reference to Exhibit 3.1 of Company's Registration Statement on Form S-3 filed June 6, 2002)</w:t>
      </w:r>
    </w:p>
    <w:p>
      <w:pPr>
        <w:spacing w:after="0" w:line="176" w:lineRule="exact"/>
        <w:rPr>
          <w:sz w:val="20"/>
          <w:szCs w:val="20"/>
          <w:color w:val="auto"/>
        </w:rPr>
      </w:pPr>
    </w:p>
    <w:p>
      <w:pPr>
        <w:ind w:left="448" w:right="3159" w:hanging="446"/>
        <w:spacing w:after="0"/>
        <w:tabs>
          <w:tab w:leader="none" w:pos="428" w:val="left"/>
        </w:tabs>
        <w:rPr>
          <w:sz w:val="20"/>
          <w:szCs w:val="20"/>
          <w:color w:val="auto"/>
        </w:rPr>
      </w:pPr>
      <w:r>
        <w:rPr>
          <w:rFonts w:ascii="Courier New" w:cs="Courier New" w:eastAsia="Courier New" w:hAnsi="Courier New"/>
          <w:sz w:val="15"/>
          <w:szCs w:val="15"/>
          <w:color w:val="auto"/>
        </w:rPr>
        <w:t>3.2</w:t>
        <w:tab/>
        <w:t>Restated By-Laws of the Company. (incorporated by reference to Exhibit 3.2 of Company's Registration Statement on Form S-3 filed June 6, 2002)</w:t>
      </w:r>
    </w:p>
    <w:p>
      <w:pPr>
        <w:spacing w:after="0" w:line="176" w:lineRule="exact"/>
        <w:rPr>
          <w:sz w:val="20"/>
          <w:szCs w:val="20"/>
          <w:color w:val="auto"/>
        </w:rPr>
      </w:pPr>
    </w:p>
    <w:p>
      <w:pPr>
        <w:ind w:left="448" w:right="3079" w:hanging="446"/>
        <w:spacing w:after="0" w:line="241" w:lineRule="auto"/>
        <w:tabs>
          <w:tab w:leader="none" w:pos="428" w:val="left"/>
        </w:tabs>
        <w:rPr>
          <w:sz w:val="20"/>
          <w:szCs w:val="20"/>
          <w:color w:val="auto"/>
        </w:rPr>
      </w:pPr>
      <w:r>
        <w:rPr>
          <w:rFonts w:ascii="Courier New" w:cs="Courier New" w:eastAsia="Courier New" w:hAnsi="Courier New"/>
          <w:sz w:val="15"/>
          <w:szCs w:val="15"/>
          <w:color w:val="auto"/>
        </w:rPr>
        <w:t>4.1</w:t>
        <w:tab/>
        <w:t>The specimen certificate representing the Company's Common Stock, par value $0.01 per share. (incorporated by reference to Exhibit 4.1 of Company's Registration Statement on Form S-3 filed June 6, 2002)</w:t>
      </w:r>
    </w:p>
    <w:p>
      <w:pPr>
        <w:spacing w:after="0" w:line="176" w:lineRule="exact"/>
        <w:rPr>
          <w:sz w:val="20"/>
          <w:szCs w:val="20"/>
          <w:color w:val="auto"/>
        </w:rPr>
      </w:pPr>
    </w:p>
    <w:p>
      <w:pPr>
        <w:ind w:left="448" w:right="3079" w:hanging="446"/>
        <w:spacing w:after="0" w:line="241" w:lineRule="auto"/>
        <w:tabs>
          <w:tab w:leader="none" w:pos="428" w:val="left"/>
        </w:tabs>
        <w:rPr>
          <w:sz w:val="20"/>
          <w:szCs w:val="20"/>
          <w:color w:val="auto"/>
        </w:rPr>
      </w:pPr>
      <w:r>
        <w:rPr>
          <w:rFonts w:ascii="Courier New" w:cs="Courier New" w:eastAsia="Courier New" w:hAnsi="Courier New"/>
          <w:sz w:val="15"/>
          <w:szCs w:val="15"/>
          <w:color w:val="auto"/>
        </w:rPr>
        <w:t>4.2</w:t>
        <w:tab/>
        <w:t>Article IV, Article V (Sections 3 through 6), Article VI (Section 2) and Article VII (Sections 1 and 3) of the Restated Certificate of Incorporation of the Company (included in Exhibit 3.1).</w:t>
      </w:r>
    </w:p>
    <w:p>
      <w:pPr>
        <w:spacing w:after="0" w:line="176" w:lineRule="exact"/>
        <w:rPr>
          <w:sz w:val="20"/>
          <w:szCs w:val="20"/>
          <w:color w:val="auto"/>
        </w:rPr>
      </w:pPr>
    </w:p>
    <w:p>
      <w:pPr>
        <w:ind w:left="448" w:right="3079" w:hanging="446"/>
        <w:spacing w:after="0" w:line="274" w:lineRule="auto"/>
        <w:tabs>
          <w:tab w:leader="none" w:pos="428"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Article II (Sections 7 and 12), Article III (Sections 2 and 15) and Article VI of the Restated By-Laws of the Company (included in Exhibit 3.2).</w:t>
      </w: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5.1** Opinion of Blackwell Sanders Peper Martin LLP, counsel to the Company.</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23.1 Consent of Blackwell Sanders Peper Martin LLP (included in Exhibit 5.1).</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23.2 Consent of KPMG LLP, Independent Auditors.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23.3 Consent of PricewaterhouseCoopers LLP, Independent Auditors.</w:t>
      </w:r>
    </w:p>
    <w:p>
      <w:pPr>
        <w:spacing w:after="0" w:line="176" w:lineRule="exact"/>
        <w:rPr>
          <w:sz w:val="20"/>
          <w:szCs w:val="20"/>
          <w:color w:val="auto"/>
        </w:rPr>
      </w:pPr>
    </w:p>
    <w:p>
      <w:pPr>
        <w:ind w:left="448" w:right="3519" w:hanging="448"/>
        <w:spacing w:after="0"/>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in the signature page to the Registration Statement).</w:t>
      </w:r>
    </w:p>
    <w:p>
      <w:pPr>
        <w:spacing w:after="0" w:line="348" w:lineRule="exact"/>
        <w:rPr>
          <w:sz w:val="20"/>
          <w:szCs w:val="20"/>
          <w:color w:val="auto"/>
        </w:rPr>
      </w:pPr>
    </w:p>
    <w:p>
      <w:pPr>
        <w:ind w:left="448" w:right="3079" w:hanging="448"/>
        <w:spacing w:after="0" w:line="241"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post-effective amendment or pursuant to a report to be filed pursuant to Section 13 or 15(d) of the Securities Exchange Act of 1934, if applicable, and incorporated herein by reference.</w:t>
      </w:r>
    </w:p>
    <w:p>
      <w:pPr>
        <w:sectPr>
          <w:pgSz w:w="11900" w:h="16838" w:orient="portrait"/>
          <w:cols w:equalWidth="0" w:num="1">
            <w:col w:w="10227"/>
          </w:cols>
          <w:pgMar w:left="232" w:top="140" w:right="1440" w:bottom="0" w:gutter="0" w:footer="0" w:header="0"/>
        </w:sectPr>
      </w:pPr>
    </w:p>
    <w:bookmarkStart w:id="13" w:name="page14"/>
    <w:bookmarkEnd w:id="13"/>
    <w:p>
      <w:pPr>
        <w:ind w:left="448"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192405</wp:posOffset>
            </wp:positionV>
            <wp:extent cx="729297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17.</w:t>
        <w:tab/>
        <w:t>UNDERTAKINGS</w:t>
      </w:r>
    </w:p>
    <w:p>
      <w:pPr>
        <w:spacing w:after="0" w:line="174" w:lineRule="exact"/>
        <w:rPr>
          <w:sz w:val="20"/>
          <w:szCs w:val="20"/>
          <w:color w:val="auto"/>
        </w:rPr>
      </w:pPr>
    </w:p>
    <w:p>
      <w:pPr>
        <w:ind w:left="1168" w:hanging="363"/>
        <w:spacing w:after="0"/>
        <w:tabs>
          <w:tab w:leader="none" w:pos="11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5" w:lineRule="exact"/>
        <w:rPr>
          <w:rFonts w:ascii="Courier New" w:cs="Courier New" w:eastAsia="Courier New" w:hAnsi="Courier New"/>
          <w:sz w:val="15"/>
          <w:szCs w:val="15"/>
          <w:color w:val="auto"/>
        </w:rPr>
      </w:pPr>
    </w:p>
    <w:p>
      <w:pPr>
        <w:ind w:left="888" w:right="3079" w:firstLine="453"/>
        <w:spacing w:after="0" w:line="274" w:lineRule="auto"/>
        <w:tabs>
          <w:tab w:leader="none" w:pos="1693"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3" w:lineRule="exact"/>
        <w:rPr>
          <w:rFonts w:ascii="Courier New" w:cs="Courier New" w:eastAsia="Courier New" w:hAnsi="Courier New"/>
          <w:sz w:val="14"/>
          <w:szCs w:val="14"/>
          <w:color w:val="auto"/>
        </w:rPr>
      </w:pPr>
    </w:p>
    <w:p>
      <w:pPr>
        <w:ind w:left="1348" w:right="3259" w:firstLine="441"/>
        <w:spacing w:after="0"/>
        <w:tabs>
          <w:tab w:leader="none" w:pos="2153"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1348" w:right="3079" w:firstLine="441"/>
        <w:spacing w:after="0" w:line="242" w:lineRule="auto"/>
        <w:tabs>
          <w:tab w:leader="none" w:pos="2243"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2" w:lineRule="exact"/>
        <w:rPr>
          <w:rFonts w:ascii="Courier New" w:cs="Courier New" w:eastAsia="Courier New" w:hAnsi="Courier New"/>
          <w:sz w:val="15"/>
          <w:szCs w:val="15"/>
          <w:color w:val="auto"/>
        </w:rPr>
      </w:pPr>
    </w:p>
    <w:p>
      <w:pPr>
        <w:ind w:left="1348" w:right="3079" w:firstLine="441"/>
        <w:spacing w:after="0" w:line="242" w:lineRule="auto"/>
        <w:tabs>
          <w:tab w:leader="none" w:pos="2332"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provided, however, that paragraphs (a)(1)(i) and (a)(1)(ii) shall not apply if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76" w:lineRule="exact"/>
        <w:rPr>
          <w:sz w:val="20"/>
          <w:szCs w:val="20"/>
          <w:color w:val="auto"/>
        </w:rPr>
      </w:pPr>
    </w:p>
    <w:p>
      <w:pPr>
        <w:ind w:left="888" w:right="3159" w:firstLine="453"/>
        <w:spacing w:after="0" w:line="263" w:lineRule="auto"/>
        <w:tabs>
          <w:tab w:leader="none" w:pos="1693"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888" w:right="3259" w:firstLine="453"/>
        <w:spacing w:after="0" w:line="241" w:lineRule="auto"/>
        <w:tabs>
          <w:tab w:leader="none" w:pos="1693"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ind w:left="8" w:right="3079" w:firstLine="797"/>
        <w:spacing w:after="0" w:line="262" w:lineRule="auto"/>
        <w:tabs>
          <w:tab w:leader="none" w:pos="117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The undersigned registrant hereby undertakes that, for the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Courier New" w:cs="Courier New" w:eastAsia="Courier New" w:hAnsi="Courier New"/>
          <w:sz w:val="14"/>
          <w:szCs w:val="14"/>
          <w:i w:val="1"/>
          <w:iCs w:val="1"/>
          <w:color w:val="auto"/>
        </w:rPr>
        <w:t>bona fide</w:t>
      </w:r>
      <w:r>
        <w:rPr>
          <w:rFonts w:ascii="Courier New" w:cs="Courier New" w:eastAsia="Courier New" w:hAnsi="Courier New"/>
          <w:sz w:val="14"/>
          <w:szCs w:val="14"/>
          <w:color w:val="auto"/>
        </w:rPr>
        <w:t xml:space="preserve"> offering thereof.</w:t>
      </w:r>
    </w:p>
    <w:p>
      <w:pPr>
        <w:spacing w:after="0" w:line="164" w:lineRule="exact"/>
        <w:rPr>
          <w:rFonts w:ascii="Courier New" w:cs="Courier New" w:eastAsia="Courier New" w:hAnsi="Courier New"/>
          <w:sz w:val="14"/>
          <w:szCs w:val="14"/>
          <w:color w:val="auto"/>
        </w:rPr>
      </w:pPr>
    </w:p>
    <w:p>
      <w:pPr>
        <w:ind w:left="8" w:right="3259" w:firstLine="797"/>
        <w:spacing w:after="0" w:line="241" w:lineRule="auto"/>
        <w:tabs>
          <w:tab w:leader="none" w:pos="117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any</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192405</wp:posOffset>
            </wp:positionV>
            <wp:extent cx="729297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charter provision, by-law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2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192405</wp:posOffset>
            </wp:positionV>
            <wp:extent cx="729297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ectPr>
          <w:pgSz w:w="11900" w:h="16838" w:orient="portrait"/>
          <w:cols w:equalWidth="0" w:num="1">
            <w:col w:w="10227"/>
          </w:cols>
          <w:pgMar w:left="232" w:top="484" w:right="1440" w:bottom="13" w:gutter="0" w:footer="0" w:header="0"/>
        </w:sectPr>
      </w:pPr>
    </w:p>
    <w:bookmarkStart w:id="14" w:name="page15"/>
    <w:bookmarkEnd w:id="14"/>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left="8" w:right="4300" w:firstLine="805"/>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Johnson City, State of Tennessee, on February 6, 2003.</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b w:val="1"/>
          <w:bCs w:val="1"/>
          <w:color w:val="auto"/>
        </w:rPr>
        <w:t>NN, Inc.</w:t>
      </w:r>
    </w:p>
    <w:p>
      <w:pPr>
        <w:spacing w:after="0" w:line="346"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By: /s/ Roderick R. Baty</w:t>
      </w:r>
    </w:p>
    <w:p>
      <w:pPr>
        <w:spacing w:after="0" w:line="4" w:lineRule="exact"/>
        <w:rPr>
          <w:sz w:val="20"/>
          <w:szCs w:val="20"/>
          <w:color w:val="auto"/>
        </w:rPr>
      </w:pPr>
    </w:p>
    <w:p>
      <w:pPr>
        <w:ind w:left="35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Roderick R. Baty</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Chairman, Chief Executive Officer</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and President</w:t>
      </w:r>
    </w:p>
    <w:p>
      <w:pPr>
        <w:spacing w:after="0" w:line="176" w:lineRule="exact"/>
        <w:rPr>
          <w:sz w:val="20"/>
          <w:szCs w:val="20"/>
          <w:color w:val="auto"/>
        </w:rPr>
      </w:pPr>
    </w:p>
    <w:p>
      <w:pPr>
        <w:ind w:left="8" w:right="4660"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448"/>
          </w:cols>
          <w:pgMar w:left="232" w:top="828" w:right="219" w:bottom="0" w:gutter="0" w:footer="0" w:header="0"/>
        </w:sectPr>
      </w:pPr>
    </w:p>
    <w:p>
      <w:pPr>
        <w:spacing w:after="0" w:line="176" w:lineRule="exact"/>
        <w:rPr>
          <w:sz w:val="20"/>
          <w:szCs w:val="20"/>
          <w:color w:val="auto"/>
        </w:rPr>
      </w:pPr>
    </w:p>
    <w:p>
      <w:pPr>
        <w:ind w:left="134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ind w:left="134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648" w:space="720"/>
            <w:col w:w="2320" w:space="720"/>
            <w:col w:w="3040"/>
          </w:cols>
          <w:pgMar w:left="232" w:top="828" w:right="219" w:bottom="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 Roderick R. Baty</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360"/>
        <w:spacing w:after="0" w:line="241" w:lineRule="auto"/>
        <w:rPr>
          <w:sz w:val="20"/>
          <w:szCs w:val="20"/>
          <w:color w:val="auto"/>
        </w:rPr>
      </w:pPr>
      <w:r>
        <w:rPr>
          <w:rFonts w:ascii="Courier New" w:cs="Courier New" w:eastAsia="Courier New" w:hAnsi="Courier New"/>
          <w:sz w:val="15"/>
          <w:szCs w:val="15"/>
          <w:color w:val="auto"/>
        </w:rPr>
        <w:t>Chairman, Chief Executive Officer, President and Director (Principal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6, 2003</w:t>
      </w:r>
    </w:p>
    <w:p>
      <w:pPr>
        <w:spacing w:after="0" w:line="13" w:lineRule="exact"/>
        <w:rPr>
          <w:sz w:val="20"/>
          <w:szCs w:val="20"/>
          <w:color w:val="auto"/>
        </w:rPr>
      </w:pPr>
    </w:p>
    <w:p>
      <w:pPr>
        <w:sectPr>
          <w:pgSz w:w="11900" w:h="16838" w:orient="portrait"/>
          <w:cols w:equalWidth="0" w:num="3">
            <w:col w:w="2948" w:space="720"/>
            <w:col w:w="3400" w:space="720"/>
            <w:col w:w="3660"/>
          </w:cols>
          <w:pgMar w:left="232" w:top="828" w:right="219" w:bottom="0" w:gutter="0" w:footer="0" w:header="0"/>
          <w:type w:val="continuous"/>
        </w:sectPr>
      </w:pPr>
    </w:p>
    <w:p>
      <w:pPr>
        <w:ind w:left="188" w:hanging="188"/>
        <w:spacing w:after="0"/>
        <w:tabs>
          <w:tab w:leader="none" w:pos="18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Roderick R. Baty</w:t>
      </w:r>
    </w:p>
    <w:p>
      <w:pPr>
        <w:sectPr>
          <w:pgSz w:w="11900" w:h="16838" w:orient="portrait"/>
          <w:cols w:equalWidth="0" w:num="1">
            <w:col w:w="11448"/>
          </w:cols>
          <w:pgMar w:left="232" w:top="828" w:right="219" w:bottom="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 David L. Dyckman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41" w:lineRule="auto"/>
        <w:rPr>
          <w:sz w:val="20"/>
          <w:szCs w:val="20"/>
          <w:color w:val="auto"/>
        </w:rPr>
      </w:pPr>
      <w:r>
        <w:rPr>
          <w:rFonts w:ascii="Courier New" w:cs="Courier New" w:eastAsia="Courier New" w:hAnsi="Courier New"/>
          <w:sz w:val="15"/>
          <w:szCs w:val="15"/>
          <w:color w:val="auto"/>
        </w:rPr>
        <w:t>Vice President-Business Development and Chief Financial Officer (Principal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6, 2003</w:t>
      </w:r>
    </w:p>
    <w:p>
      <w:pPr>
        <w:spacing w:after="0" w:line="11" w:lineRule="exact"/>
        <w:rPr>
          <w:sz w:val="20"/>
          <w:szCs w:val="20"/>
          <w:color w:val="auto"/>
        </w:rPr>
      </w:pPr>
    </w:p>
    <w:p>
      <w:pPr>
        <w:sectPr>
          <w:pgSz w:w="11900" w:h="16838" w:orient="portrait"/>
          <w:cols w:equalWidth="0" w:num="3">
            <w:col w:w="2948" w:space="720"/>
            <w:col w:w="3480" w:space="640"/>
            <w:col w:w="3660"/>
          </w:cols>
          <w:pgMar w:left="232" w:top="828" w:right="219" w:bottom="0" w:gutter="0" w:footer="0" w:header="0"/>
          <w:type w:val="continuous"/>
        </w:sect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L. Dyckman</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5"/>
                <w:szCs w:val="15"/>
                <w:color w:val="auto"/>
              </w:rPr>
              <w:t>Treasurer, Secretary and Chief Accounting</w:t>
            </w:r>
          </w:p>
        </w:tc>
        <w:tc>
          <w:tcPr>
            <w:tcW w:w="388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5"/>
                <w:szCs w:val="15"/>
                <w:color w:val="auto"/>
              </w:rPr>
              <w:t>Officer (Principal Accounting Officer)</w:t>
            </w:r>
          </w:p>
        </w:tc>
        <w:tc>
          <w:tcPr>
            <w:tcW w:w="38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/s/ William C. Kelly, Jr.</w:t>
            </w:r>
          </w:p>
        </w:tc>
        <w:tc>
          <w:tcPr>
            <w:tcW w:w="394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5"/>
                <w:szCs w:val="15"/>
                <w:color w:val="auto"/>
              </w:rPr>
              <w:t>February 6, 2003</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William C. Kelly, Jr.</w:t>
            </w:r>
          </w:p>
        </w:tc>
        <w:tc>
          <w:tcPr>
            <w:tcW w:w="39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3940" w:type="dxa"/>
            <w:vAlign w:val="bottom"/>
          </w:tcPr>
          <w:p>
            <w:pPr>
              <w:spacing w:after="0"/>
              <w:rPr>
                <w:sz w:val="24"/>
                <w:szCs w:val="2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5"/>
                <w:szCs w:val="15"/>
                <w:color w:val="auto"/>
              </w:rPr>
              <w:t>February 6, 2003</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Richard D. Ennen*</w:t>
            </w:r>
          </w:p>
        </w:tc>
        <w:tc>
          <w:tcPr>
            <w:tcW w:w="394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5"/>
                <w:szCs w:val="15"/>
                <w:color w:val="auto"/>
              </w:rPr>
              <w:t>February 6, 2003</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Michael D. Huff*</w:t>
            </w:r>
          </w:p>
        </w:tc>
        <w:tc>
          <w:tcPr>
            <w:tcW w:w="3940" w:type="dxa"/>
            <w:vAlign w:val="bottom"/>
          </w:tcPr>
          <w:p>
            <w:pPr>
              <w:ind w:left="40"/>
              <w:spacing w:after="0"/>
              <w:rPr>
                <w:sz w:val="20"/>
                <w:szCs w:val="20"/>
                <w:color w:val="auto"/>
              </w:rPr>
            </w:pPr>
            <w:r>
              <w:rPr>
                <w:rFonts w:ascii="Courier New" w:cs="Courier New" w:eastAsia="Courier New" w:hAnsi="Courier New"/>
                <w:sz w:val="15"/>
                <w:szCs w:val="15"/>
                <w:color w:val="auto"/>
              </w:rPr>
              <w:t>All of the</w:t>
            </w:r>
          </w:p>
        </w:tc>
        <w:tc>
          <w:tcPr>
            <w:tcW w:w="3880" w:type="dxa"/>
            <w:vAlign w:val="bottom"/>
          </w:tcPr>
          <w:p>
            <w:pPr>
              <w:ind w:left="220"/>
              <w:spacing w:after="0"/>
              <w:rPr>
                <w:sz w:val="20"/>
                <w:szCs w:val="20"/>
                <w:color w:val="auto"/>
              </w:rPr>
            </w:pPr>
            <w:r>
              <w:rPr>
                <w:rFonts w:ascii="Courier New" w:cs="Courier New" w:eastAsia="Courier New" w:hAnsi="Courier New"/>
                <w:sz w:val="15"/>
                <w:szCs w:val="15"/>
                <w:color w:val="auto"/>
              </w:rPr>
              <w:t>February 6, 2003</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G. Ronald Morris*</w:t>
            </w:r>
          </w:p>
        </w:tc>
        <w:tc>
          <w:tcPr>
            <w:tcW w:w="3940" w:type="dxa"/>
            <w:vAlign w:val="bottom"/>
          </w:tcPr>
          <w:p>
            <w:pPr>
              <w:ind w:left="40"/>
              <w:spacing w:after="0"/>
              <w:rPr>
                <w:sz w:val="20"/>
                <w:szCs w:val="20"/>
                <w:color w:val="auto"/>
              </w:rPr>
            </w:pPr>
            <w:r>
              <w:rPr>
                <w:rFonts w:ascii="Courier New" w:cs="Courier New" w:eastAsia="Courier New" w:hAnsi="Courier New"/>
                <w:sz w:val="15"/>
                <w:szCs w:val="15"/>
                <w:color w:val="auto"/>
              </w:rPr>
              <w:t>Board of Directors</w:t>
            </w:r>
          </w:p>
        </w:tc>
        <w:tc>
          <w:tcPr>
            <w:tcW w:w="3880" w:type="dxa"/>
            <w:vAlign w:val="bottom"/>
          </w:tcPr>
          <w:p>
            <w:pPr>
              <w:ind w:left="220"/>
              <w:spacing w:after="0"/>
              <w:rPr>
                <w:sz w:val="20"/>
                <w:szCs w:val="20"/>
                <w:color w:val="auto"/>
              </w:rPr>
            </w:pPr>
            <w:r>
              <w:rPr>
                <w:rFonts w:ascii="Courier New" w:cs="Courier New" w:eastAsia="Courier New" w:hAnsi="Courier New"/>
                <w:sz w:val="15"/>
                <w:szCs w:val="15"/>
                <w:color w:val="auto"/>
              </w:rPr>
              <w:t>February 6, 2003</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Michael E. Werner*</w:t>
            </w:r>
          </w:p>
        </w:tc>
        <w:tc>
          <w:tcPr>
            <w:tcW w:w="394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5"/>
                <w:szCs w:val="15"/>
                <w:color w:val="auto"/>
              </w:rPr>
              <w:t>February 6, 2003</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Steven T. Warshaw*</w:t>
            </w:r>
          </w:p>
        </w:tc>
        <w:tc>
          <w:tcPr>
            <w:tcW w:w="394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5"/>
                <w:szCs w:val="15"/>
                <w:color w:val="auto"/>
              </w:rPr>
              <w:t>February 6, 2003</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James L. Earsley*</w:t>
            </w:r>
          </w:p>
        </w:tc>
        <w:tc>
          <w:tcPr>
            <w:tcW w:w="3940" w:type="dxa"/>
            <w:vAlign w:val="bottom"/>
          </w:tcPr>
          <w:p>
            <w:pPr>
              <w:spacing w:after="0"/>
              <w:rPr>
                <w:sz w:val="14"/>
                <w:szCs w:val="14"/>
                <w:color w:val="auto"/>
              </w:rPr>
            </w:pPr>
          </w:p>
        </w:tc>
        <w:tc>
          <w:tcPr>
            <w:tcW w:w="3880" w:type="dxa"/>
            <w:vAlign w:val="bottom"/>
          </w:tcPr>
          <w:p>
            <w:pPr>
              <w:ind w:left="220"/>
              <w:spacing w:after="0"/>
              <w:rPr>
                <w:sz w:val="20"/>
                <w:szCs w:val="20"/>
                <w:color w:val="auto"/>
              </w:rPr>
            </w:pPr>
            <w:r>
              <w:rPr>
                <w:rFonts w:ascii="Courier New" w:cs="Courier New" w:eastAsia="Courier New" w:hAnsi="Courier New"/>
                <w:sz w:val="15"/>
                <w:szCs w:val="15"/>
                <w:color w:val="auto"/>
              </w:rPr>
              <w:t>February 6, 2003</w:t>
            </w:r>
          </w:p>
        </w:tc>
      </w:tr>
      <w:tr>
        <w:trPr>
          <w:trHeight w:val="516"/>
        </w:trPr>
        <w:tc>
          <w:tcPr>
            <w:tcW w:w="3620" w:type="dxa"/>
            <w:vAlign w:val="bottom"/>
          </w:tcPr>
          <w:p>
            <w:pPr>
              <w:spacing w:after="0"/>
              <w:rPr>
                <w:sz w:val="20"/>
                <w:szCs w:val="20"/>
                <w:color w:val="auto"/>
              </w:rPr>
            </w:pPr>
            <w:r>
              <w:rPr>
                <w:rFonts w:ascii="Courier New" w:cs="Courier New" w:eastAsia="Courier New" w:hAnsi="Courier New"/>
                <w:sz w:val="15"/>
                <w:szCs w:val="15"/>
                <w:color w:val="auto"/>
              </w:rPr>
              <w:t>*By: /s/ Roderick R. Baty</w:t>
            </w:r>
          </w:p>
        </w:tc>
        <w:tc>
          <w:tcPr>
            <w:tcW w:w="39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39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Roderick R. Baty</w:t>
            </w:r>
          </w:p>
        </w:tc>
        <w:tc>
          <w:tcPr>
            <w:tcW w:w="39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As Attorney-in-fact for the above-named</w:t>
            </w:r>
          </w:p>
        </w:tc>
        <w:tc>
          <w:tcPr>
            <w:tcW w:w="39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directors pursuant to the powers of</w:t>
            </w:r>
          </w:p>
        </w:tc>
        <w:tc>
          <w:tcPr>
            <w:tcW w:w="39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attorney duly executed by such persons</w:t>
            </w:r>
          </w:p>
        </w:tc>
        <w:tc>
          <w:tcPr>
            <w:tcW w:w="39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326"/>
        </w:trPr>
        <w:tc>
          <w:tcPr>
            <w:tcW w:w="36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-26670</wp:posOffset>
            </wp:positionV>
            <wp:extent cx="3238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b w:val="1"/>
          <w:bCs w:val="1"/>
          <w:color w:val="auto"/>
        </w:rPr>
        <w:t>Index of Exhibits</w:t>
      </w:r>
    </w:p>
    <w:p>
      <w:pPr>
        <w:sectPr>
          <w:pgSz w:w="11900" w:h="16838" w:orient="portrait"/>
          <w:cols w:equalWidth="0" w:num="1">
            <w:col w:w="11448"/>
          </w:cols>
          <w:pgMar w:left="232" w:top="828" w:right="219" w:bottom="0" w:gutter="0" w:footer="0" w:header="0"/>
          <w:type w:val="continuous"/>
        </w:sectPr>
      </w:pP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b w:val="1"/>
          <w:bCs w:val="1"/>
          <w:color w:val="auto"/>
        </w:rPr>
        <w:t>Exhibit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b w:val="1"/>
          <w:bCs w:val="1"/>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b w:val="1"/>
          <w:bCs w:val="1"/>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Document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b w:val="1"/>
          <w:bCs w:val="1"/>
          <w:color w:val="auto"/>
        </w:rPr>
        <w:t>--------</w:t>
      </w:r>
    </w:p>
    <w:p>
      <w:pPr>
        <w:spacing w:after="0" w:line="184" w:lineRule="exact"/>
        <w:rPr>
          <w:sz w:val="20"/>
          <w:szCs w:val="20"/>
          <w:color w:val="auto"/>
        </w:rPr>
      </w:pPr>
    </w:p>
    <w:p>
      <w:pPr>
        <w:sectPr>
          <w:pgSz w:w="11900" w:h="16838" w:orient="portrait"/>
          <w:cols w:equalWidth="0" w:num="2">
            <w:col w:w="708" w:space="540"/>
            <w:col w:w="10200"/>
          </w:cols>
          <w:pgMar w:left="232" w:top="828" w:right="219" w:bottom="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1.1* Form of Underwriting Agreement</w:t>
      </w:r>
    </w:p>
    <w:p>
      <w:pPr>
        <w:spacing w:after="0" w:line="176" w:lineRule="exact"/>
        <w:rPr>
          <w:sz w:val="20"/>
          <w:szCs w:val="20"/>
          <w:color w:val="auto"/>
        </w:rPr>
      </w:pPr>
    </w:p>
    <w:p>
      <w:pPr>
        <w:ind w:left="448" w:right="4560" w:hanging="446"/>
        <w:spacing w:after="0" w:line="241" w:lineRule="auto"/>
        <w:tabs>
          <w:tab w:leader="none" w:pos="428" w:val="left"/>
        </w:tabs>
        <w:rPr>
          <w:sz w:val="20"/>
          <w:szCs w:val="20"/>
          <w:color w:val="auto"/>
        </w:rPr>
      </w:pPr>
      <w:r>
        <w:rPr>
          <w:rFonts w:ascii="Courier New" w:cs="Courier New" w:eastAsia="Courier New" w:hAnsi="Courier New"/>
          <w:sz w:val="15"/>
          <w:szCs w:val="15"/>
          <w:color w:val="auto"/>
        </w:rPr>
        <w:t>3.1</w:t>
        <w:tab/>
        <w:t>Restated Certificate of Incorporation of the Company. (incorporated by reference to Exhibit 3.1 of Company's Registration Statement on Form S-3 filed June 6, 2002)</w:t>
      </w:r>
    </w:p>
    <w:p>
      <w:pPr>
        <w:spacing w:after="0" w:line="176" w:lineRule="exact"/>
        <w:rPr>
          <w:sz w:val="20"/>
          <w:szCs w:val="20"/>
          <w:color w:val="auto"/>
        </w:rPr>
      </w:pPr>
    </w:p>
    <w:p>
      <w:pPr>
        <w:ind w:left="448" w:right="4380" w:hanging="446"/>
        <w:spacing w:after="0"/>
        <w:tabs>
          <w:tab w:leader="none" w:pos="428" w:val="left"/>
        </w:tabs>
        <w:rPr>
          <w:sz w:val="20"/>
          <w:szCs w:val="20"/>
          <w:color w:val="auto"/>
        </w:rPr>
      </w:pPr>
      <w:r>
        <w:rPr>
          <w:rFonts w:ascii="Courier New" w:cs="Courier New" w:eastAsia="Courier New" w:hAnsi="Courier New"/>
          <w:sz w:val="15"/>
          <w:szCs w:val="15"/>
          <w:color w:val="auto"/>
        </w:rPr>
        <w:t>3.2</w:t>
        <w:tab/>
        <w:t>Restated By-Laws of the Company. (incorporated by reference to Exhibit 3.2 of Company's Registration Statement on Form S-3 filed June 6, 2002)</w:t>
      </w:r>
    </w:p>
    <w:p>
      <w:pPr>
        <w:spacing w:after="0" w:line="176" w:lineRule="exact"/>
        <w:rPr>
          <w:sz w:val="20"/>
          <w:szCs w:val="20"/>
          <w:color w:val="auto"/>
        </w:rPr>
      </w:pPr>
    </w:p>
    <w:p>
      <w:pPr>
        <w:ind w:left="448" w:right="4300" w:hanging="446"/>
        <w:spacing w:after="0" w:line="241" w:lineRule="auto"/>
        <w:tabs>
          <w:tab w:leader="none" w:pos="428" w:val="left"/>
        </w:tabs>
        <w:rPr>
          <w:sz w:val="20"/>
          <w:szCs w:val="20"/>
          <w:color w:val="auto"/>
        </w:rPr>
      </w:pPr>
      <w:r>
        <w:rPr>
          <w:rFonts w:ascii="Courier New" w:cs="Courier New" w:eastAsia="Courier New" w:hAnsi="Courier New"/>
          <w:sz w:val="15"/>
          <w:szCs w:val="15"/>
          <w:color w:val="auto"/>
        </w:rPr>
        <w:t>4.1</w:t>
        <w:tab/>
        <w:t>The specimen certificate representing the Company's Common Stock, par value $0.01 per share. (incorporated by reference to Exhibit 4.1 of Company's Registration Statement on Form S-3 filed June 6, 2002)</w:t>
      </w:r>
    </w:p>
    <w:p>
      <w:pPr>
        <w:spacing w:after="0" w:line="176" w:lineRule="exact"/>
        <w:rPr>
          <w:sz w:val="20"/>
          <w:szCs w:val="20"/>
          <w:color w:val="auto"/>
        </w:rPr>
      </w:pPr>
    </w:p>
    <w:p>
      <w:pPr>
        <w:ind w:left="448" w:right="4300" w:hanging="446"/>
        <w:spacing w:after="0" w:line="241" w:lineRule="auto"/>
        <w:tabs>
          <w:tab w:leader="none" w:pos="428" w:val="left"/>
        </w:tabs>
        <w:rPr>
          <w:sz w:val="20"/>
          <w:szCs w:val="20"/>
          <w:color w:val="auto"/>
        </w:rPr>
      </w:pPr>
      <w:r>
        <w:rPr>
          <w:rFonts w:ascii="Courier New" w:cs="Courier New" w:eastAsia="Courier New" w:hAnsi="Courier New"/>
          <w:sz w:val="15"/>
          <w:szCs w:val="15"/>
          <w:color w:val="auto"/>
        </w:rPr>
        <w:t>4.2</w:t>
        <w:tab/>
        <w:t>Article IV, Article V (Sections 3 through 6), Article VI (Section 2) and Article VII (Sections 1 and 3) of the Restated Certificate of Incorporation of the Company (included in Exhibit 3.1).</w:t>
      </w:r>
    </w:p>
    <w:p>
      <w:pPr>
        <w:spacing w:after="0" w:line="174"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Article II (Sections 7 and 12), Article III (Sections 2 and 15) and Article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VI of the Restated By-Laws of the Company (included in Exhibit 3.2).</w:t>
      </w:r>
    </w:p>
    <w:p>
      <w:pPr>
        <w:sectPr>
          <w:pgSz w:w="11900" w:h="16838" w:orient="portrait"/>
          <w:cols w:equalWidth="0" w:num="1">
            <w:col w:w="11448"/>
          </w:cols>
          <w:pgMar w:left="232" w:top="828" w:right="219" w:bottom="0" w:gutter="0" w:footer="0" w:header="0"/>
          <w:type w:val="continuous"/>
        </w:sectPr>
      </w:pPr>
    </w:p>
    <w:bookmarkStart w:id="15" w:name="page16"/>
    <w:bookmarkEnd w:id="15"/>
    <w:p>
      <w:pPr>
        <w:ind w:left="8"/>
        <w:spacing w:after="0"/>
        <w:rPr>
          <w:sz w:val="20"/>
          <w:szCs w:val="20"/>
          <w:color w:val="auto"/>
        </w:rPr>
      </w:pPr>
      <w:r>
        <w:rPr>
          <w:rFonts w:ascii="Courier New" w:cs="Courier New" w:eastAsia="Courier New" w:hAnsi="Courier New"/>
          <w:sz w:val="15"/>
          <w:szCs w:val="15"/>
          <w:color w:val="auto"/>
        </w:rPr>
        <w:t>5.1** Opinion of Blackwell Sanders Peper Martin LLP, counsel to the Company.</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23.1 Consent of Blackwell Sanders Peper Martin LLP (included in Exhibit 5.1).</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23.2 Consent of KPMG LLP, Independent Auditors.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23.3 Consent of PricewaterhouseCoopers LLP, Independent Auditors.</w:t>
      </w:r>
    </w:p>
    <w:p>
      <w:pPr>
        <w:spacing w:after="0" w:line="176" w:lineRule="exact"/>
        <w:rPr>
          <w:sz w:val="20"/>
          <w:szCs w:val="20"/>
          <w:color w:val="auto"/>
        </w:rPr>
      </w:pPr>
    </w:p>
    <w:p>
      <w:pPr>
        <w:ind w:left="448" w:right="3519" w:hanging="448"/>
        <w:spacing w:after="0"/>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in the signature page to the Registration Statement).</w:t>
      </w:r>
    </w:p>
    <w:p>
      <w:pPr>
        <w:spacing w:after="0" w:line="348" w:lineRule="exact"/>
        <w:rPr>
          <w:sz w:val="20"/>
          <w:szCs w:val="20"/>
          <w:color w:val="auto"/>
        </w:rPr>
      </w:pPr>
    </w:p>
    <w:p>
      <w:pPr>
        <w:ind w:left="448" w:right="3079" w:hanging="448"/>
        <w:spacing w:after="0" w:line="241" w:lineRule="auto"/>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post-effective amendment or pursuant to a report to be filed pursuant to Section 13 or 15(d) of the Securities Exchange Act of 1934, if applicable, and incorporated herein by reference.</w:t>
      </w:r>
    </w:p>
    <w:p>
      <w:pPr>
        <w:spacing w:after="0" w:line="174" w:lineRule="exact"/>
        <w:rPr>
          <w:sz w:val="20"/>
          <w:szCs w:val="20"/>
          <w:color w:val="auto"/>
        </w:rPr>
      </w:pPr>
    </w:p>
    <w:p>
      <w:pPr>
        <w:ind w:left="448" w:hanging="448"/>
        <w:spacing w:after="0"/>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ectPr>
          <w:pgSz w:w="11900" w:h="16838" w:orient="portrait"/>
          <w:cols w:equalWidth="0" w:num="1">
            <w:col w:w="10227"/>
          </w:cols>
          <w:pgMar w:left="232"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KPMG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 South Tryon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2300</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Charlotte, NC</w:t>
      </w:r>
      <w:r>
        <w:rPr>
          <w:sz w:val="20"/>
          <w:szCs w:val="20"/>
          <w:color w:val="auto"/>
        </w:rPr>
        <w:tab/>
      </w:r>
      <w:r>
        <w:rPr>
          <w:rFonts w:ascii="Courier New" w:cs="Courier New" w:eastAsia="Courier New" w:hAnsi="Courier New"/>
          <w:sz w:val="14"/>
          <w:szCs w:val="14"/>
          <w:color w:val="auto"/>
        </w:rPr>
        <w:t>28202-1911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b w:val="1"/>
          <w:bCs w:val="1"/>
          <w:color w:val="auto"/>
        </w:rPr>
        <w:t>INDEPENDENT AUDITORS' CONSENT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Inc.</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consent to the use of our report dated February 28, 2002, with respect to the consolidated balance sheets of NN, Inc. as of December 31, 2001 and 2000, and the related consolidated statements of income and comprehensive income, consolidated statements of changes in stockholders' equity, and consolidated statements of cash flows for the years then ended, incorporated herein by reference and to the reference to our firm under the heading "Experts" in the prospectus. Our report refers to a change in the Company's method of accounting for derivative instruments and hedging activities in 2001.</w:t>
      </w:r>
    </w:p>
    <w:p>
      <w:pPr>
        <w:spacing w:after="0" w:line="348"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 KPMG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6, 2003</w:t>
      </w:r>
    </w:p>
    <w:p>
      <w:pPr>
        <w:sectPr>
          <w:pgSz w:w="11900" w:h="16838" w:orient="portrait"/>
          <w:cols w:equalWidth="0" w:num="1">
            <w:col w:w="10219"/>
          </w:cols>
          <w:pgMar w:left="240" w:top="484" w:right="1440" w:bottom="1440" w:gutter="0" w:footer="0" w:header="0"/>
        </w:sectPr>
      </w:pPr>
    </w:p>
    <w:bookmarkStart w:id="17" w:name="page18"/>
    <w:bookmarkEnd w:id="17"/>
    <w:p>
      <w:pPr>
        <w:jc w:val="right"/>
        <w:ind w:right="3079"/>
        <w:spacing w:after="0"/>
        <w:rPr>
          <w:sz w:val="20"/>
          <w:szCs w:val="20"/>
          <w:color w:val="auto"/>
        </w:rPr>
      </w:pPr>
      <w:r>
        <w:rPr>
          <w:rFonts w:ascii="Courier New" w:cs="Courier New" w:eastAsia="Courier New" w:hAnsi="Courier New"/>
          <w:sz w:val="15"/>
          <w:szCs w:val="15"/>
          <w:b w:val="1"/>
          <w:bCs w:val="1"/>
          <w:color w:val="auto"/>
        </w:rPr>
        <w:t>Exhibit 23.3</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u w:val="single" w:color="auto"/>
          <w:color w:val="auto"/>
        </w:rPr>
        <w:t>CONSENT OF INDEPENDENT ACCOUNTANTS</w:t>
      </w:r>
    </w:p>
    <w:p>
      <w:pPr>
        <w:spacing w:after="0" w:line="348"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We hereby consent to the incorporation by reference in this Registration Statement on Form S-3 of our report dated February 4, 2000 relating to the December 31, 1999 consolidated financial statements of NN, Inc. (formerly known as NN Ball &amp; Roller, Inc.), which appears in NN, Inc.'s Annual Report on Form</w:t>
      </w:r>
    </w:p>
    <w:p>
      <w:pPr>
        <w:spacing w:after="0" w:line="1"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10-K for the year ended December 31, 2001. We also consent to the reference to us under the heading "Experts" in such Registration Statement.</w:t>
      </w:r>
    </w:p>
    <w:p>
      <w:pPr>
        <w:spacing w:after="0" w:line="17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/s/ PricewaterhouseCoopers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5, 2003</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o"/>
      <w:numFmt w:val="bullet"/>
      <w:start w:val="1"/>
    </w:lvl>
  </w:abstractNum>
  <w:abstractNum w:abstractNumId="3">
    <w:nsid w:val="DED7263"/>
    <w:multiLevelType w:val="hybridMultilevel"/>
    <w:lvl w:ilvl="0">
      <w:lvlJc w:val="left"/>
      <w:lvlText w:val="o"/>
      <w:numFmt w:val="bullet"/>
      <w:start w:val="1"/>
    </w:lvl>
  </w:abstractNum>
  <w:abstractNum w:abstractNumId="4">
    <w:nsid w:val="7FDCC233"/>
    <w:multiLevelType w:val="hybridMultilevel"/>
    <w:lvl w:ilvl="0">
      <w:lvlJc w:val="left"/>
      <w:lvlText w:val="%1"/>
      <w:numFmt w:val="upperLetter"/>
      <w:start w:val="40"/>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o"/>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o"/>
      <w:numFmt w:val="bullet"/>
      <w:start w:val="1"/>
    </w:lvl>
  </w:abstractNum>
  <w:abstractNum w:abstractNumId="10">
    <w:nsid w:val="519B500D"/>
    <w:multiLevelType w:val="hybridMultilevel"/>
    <w:lvl w:ilvl="0">
      <w:lvlJc w:val="left"/>
      <w:lvlText w:val="o"/>
      <w:numFmt w:val="bullet"/>
      <w:start w:val="1"/>
    </w:lvl>
  </w:abstractNum>
  <w:abstractNum w:abstractNumId="11">
    <w:nsid w:val="431BD7B7"/>
    <w:multiLevelType w:val="hybridMultilevel"/>
    <w:lvl w:ilvl="0">
      <w:lvlJc w:val="left"/>
      <w:lvlText w:val="o"/>
      <w:numFmt w:val="bullet"/>
      <w:start w:val="1"/>
    </w:lvl>
  </w:abstractNum>
  <w:abstractNum w:abstractNumId="12">
    <w:nsid w:val="3F2DBA31"/>
    <w:multiLevelType w:val="hybridMultilevel"/>
    <w:lvl w:ilvl="0">
      <w:lvlJc w:val="left"/>
      <w:lvlText w:val="o"/>
      <w:numFmt w:val="bullet"/>
      <w:start w:val="1"/>
    </w:lvl>
  </w:abstractNum>
  <w:abstractNum w:abstractNumId="13">
    <w:nsid w:val="7C83E458"/>
    <w:multiLevelType w:val="hybridMultilevel"/>
    <w:lvl w:ilvl="0">
      <w:lvlJc w:val="left"/>
      <w:lvlText w:val="%1"/>
      <w:numFmt w:val="decimal"/>
      <w:start w:val="24"/>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628C895D"/>
    <w:multiLevelType w:val="hybridMultilevel"/>
    <w:lvl w:ilvl="0">
      <w:lvlJc w:val="left"/>
      <w:lvlText w:val="%1"/>
      <w:numFmt w:val="lowerLetter"/>
      <w:start w:val="1"/>
    </w:lvl>
    <w:lvl w:ilvl="1">
      <w:lvlJc w:val="left"/>
      <w:lvlText w:val="(%2)"/>
      <w:numFmt w:val="decimal"/>
      <w:start w:val="2"/>
    </w:lvl>
  </w:abstractNum>
  <w:abstractNum w:abstractNumId="18">
    <w:nsid w:val="333AB105"/>
    <w:multiLevelType w:val="hybridMultilevel"/>
    <w:lvl w:ilvl="0">
      <w:lvlJc w:val="left"/>
      <w:lvlText w:val="(%1)"/>
      <w:numFmt w:val="lowerLetter"/>
      <w:start w:val="2"/>
    </w:lvl>
    <w:lvl w:ilvl="1">
      <w:lvlJc w:val="left"/>
      <w:lvlText w:val="%2"/>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24"/>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2019-12-11T23:50:54Z</dcterms:created>
  <dcterms:modified xsi:type="dcterms:W3CDTF">2019-12-11T23:50:54Z</dcterms:modified>
</cp:coreProperties>
</file>