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41"/>
        </w:trPr>
        <w:tc>
          <w:tcPr>
            <w:tcW w:w="8460" w:type="dxa"/>
            <w:vAlign w:val="bottom"/>
            <w:vMerge w:val="restart"/>
          </w:tcPr>
          <w:p>
            <w:pPr>
              <w:jc w:val="center"/>
              <w:ind w:left="2541"/>
              <w:spacing w:after="0"/>
              <w:rPr>
                <w:sz w:val="20"/>
                <w:szCs w:val="20"/>
                <w:color w:val="auto"/>
              </w:rPr>
            </w:pPr>
            <w:r>
              <w:rPr>
                <w:rFonts w:ascii="Times New Roman" w:cs="Times New Roman" w:eastAsia="Times New Roman" w:hAnsi="Times New Roman"/>
                <w:sz w:val="22"/>
                <w:szCs w:val="22"/>
                <w:b w:val="1"/>
                <w:bCs w:val="1"/>
                <w:color w:val="auto"/>
                <w:w w:val="96"/>
              </w:rPr>
              <w:t>UNITED STATES</w:t>
            </w:r>
          </w:p>
        </w:tc>
        <w:tc>
          <w:tcPr>
            <w:tcW w:w="2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8460" w:type="dxa"/>
            <w:vAlign w:val="bottom"/>
            <w:vMerge w:val="continue"/>
          </w:tcPr>
          <w:p>
            <w:pPr>
              <w:spacing w:after="0"/>
              <w:rPr>
                <w:sz w:val="16"/>
                <w:szCs w:val="16"/>
                <w:color w:val="auto"/>
              </w:rPr>
            </w:pPr>
          </w:p>
        </w:tc>
        <w:tc>
          <w:tcPr>
            <w:tcW w:w="2940" w:type="dxa"/>
            <w:vAlign w:val="bottom"/>
            <w:tcBorders>
              <w:left w:val="single" w:sz="8" w:color="auto"/>
              <w:right w:val="single" w:sz="8" w:color="auto"/>
            </w:tcBorders>
          </w:tcPr>
          <w:p>
            <w:pPr>
              <w:ind w:left="780"/>
              <w:spacing w:after="0" w:line="192" w:lineRule="exact"/>
              <w:rPr>
                <w:sz w:val="20"/>
                <w:szCs w:val="20"/>
                <w:color w:val="auto"/>
              </w:rPr>
            </w:pPr>
            <w:r>
              <w:rPr>
                <w:rFonts w:ascii="Times New Roman" w:cs="Times New Roman" w:eastAsia="Times New Roman" w:hAnsi="Times New Roman"/>
                <w:sz w:val="18"/>
                <w:szCs w:val="18"/>
                <w:color w:val="auto"/>
              </w:rPr>
              <w:t>OMB APPROVAL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460" w:type="dxa"/>
            <w:vAlign w:val="bottom"/>
            <w:vMerge w:val="restart"/>
          </w:tcPr>
          <w:p>
            <w:pPr>
              <w:jc w:val="center"/>
              <w:ind w:left="2541"/>
              <w:spacing w:after="0"/>
              <w:rPr>
                <w:sz w:val="20"/>
                <w:szCs w:val="20"/>
                <w:color w:val="auto"/>
              </w:rPr>
            </w:pPr>
            <w:r>
              <w:rPr>
                <w:rFonts w:ascii="Times New Roman" w:cs="Times New Roman" w:eastAsia="Times New Roman" w:hAnsi="Times New Roman"/>
                <w:sz w:val="22"/>
                <w:szCs w:val="22"/>
                <w:b w:val="1"/>
                <w:bCs w:val="1"/>
                <w:color w:val="auto"/>
                <w:w w:val="98"/>
              </w:rPr>
              <w:t>SECURITIES AND EXCHANGE COMMISSION</w:t>
            </w:r>
          </w:p>
        </w:tc>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460" w:type="dxa"/>
            <w:vAlign w:val="bottom"/>
            <w:vMerge w:val="continue"/>
          </w:tcPr>
          <w:p>
            <w:pPr>
              <w:spacing w:after="0"/>
              <w:rPr>
                <w:sz w:val="17"/>
                <w:szCs w:val="17"/>
                <w:color w:val="auto"/>
              </w:rPr>
            </w:pPr>
          </w:p>
        </w:tc>
        <w:tc>
          <w:tcPr>
            <w:tcW w:w="2940" w:type="dxa"/>
            <w:vAlign w:val="bottom"/>
            <w:tcBorders>
              <w:left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OMB Number: 3235-0145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60" w:type="dxa"/>
            <w:vAlign w:val="bottom"/>
          </w:tcPr>
          <w:p>
            <w:pPr>
              <w:jc w:val="center"/>
              <w:ind w:left="2541"/>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Expires: February 28,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average burden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60" w:type="dxa"/>
            <w:vAlign w:val="bottom"/>
            <w:vMerge w:val="restart"/>
          </w:tcPr>
          <w:p>
            <w:pPr>
              <w:jc w:val="center"/>
              <w:ind w:left="2861"/>
              <w:spacing w:after="0"/>
              <w:rPr>
                <w:sz w:val="20"/>
                <w:szCs w:val="20"/>
                <w:color w:val="auto"/>
              </w:rPr>
            </w:pPr>
            <w:r>
              <w:rPr>
                <w:rFonts w:ascii="Times New Roman" w:cs="Times New Roman" w:eastAsia="Times New Roman" w:hAnsi="Times New Roman"/>
                <w:sz w:val="22"/>
                <w:szCs w:val="22"/>
                <w:b w:val="1"/>
                <w:bCs w:val="1"/>
                <w:color w:val="auto"/>
                <w:w w:val="97"/>
              </w:rPr>
              <w:t>SCHEDULE 13G</w:t>
            </w:r>
          </w:p>
        </w:tc>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hours per response. . . . . . . .10.4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460" w:type="dxa"/>
            <w:vAlign w:val="bottom"/>
            <w:vMerge w:val="continue"/>
          </w:tcPr>
          <w:p>
            <w:pPr>
              <w:spacing w:after="0"/>
              <w:rPr>
                <w:sz w:val="21"/>
                <w:szCs w:val="21"/>
                <w:color w:val="auto"/>
              </w:rPr>
            </w:pPr>
          </w:p>
        </w:tc>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b w:val="1"/>
                <w:bCs w:val="1"/>
                <w:color w:val="auto"/>
                <w:w w:val="99"/>
              </w:rPr>
              <w:t>Under the Securities Exchange Act of 1934</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b w:val="1"/>
                <w:bCs w:val="1"/>
                <w:color w:val="auto"/>
                <w:w w:val="99"/>
              </w:rPr>
              <w:t>(Amendment No. 5)*</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460" w:type="dxa"/>
            <w:vAlign w:val="bottom"/>
            <w:tcBorders>
              <w:bottom w:val="single" w:sz="8" w:color="auto"/>
            </w:tcBorders>
          </w:tcPr>
          <w:p>
            <w:pPr>
              <w:jc w:val="center"/>
              <w:ind w:left="2881"/>
              <w:spacing w:after="0"/>
              <w:rPr>
                <w:sz w:val="20"/>
                <w:szCs w:val="20"/>
                <w:color w:val="auto"/>
              </w:rPr>
            </w:pPr>
            <w:r>
              <w:rPr>
                <w:rFonts w:ascii="Times New Roman" w:cs="Times New Roman" w:eastAsia="Times New Roman" w:hAnsi="Times New Roman"/>
                <w:sz w:val="32"/>
                <w:szCs w:val="32"/>
                <w:b w:val="1"/>
                <w:bCs w:val="1"/>
                <w:color w:val="auto"/>
              </w:rPr>
              <w:t>NN Inc.</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color w:val="auto"/>
                <w:w w:val="99"/>
              </w:rPr>
              <w:t>(Name of Issuer)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color w:val="auto"/>
                <w:w w:val="99"/>
              </w:rPr>
              <w:t>(Title of Class of Securities)</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b w:val="1"/>
                <w:bCs w:val="1"/>
                <w:color w:val="auto"/>
              </w:rPr>
              <w:t>629337106</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color w:val="auto"/>
                <w:w w:val="99"/>
              </w:rPr>
              <w:t>(CUSIP Number)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460" w:type="dxa"/>
            <w:vAlign w:val="bottom"/>
            <w:tcBorders>
              <w:bottom w:val="single" w:sz="8" w:color="auto"/>
            </w:tcBorders>
          </w:tcPr>
          <w:p>
            <w:pPr>
              <w:jc w:val="center"/>
              <w:ind w:left="2861"/>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color w:val="auto"/>
                <w:w w:val="99"/>
              </w:rPr>
              <w:t>(Date of Event Which Requires Filing of this Statement)</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Rule 13d-1(c)</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oRule 13d-1(d)</w:t>
      </w:r>
    </w:p>
    <w:p>
      <w:pPr>
        <w:spacing w:after="0" w:line="27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8"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00" w:right="49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PRIMECAP Management Company 95-3868081</w:t>
      </w:r>
    </w:p>
    <w:p>
      <w:pPr>
        <w:spacing w:after="0" w:line="395"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128" w:lineRule="exact"/>
        <w:rPr>
          <w:rFonts w:ascii="Times New Roman" w:cs="Times New Roman" w:eastAsia="Times New Roman" w:hAnsi="Times New Roman"/>
          <w:sz w:val="17"/>
          <w:szCs w:val="17"/>
          <w:color w:val="auto"/>
        </w:rPr>
      </w:pPr>
    </w:p>
    <w:p>
      <w:pPr>
        <w:ind w:left="2160" w:hanging="1159"/>
        <w:spacing w:after="0"/>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160" w:hanging="1159"/>
        <w:spacing w:after="0"/>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4,777,300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6,312,600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1" w:right="1440" w:bottom="1440" w:gutter="0" w:footer="0" w:header="0"/>
          <w:type w:val="continuous"/>
        </w:sectPr>
      </w:pPr>
    </w:p>
    <w:p>
      <w:pPr>
        <w:spacing w:after="0" w:line="223" w:lineRule="exact"/>
        <w:rPr>
          <w:sz w:val="20"/>
          <w:szCs w:val="20"/>
          <w:color w:val="auto"/>
        </w:rPr>
      </w:pPr>
    </w:p>
    <w:p>
      <w:pPr>
        <w:ind w:left="1000" w:right="4359" w:hanging="620"/>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6,312,600</w:t>
      </w:r>
    </w:p>
    <w:p>
      <w:pPr>
        <w:spacing w:after="0" w:line="377"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right="5359" w:hanging="620"/>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14.99%</w:t>
      </w:r>
    </w:p>
    <w:p>
      <w:pPr>
        <w:spacing w:after="0" w:line="377"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1"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ind w:left="1440" w:right="8660" w:hanging="493"/>
        <w:spacing w:after="0" w:line="282"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NN Inc.</w:t>
      </w:r>
    </w:p>
    <w:p>
      <w:pPr>
        <w:spacing w:after="0" w:line="67" w:lineRule="exact"/>
        <w:rPr>
          <w:rFonts w:ascii="Times New Roman" w:cs="Times New Roman" w:eastAsia="Times New Roman" w:hAnsi="Times New Roman"/>
          <w:sz w:val="18"/>
          <w:szCs w:val="18"/>
          <w:color w:val="auto"/>
        </w:rPr>
      </w:pPr>
    </w:p>
    <w:p>
      <w:pPr>
        <w:ind w:left="1440" w:right="6340" w:hanging="493"/>
        <w:spacing w:after="0" w:line="313"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6210 Ardrey Kell Road, Charlotte, NC 28277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-2540</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-354330</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PRIMECAP Management Company</w:t>
      </w:r>
    </w:p>
    <w:p>
      <w:pPr>
        <w:spacing w:after="0" w:line="112" w:lineRule="exact"/>
        <w:rPr>
          <w:rFonts w:ascii="Times New Roman" w:cs="Times New Roman" w:eastAsia="Times New Roman" w:hAnsi="Times New Roman"/>
          <w:sz w:val="18"/>
          <w:szCs w:val="18"/>
          <w:color w:val="auto"/>
        </w:rPr>
      </w:pPr>
    </w:p>
    <w:p>
      <w:pPr>
        <w:ind w:left="1440" w:right="5480" w:hanging="493"/>
        <w:spacing w:after="0" w:line="313" w:lineRule="auto"/>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177 E. Colorado Blvd., 11th Floor, Pasadena, CA 91105</w:t>
      </w:r>
    </w:p>
    <w:p>
      <w:pPr>
        <w:spacing w:after="0" w:line="43" w:lineRule="exact"/>
        <w:rPr>
          <w:rFonts w:ascii="Times New Roman" w:cs="Times New Roman" w:eastAsia="Times New Roman" w:hAnsi="Times New Roman"/>
          <w:sz w:val="17"/>
          <w:szCs w:val="17"/>
          <w:color w:val="auto"/>
        </w:rPr>
      </w:pPr>
    </w:p>
    <w:p>
      <w:pPr>
        <w:ind w:left="1440" w:right="8940" w:hanging="493"/>
        <w:spacing w:after="0" w:line="313" w:lineRule="auto"/>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U.S.A.</w:t>
      </w:r>
    </w:p>
    <w:p>
      <w:pPr>
        <w:spacing w:after="0" w:line="43" w:lineRule="exact"/>
        <w:rPr>
          <w:rFonts w:ascii="Times New Roman" w:cs="Times New Roman" w:eastAsia="Times New Roman" w:hAnsi="Times New Roman"/>
          <w:sz w:val="17"/>
          <w:szCs w:val="17"/>
          <w:color w:val="auto"/>
        </w:rPr>
      </w:pPr>
    </w:p>
    <w:p>
      <w:pPr>
        <w:ind w:left="1440" w:right="7840" w:hanging="493"/>
        <w:spacing w:after="0" w:line="282" w:lineRule="auto"/>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w:t>
      </w:r>
    </w:p>
    <w:p>
      <w:pPr>
        <w:spacing w:after="0" w:line="67" w:lineRule="exact"/>
        <w:rPr>
          <w:rFonts w:ascii="Times New Roman" w:cs="Times New Roman" w:eastAsia="Times New Roman" w:hAnsi="Times New Roman"/>
          <w:sz w:val="18"/>
          <w:szCs w:val="18"/>
          <w:color w:val="auto"/>
        </w:rPr>
      </w:pPr>
    </w:p>
    <w:p>
      <w:pPr>
        <w:ind w:left="1440" w:right="8600" w:hanging="493"/>
        <w:spacing w:after="0" w:line="282" w:lineRule="auto"/>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-339725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-690880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-1042670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-1394460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960" w:hanging="1013"/>
        <w:spacing w:after="0" w:line="282" w:lineRule="auto"/>
        <w:tabs>
          <w:tab w:leader="none" w:pos="14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387" w:right="399" w:bottom="1440" w:gutter="0" w:footer="0" w:header="0"/>
        </w:sectPr>
      </w:pPr>
    </w:p>
    <w:bookmarkStart w:id="3" w:name="page4"/>
    <w:bookmarkEnd w:id="3"/>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4" w:lineRule="auto"/>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6,312,600.</w:t>
      </w:r>
    </w:p>
    <w:p>
      <w:pPr>
        <w:spacing w:after="0" w:line="122" w:lineRule="exact"/>
        <w:rPr>
          <w:rFonts w:ascii="Times New Roman" w:cs="Times New Roman" w:eastAsia="Times New Roman" w:hAnsi="Times New Roman"/>
          <w:sz w:val="18"/>
          <w:szCs w:val="18"/>
          <w:color w:val="auto"/>
        </w:rPr>
      </w:pPr>
    </w:p>
    <w:p>
      <w:pPr>
        <w:ind w:left="1600" w:hanging="400"/>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63"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14.99%.</w:t>
      </w:r>
    </w:p>
    <w:p>
      <w:pPr>
        <w:spacing w:after="0" w:line="238" w:lineRule="exact"/>
        <w:rPr>
          <w:rFonts w:ascii="Times New Roman" w:cs="Times New Roman" w:eastAsia="Times New Roman" w:hAnsi="Times New Roman"/>
          <w:sz w:val="18"/>
          <w:szCs w:val="18"/>
          <w:color w:val="auto"/>
        </w:rPr>
      </w:pPr>
    </w:p>
    <w:p>
      <w:pPr>
        <w:ind w:left="1600" w:hanging="394"/>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257810</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-196215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-650875</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4" w:lineRule="auto"/>
        <w:tabs>
          <w:tab w:leader="none" w:pos="2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4,777,300.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6080" w:hanging="478"/>
        <w:spacing w:after="0" w:line="344" w:lineRule="auto"/>
        <w:tabs>
          <w:tab w:leader="none" w:pos="2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5340" w:hanging="503"/>
        <w:spacing w:after="0" w:line="344" w:lineRule="auto"/>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6,312,600.</w:t>
      </w:r>
    </w:p>
    <w:p>
      <w:pPr>
        <w:spacing w:after="0" w:line="122" w:lineRule="exact"/>
        <w:rPr>
          <w:rFonts w:ascii="Times New Roman" w:cs="Times New Roman" w:eastAsia="Times New Roman" w:hAnsi="Times New Roman"/>
          <w:sz w:val="18"/>
          <w:szCs w:val="18"/>
          <w:color w:val="auto"/>
        </w:rPr>
      </w:pPr>
    </w:p>
    <w:p>
      <w:pPr>
        <w:ind w:left="2220" w:right="5160" w:hanging="498"/>
        <w:spacing w:after="0" w:line="344" w:lineRule="auto"/>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-441960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§240.13d-3(d)(1).</w:t>
      </w:r>
    </w:p>
    <w:p>
      <w:pPr>
        <w:spacing w:after="0" w:line="200" w:lineRule="exact"/>
        <w:rPr>
          <w:sz w:val="20"/>
          <w:szCs w:val="20"/>
          <w:color w:val="auto"/>
        </w:rPr>
      </w:pPr>
    </w:p>
    <w:p>
      <w:pPr>
        <w:spacing w:after="0" w:line="2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Instruction: </w:t>
      </w:r>
      <w:r>
        <w:rPr>
          <w:rFonts w:ascii="Times New Roman" w:cs="Times New Roman" w:eastAsia="Times New Roman" w:hAnsi="Times New Roman"/>
          <w:sz w:val="18"/>
          <w:szCs w:val="18"/>
          <w:color w:val="auto"/>
        </w:rPr>
        <w:t>Dissolution of a group requires a response to this item.</w:t>
      </w:r>
    </w:p>
    <w:p>
      <w:pPr>
        <w:spacing w:after="0" w:line="200" w:lineRule="exact"/>
        <w:rPr>
          <w:sz w:val="20"/>
          <w:szCs w:val="20"/>
          <w:color w:val="auto"/>
        </w:rPr>
      </w:pPr>
    </w:p>
    <w:p>
      <w:pPr>
        <w:spacing w:after="0" w:line="2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4" w:name="page5"/>
    <w:bookmarkEnd w:id="4"/>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(a)</w:t>
        <w:tab/>
        <w:t>The following certification shall be included if the statement is filed pursuant to §240.13d-1(b):</w:t>
      </w:r>
    </w:p>
    <w:p>
      <w:pPr>
        <w:spacing w:after="0" w:line="225" w:lineRule="exact"/>
        <w:rPr>
          <w:sz w:val="20"/>
          <w:szCs w:val="20"/>
          <w:color w:val="auto"/>
        </w:rPr>
      </w:pPr>
    </w:p>
    <w:p>
      <w:pPr>
        <w:ind w:left="116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ind w:left="380"/>
        <w:spacing w:after="0"/>
        <w:tabs>
          <w:tab w:leader="none" w:pos="7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The following certification shall be included if the statement is filed pursuant to §240.13d-1(c):</w:t>
      </w:r>
    </w:p>
    <w:p>
      <w:pPr>
        <w:spacing w:after="0" w:line="225" w:lineRule="exact"/>
        <w:rPr>
          <w:sz w:val="20"/>
          <w:szCs w:val="20"/>
          <w:color w:val="auto"/>
        </w:rPr>
      </w:pPr>
    </w:p>
    <w:p>
      <w:pPr>
        <w:ind w:left="11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February 8, 2019</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Karen Chen</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Karen Chen, CCO</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§240.13d-7 for other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whom copies are to be sent.</w:t>
      </w: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8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2019-12-05T00:36:04Z</dcterms:created>
  <dcterms:modified xsi:type="dcterms:W3CDTF">2019-12-05T00:36:04Z</dcterms:modified>
</cp:coreProperties>
</file>