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June 12,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447"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0-23486</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4100" w:val="left"/>
          <w:tab w:leader="none" w:pos="63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On June 12, 2003, the Company issued a press release announcing the appointment of Robert M. Aiken Jr. to its Board of Directors. A copy of the press release is attached as Exhibit 99.1 hereto and incorporated herein by reference.</w:t>
      </w:r>
    </w:p>
    <w:p>
      <w:pPr>
        <w:spacing w:after="0" w:line="37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359" w:hanging="4"/>
        <w:spacing w:after="0" w:line="470" w:lineRule="auto"/>
        <w:tabs>
          <w:tab w:leader="none" w:pos="138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June 12,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12, 2003</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3440"/>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4" w:lineRule="exact"/>
        <w:rPr>
          <w:sz w:val="20"/>
          <w:szCs w:val="20"/>
          <w:color w:val="auto"/>
        </w:rPr>
      </w:pPr>
    </w:p>
    <w:p>
      <w:pPr>
        <w:ind w:left="344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William C. Kelly, Jr.,</w:t>
      </w:r>
    </w:p>
    <w:p>
      <w:pPr>
        <w:ind w:left="3860"/>
        <w:spacing w:after="0" w:line="238" w:lineRule="auto"/>
        <w:rPr>
          <w:sz w:val="20"/>
          <w:szCs w:val="20"/>
          <w:color w:val="auto"/>
        </w:rPr>
      </w:pPr>
      <w:r>
        <w:rPr>
          <w:rFonts w:ascii="Courier New" w:cs="Courier New" w:eastAsia="Courier New" w:hAnsi="Courier New"/>
          <w:sz w:val="18"/>
          <w:szCs w:val="18"/>
          <w:color w:val="auto"/>
        </w:rPr>
        <w:t>Secretary, Treasurer and Chief</w:t>
      </w:r>
    </w:p>
    <w:p>
      <w:pPr>
        <w:ind w:left="3860"/>
        <w:spacing w:after="0"/>
        <w:rPr>
          <w:sz w:val="20"/>
          <w:szCs w:val="20"/>
          <w:color w:val="auto"/>
        </w:rPr>
      </w:pPr>
      <w:r>
        <w:rPr>
          <w:rFonts w:ascii="Courier New" w:cs="Courier New" w:eastAsia="Courier New" w:hAnsi="Courier New"/>
          <w:sz w:val="18"/>
          <w:szCs w:val="18"/>
          <w:color w:val="auto"/>
        </w:rPr>
        <w:t>Administrative Officer</w:t>
      </w:r>
    </w:p>
    <w:p>
      <w:pPr>
        <w:sectPr>
          <w:pgSz w:w="11900" w:h="16838" w:orient="portrait"/>
          <w:cols w:equalWidth="0" w:num="1">
            <w:col w:w="9019"/>
          </w:cols>
          <w:pgMar w:left="1440" w:top="136"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RE: NN, Inc.</w:t>
      </w:r>
    </w:p>
    <w:p>
      <w:pPr>
        <w:ind w:left="602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6020"/>
        <w:spacing w:after="0"/>
        <w:tabs>
          <w:tab w:leader="none" w:pos="7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40" w:right="1440" w:bottom="525"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THE COMPANY:</w:t>
      </w:r>
    </w:p>
    <w:p>
      <w:pPr>
        <w:spacing w:after="0" w:line="238" w:lineRule="auto"/>
        <w:rPr>
          <w:sz w:val="20"/>
          <w:szCs w:val="20"/>
          <w:color w:val="auto"/>
        </w:rPr>
      </w:pPr>
      <w:r>
        <w:rPr>
          <w:rFonts w:ascii="Courier New" w:cs="Courier New" w:eastAsia="Courier New" w:hAnsi="Courier New"/>
          <w:sz w:val="18"/>
          <w:szCs w:val="18"/>
          <w:b w:val="1"/>
          <w:bCs w:val="1"/>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AT FRB|WEBER SHANDWICK</w:t>
      </w:r>
    </w:p>
    <w:p>
      <w:pPr>
        <w:ind w:left="200"/>
        <w:spacing w:after="0" w:line="238" w:lineRule="auto"/>
        <w:rPr>
          <w:sz w:val="20"/>
          <w:szCs w:val="20"/>
          <w:color w:val="auto"/>
        </w:rPr>
      </w:pPr>
      <w:r>
        <w:rPr>
          <w:rFonts w:ascii="Courier New" w:cs="Courier New" w:eastAsia="Courier New" w:hAnsi="Courier New"/>
          <w:sz w:val="18"/>
          <w:szCs w:val="18"/>
          <w:b w:val="1"/>
          <w:bCs w:val="1"/>
          <w:color w:val="auto"/>
        </w:rPr>
        <w:t>----------------------</w:t>
      </w:r>
    </w:p>
    <w:p>
      <w:pPr>
        <w:spacing w:after="0"/>
        <w:tabs>
          <w:tab w:leader="none" w:pos="1980" w:val="left"/>
        </w:tabs>
        <w:rPr>
          <w:sz w:val="20"/>
          <w:szCs w:val="20"/>
          <w:color w:val="auto"/>
        </w:rPr>
      </w:pPr>
      <w:r>
        <w:rPr>
          <w:rFonts w:ascii="Courier New" w:cs="Courier New" w:eastAsia="Courier New" w:hAnsi="Courier New"/>
          <w:sz w:val="18"/>
          <w:szCs w:val="18"/>
          <w:color w:val="auto"/>
        </w:rPr>
        <w:t>Kerry Thalheim</w:t>
      </w:r>
      <w:r>
        <w:rPr>
          <w:sz w:val="20"/>
          <w:szCs w:val="20"/>
          <w:color w:val="auto"/>
        </w:rPr>
        <w:tab/>
      </w:r>
      <w:r>
        <w:rPr>
          <w:rFonts w:ascii="Courier New" w:cs="Courier New" w:eastAsia="Courier New" w:hAnsi="Courier New"/>
          <w:sz w:val="16"/>
          <w:szCs w:val="16"/>
          <w:color w:val="auto"/>
        </w:rPr>
        <w:t>Susan Garland</w:t>
      </w:r>
    </w:p>
    <w:p>
      <w:pPr>
        <w:spacing w:after="0"/>
        <w:tabs>
          <w:tab w:leader="none" w:pos="19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980" w:val="left"/>
        </w:tabs>
        <w:rPr>
          <w:sz w:val="20"/>
          <w:szCs w:val="20"/>
          <w:color w:val="auto"/>
        </w:rPr>
      </w:pPr>
      <w:r>
        <w:rPr>
          <w:rFonts w:ascii="Courier New" w:cs="Courier New" w:eastAsia="Courier New" w:hAnsi="Courier New"/>
          <w:sz w:val="18"/>
          <w:szCs w:val="18"/>
          <w:color w:val="auto"/>
        </w:rPr>
        <w:t>212-445-8437</w:t>
      </w:r>
      <w:r>
        <w:rPr>
          <w:sz w:val="20"/>
          <w:szCs w:val="20"/>
          <w:color w:val="auto"/>
        </w:rPr>
        <w:tab/>
      </w:r>
      <w:r>
        <w:rPr>
          <w:rFonts w:ascii="Courier New" w:cs="Courier New" w:eastAsia="Courier New" w:hAnsi="Courier New"/>
          <w:sz w:val="16"/>
          <w:szCs w:val="16"/>
          <w:color w:val="auto"/>
        </w:rPr>
        <w:t>212-445-8458</w:t>
      </w:r>
    </w:p>
    <w:p>
      <w:pPr>
        <w:spacing w:after="0" w:line="200" w:lineRule="exact"/>
        <w:rPr>
          <w:sz w:val="20"/>
          <w:szCs w:val="20"/>
          <w:color w:val="auto"/>
        </w:rPr>
      </w:pPr>
    </w:p>
    <w:p>
      <w:pPr>
        <w:sectPr>
          <w:pgSz w:w="11900" w:h="16838" w:orient="portrait"/>
          <w:cols w:equalWidth="0" w:num="2">
            <w:col w:w="4320" w:space="640"/>
            <w:col w:w="5259"/>
          </w:cols>
          <w:pgMar w:left="240" w:top="1440" w:right="1440" w:bottom="525"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June 12, 2003</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APPOINTS ROBERT M. AIKEN JR. TO BOARD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Tennessee, June 12, 2003 </w:t>
      </w:r>
      <w:r>
        <w:rPr>
          <w:rFonts w:ascii="Courier New" w:cs="Courier New" w:eastAsia="Courier New" w:hAnsi="Courier New"/>
          <w:sz w:val="18"/>
          <w:szCs w:val="18"/>
          <w:color w:val="auto"/>
        </w:rPr>
        <w:t>- NN, Inc. (Nasdaq: NNBR) today announced</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the appointment of Robert M. Aiken Jr. to its Board of Directors, effective June 11, 2003. Mr. Aiken was most recently the Executive Vice President and Chief Financial Officer of Sunoco Inc. (Sun Oil Co.), a position he held until his retirement in July of 1998. In addition to his Board duties, Mr. Aiken will assume the role of Audit Committee Chairman.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Roderick R. Baty, Chairman of the Board and Chief Executive Officer said, "We are pleased that Bob is joining NN, Inc.'s Board of Directors. His background includes a wealth of management and financial experience. We look forward to his ongoing input and counsel as a Board member, as well as his future contributions in the important role as Chair of our Audit Committee."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Prior to joining Sunoco in 1970, Mr. Aiken held financial positions with Hershey Foods and Coopers &amp; Lybrand. During his tenure at Sunoco, Mr. Aiken held various financial positions within the organization. He was named Senior Vice President and Chief Financial Officer in 1990 and Executive Vice President in 1996. He held this position, which included operational responsibilities, until his retirement in 1998. Mr. Aiken is a graduate of the University of Pennsylvania and earned a Master of Science in Management at Stanford University. He is a member of the Pennsylvania and American Institutes of Certified Public Accountants. Currently, Mr. Aiken serves as a trustee of Bryn Mawr College and is Chairman of the Board of eGames, a public company.</w:t>
      </w:r>
    </w:p>
    <w:p>
      <w:pPr>
        <w:spacing w:after="0" w:line="386"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manufacturers a variety of other plastic' components. NN, Inc. had sales of US $193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With the exception of the historical information contained in the release, the matters described herein contain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sectPr>
      <w:pgSz w:w="11900" w:h="16838" w:orient="portrait"/>
      <w:cols w:equalWidth="0" w:num="1">
        <w:col w:w="10219"/>
      </w:cols>
      <w:pgMar w:left="240" w:top="1440" w:right="1440" w:bottom="5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2019-12-12T00:02:48Z</dcterms:created>
  <dcterms:modified xsi:type="dcterms:W3CDTF">2019-12-12T00:02:48Z</dcterms:modified>
</cp:coreProperties>
</file>