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ind w:left="3840" w:right="2540" w:hanging="3832"/>
        <w:spacing w:after="0" w:line="563" w:lineRule="auto"/>
        <w:tabs>
          <w:tab w:leader="none" w:pos="18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2006</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o</w:t>
      </w:r>
      <w:r>
        <w:rPr>
          <w:rFonts w:ascii="Arial" w:cs="Arial" w:eastAsia="Arial" w:hAnsi="Arial"/>
          <w:sz w:val="18"/>
          <w:szCs w:val="18"/>
          <w:color w:val="auto"/>
        </w:rPr>
        <w:t>TRANSITION REPORT PURSUANT TO SECTION 13 OR 15(d) OF THE SECURITIES EXCHANGE ACT OF 1934</w:t>
      </w:r>
    </w:p>
    <w:p>
      <w:pPr>
        <w:spacing w:after="0" w:line="27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_________ to _________</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90" w:lineRule="exact"/>
        <w:rPr>
          <w:sz w:val="24"/>
          <w:szCs w:val="24"/>
          <w:color w:val="auto"/>
        </w:rPr>
      </w:pPr>
    </w:p>
    <w:tbl>
      <w:tblPr>
        <w:tblLayout w:type="fixed"/>
        <w:tblInd w:w="860" w:type="dxa"/>
        <w:tblCellMar>
          <w:top w:w="0" w:type="dxa"/>
          <w:left w:w="0" w:type="dxa"/>
          <w:bottom w:w="0" w:type="dxa"/>
          <w:right w:w="0" w:type="dxa"/>
        </w:tblCellMar>
      </w:tblPr>
      <w:tr>
        <w:trPr>
          <w:trHeight w:val="228"/>
        </w:trPr>
        <w:tc>
          <w:tcPr>
            <w:tcW w:w="5000" w:type="dxa"/>
            <w:vAlign w:val="bottom"/>
          </w:tcPr>
          <w:p>
            <w:pPr>
              <w:jc w:val="center"/>
              <w:ind w:right="611"/>
              <w:spacing w:after="0"/>
              <w:rPr>
                <w:sz w:val="20"/>
                <w:szCs w:val="20"/>
                <w:color w:val="auto"/>
              </w:rPr>
            </w:pPr>
            <w:r>
              <w:rPr>
                <w:rFonts w:ascii="Arial" w:cs="Arial" w:eastAsia="Arial" w:hAnsi="Arial"/>
                <w:sz w:val="18"/>
                <w:szCs w:val="18"/>
                <w:b w:val="1"/>
                <w:bCs w:val="1"/>
                <w:color w:val="auto"/>
                <w:w w:val="88"/>
              </w:rPr>
              <w:t>Delaware</w:t>
            </w:r>
          </w:p>
        </w:tc>
        <w:tc>
          <w:tcPr>
            <w:tcW w:w="4540" w:type="dxa"/>
            <w:vAlign w:val="bottom"/>
          </w:tcPr>
          <w:p>
            <w:pPr>
              <w:jc w:val="right"/>
              <w:ind w:right="1391"/>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45"/>
        </w:trPr>
        <w:tc>
          <w:tcPr>
            <w:tcW w:w="5000" w:type="dxa"/>
            <w:vAlign w:val="bottom"/>
          </w:tcPr>
          <w:p>
            <w:pPr>
              <w:jc w:val="center"/>
              <w:ind w:right="631"/>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540" w:type="dxa"/>
            <w:vAlign w:val="bottom"/>
          </w:tcPr>
          <w:p>
            <w:pPr>
              <w:jc w:val="right"/>
              <w:ind w:right="311"/>
              <w:spacing w:after="0"/>
              <w:rPr>
                <w:sz w:val="20"/>
                <w:szCs w:val="20"/>
                <w:color w:val="auto"/>
              </w:rPr>
            </w:pPr>
            <w:r>
              <w:rPr>
                <w:rFonts w:ascii="Arial" w:cs="Arial" w:eastAsia="Arial" w:hAnsi="Arial"/>
                <w:sz w:val="18"/>
                <w:szCs w:val="18"/>
                <w:color w:val="auto"/>
              </w:rPr>
              <w:t>(I.R.S. Employer Identification Number)</w:t>
            </w:r>
          </w:p>
        </w:tc>
        <w:tc>
          <w:tcPr>
            <w:tcW w:w="0" w:type="dxa"/>
            <w:vAlign w:val="bottom"/>
          </w:tcPr>
          <w:p>
            <w:pPr>
              <w:spacing w:after="0"/>
              <w:rPr>
                <w:sz w:val="1"/>
                <w:szCs w:val="1"/>
                <w:color w:val="auto"/>
              </w:rPr>
            </w:pPr>
          </w:p>
        </w:tc>
      </w:tr>
      <w:tr>
        <w:trPr>
          <w:trHeight w:val="468"/>
        </w:trPr>
        <w:tc>
          <w:tcPr>
            <w:tcW w:w="5000" w:type="dxa"/>
            <w:vAlign w:val="bottom"/>
          </w:tcPr>
          <w:p>
            <w:pPr>
              <w:jc w:val="center"/>
              <w:ind w:right="611"/>
              <w:spacing w:after="0"/>
              <w:rPr>
                <w:sz w:val="20"/>
                <w:szCs w:val="20"/>
                <w:color w:val="auto"/>
              </w:rPr>
            </w:pPr>
            <w:r>
              <w:rPr>
                <w:rFonts w:ascii="Arial" w:cs="Arial" w:eastAsia="Arial" w:hAnsi="Arial"/>
                <w:sz w:val="18"/>
                <w:szCs w:val="18"/>
                <w:b w:val="1"/>
                <w:bCs w:val="1"/>
                <w:color w:val="auto"/>
                <w:w w:val="91"/>
              </w:rPr>
              <w:t>2000 Waters Edge Drive</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center"/>
              <w:ind w:right="691"/>
              <w:spacing w:after="0"/>
              <w:rPr>
                <w:sz w:val="20"/>
                <w:szCs w:val="20"/>
                <w:color w:val="auto"/>
              </w:rPr>
            </w:pPr>
            <w:r>
              <w:rPr>
                <w:rFonts w:ascii="Arial" w:cs="Arial" w:eastAsia="Arial" w:hAnsi="Arial"/>
                <w:sz w:val="18"/>
                <w:szCs w:val="18"/>
                <w:b w:val="1"/>
                <w:bCs w:val="1"/>
                <w:color w:val="auto"/>
                <w:w w:val="91"/>
              </w:rPr>
              <w:t>Building C, Suite 12</w:t>
            </w:r>
          </w:p>
        </w:tc>
        <w:tc>
          <w:tcPr>
            <w:tcW w:w="4540" w:type="dxa"/>
            <w:vAlign w:val="bottom"/>
            <w:vMerge w:val="restart"/>
          </w:tcPr>
          <w:p>
            <w:pPr>
              <w:jc w:val="right"/>
              <w:ind w:right="1291"/>
              <w:spacing w:after="0"/>
              <w:rPr>
                <w:sz w:val="20"/>
                <w:szCs w:val="20"/>
                <w:color w:val="auto"/>
              </w:rPr>
            </w:pPr>
            <w:r>
              <w:rPr>
                <w:rFonts w:ascii="Arial" w:cs="Arial" w:eastAsia="Arial" w:hAnsi="Arial"/>
                <w:sz w:val="18"/>
                <w:szCs w:val="18"/>
                <w:b w:val="1"/>
                <w:bCs w:val="1"/>
                <w:color w:val="auto"/>
              </w:rPr>
              <w:t>(423) 743-9151</w:t>
            </w:r>
          </w:p>
        </w:tc>
        <w:tc>
          <w:tcPr>
            <w:tcW w:w="0" w:type="dxa"/>
            <w:vAlign w:val="bottom"/>
          </w:tcPr>
          <w:p>
            <w:pPr>
              <w:spacing w:after="0"/>
              <w:rPr>
                <w:sz w:val="1"/>
                <w:szCs w:val="1"/>
                <w:color w:val="auto"/>
              </w:rPr>
            </w:pPr>
          </w:p>
        </w:tc>
      </w:tr>
      <w:tr>
        <w:trPr>
          <w:trHeight w:val="124"/>
        </w:trPr>
        <w:tc>
          <w:tcPr>
            <w:tcW w:w="5000" w:type="dxa"/>
            <w:vAlign w:val="bottom"/>
            <w:vMerge w:val="restart"/>
          </w:tcPr>
          <w:p>
            <w:pPr>
              <w:jc w:val="center"/>
              <w:ind w:right="671"/>
              <w:spacing w:after="0"/>
              <w:rPr>
                <w:sz w:val="20"/>
                <w:szCs w:val="20"/>
                <w:color w:val="auto"/>
              </w:rPr>
            </w:pPr>
            <w:r>
              <w:rPr>
                <w:rFonts w:ascii="Arial" w:cs="Arial" w:eastAsia="Arial" w:hAnsi="Arial"/>
                <w:sz w:val="18"/>
                <w:szCs w:val="18"/>
                <w:b w:val="1"/>
                <w:bCs w:val="1"/>
                <w:color w:val="auto"/>
                <w:w w:val="86"/>
              </w:rPr>
              <w:t>Johnson City, Tennessee 37604</w:t>
            </w: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000" w:type="dxa"/>
            <w:vAlign w:val="bottom"/>
            <w:vMerge w:val="continue"/>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000" w:type="dxa"/>
            <w:vAlign w:val="bottom"/>
          </w:tcPr>
          <w:p>
            <w:pPr>
              <w:jc w:val="center"/>
              <w:ind w:right="631"/>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4540" w:type="dxa"/>
            <w:vAlign w:val="bottom"/>
          </w:tcPr>
          <w:p>
            <w:pPr>
              <w:jc w:val="center"/>
              <w:ind w:left="631"/>
              <w:spacing w:after="0"/>
              <w:rPr>
                <w:sz w:val="20"/>
                <w:szCs w:val="20"/>
                <w:color w:val="auto"/>
              </w:rPr>
            </w:pPr>
            <w:r>
              <w:rPr>
                <w:rFonts w:ascii="Arial" w:cs="Arial" w:eastAsia="Arial" w:hAnsi="Arial"/>
                <w:sz w:val="18"/>
                <w:szCs w:val="18"/>
                <w:color w:val="auto"/>
                <w:w w:val="90"/>
              </w:rPr>
              <w:t>(Registrant’s telephone number, including area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ind w:right="460"/>
        <w:spacing w:after="0" w:line="30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460" w:val="left"/>
        </w:tabs>
        <w:rPr>
          <w:sz w:val="20"/>
          <w:szCs w:val="20"/>
          <w:color w:val="auto"/>
        </w:rPr>
      </w:pPr>
      <w:r>
        <w:rPr>
          <w:rFonts w:ascii="Arial" w:cs="Arial" w:eastAsia="Arial" w:hAnsi="Arial"/>
          <w:sz w:val="18"/>
          <w:szCs w:val="18"/>
          <w:color w:val="auto"/>
        </w:rPr>
        <w:t>requirements for the past 90 days. Yes x</w:t>
      </w:r>
      <w:r>
        <w:rPr>
          <w:sz w:val="20"/>
          <w:szCs w:val="20"/>
          <w:color w:val="auto"/>
        </w:rPr>
        <w:tab/>
      </w:r>
      <w:r>
        <w:rPr>
          <w:rFonts w:ascii="Arial" w:cs="Arial" w:eastAsia="Arial" w:hAnsi="Arial"/>
          <w:sz w:val="16"/>
          <w:szCs w:val="16"/>
          <w:color w:val="auto"/>
        </w:rPr>
        <w:t>No o</w:t>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w:t>
      </w:r>
    </w:p>
    <w:p>
      <w:pPr>
        <w:sectPr>
          <w:pgSz w:w="11900" w:h="16838" w:orient="portrait"/>
          <w:cols w:equalWidth="0" w:num="1">
            <w:col w:w="11400"/>
          </w:cols>
          <w:pgMar w:left="240" w:top="811" w:right="259" w:bottom="1440" w:gutter="0" w:footer="0" w:header="0"/>
        </w:sectPr>
      </w:pP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in Rule 12b-2 of the Exchange Act. (Check one):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7"/>
          <w:szCs w:val="17"/>
          <w:color w:val="auto"/>
        </w:rPr>
        <w:t>Non-</w:t>
      </w:r>
    </w:p>
    <w:p>
      <w:pPr>
        <w:spacing w:after="0" w:line="35" w:lineRule="exact"/>
        <w:rPr>
          <w:sz w:val="24"/>
          <w:szCs w:val="24"/>
          <w:color w:val="auto"/>
        </w:rPr>
      </w:pPr>
    </w:p>
    <w:p>
      <w:pPr>
        <w:sectPr>
          <w:pgSz w:w="11900" w:h="16838" w:orient="portrait"/>
          <w:cols w:equalWidth="0" w:num="4">
            <w:col w:w="5220" w:space="140"/>
            <w:col w:w="2100" w:space="720"/>
            <w:col w:w="1700" w:space="720"/>
            <w:col w:w="800"/>
          </w:cols>
          <w:pgMar w:left="240" w:top="811" w:right="259" w:bottom="1440" w:gutter="0" w:footer="0" w:header="0"/>
          <w:type w:val="continuous"/>
        </w:sectPr>
      </w:pPr>
    </w:p>
    <w:p>
      <w:pPr>
        <w:spacing w:after="0"/>
        <w:rPr>
          <w:sz w:val="20"/>
          <w:szCs w:val="20"/>
          <w:color w:val="auto"/>
        </w:rPr>
      </w:pPr>
      <w:r>
        <w:rPr>
          <w:rFonts w:ascii="Arial" w:cs="Arial" w:eastAsia="Arial" w:hAnsi="Arial"/>
          <w:sz w:val="16"/>
          <w:szCs w:val="16"/>
          <w:color w:val="auto"/>
        </w:rPr>
        <w:t>accelerated filer o</w:t>
      </w:r>
    </w:p>
    <w:p>
      <w:pPr>
        <w:sectPr>
          <w:pgSz w:w="11900" w:h="16838" w:orient="portrait"/>
          <w:cols w:equalWidth="0" w:num="1">
            <w:col w:w="11400"/>
          </w:cols>
          <w:pgMar w:left="240" w:top="811" w:right="259" w:bottom="1440" w:gutter="0" w:footer="0" w:header="0"/>
          <w:type w:val="continuous"/>
        </w:sectPr>
      </w:pP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620" w:space="540"/>
            <w:col w:w="2240"/>
          </w:cols>
          <w:pgMar w:left="240" w:top="811" w:right="259" w:bottom="1440" w:gutter="0" w:footer="0" w:header="0"/>
          <w:type w:val="continuous"/>
        </w:sectPr>
      </w:pP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6, 2006 there were 17,091,596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790575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11" w:right="259" w:bottom="1440" w:gutter="0" w:footer="0" w:header="0"/>
          <w:type w:val="continuous"/>
        </w:sectPr>
      </w:pPr>
    </w:p>
    <w:bookmarkStart w:id="1" w:name="page2"/>
    <w:bookmarkEnd w:id="1"/>
    <w:p>
      <w:pPr>
        <w:jc w:val="center"/>
        <w:ind w:left="800"/>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u w:val="single" w:color="auto"/>
          <w:color w:val="auto"/>
        </w:rPr>
        <w:t>No.</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6"/>
          <w:szCs w:val="16"/>
          <w:b w:val="1"/>
          <w:bCs w:val="1"/>
          <w:color w:val="auto"/>
        </w:rPr>
        <w:t>Financial Information</w:t>
      </w:r>
    </w:p>
    <w:p>
      <w:pPr>
        <w:spacing w:after="0" w:line="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35" w:lineRule="exact"/>
        <w:rPr>
          <w:sz w:val="20"/>
          <w:szCs w:val="20"/>
          <w:color w:val="auto"/>
        </w:rPr>
      </w:pPr>
    </w:p>
    <w:p>
      <w:pPr>
        <w:ind w:left="1000" w:right="120" w:hanging="161"/>
        <w:spacing w:after="0" w:line="251" w:lineRule="auto"/>
        <w:rPr>
          <w:sz w:val="20"/>
          <w:szCs w:val="20"/>
          <w:color w:val="auto"/>
        </w:rPr>
      </w:pPr>
      <w:r>
        <w:rPr>
          <w:rFonts w:ascii="Arial" w:cs="Arial" w:eastAsia="Arial" w:hAnsi="Arial"/>
          <w:sz w:val="18"/>
          <w:szCs w:val="18"/>
          <w:color w:val="auto"/>
        </w:rPr>
        <w:t>Consolidated Statements of Income and Comprehensive Income for the three and nine months ended September 30, 2006 and 2005 (unaudited)</w:t>
      </w:r>
    </w:p>
    <w:p>
      <w:pPr>
        <w:spacing w:after="0" w:line="1" w:lineRule="exact"/>
        <w:rPr>
          <w:sz w:val="20"/>
          <w:szCs w:val="20"/>
          <w:color w:val="auto"/>
        </w:rPr>
      </w:pPr>
    </w:p>
    <w:p>
      <w:pPr>
        <w:ind w:left="840" w:right="340"/>
        <w:spacing w:after="0" w:line="260" w:lineRule="auto"/>
        <w:rPr>
          <w:sz w:val="20"/>
          <w:szCs w:val="20"/>
          <w:color w:val="auto"/>
        </w:rPr>
      </w:pPr>
      <w:r>
        <w:rPr>
          <w:rFonts w:ascii="Arial" w:cs="Arial" w:eastAsia="Arial" w:hAnsi="Arial"/>
          <w:sz w:val="18"/>
          <w:szCs w:val="18"/>
          <w:color w:val="auto"/>
        </w:rPr>
        <w:t>Condensed Consolidated Balance Sheets at September 30, 2006 and December 31, 2005 (unaudited) Consolidated Statements of Changes in Stockholders’ Equity for the nine months ended September 30, 2006 and 2005 (unaudited)</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Consolidated Statements of Cash Flows for the nine months ended September 30, 2006 and 2005 (unaudited)</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Notes to Consolidated Financial Statements (unaudited)</w:t>
      </w:r>
    </w:p>
    <w:p>
      <w:pPr>
        <w:spacing w:after="0" w:line="36" w:lineRule="exact"/>
        <w:rPr>
          <w:sz w:val="20"/>
          <w:szCs w:val="20"/>
          <w:color w:val="auto"/>
        </w:rPr>
      </w:pPr>
    </w:p>
    <w:p>
      <w:pPr>
        <w:ind w:right="2000"/>
        <w:spacing w:after="0" w:line="285" w:lineRule="auto"/>
        <w:rPr>
          <w:sz w:val="20"/>
          <w:szCs w:val="20"/>
          <w:color w:val="auto"/>
        </w:rPr>
      </w:pPr>
      <w:r>
        <w:rPr>
          <w:rFonts w:ascii="Arial" w:cs="Arial" w:eastAsia="Arial" w:hAnsi="Arial"/>
          <w:sz w:val="18"/>
          <w:szCs w:val="18"/>
          <w:color w:val="auto"/>
        </w:rPr>
        <w:t>Item 2. Management’s Discussion and Analysis of Financial Condition and Results of Operations Item 3. Quantitative and Qualitative Disclosures about Market Risk</w:t>
      </w:r>
    </w:p>
    <w:p>
      <w:pPr>
        <w:spacing w:after="0" w:line="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6"/>
          <w:szCs w:val="16"/>
          <w:b w:val="1"/>
          <w:bCs w:val="1"/>
          <w:color w:val="auto"/>
        </w:rPr>
        <w:t>Other Information</w:t>
      </w:r>
    </w:p>
    <w:p>
      <w:pPr>
        <w:spacing w:after="0" w:line="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36" w:lineRule="exact"/>
        <w:rPr>
          <w:sz w:val="20"/>
          <w:szCs w:val="20"/>
          <w:color w:val="auto"/>
        </w:rPr>
      </w:pPr>
    </w:p>
    <w:p>
      <w:pPr>
        <w:ind w:right="4120"/>
        <w:spacing w:after="0" w:line="281" w:lineRule="auto"/>
        <w:rPr>
          <w:sz w:val="20"/>
          <w:szCs w:val="20"/>
          <w:color w:val="auto"/>
        </w:rPr>
      </w:pPr>
      <w:r>
        <w:rPr>
          <w:rFonts w:ascii="Arial" w:cs="Arial" w:eastAsia="Arial" w:hAnsi="Arial"/>
          <w:sz w:val="18"/>
          <w:szCs w:val="18"/>
          <w:color w:val="auto"/>
        </w:rPr>
        <w:t>Item 2. Unregistered Sales of Equity Securities and Use of Proceeds Item 3. Defaults Upon Senior Securities</w:t>
      </w:r>
    </w:p>
    <w:p>
      <w:pPr>
        <w:spacing w:after="0" w:line="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8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9300" w:space="720"/>
            <w:col w:w="700"/>
          </w:cols>
          <w:pgMar w:left="880" w:top="639"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9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340" w:type="dxa"/>
            <w:vAlign w:val="bottom"/>
            <w:gridSpan w:val="2"/>
          </w:tcPr>
          <w:p>
            <w:pPr>
              <w:spacing w:after="0"/>
              <w:rPr>
                <w:sz w:val="20"/>
                <w:szCs w:val="20"/>
                <w:color w:val="auto"/>
              </w:rPr>
            </w:pPr>
            <w:r>
              <w:rPr>
                <w:rFonts w:ascii="Arial" w:cs="Arial" w:eastAsia="Arial" w:hAnsi="Arial"/>
                <w:sz w:val="18"/>
                <w:szCs w:val="18"/>
                <w:color w:val="auto"/>
              </w:rPr>
              <w:t>(Thousands of Dollars, Except Per Share Data)</w:t>
            </w:r>
          </w:p>
        </w:tc>
        <w:tc>
          <w:tcPr>
            <w:tcW w:w="16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w w:val="84"/>
              </w:rPr>
              <w:t>2005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$ 74,870</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$ 74,998</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$ 244,441</w:t>
            </w:r>
          </w:p>
        </w:tc>
        <w:tc>
          <w:tcPr>
            <w:tcW w:w="3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$ 245,500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and amortization shown separately below)</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58,693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58,177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189,597</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191,848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3,998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12,779</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4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40" w:type="dxa"/>
            <w:vAlign w:val="bottom"/>
            <w:tcBorders>
              <w:top w:val="single" w:sz="8" w:color="CCEEFF"/>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20,869</w:t>
            </w:r>
          </w:p>
        </w:tc>
        <w:tc>
          <w:tcPr>
            <w:tcW w:w="38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2,923</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provision for income taxes</w:t>
            </w:r>
          </w:p>
        </w:tc>
        <w:tc>
          <w:tcPr>
            <w:tcW w:w="50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4,441</w:t>
            </w: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18,256</w:t>
            </w:r>
          </w:p>
        </w:tc>
        <w:tc>
          <w:tcPr>
            <w:tcW w:w="3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4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240" w:type="dxa"/>
            <w:vAlign w:val="bottom"/>
            <w:tcBorders>
              <w:top w:val="single" w:sz="8" w:color="CCEEFF"/>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11,348</w:t>
            </w:r>
          </w:p>
        </w:tc>
        <w:tc>
          <w:tcPr>
            <w:tcW w:w="38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loss on securities,</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5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3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20" w:type="dxa"/>
            <w:vAlign w:val="bottom"/>
            <w:gridSpan w:val="2"/>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$1,766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$ 2,097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$ 18,125</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16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2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38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$ 0.66</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$ 0.58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17,147</w:t>
            </w:r>
          </w:p>
        </w:tc>
        <w:tc>
          <w:tcPr>
            <w:tcW w:w="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2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38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$ 0.65</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$ 0.57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17,522</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5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$ 0.08</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$ 0.08</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$ 0.24</w:t>
            </w:r>
          </w:p>
        </w:tc>
        <w:tc>
          <w:tcPr>
            <w:tcW w:w="3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49"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20"/>
                <w:szCs w:val="20"/>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280" w:type="dxa"/>
            <w:vAlign w:val="bottom"/>
            <w:gridSpan w:val="2"/>
          </w:tcPr>
          <w:p>
            <w:pPr>
              <w:spacing w:after="0"/>
              <w:rPr>
                <w:sz w:val="20"/>
                <w:szCs w:val="20"/>
                <w:color w:val="auto"/>
              </w:rPr>
            </w:pPr>
            <w:r>
              <w:rPr>
                <w:rFonts w:ascii="Arial" w:cs="Arial" w:eastAsia="Arial" w:hAnsi="Arial"/>
                <w:sz w:val="18"/>
                <w:szCs w:val="18"/>
                <w:color w:val="auto"/>
              </w:rPr>
              <w:t>(Thousands of Dollars)</w:t>
            </w: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2006</w:t>
            </w:r>
          </w:p>
        </w:tc>
        <w:tc>
          <w:tcPr>
            <w:tcW w:w="22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assets:</w:t>
            </w: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$ 18,502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rPr>
              <w:t>Accounts receivable, net of allowance for doubtful accounts of</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49,811</w:t>
            </w:r>
          </w:p>
        </w:tc>
        <w:tc>
          <w:tcPr>
            <w:tcW w:w="2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47,297</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$677 and $1,119, respectively</w:t>
            </w: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37,244</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receivable</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115,286</w:t>
            </w:r>
          </w:p>
        </w:tc>
        <w:tc>
          <w:tcPr>
            <w:tcW w:w="540" w:type="dxa"/>
            <w:vAlign w:val="bottom"/>
            <w:tcBorders>
              <w:top w:val="single" w:sz="8" w:color="CCEEFF"/>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105,950</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tcPr>
          <w:p>
            <w:pPr>
              <w:jc w:val="right"/>
              <w:spacing w:after="0"/>
              <w:rPr>
                <w:sz w:val="20"/>
                <w:szCs w:val="20"/>
                <w:color w:val="auto"/>
              </w:rPr>
            </w:pPr>
            <w:r>
              <w:rPr>
                <w:rFonts w:ascii="Arial" w:cs="Arial" w:eastAsia="Arial" w:hAnsi="Arial"/>
                <w:sz w:val="18"/>
                <w:szCs w:val="18"/>
                <w:color w:val="auto"/>
              </w:rPr>
              <w:t>122,853</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118,829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intangibles, net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2,067</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$ 285,275</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$ 269,655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w:t>
            </w: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$ 39,424</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salaries and wages</w:t>
            </w:r>
          </w:p>
        </w:tc>
        <w:tc>
          <w:tcPr>
            <w:tcW w:w="1720" w:type="dxa"/>
            <w:vAlign w:val="bottom"/>
          </w:tcPr>
          <w:p>
            <w:pPr>
              <w:jc w:val="right"/>
              <w:spacing w:after="0"/>
              <w:rPr>
                <w:sz w:val="20"/>
                <w:szCs w:val="20"/>
                <w:color w:val="auto"/>
              </w:rPr>
            </w:pPr>
            <w:r>
              <w:rPr>
                <w:rFonts w:ascii="Arial" w:cs="Arial" w:eastAsia="Arial" w:hAnsi="Arial"/>
                <w:sz w:val="18"/>
                <w:szCs w:val="18"/>
                <w:color w:val="auto"/>
              </w:rPr>
              <w:t>12,782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720" w:type="dxa"/>
            <w:vAlign w:val="bottom"/>
          </w:tcPr>
          <w:p>
            <w:pPr>
              <w:jc w:val="right"/>
              <w:spacing w:after="0"/>
              <w:rPr>
                <w:sz w:val="20"/>
                <w:szCs w:val="20"/>
                <w:color w:val="auto"/>
              </w:rPr>
            </w:pPr>
            <w:r>
              <w:rPr>
                <w:rFonts w:ascii="Arial" w:cs="Arial" w:eastAsia="Arial" w:hAnsi="Arial"/>
                <w:sz w:val="18"/>
                <w:szCs w:val="18"/>
                <w:color w:val="auto"/>
              </w:rPr>
              <w:t>243</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62,292</w:t>
            </w:r>
          </w:p>
        </w:tc>
        <w:tc>
          <w:tcPr>
            <w:tcW w:w="540" w:type="dxa"/>
            <w:vAlign w:val="bottom"/>
            <w:tcBorders>
              <w:top w:val="single" w:sz="8" w:color="CCEEFF"/>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Non-current deferred tax liability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14,677</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pension and other</w:t>
            </w:r>
          </w:p>
        </w:tc>
        <w:tc>
          <w:tcPr>
            <w:tcW w:w="1720" w:type="dxa"/>
            <w:vAlign w:val="bottom"/>
          </w:tcPr>
          <w:p>
            <w:pPr>
              <w:jc w:val="right"/>
              <w:spacing w:after="0"/>
              <w:rPr>
                <w:sz w:val="20"/>
                <w:szCs w:val="20"/>
                <w:color w:val="auto"/>
              </w:rPr>
            </w:pPr>
            <w:r>
              <w:rPr>
                <w:rFonts w:ascii="Arial" w:cs="Arial" w:eastAsia="Arial" w:hAnsi="Arial"/>
                <w:sz w:val="18"/>
                <w:szCs w:val="18"/>
                <w:color w:val="auto"/>
              </w:rPr>
              <w:t>17,234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26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153,581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128,572</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116,074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260" w:type="dxa"/>
            <w:vAlign w:val="bottom"/>
            <w:tcBorders>
              <w:top w:val="single" w:sz="8" w:color="CCEEFF"/>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$ 285,275</w:t>
            </w:r>
          </w:p>
        </w:tc>
        <w:tc>
          <w:tcPr>
            <w:tcW w:w="5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$ 269,655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0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9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paid in</w:t>
            </w:r>
          </w:p>
        </w:tc>
        <w:tc>
          <w:tcPr>
            <w:tcW w:w="9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capital</w:t>
            </w:r>
          </w:p>
        </w:tc>
        <w:tc>
          <w:tcPr>
            <w:tcW w:w="9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of</w:t>
            </w: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Par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paid in</w:t>
            </w: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unearned</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Retained</w:t>
            </w: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Comprehensive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 of Dollars and Shares)</w:t>
            </w: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Earnings</w:t>
            </w: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5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16,777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$ 53,423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$ 45,676</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$ 15,873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$ 115,140</w:t>
            </w:r>
          </w:p>
        </w:tc>
        <w:tc>
          <w:tcPr>
            <w:tcW w:w="0" w:type="dxa"/>
            <w:vAlign w:val="bottom"/>
          </w:tcPr>
          <w:p>
            <w:pPr>
              <w:spacing w:after="0"/>
              <w:rPr>
                <w:sz w:val="1"/>
                <w:szCs w:val="1"/>
                <w:color w:val="auto"/>
              </w:rPr>
            </w:pPr>
          </w:p>
        </w:tc>
      </w:tr>
      <w:tr>
        <w:trPr>
          <w:trHeight w:val="243"/>
        </w:trPr>
        <w:tc>
          <w:tcPr>
            <w:tcW w:w="2960" w:type="dxa"/>
            <w:vAlign w:val="bottom"/>
          </w:tcPr>
          <w:p>
            <w:pPr>
              <w:ind w:left="60"/>
              <w:spacing w:after="0"/>
              <w:rPr>
                <w:sz w:val="20"/>
                <w:szCs w:val="20"/>
                <w:color w:val="auto"/>
              </w:rPr>
            </w:pPr>
            <w:r>
              <w:rPr>
                <w:rFonts w:ascii="Arial" w:cs="Arial" w:eastAsia="Arial" w:hAnsi="Arial"/>
                <w:sz w:val="18"/>
                <w:szCs w:val="18"/>
                <w:color w:val="auto"/>
              </w:rPr>
              <w:t>Shares issued</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429</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2,856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restricted stock</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60"/>
              <w:spacing w:after="0"/>
              <w:rPr>
                <w:sz w:val="20"/>
                <w:szCs w:val="20"/>
                <w:color w:val="auto"/>
              </w:rPr>
            </w:pPr>
            <w:r>
              <w:rPr>
                <w:rFonts w:ascii="Arial" w:cs="Arial" w:eastAsia="Arial" w:hAnsi="Arial"/>
                <w:sz w:val="18"/>
                <w:szCs w:val="18"/>
                <w:color w:val="auto"/>
                <w:w w:val="95"/>
              </w:rPr>
              <w:t>Amortization of restricted stock award</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translation loss</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02"/>
        </w:trPr>
        <w:tc>
          <w:tcPr>
            <w:tcW w:w="2960" w:type="dxa"/>
            <w:vAlign w:val="bottom"/>
          </w:tcPr>
          <w:p>
            <w:pPr>
              <w:ind w:left="40"/>
              <w:spacing w:after="0" w:line="201" w:lineRule="exact"/>
              <w:rPr>
                <w:sz w:val="20"/>
                <w:szCs w:val="20"/>
                <w:color w:val="auto"/>
              </w:rPr>
            </w:pPr>
            <w:r>
              <w:rPr>
                <w:rFonts w:ascii="Arial" w:cs="Arial" w:eastAsia="Arial" w:hAnsi="Arial"/>
                <w:sz w:val="18"/>
                <w:szCs w:val="18"/>
                <w:color w:val="auto"/>
                <w:w w:val="95"/>
              </w:rPr>
              <w:t>Write-off of unrealized holding gain on</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(73)</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36"/>
        </w:trPr>
        <w:tc>
          <w:tcPr>
            <w:tcW w:w="2960" w:type="dxa"/>
            <w:vAlign w:val="bottom"/>
            <w:vMerge w:val="restart"/>
          </w:tcPr>
          <w:p>
            <w:pPr>
              <w:spacing w:after="0"/>
              <w:rPr>
                <w:sz w:val="20"/>
                <w:szCs w:val="20"/>
                <w:color w:val="auto"/>
              </w:rPr>
            </w:pPr>
            <w:r>
              <w:rPr>
                <w:rFonts w:ascii="Arial" w:cs="Arial" w:eastAsia="Arial" w:hAnsi="Arial"/>
                <w:sz w:val="18"/>
                <w:szCs w:val="18"/>
                <w:color w:val="auto"/>
              </w:rPr>
              <w:t>securities</w:t>
            </w: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9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September 30, 2005</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17,206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$ 56,952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$51,475</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$ 5,375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364" w:right="79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January 1, 2006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Reclassification of unearned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issued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outstanding shares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Elimination of variable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restricted stock reward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option expense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declared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translation gain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September 30, 2006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17,206</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$ 172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$ 57,754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$ 55,218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$ 3,397</w:t>
            </w:r>
          </w:p>
        </w:tc>
        <w:tc>
          <w:tcPr>
            <w:tcW w:w="880" w:type="dxa"/>
            <w:vAlign w:val="bottom"/>
          </w:tcPr>
          <w:p>
            <w:pPr>
              <w:jc w:val="right"/>
              <w:spacing w:after="0"/>
              <w:rPr>
                <w:sz w:val="20"/>
                <w:szCs w:val="20"/>
                <w:color w:val="auto"/>
              </w:rPr>
            </w:pPr>
            <w:r>
              <w:rPr>
                <w:rFonts w:ascii="Arial" w:cs="Arial" w:eastAsia="Arial" w:hAnsi="Arial"/>
                <w:sz w:val="18"/>
                <w:szCs w:val="18"/>
                <w:color w:val="auto"/>
              </w:rPr>
              <w:t>$ 116,074</w:t>
            </w:r>
          </w:p>
        </w:tc>
      </w:tr>
      <w:tr>
        <w:trPr>
          <w:trHeight w:val="324"/>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(467)</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695</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(214)</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(2,532)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324"/>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11,348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11,348</w:t>
            </w:r>
          </w:p>
        </w:tc>
      </w:tr>
      <w:tr>
        <w:trPr>
          <w:trHeight w:val="216"/>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252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(4,118)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37"/>
        </w:trPr>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6,777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r>
      <w:tr>
        <w:trPr>
          <w:trHeight w:val="216"/>
        </w:trPr>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17,061</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$ 171</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$ 55,779</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$ 62,448</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$ 10,174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$128,572</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-1834515</wp:posOffset>
            </wp:positionV>
            <wp:extent cx="65176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-1423035</wp:posOffset>
            </wp:positionV>
            <wp:extent cx="651764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-1148715</wp:posOffset>
            </wp:positionV>
            <wp:extent cx="651764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-736600</wp:posOffset>
            </wp:positionV>
            <wp:extent cx="65176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-462280</wp:posOffset>
            </wp:positionV>
            <wp:extent cx="65176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-162560</wp:posOffset>
            </wp:positionV>
            <wp:extent cx="651764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80"/>
            <w:col w:w="7320"/>
          </w:cols>
          <w:pgMar w:left="820" w:top="364"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4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24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(Thousands of Dollars)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3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$ 11,348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$ 9,892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12,779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in allowance for doubtful accounts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427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property, plant and equipment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benefit from variable stock accounting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Inventories</w:t>
            </w:r>
          </w:p>
        </w:tc>
        <w:tc>
          <w:tcPr>
            <w:tcW w:w="1140" w:type="dxa"/>
            <w:vAlign w:val="bottom"/>
          </w:tcPr>
          <w:p>
            <w:pPr>
              <w:jc w:val="right"/>
              <w:spacing w:after="0"/>
              <w:rPr>
                <w:sz w:val="20"/>
                <w:szCs w:val="20"/>
                <w:color w:val="auto"/>
              </w:rPr>
            </w:pPr>
            <w:r>
              <w:rPr>
                <w:rFonts w:ascii="Arial" w:cs="Arial" w:eastAsia="Arial" w:hAnsi="Arial"/>
                <w:sz w:val="18"/>
                <w:szCs w:val="18"/>
                <w:color w:val="auto"/>
              </w:rPr>
              <w:t>2,201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assets and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2,042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8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vMerge w:val="continue"/>
          </w:tcPr>
          <w:p>
            <w:pPr>
              <w:spacing w:after="0"/>
              <w:rPr>
                <w:sz w:val="22"/>
                <w:szCs w:val="22"/>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82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1140" w:type="dxa"/>
            <w:vAlign w:val="bottom"/>
          </w:tcPr>
          <w:p>
            <w:pPr>
              <w:jc w:val="right"/>
              <w:spacing w:after="0"/>
              <w:rPr>
                <w:sz w:val="20"/>
                <w:szCs w:val="20"/>
                <w:color w:val="auto"/>
              </w:rPr>
            </w:pPr>
            <w:r>
              <w:rPr>
                <w:rFonts w:ascii="Arial" w:cs="Arial" w:eastAsia="Arial" w:hAnsi="Arial"/>
                <w:sz w:val="18"/>
                <w:szCs w:val="18"/>
                <w:color w:val="auto"/>
              </w:rPr>
              <w:t>(11,766)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disposals of property, plant and equipment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Acquisition of intangibles</w:t>
            </w:r>
          </w:p>
        </w:tc>
        <w:tc>
          <w:tcPr>
            <w:tcW w:w="1140" w:type="dxa"/>
            <w:vAlign w:val="bottom"/>
          </w:tcPr>
          <w:p>
            <w:pPr>
              <w:jc w:val="right"/>
              <w:spacing w:after="0"/>
              <w:rPr>
                <w:sz w:val="20"/>
                <w:szCs w:val="20"/>
                <w:color w:val="auto"/>
              </w:rPr>
            </w:pPr>
            <w:r>
              <w:rPr>
                <w:rFonts w:ascii="Arial" w:cs="Arial" w:eastAsia="Arial" w:hAnsi="Arial"/>
                <w:sz w:val="18"/>
                <w:szCs w:val="18"/>
                <w:color w:val="auto"/>
              </w:rPr>
              <w:t>(1,855)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78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vMerge w:val="continue"/>
          </w:tcPr>
          <w:p>
            <w:pPr>
              <w:spacing w:after="0"/>
              <w:rPr>
                <w:sz w:val="22"/>
                <w:szCs w:val="22"/>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82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Increase in cash from book overdraft</w:t>
            </w:r>
          </w:p>
        </w:tc>
        <w:tc>
          <w:tcPr>
            <w:tcW w:w="1140" w:type="dxa"/>
            <w:vAlign w:val="bottom"/>
          </w:tcPr>
          <w:p>
            <w:pPr>
              <w:jc w:val="right"/>
              <w:spacing w:after="0"/>
              <w:rPr>
                <w:sz w:val="20"/>
                <w:szCs w:val="20"/>
                <w:color w:val="auto"/>
              </w:rPr>
            </w:pPr>
            <w:r>
              <w:rPr>
                <w:rFonts w:ascii="Arial" w:cs="Arial" w:eastAsia="Arial" w:hAnsi="Arial"/>
                <w:sz w:val="18"/>
                <w:szCs w:val="18"/>
                <w:color w:val="auto"/>
              </w:rPr>
              <w:t>1,055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Repayment of short-term debt</w:t>
            </w:r>
          </w:p>
        </w:tc>
        <w:tc>
          <w:tcPr>
            <w:tcW w:w="1140" w:type="dxa"/>
            <w:vAlign w:val="bottom"/>
          </w:tcPr>
          <w:p>
            <w:pPr>
              <w:jc w:val="right"/>
              <w:spacing w:after="0"/>
              <w:rPr>
                <w:sz w:val="20"/>
                <w:szCs w:val="20"/>
                <w:color w:val="auto"/>
              </w:rPr>
            </w:pPr>
            <w:r>
              <w:rPr>
                <w:rFonts w:ascii="Arial" w:cs="Arial" w:eastAsia="Arial" w:hAnsi="Arial"/>
                <w:sz w:val="18"/>
                <w:szCs w:val="18"/>
                <w:color w:val="auto"/>
              </w:rPr>
              <w:t>(27,280)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debt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Principal payment on capital lease</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Proceeds from issuance of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 term debt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Debt issuance cost paid</w:t>
            </w: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used by financing activities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26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40"/>
        </w:trPr>
        <w:tc>
          <w:tcPr>
            <w:tcW w:w="7840" w:type="dxa"/>
            <w:vAlign w:val="bottom"/>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8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7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7,646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$ 18,502</w:t>
            </w:r>
          </w:p>
        </w:tc>
        <w:tc>
          <w:tcPr>
            <w:tcW w:w="260" w:type="dxa"/>
            <w:vAlign w:val="bottom"/>
            <w:tcBorders>
              <w:top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0280"/>
          </w:cols>
          <w:pgMar w:left="820" w:top="364" w:right="7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99695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consolidated financial statements of NN, Inc. (the “Company”) have not been audited, except that the balance sheet at December 31, 2005 is derived from the Company’s consolidated audited financial statements. In the opinion of the Company’s management, the financial statements reflect all adjustments necessary to fairly state the results of operations for the three and nine month periods ended September 30, 2006 and 2005, the Company’s financial position at September 30, 2006 and December 31, 2005, and the cash flows for the nine month periods ended September 30, 2006 and 2005.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24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2005 which we filed with the Securities and Exchange Commission on March 16, 2006.</w:t>
      </w:r>
    </w:p>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results for the three month and nine month periods ended September 30, 2006 are not necessarily indicative of results for the year ending December 31, 2006 or any other future results.</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Inventories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1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116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17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2005</w:t>
            </w:r>
          </w:p>
        </w:tc>
      </w:tr>
      <w:tr>
        <w:trPr>
          <w:trHeight w:val="27"/>
        </w:trPr>
        <w:tc>
          <w:tcPr>
            <w:tcW w:w="11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$ 8,810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$ 10,153</w:t>
            </w:r>
          </w:p>
        </w:tc>
      </w:tr>
      <w:tr>
        <w:trPr>
          <w:trHeight w:val="230"/>
        </w:trPr>
        <w:tc>
          <w:tcPr>
            <w:tcW w:w="116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Work in process</w:t>
            </w:r>
          </w:p>
        </w:tc>
        <w:tc>
          <w:tcPr>
            <w:tcW w:w="1600" w:type="dxa"/>
            <w:vAlign w:val="bottom"/>
          </w:tcPr>
          <w:p>
            <w:pPr>
              <w:jc w:val="right"/>
              <w:spacing w:after="0"/>
              <w:rPr>
                <w:sz w:val="20"/>
                <w:szCs w:val="20"/>
                <w:color w:val="auto"/>
              </w:rPr>
            </w:pPr>
            <w:r>
              <w:rPr>
                <w:rFonts w:ascii="Arial" w:cs="Arial" w:eastAsia="Arial" w:hAnsi="Arial"/>
                <w:sz w:val="18"/>
                <w:szCs w:val="18"/>
                <w:color w:val="auto"/>
              </w:rPr>
              <w:t>6,791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5,845</w:t>
            </w:r>
          </w:p>
        </w:tc>
      </w:tr>
      <w:tr>
        <w:trPr>
          <w:trHeight w:val="249"/>
        </w:trPr>
        <w:tc>
          <w:tcPr>
            <w:tcW w:w="1160" w:type="dxa"/>
            <w:vAlign w:val="bottom"/>
          </w:tcPr>
          <w:p>
            <w:pPr>
              <w:spacing w:after="0"/>
              <w:rPr>
                <w:sz w:val="21"/>
                <w:szCs w:val="21"/>
                <w:color w:val="auto"/>
              </w:rPr>
            </w:pPr>
          </w:p>
        </w:tc>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22,098</w:t>
            </w:r>
          </w:p>
        </w:tc>
      </w:tr>
      <w:tr>
        <w:trPr>
          <w:trHeight w:val="237"/>
        </w:trPr>
        <w:tc>
          <w:tcPr>
            <w:tcW w:w="11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$ 37,244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$ 38,096</w:t>
            </w: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2006 and December 31, 2005 totaled $4,491 and $4,669, respectively.</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Net Income Per Share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w w:val="96"/>
              </w:rPr>
              <w:t>(Thousands of Dollars, Except Share and Per Share</w:t>
            </w:r>
          </w:p>
        </w:tc>
        <w:tc>
          <w:tcPr>
            <w:tcW w:w="24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1120" w:type="dxa"/>
            <w:vAlign w:val="bottom"/>
          </w:tcPr>
          <w:p>
            <w:pPr>
              <w:jc w:val="right"/>
              <w:ind w:right="292"/>
              <w:spacing w:after="0" w:line="195" w:lineRule="exact"/>
              <w:rPr>
                <w:sz w:val="20"/>
                <w:szCs w:val="20"/>
                <w:color w:val="auto"/>
              </w:rPr>
            </w:pPr>
            <w:r>
              <w:rPr>
                <w:rFonts w:ascii="Arial" w:cs="Arial" w:eastAsia="Arial" w:hAnsi="Arial"/>
                <w:sz w:val="18"/>
                <w:szCs w:val="18"/>
                <w:b w:val="1"/>
                <w:bCs w:val="1"/>
                <w:color w:val="auto"/>
              </w:rPr>
              <w:t>2006</w:t>
            </w:r>
          </w:p>
        </w:tc>
        <w:tc>
          <w:tcPr>
            <w:tcW w:w="1320" w:type="dxa"/>
            <w:vAlign w:val="bottom"/>
            <w:gridSpan w:val="2"/>
          </w:tcPr>
          <w:p>
            <w:pPr>
              <w:jc w:val="right"/>
              <w:ind w:right="290"/>
              <w:spacing w:after="0" w:line="195" w:lineRule="exact"/>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6"/>
                <w:szCs w:val="16"/>
                <w:color w:val="auto"/>
              </w:rPr>
            </w:pPr>
          </w:p>
        </w:tc>
        <w:tc>
          <w:tcPr>
            <w:tcW w:w="1120" w:type="dxa"/>
            <w:vAlign w:val="bottom"/>
          </w:tcPr>
          <w:p>
            <w:pPr>
              <w:jc w:val="right"/>
              <w:ind w:right="310"/>
              <w:spacing w:after="0" w:line="195" w:lineRule="exact"/>
              <w:rPr>
                <w:sz w:val="20"/>
                <w:szCs w:val="20"/>
                <w:color w:val="auto"/>
              </w:rPr>
            </w:pPr>
            <w:r>
              <w:rPr>
                <w:rFonts w:ascii="Arial" w:cs="Arial" w:eastAsia="Arial" w:hAnsi="Arial"/>
                <w:sz w:val="18"/>
                <w:szCs w:val="18"/>
                <w:b w:val="1"/>
                <w:bCs w:val="1"/>
                <w:color w:val="auto"/>
              </w:rPr>
              <w:t>2006</w:t>
            </w:r>
          </w:p>
        </w:tc>
        <w:tc>
          <w:tcPr>
            <w:tcW w:w="1340" w:type="dxa"/>
            <w:vAlign w:val="bottom"/>
            <w:gridSpan w:val="2"/>
          </w:tcPr>
          <w:p>
            <w:pPr>
              <w:jc w:val="right"/>
              <w:ind w:right="290"/>
              <w:spacing w:after="0" w:line="195" w:lineRule="exact"/>
              <w:rPr>
                <w:sz w:val="20"/>
                <w:szCs w:val="20"/>
                <w:color w:val="auto"/>
              </w:rPr>
            </w:pPr>
            <w:r>
              <w:rPr>
                <w:rFonts w:ascii="Arial" w:cs="Arial" w:eastAsia="Arial" w:hAnsi="Arial"/>
                <w:sz w:val="18"/>
                <w:szCs w:val="18"/>
                <w:b w:val="1"/>
                <w:bCs w:val="1"/>
                <w:color w:val="auto"/>
              </w:rPr>
              <w:t>2005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140"/>
              <w:spacing w:after="0"/>
              <w:rPr>
                <w:sz w:val="20"/>
                <w:szCs w:val="20"/>
                <w:color w:val="auto"/>
              </w:rPr>
            </w:pPr>
            <w:r>
              <w:rPr>
                <w:rFonts w:ascii="Arial" w:cs="Arial" w:eastAsia="Arial" w:hAnsi="Arial"/>
                <w:sz w:val="18"/>
                <w:szCs w:val="18"/>
                <w:color w:val="auto"/>
              </w:rPr>
              <w:t>Data)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4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340" w:type="dxa"/>
            <w:vAlign w:val="bottom"/>
            <w:gridSpan w:val="2"/>
          </w:tcPr>
          <w:p>
            <w:pPr>
              <w:spacing w:after="0"/>
              <w:rPr>
                <w:sz w:val="20"/>
                <w:szCs w:val="20"/>
                <w:color w:val="auto"/>
              </w:rPr>
            </w:pPr>
          </w:p>
        </w:tc>
        <w:tc>
          <w:tcPr>
            <w:tcW w:w="134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160" w:type="dxa"/>
            <w:vAlign w:val="bottom"/>
            <w:vMerge w:val="continue"/>
          </w:tcPr>
          <w:p>
            <w:pPr>
              <w:spacing w:after="0"/>
              <w:rPr>
                <w:sz w:val="24"/>
                <w:szCs w:val="2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$ 9,892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00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17,104,621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17,191,122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17,147,359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16,963,201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234,009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330,640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242,108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322,528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16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160" w:type="dxa"/>
            <w:vAlign w:val="bottom"/>
            <w:vMerge w:val="continue"/>
          </w:tcPr>
          <w:p>
            <w:pPr>
              <w:spacing w:after="0"/>
              <w:rPr>
                <w:sz w:val="23"/>
                <w:szCs w:val="23"/>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17,338,630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17,521,762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17,389,467</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17,285,729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160" w:type="dxa"/>
            <w:vAlign w:val="bottom"/>
            <w:vMerge w:val="continue"/>
          </w:tcPr>
          <w:p>
            <w:pPr>
              <w:spacing w:after="0"/>
              <w:rPr>
                <w:sz w:val="24"/>
                <w:szCs w:val="24"/>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$ 0.66</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$ 0.58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$ 0.15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$ 0.15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$ 0.65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$ 0.57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4"/>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Excluded from the shares outstanding for the three and nine month periods ended September 30, 2006 were 478,250 anti-dilutive options which had exercise prices of $12.62 and $11.50. Excluded from shares outstanding for the three and nine month periods of September 30, 2005 were 357,000 anti-dilutive options which had exercise prices of $12.62.</w:t>
      </w:r>
    </w:p>
    <w:p>
      <w:pPr>
        <w:spacing w:after="0" w:line="2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Segment Information</w:t>
      </w:r>
    </w:p>
    <w:p>
      <w:pPr>
        <w:spacing w:after="0" w:line="29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2006 and 2005, our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Additionally, costs related to our operation in China and corporate office costs are included in the Domestic Ball and Roller Segment. The NN Europe Segment is comprised of precision ball, roller and metal cage manufacturing facilities located in Kilkenny, Ireland; Eltmann, Germany; Pinerolo, Italy; Kysucke Nove Mesto, Slovakia; and Veenendaal, The Netherlands (“Veenendaal”).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and fiber optic markets. Delta is engaged principally in the production of engineered bearing seals used primarily in automotive, industrial, agricultural, mining and aerospace applications.</w:t>
      </w:r>
    </w:p>
    <w:p>
      <w:pPr>
        <w:spacing w:after="0" w:line="2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accounting policies of each segment are the same as those described in the summary of significant accounting policies in our Annual Report on Form 10-K for the fiscal year ended December 31, 2005. We evaluate segment performance based on income or loss from operations before income taxes. We account for inter-segment sales and transfers at current market prices. We did not have any material inter-segment transactions during the three and nine month periods ended September 30, 2005. For the three and nine month periods ended September 30, 2006, we had inter-segment sales of $850 and $1,989, respectively, which were eliminated in consolidation and from the segment financial results shown below. For the three and nine month periods ended September 30, 2006, the inter-segment sales were from Domestic Ball &amp; Roller to NN Europe of $403 and $650, respectively, and from NN Europe to Domestic Ball &amp; Roller of $447 and $1,339, respectively.</w:t>
      </w: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 September 30,</w:t>
            </w:r>
          </w:p>
        </w:tc>
        <w:tc>
          <w:tcPr>
            <w:tcW w:w="11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180" w:type="dxa"/>
            <w:vAlign w:val="bottom"/>
          </w:tcPr>
          <w:p>
            <w:pPr>
              <w:spacing w:after="0"/>
              <w:rPr>
                <w:sz w:val="23"/>
                <w:szCs w:val="23"/>
                <w:color w:val="auto"/>
              </w:rPr>
            </w:pPr>
          </w:p>
        </w:tc>
      </w:tr>
      <w:tr>
        <w:trPr>
          <w:trHeight w:val="54"/>
        </w:trPr>
        <w:tc>
          <w:tcPr>
            <w:tcW w:w="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0"/>
              </w:rPr>
              <w:t>Plastic and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8"/>
              </w:rPr>
              <w:t>Plastic and</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Domestic</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8"/>
              </w:rPr>
              <w:t>NN Europe</w:t>
            </w: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8"/>
              </w:rPr>
              <w:t>Rubber</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w w:val="94"/>
              </w:rPr>
              <w:t>Domestic Ball</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8"/>
              </w:rPr>
              <w:t>NN Europe</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Rubber</w:t>
            </w: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6"/>
              </w:rPr>
              <w:t>Ball &amp; Roller</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Segment</w:t>
            </w: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90"/>
              </w:rPr>
              <w:t>Components</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&amp; Roller</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Segment</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0"/>
              </w:rPr>
              <w:t>Components</w:t>
            </w:r>
          </w:p>
        </w:tc>
      </w:tr>
      <w:tr>
        <w:trPr>
          <w:trHeight w:val="195"/>
        </w:trPr>
        <w:tc>
          <w:tcPr>
            <w:tcW w:w="20" w:type="dxa"/>
            <w:vAlign w:val="bottom"/>
          </w:tcPr>
          <w:p>
            <w:pPr>
              <w:spacing w:after="0"/>
              <w:rPr>
                <w:sz w:val="16"/>
                <w:szCs w:val="16"/>
                <w:color w:val="auto"/>
              </w:rPr>
            </w:pPr>
          </w:p>
        </w:tc>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Revenues from external</w:t>
            </w:r>
          </w:p>
        </w:tc>
        <w:tc>
          <w:tcPr>
            <w:tcW w:w="10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$ 15,365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$ 46,863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$ 12,642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$ 16,444</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$ 43,749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$ 14,805</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Pre-tax income (loss)</w:t>
            </w:r>
          </w:p>
        </w:tc>
        <w:tc>
          <w:tcPr>
            <w:tcW w:w="1080" w:type="dxa"/>
            <w:vAlign w:val="bottom"/>
          </w:tcPr>
          <w:p>
            <w:pPr>
              <w:jc w:val="right"/>
              <w:spacing w:after="0"/>
              <w:rPr>
                <w:sz w:val="20"/>
                <w:szCs w:val="20"/>
                <w:color w:val="auto"/>
              </w:rPr>
            </w:pPr>
            <w:r>
              <w:rPr>
                <w:rFonts w:ascii="Arial" w:cs="Arial" w:eastAsia="Arial" w:hAnsi="Arial"/>
                <w:sz w:val="18"/>
                <w:szCs w:val="18"/>
                <w:color w:val="auto"/>
              </w:rPr>
              <w:t>(922)</w:t>
            </w:r>
          </w:p>
        </w:tc>
        <w:tc>
          <w:tcPr>
            <w:tcW w:w="1140" w:type="dxa"/>
            <w:vAlign w:val="bottom"/>
          </w:tcPr>
          <w:p>
            <w:pPr>
              <w:jc w:val="right"/>
              <w:spacing w:after="0"/>
              <w:rPr>
                <w:sz w:val="20"/>
                <w:szCs w:val="20"/>
                <w:color w:val="auto"/>
              </w:rPr>
            </w:pPr>
            <w:r>
              <w:rPr>
                <w:rFonts w:ascii="Arial" w:cs="Arial" w:eastAsia="Arial" w:hAnsi="Arial"/>
                <w:sz w:val="18"/>
                <w:szCs w:val="18"/>
                <w:color w:val="auto"/>
              </w:rPr>
              <w:t>4,290</w:t>
            </w:r>
          </w:p>
        </w:tc>
        <w:tc>
          <w:tcPr>
            <w:tcW w:w="1200" w:type="dxa"/>
            <w:vAlign w:val="bottom"/>
          </w:tcPr>
          <w:p>
            <w:pPr>
              <w:jc w:val="right"/>
              <w:spacing w:after="0"/>
              <w:rPr>
                <w:sz w:val="20"/>
                <w:szCs w:val="20"/>
                <w:color w:val="auto"/>
              </w:rPr>
            </w:pPr>
            <w:r>
              <w:rPr>
                <w:rFonts w:ascii="Arial" w:cs="Arial" w:eastAsia="Arial" w:hAnsi="Arial"/>
                <w:sz w:val="18"/>
                <w:szCs w:val="18"/>
                <w:color w:val="auto"/>
              </w:rPr>
              <w:t>1,073</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3,856</w:t>
            </w:r>
          </w:p>
        </w:tc>
        <w:tc>
          <w:tcPr>
            <w:tcW w:w="118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53,585</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159,566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57,656</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Nine Months Ended September 30,</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54"/>
        </w:trPr>
        <w:tc>
          <w:tcPr>
            <w:tcW w:w="11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Pr>
          <w:p>
            <w:pPr>
              <w:spacing w:after="0"/>
              <w:rPr>
                <w:sz w:val="4"/>
                <w:szCs w:val="4"/>
                <w:color w:val="auto"/>
              </w:rPr>
            </w:pPr>
          </w:p>
        </w:tc>
      </w:tr>
      <w:tr>
        <w:trPr>
          <w:trHeight w:val="195"/>
        </w:trPr>
        <w:tc>
          <w:tcPr>
            <w:tcW w:w="1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center"/>
              <w:ind w:right="33"/>
              <w:spacing w:after="0" w:line="195" w:lineRule="exact"/>
              <w:rPr>
                <w:sz w:val="20"/>
                <w:szCs w:val="20"/>
                <w:color w:val="auto"/>
              </w:rPr>
            </w:pPr>
            <w:r>
              <w:rPr>
                <w:rFonts w:ascii="Arial" w:cs="Arial" w:eastAsia="Arial" w:hAnsi="Arial"/>
                <w:sz w:val="18"/>
                <w:szCs w:val="18"/>
                <w:color w:val="auto"/>
                <w:w w:val="90"/>
              </w:rPr>
              <w:t>Plastic and</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8"/>
              </w:rPr>
              <w:t>Plastic and</w:t>
            </w: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Domestic</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8"/>
              </w:rPr>
              <w:t>NN Europe</w:t>
            </w: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88"/>
              </w:rPr>
              <w:t>Rubber</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w w:val="94"/>
              </w:rPr>
              <w:t>Domestic Ball</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8"/>
              </w:rPr>
              <w:t>NN Europe</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Rubber</w:t>
            </w:r>
          </w:p>
        </w:tc>
        <w:tc>
          <w:tcPr>
            <w:tcW w:w="1140" w:type="dxa"/>
            <w:vAlign w:val="bottom"/>
          </w:tcPr>
          <w:p>
            <w:pPr>
              <w:spacing w:after="0"/>
              <w:rPr>
                <w:sz w:val="18"/>
                <w:szCs w:val="18"/>
                <w:color w:val="auto"/>
              </w:rPr>
            </w:pPr>
          </w:p>
        </w:tc>
      </w:tr>
      <w:tr>
        <w:trPr>
          <w:trHeight w:val="230"/>
        </w:trPr>
        <w:tc>
          <w:tcPr>
            <w:tcW w:w="334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6"/>
              </w:rPr>
              <w:t>Ball &amp; Roller</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Segment</w:t>
            </w:r>
          </w:p>
        </w:tc>
        <w:tc>
          <w:tcPr>
            <w:tcW w:w="1200" w:type="dxa"/>
            <w:vAlign w:val="bottom"/>
          </w:tcPr>
          <w:p>
            <w:pPr>
              <w:jc w:val="center"/>
              <w:ind w:right="33"/>
              <w:spacing w:after="0"/>
              <w:rPr>
                <w:sz w:val="20"/>
                <w:szCs w:val="20"/>
                <w:color w:val="auto"/>
              </w:rPr>
            </w:pPr>
            <w:r>
              <w:rPr>
                <w:rFonts w:ascii="Arial" w:cs="Arial" w:eastAsia="Arial" w:hAnsi="Arial"/>
                <w:sz w:val="18"/>
                <w:szCs w:val="18"/>
                <w:color w:val="auto"/>
                <w:w w:val="90"/>
              </w:rPr>
              <w:t>Components</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&amp; Roller</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Segment</w:t>
            </w: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0"/>
              </w:rPr>
              <w:t>Components</w:t>
            </w: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Revenues from external</w:t>
            </w:r>
          </w:p>
        </w:tc>
        <w:tc>
          <w:tcPr>
            <w:tcW w:w="10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$ 52,697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$ 150,836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$ 40,908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$ 48,879</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$ 152,460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$ 44,161</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Pre-tax income (loss)</w:t>
            </w: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1140" w:type="dxa"/>
            <w:vAlign w:val="bottom"/>
          </w:tcPr>
          <w:p>
            <w:pPr>
              <w:jc w:val="right"/>
              <w:spacing w:after="0"/>
              <w:rPr>
                <w:sz w:val="20"/>
                <w:szCs w:val="20"/>
                <w:color w:val="auto"/>
              </w:rPr>
            </w:pPr>
            <w:r>
              <w:rPr>
                <w:rFonts w:ascii="Arial" w:cs="Arial" w:eastAsia="Arial" w:hAnsi="Arial"/>
                <w:sz w:val="18"/>
                <w:szCs w:val="18"/>
                <w:color w:val="auto"/>
              </w:rPr>
              <w:t>15,427</w:t>
            </w:r>
          </w:p>
        </w:tc>
        <w:tc>
          <w:tcPr>
            <w:tcW w:w="1200" w:type="dxa"/>
            <w:vAlign w:val="bottom"/>
          </w:tcPr>
          <w:p>
            <w:pPr>
              <w:jc w:val="right"/>
              <w:spacing w:after="0"/>
              <w:rPr>
                <w:sz w:val="20"/>
                <w:szCs w:val="20"/>
                <w:color w:val="auto"/>
              </w:rPr>
            </w:pPr>
            <w:r>
              <w:rPr>
                <w:rFonts w:ascii="Arial" w:cs="Arial" w:eastAsia="Arial" w:hAnsi="Arial"/>
                <w:sz w:val="18"/>
                <w:szCs w:val="18"/>
                <w:color w:val="auto"/>
              </w:rPr>
              <w:t>3,739</w:t>
            </w:r>
          </w:p>
        </w:tc>
        <w:tc>
          <w:tcPr>
            <w:tcW w:w="1180" w:type="dxa"/>
            <w:vAlign w:val="bottom"/>
          </w:tcPr>
          <w:p>
            <w:pPr>
              <w:jc w:val="right"/>
              <w:spacing w:after="0"/>
              <w:rPr>
                <w:sz w:val="20"/>
                <w:szCs w:val="20"/>
                <w:color w:val="auto"/>
              </w:rPr>
            </w:pPr>
            <w:r>
              <w:rPr>
                <w:rFonts w:ascii="Arial" w:cs="Arial" w:eastAsia="Arial" w:hAnsi="Arial"/>
                <w:sz w:val="18"/>
                <w:szCs w:val="18"/>
                <w:color w:val="auto"/>
              </w:rPr>
              <w:t>1,647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13,553</w:t>
            </w: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53,585</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159,566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57,656</w:t>
            </w:r>
          </w:p>
        </w:tc>
        <w:tc>
          <w:tcPr>
            <w:tcW w:w="1140" w:type="dxa"/>
            <w:vAlign w:val="bottom"/>
          </w:tcPr>
          <w:p>
            <w:pPr>
              <w:spacing w:after="0"/>
              <w:rPr>
                <w:sz w:val="18"/>
                <w:szCs w:val="18"/>
                <w:color w:val="auto"/>
              </w:rPr>
            </w:pPr>
          </w:p>
        </w:tc>
      </w:tr>
      <w:tr>
        <w:trPr>
          <w:trHeight w:val="677"/>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jc w:val="right"/>
              <w:ind w:right="933"/>
              <w:spacing w:after="0"/>
              <w:rPr>
                <w:sz w:val="20"/>
                <w:szCs w:val="20"/>
                <w:color w:val="auto"/>
              </w:rPr>
            </w:pPr>
            <w:r>
              <w:rPr>
                <w:rFonts w:ascii="Arial" w:cs="Arial" w:eastAsia="Arial" w:hAnsi="Arial"/>
                <w:sz w:val="14"/>
                <w:szCs w:val="14"/>
                <w:color w:val="auto"/>
              </w:rPr>
              <w:t>7</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Recent Investing Activity</w:t>
      </w:r>
    </w:p>
    <w:p>
      <w:pPr>
        <w:spacing w:after="0" w:line="29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wholly-owned subsidiary in China, NN Precision Bearing Products Company, LTD, (“NN Asia”) started manufacturing in the first quarter of 2006. The costs incurred as a result of the start-up for the nine month period ended September 30, 2005 of approximately $0.6 million were classified as selling, general and administrative expense.</w:t>
      </w:r>
    </w:p>
    <w:p>
      <w:pPr>
        <w:spacing w:after="0" w:line="2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October 7, 2005, we entered into an agreement with SNR Roulements (“SNR”) to purchase SNR’s entire internal precision ball producing equipment for approximately 5,000 Euros ($6,000). As part of the agreement, we entered into a five year supply agreement to provide SNR with an additional $9,000 of annual ball requirements. Approximately $1,700 was paid in 2005 and $4,500 is expected to be paid during 2006 to complete the equipment purchase, including related legal and transportation cost, in excess of contractual purchase price, of approximately $200. During the nine months ended September 30, 2006, the Company acquired $3,648 of SNR equipment and related contract intangibles. As of September 30, 2006, $3,039 of tangible fixed assets and $2,287 of intangible assets have been purchased related to this transaction.</w:t>
      </w:r>
    </w:p>
    <w:p>
      <w:pPr>
        <w:spacing w:after="0" w:line="2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w:t>
      </w:r>
    </w:p>
    <w:p>
      <w:pPr>
        <w:spacing w:after="0" w:line="2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 defined benefit pension plan covering the employees at our Eltmann, Germany facility. The benefits are based on the expected years of service including the rate of compensation increase. The plan is unfunded. There were no prior service costs recognized in the nine months ended September 30, 2006 or 2005.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Pension Cost:</w:t>
      </w:r>
    </w:p>
    <w:p>
      <w:pPr>
        <w:spacing w:after="0" w:line="200" w:lineRule="exact"/>
        <w:rPr>
          <w:sz w:val="20"/>
          <w:szCs w:val="20"/>
          <w:color w:val="auto"/>
        </w:rPr>
      </w:pPr>
    </w:p>
    <w:p>
      <w:pPr>
        <w:spacing w:after="0" w:line="322"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6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480" w:type="dxa"/>
            <w:vAlign w:val="bottom"/>
            <w:vMerge w:val="restart"/>
          </w:tcPr>
          <w:p>
            <w:pPr>
              <w:ind w:left="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In Thousands of Dollars)</w:t>
            </w: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80" w:type="dxa"/>
            <w:vAlign w:val="bottom"/>
            <w:vMerge w:val="continue"/>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4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w:t>
            </w:r>
          </w:p>
        </w:tc>
        <w:tc>
          <w:tcPr>
            <w:tcW w:w="0" w:type="dxa"/>
            <w:vAlign w:val="bottom"/>
          </w:tcPr>
          <w:p>
            <w:pPr>
              <w:spacing w:after="0"/>
              <w:rPr>
                <w:sz w:val="1"/>
                <w:szCs w:val="1"/>
                <w:color w:val="auto"/>
              </w:rPr>
            </w:pPr>
          </w:p>
        </w:tc>
      </w:tr>
      <w:tr>
        <w:trPr>
          <w:trHeight w:val="216"/>
        </w:trPr>
        <w:tc>
          <w:tcPr>
            <w:tcW w:w="24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periodic pension cost</w:t>
            </w:r>
          </w:p>
        </w:tc>
        <w:tc>
          <w:tcPr>
            <w:tcW w:w="9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$ 106</w:t>
            </w:r>
          </w:p>
        </w:tc>
        <w:tc>
          <w:tcPr>
            <w:tcW w:w="280" w:type="dxa"/>
            <w:vAlign w:val="bottom"/>
            <w:tcBorders>
              <w:top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$ 75</w:t>
            </w:r>
          </w:p>
        </w:tc>
        <w:tc>
          <w:tcPr>
            <w:tcW w:w="300" w:type="dxa"/>
            <w:vAlign w:val="bottom"/>
            <w:tcBorders>
              <w:top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$ 310</w:t>
            </w:r>
          </w:p>
        </w:tc>
        <w:tc>
          <w:tcPr>
            <w:tcW w:w="300" w:type="dxa"/>
            <w:vAlign w:val="bottom"/>
            <w:tcBorders>
              <w:top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$ 224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to contribute approximately $350 to the Eltmann, Germany pension plan in 2006. As of September 30, 2006, approximately $261 of contributions had been made.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83"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at September 30, 2006 and 2005:</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Three months ended</w:t>
            </w:r>
          </w:p>
        </w:tc>
        <w:tc>
          <w:tcPr>
            <w:tcW w:w="60" w:type="dxa"/>
            <w:vAlign w:val="bottom"/>
          </w:tcPr>
          <w:p>
            <w:pPr>
              <w:spacing w:after="0"/>
              <w:rPr>
                <w:sz w:val="18"/>
                <w:szCs w:val="18"/>
                <w:color w:val="auto"/>
              </w:rPr>
            </w:pPr>
          </w:p>
        </w:tc>
        <w:tc>
          <w:tcPr>
            <w:tcW w:w="33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(In Thousands of Dollars)</w:t>
            </w: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(7,369)</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(6,480)</w:t>
            </w:r>
          </w:p>
        </w:tc>
        <w:tc>
          <w:tcPr>
            <w:tcW w:w="1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(6,644)</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Amounts accrued</w:t>
            </w:r>
          </w:p>
        </w:tc>
        <w:tc>
          <w:tcPr>
            <w:tcW w:w="148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21"/>
                <w:szCs w:val="21"/>
                <w:color w:val="auto"/>
              </w:rPr>
            </w:pP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Exchange and other</w:t>
            </w:r>
          </w:p>
        </w:tc>
        <w:tc>
          <w:tcPr>
            <w:tcW w:w="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(7,748)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2"/>
              </w:rPr>
              <w:t>$(6,651)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vMerge w:val="restart"/>
            <w:shd w:val="clear" w:color="auto" w:fill="CCEEFF"/>
          </w:tcPr>
          <w:p>
            <w:pPr>
              <w:spacing w:after="0"/>
              <w:rPr>
                <w:sz w:val="19"/>
                <w:szCs w:val="19"/>
                <w:color w:val="auto"/>
              </w:rPr>
            </w:pPr>
          </w:p>
        </w:tc>
        <w:tc>
          <w:tcPr>
            <w:tcW w:w="158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$(7,748)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(6,651)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vMerge w:val="continue"/>
            <w:shd w:val="clear" w:color="auto" w:fill="CCEEFF"/>
          </w:tcPr>
          <w:p>
            <w:pPr>
              <w:spacing w:after="0"/>
              <w:rPr>
                <w:sz w:val="21"/>
                <w:szCs w:val="21"/>
                <w:color w:val="auto"/>
              </w:rPr>
            </w:pPr>
          </w:p>
        </w:tc>
        <w:tc>
          <w:tcPr>
            <w:tcW w:w="15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2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is effective for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 - the requisite service period (usually the vesting period). We adopted SFAS 123(R) effective January 1, 2006. See Note 10 Stock Compensation.</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November 2004, the FASB issued SFAS No. 151, “Inventory Costs”. SFAS No. 151 clarifies the accounting for abnormal amounts of idle facility expense, freight, handling costs and wasted material (spoilage). SFAS No. 151 requires that these items be recognized as current-period charges. In addition, SFAS No. 151 requires that the allocation of fixed production overheads to the costs of conversion be based on the normal capacity of the production facilities. This statement is effective for fiscal years beginning after June 15, 2005. We adopted SFAS No. 151 effective January 1, 2006. SFAS No. 151 has not had a material impact on our financial statements.</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2006, the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The Company is in the process of evaluating the effects of FIN 48 on our consolidated financial position, liquidity, and results of operations.</w:t>
      </w:r>
    </w:p>
    <w:p>
      <w:pPr>
        <w:spacing w:after="0" w:line="2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which provides guidance on how to measure assets and liabilities that use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may have on our consolidated financial position and results of operations, but do not believe the impact of the adoption will be material.</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September 2006, the SEC staff issued Staff Accounting Bulletin (SAB) No. 108, </w:t>
      </w:r>
      <w:r>
        <w:rPr>
          <w:rFonts w:ascii="Arial" w:cs="Arial" w:eastAsia="Arial" w:hAnsi="Arial"/>
          <w:sz w:val="18"/>
          <w:szCs w:val="18"/>
          <w:i w:val="1"/>
          <w:iCs w:val="1"/>
          <w:color w:val="auto"/>
        </w:rPr>
        <w:t>“Considering the Effects of Prior Year Misstatements when Quantifying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Misstatements in Current Year Financial Statements” </w:t>
      </w:r>
      <w:r>
        <w:rPr>
          <w:rFonts w:ascii="Arial" w:cs="Arial" w:eastAsia="Arial" w:hAnsi="Arial"/>
          <w:sz w:val="18"/>
          <w:szCs w:val="18"/>
          <w:color w:val="auto"/>
        </w:rPr>
        <w:t>(“SAB 108”). SAB 108 was issued in order to eliminate the diversity of practice in how 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quantify misstatements of financial statements, including misstatements that were not material to prior years’ financial statements. We will initially apply the provisions of SAB 108 in connection with the preparation of our annual financial statements for the year ending December 31, 2006. We have evaluated the potential impact SAB 108 may have on our financial position and results of operations and do not believe the impact of the application of this guidance will be material.</w:t>
      </w:r>
    </w:p>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Statements No. 87, 88, 106 and 132(R)” </w:t>
      </w:r>
      <w:r>
        <w:rPr>
          <w:rFonts w:ascii="Arial" w:cs="Arial" w:eastAsia="Arial" w:hAnsi="Arial"/>
          <w:sz w:val="18"/>
          <w:szCs w:val="18"/>
          <w:color w:val="auto"/>
        </w:rPr>
        <w:t>(SFAS 158). Part of this Statement will be effective as of December 31, 2006, and requires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defined benefit pension plans and other postretirement benefit plans to recognize the funded status of those plans on the balance sheet on a prospective basis from the effective date. The funded status of these plans is determined as of the plans’ measurement dates and represents the differences between the amount of the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obligations owed to participants under each plan (including the effects of future salary increases for define benefit plans) and the fair value of each plan’s assets dedicated to paying those obligations. To record the funded status of those plans, unrecognized prior service costs and net actuarial losses experienced by the plans will be recorded in the Other Comprehensive Income (OCI) section of shareholders’ equity on the balance sheet. The Company is required to initially recognize the funded status of our defined benefit plan, covering our Eltmann, Germany facility, and provide required disclosures for fiscal years ending after December 15, 2006. Based on the December 31, 2005, funded status of our defined benefit plan, we estimate the effect of SFAS 158 at that time would have been to increase total liabilities approximately $0.5 million, increase assets by approximately $0.2 million, and decrease shareholders’ equity by approximately $0.3 million. The actual effect will depend on the funded status as of December 31, 2006.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60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Long-Term Debt and Short-Term Debt</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6820" w:type="dxa"/>
            <w:vAlign w:val="bottom"/>
            <w:gridSpan w:val="3"/>
          </w:tcPr>
          <w:p>
            <w:pPr>
              <w:spacing w:after="0"/>
              <w:rPr>
                <w:sz w:val="20"/>
                <w:szCs w:val="20"/>
                <w:color w:val="auto"/>
              </w:rPr>
            </w:pPr>
            <w:r>
              <w:rPr>
                <w:rFonts w:ascii="Arial" w:cs="Arial" w:eastAsia="Arial" w:hAnsi="Arial"/>
                <w:sz w:val="18"/>
                <w:szCs w:val="18"/>
                <w:color w:val="auto"/>
                <w:w w:val="94"/>
              </w:rPr>
              <w:t>Long-term debt at September 30, 2006 and December 31, 2005 consisted of the following:</w:t>
            </w: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9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Borrowings under our $90,000 revolving credit facility bearing interest at a</w:t>
            </w:r>
          </w:p>
        </w:tc>
        <w:tc>
          <w:tcPr>
            <w:tcW w:w="14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floating rate equal to LIBOR (5.32% at September 30, 2006) plus an</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applicable margin of 0.60 to 0.925, expiring September 20, 2011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$ 22,743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Borrowings under our $30,000 revolving credit facility bearing interest at a</w:t>
            </w: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floating rate equal to LIBOR (5.32% at September 30, 2006) plus an</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applicable margin of 1.25 to 2.0 (closed on September 21, 2006)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Borrowings under our 26,300 Euro term loan originally expiring on May 1,</w:t>
            </w: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2008, bearing interest at a floating rate equal to Euro LIBOR (3.056% at</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2006) plus an applicable margin of 1.25 to 2.0 payable in</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quarterly installments of Euro 1,314 beginning July 1, 2003 through April</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 2008. This part of the facility was paid in full and was closed on</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21, 2006.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Borrowings under our $40,000 aggregate principal amount of senior notes</w:t>
            </w: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bearing interest at a fixed rate of 4.89% maturing on April 26, 2014.</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Annual principal payments of $5,714 begin on April 26, 2008 and extend</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through the date of maturity.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tcBorders>
              <w:top w:val="single" w:sz="8" w:color="CCEEFF"/>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debt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62,568</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Less current maturities of long-term debt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60" w:type="dxa"/>
            <w:vAlign w:val="bottom"/>
            <w:tcBorders>
              <w:top w:val="single" w:sz="8" w:color="CCEEFF"/>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60" w:type="dxa"/>
            <w:vAlign w:val="bottom"/>
            <w:shd w:val="clear" w:color="auto" w:fill="CCEEFF"/>
          </w:tcPr>
          <w:p>
            <w:pPr>
              <w:ind w:left="1120"/>
              <w:spacing w:after="0" w:line="201" w:lineRule="exact"/>
              <w:rPr>
                <w:sz w:val="20"/>
                <w:szCs w:val="20"/>
                <w:color w:val="auto"/>
              </w:rPr>
            </w:pPr>
            <w:r>
              <w:rPr>
                <w:rFonts w:ascii="Arial" w:cs="Arial" w:eastAsia="Arial" w:hAnsi="Arial"/>
                <w:sz w:val="18"/>
                <w:szCs w:val="18"/>
                <w:color w:val="auto"/>
                <w:w w:val="99"/>
              </w:rPr>
              <w:t>Long-term debt, excluding current maturities of long-term</w:t>
            </w: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debt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$ 62,500</w:t>
            </w:r>
          </w:p>
        </w:tc>
        <w:tc>
          <w:tcPr>
            <w:tcW w:w="4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$ 57,900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September 21, 2006, the Company entered into a five-year $90.0 million revolving credit facility maturing in September 2011 with Key Bank as the administrative agent. This facility can be increased to a maximum of $120.0 million under certain conditions specified in the agreement. The credit facility provides the Company the ability to borrow in US dollars at LIBOR plus an applicable margin of 0.60 to 0.925 or Euros at EURIBOR plus an applicable margin of 0.60 to .0925. The facility has a $10.0 million swing line feature to meet short term cash flow needs. Any borrowings under this swing line are considered short term. Costs associated with entering into the revolving credit facility were capitalized and will be amortized into interest expense over</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1" w:right="35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life of the facility. As of September 30, 2006, $457 of capitalized loan origination cost was on the balance sheet within other assets and was presented in the Financing Activities section of the Statement of Cash Flows. This new credit facility replaced our prior $90.0 million credit facility with AmSouth Bank as administrative agent. The loan agreement contains customary financial and non-financial covenants specifying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the Company’s business. The credit agreement is un-collateralized except for the pledge of stock of certain foreign and domestic subsidiaries and guarantees of certain domestic subsidiaries.</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$18,917 classified as current portion of long-term debt at June 30, 2006, was repaid as the revolving credit facility which was to expire on June 30, 2007 was replaced with the new facility discussed above. In the third quarter of 2006, $95 of capitalized loan cost related to the repaid revolving facility was written off to interest expense. The $4,668 under the Euro term loan classified as current portion of long-term debt at December 31, 2005 was repaid in the first quarter of 2006. The borrowings under the 26,300 Euro term loan have all been repaid and the facility was replaced with the new facility discussed above. Capitalized loan costs related to this portion of the facility amounting to $133 were written off as of June 30, 2006. We were in compliance with all covenants related to the new $90.0 million credit facility and the $40.0 million senior notes as of September 30, 2006.</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fair value of our fixed rate long-term borrowing is estimated using a discounted cash flow analysis based on our incremental borrowing rates for similar types of borrowing arrangements. We estimate the fair value of the $40.0 million notes to be $37,982 and $38,739 at September 30, 2006 and December 31, 2005, respectively.</w:t>
      </w:r>
    </w:p>
    <w:p>
      <w:pPr>
        <w:spacing w:after="0" w:line="2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 and Intangible Assets, net</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Goodwill and intangibles, net totaled $45,069 and consisted of goodwill of $42,974 and intangible assets subject to amortization of $2,095 as of September 30, 2006.</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changes in the carrying amount of goodwill and of the intangible assets subject to amortization for the nine month period ended September 30, 2006 and the twelve month period ended December 31, 2005 are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00" w:lineRule="exact"/>
        <w:rPr>
          <w:sz w:val="20"/>
          <w:szCs w:val="20"/>
          <w:color w:val="auto"/>
        </w:rPr>
      </w:pP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b w:val="1"/>
                <w:bCs w:val="1"/>
                <w:color w:val="auto"/>
              </w:rPr>
              <w:t>Plastic and</w:t>
            </w:r>
          </w:p>
        </w:tc>
        <w:tc>
          <w:tcPr>
            <w:tcW w:w="2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Rubber</w:t>
            </w:r>
          </w:p>
        </w:tc>
        <w:tc>
          <w:tcPr>
            <w:tcW w:w="2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(In Thousands of Dollars)</w:t>
            </w: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Components</w:t>
            </w:r>
          </w:p>
        </w:tc>
        <w:tc>
          <w:tcPr>
            <w:tcW w:w="2100" w:type="dxa"/>
            <w:vAlign w:val="bottom"/>
          </w:tcPr>
          <w:p>
            <w:pPr>
              <w:jc w:val="right"/>
              <w:ind w:right="930"/>
              <w:spacing w:after="0"/>
              <w:rPr>
                <w:sz w:val="20"/>
                <w:szCs w:val="20"/>
                <w:color w:val="auto"/>
              </w:rPr>
            </w:pPr>
            <w:r>
              <w:rPr>
                <w:rFonts w:ascii="Arial" w:cs="Arial" w:eastAsia="Arial" w:hAnsi="Arial"/>
                <w:sz w:val="18"/>
                <w:szCs w:val="18"/>
                <w:b w:val="1"/>
                <w:bCs w:val="1"/>
                <w:color w:val="auto"/>
              </w:rPr>
              <w:t>NN Europe</w:t>
            </w:r>
          </w:p>
        </w:tc>
        <w:tc>
          <w:tcPr>
            <w:tcW w:w="220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0"/>
        </w:trPr>
        <w:tc>
          <w:tcPr>
            <w:tcW w:w="2900" w:type="dxa"/>
            <w:vAlign w:val="bottom"/>
            <w:gridSpan w:val="2"/>
            <w:vMerge w:val="continue"/>
          </w:tcPr>
          <w:p>
            <w:pPr>
              <w:spacing w:after="0"/>
              <w:rPr>
                <w:sz w:val="12"/>
                <w:szCs w:val="12"/>
                <w:color w:val="auto"/>
              </w:rPr>
            </w:pPr>
          </w:p>
        </w:tc>
        <w:tc>
          <w:tcPr>
            <w:tcW w:w="19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Segment</w:t>
            </w:r>
          </w:p>
        </w:tc>
        <w:tc>
          <w:tcPr>
            <w:tcW w:w="2100" w:type="dxa"/>
            <w:vAlign w:val="bottom"/>
            <w:vMerge w:val="restart"/>
          </w:tcPr>
          <w:p>
            <w:pPr>
              <w:jc w:val="right"/>
              <w:ind w:right="1050"/>
              <w:spacing w:after="0"/>
              <w:rPr>
                <w:sz w:val="20"/>
                <w:szCs w:val="20"/>
                <w:color w:val="auto"/>
              </w:rPr>
            </w:pPr>
            <w:r>
              <w:rPr>
                <w:rFonts w:ascii="Arial" w:cs="Arial" w:eastAsia="Arial" w:hAnsi="Arial"/>
                <w:sz w:val="18"/>
                <w:szCs w:val="18"/>
                <w:b w:val="1"/>
                <w:bCs w:val="1"/>
                <w:color w:val="auto"/>
              </w:rPr>
              <w:t>Segment</w:t>
            </w: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vMerge w:val="continue"/>
          </w:tcPr>
          <w:p>
            <w:pPr>
              <w:spacing w:after="0"/>
              <w:rPr>
                <w:sz w:val="9"/>
                <w:szCs w:val="9"/>
                <w:color w:val="auto"/>
              </w:rPr>
            </w:pPr>
          </w:p>
        </w:tc>
        <w:tc>
          <w:tcPr>
            <w:tcW w:w="2100" w:type="dxa"/>
            <w:vAlign w:val="bottom"/>
            <w:tcBorders>
              <w:bottom w:val="single" w:sz="8" w:color="auto"/>
            </w:tcBorders>
            <w:vMerge w:val="continue"/>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2005</w:t>
            </w: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$ 25,755</w:t>
            </w:r>
          </w:p>
        </w:tc>
        <w:tc>
          <w:tcPr>
            <w:tcW w:w="2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$ 18,702</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$ 44,457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Currency impacts</w:t>
            </w: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(2,809)</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$ 25,755</w:t>
            </w:r>
          </w:p>
        </w:tc>
        <w:tc>
          <w:tcPr>
            <w:tcW w:w="2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$ 15,893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80" w:type="dxa"/>
            <w:vAlign w:val="bottom"/>
          </w:tcPr>
          <w:p>
            <w:pPr>
              <w:spacing w:after="0" w:line="196" w:lineRule="exact"/>
              <w:rPr>
                <w:sz w:val="20"/>
                <w:szCs w:val="20"/>
                <w:color w:val="auto"/>
              </w:rPr>
            </w:pPr>
            <w:r>
              <w:rPr>
                <w:rFonts w:ascii="Arial" w:cs="Arial" w:eastAsia="Arial" w:hAnsi="Arial"/>
                <w:sz w:val="18"/>
                <w:szCs w:val="18"/>
                <w:color w:val="auto"/>
              </w:rPr>
              <w:t>Balance as of January 1, 2006</w:t>
            </w:r>
          </w:p>
        </w:tc>
        <w:tc>
          <w:tcPr>
            <w:tcW w:w="19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$ 25,755</w:t>
            </w:r>
          </w:p>
        </w:tc>
        <w:tc>
          <w:tcPr>
            <w:tcW w:w="210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$15,893</w:t>
            </w: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$41,64</w:t>
            </w: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impacts</w:t>
            </w: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1,326</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Balance as of September 30, 2006</w:t>
            </w: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$ 25,755</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$ 17,219</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$ 42,974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w w:val="98"/>
              </w:rPr>
              <w:t>Intangible assets subject to amortization, net of amortization</w:t>
            </w:r>
          </w:p>
        </w:tc>
        <w:tc>
          <w:tcPr>
            <w:tcW w:w="4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31"/>
        </w:trPr>
        <w:tc>
          <w:tcPr>
            <w:tcW w:w="116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180" w:type="dxa"/>
            <w:vAlign w:val="bottom"/>
          </w:tcPr>
          <w:p>
            <w:pPr>
              <w:jc w:val="right"/>
              <w:ind w:right="90"/>
              <w:spacing w:after="0"/>
              <w:rPr>
                <w:sz w:val="20"/>
                <w:szCs w:val="20"/>
                <w:color w:val="auto"/>
              </w:rPr>
            </w:pPr>
            <w:r>
              <w:rPr>
                <w:rFonts w:ascii="Arial" w:cs="Arial" w:eastAsia="Arial" w:hAnsi="Arial"/>
                <w:sz w:val="18"/>
                <w:szCs w:val="18"/>
                <w:b w:val="1"/>
                <w:bCs w:val="1"/>
                <w:color w:val="auto"/>
              </w:rPr>
              <w:t>NN Europe</w:t>
            </w:r>
          </w:p>
        </w:tc>
        <w:tc>
          <w:tcPr>
            <w:tcW w:w="960" w:type="dxa"/>
            <w:vAlign w:val="bottom"/>
          </w:tcPr>
          <w:p>
            <w:pPr>
              <w:spacing w:after="0"/>
              <w:rPr>
                <w:sz w:val="24"/>
                <w:szCs w:val="24"/>
                <w:color w:val="auto"/>
              </w:rPr>
            </w:pPr>
          </w:p>
        </w:tc>
      </w:tr>
      <w:tr>
        <w:trPr>
          <w:trHeight w:val="261"/>
        </w:trPr>
        <w:tc>
          <w:tcPr>
            <w:tcW w:w="514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4180" w:type="dxa"/>
            <w:vAlign w:val="bottom"/>
          </w:tcPr>
          <w:p>
            <w:pPr>
              <w:jc w:val="right"/>
              <w:ind w:right="90"/>
              <w:spacing w:after="0"/>
              <w:rPr>
                <w:sz w:val="20"/>
                <w:szCs w:val="20"/>
                <w:color w:val="auto"/>
              </w:rPr>
            </w:pPr>
            <w:r>
              <w:rPr>
                <w:rFonts w:ascii="Arial" w:cs="Arial" w:eastAsia="Arial" w:hAnsi="Arial"/>
                <w:sz w:val="18"/>
                <w:szCs w:val="18"/>
                <w:b w:val="1"/>
                <w:bCs w:val="1"/>
                <w:color w:val="auto"/>
              </w:rPr>
              <w:t>Segment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0"/>
        </w:trPr>
        <w:tc>
          <w:tcPr>
            <w:tcW w:w="116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2005</w:t>
            </w:r>
          </w:p>
        </w:tc>
        <w:tc>
          <w:tcPr>
            <w:tcW w:w="4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Acquisition of intangibles</w:t>
            </w:r>
          </w:p>
        </w:tc>
        <w:tc>
          <w:tcPr>
            <w:tcW w:w="4180" w:type="dxa"/>
            <w:vAlign w:val="bottom"/>
          </w:tcPr>
          <w:p>
            <w:pPr>
              <w:jc w:val="right"/>
              <w:ind w:right="90"/>
              <w:spacing w:after="0"/>
              <w:rPr>
                <w:sz w:val="20"/>
                <w:szCs w:val="20"/>
                <w:color w:val="auto"/>
              </w:rPr>
            </w:pPr>
            <w:r>
              <w:rPr>
                <w:rFonts w:ascii="Arial" w:cs="Arial" w:eastAsia="Arial" w:hAnsi="Arial"/>
                <w:sz w:val="18"/>
                <w:szCs w:val="18"/>
                <w:color w:val="auto"/>
              </w:rPr>
              <w:t>456</w:t>
            </w: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4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Currency impacts</w:t>
            </w:r>
          </w:p>
        </w:tc>
        <w:tc>
          <w:tcPr>
            <w:tcW w:w="4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1160" w:type="dxa"/>
            <w:vAlign w:val="bottom"/>
          </w:tcPr>
          <w:p>
            <w:pPr>
              <w:spacing w:after="0"/>
              <w:rPr>
                <w:sz w:val="22"/>
                <w:szCs w:val="22"/>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4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$ 432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$ 432</w:t>
            </w:r>
          </w:p>
        </w:tc>
      </w:tr>
      <w:tr>
        <w:trPr>
          <w:trHeight w:val="197"/>
        </w:trPr>
        <w:tc>
          <w:tcPr>
            <w:tcW w:w="116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color w:val="auto"/>
              </w:rPr>
              <w:t>Balance as of January 1, 2006</w:t>
            </w:r>
          </w:p>
        </w:tc>
        <w:tc>
          <w:tcPr>
            <w:tcW w:w="4180" w:type="dxa"/>
            <w:vAlign w:val="bottom"/>
          </w:tcPr>
          <w:p>
            <w:pPr>
              <w:jc w:val="right"/>
              <w:ind w:right="90"/>
              <w:spacing w:after="0" w:line="196" w:lineRule="exact"/>
              <w:rPr>
                <w:sz w:val="20"/>
                <w:szCs w:val="20"/>
                <w:color w:val="auto"/>
              </w:rPr>
            </w:pPr>
            <w:r>
              <w:rPr>
                <w:rFonts w:ascii="Arial" w:cs="Arial" w:eastAsia="Arial" w:hAnsi="Arial"/>
                <w:sz w:val="18"/>
                <w:szCs w:val="18"/>
                <w:color w:val="auto"/>
              </w:rPr>
              <w:t>$ 432</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$ 432</w:t>
            </w:r>
          </w:p>
        </w:tc>
      </w:tr>
      <w:tr>
        <w:trPr>
          <w:trHeight w:val="216"/>
        </w:trPr>
        <w:tc>
          <w:tcPr>
            <w:tcW w:w="1160" w:type="dxa"/>
            <w:vAlign w:val="bottom"/>
          </w:tcPr>
          <w:p>
            <w:pPr>
              <w:spacing w:after="0"/>
              <w:rPr>
                <w:sz w:val="18"/>
                <w:szCs w:val="18"/>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intangibles</w:t>
            </w:r>
          </w:p>
        </w:tc>
        <w:tc>
          <w:tcPr>
            <w:tcW w:w="4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16"/>
        </w:trPr>
        <w:tc>
          <w:tcPr>
            <w:tcW w:w="116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418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7"/>
        </w:trPr>
        <w:tc>
          <w:tcPr>
            <w:tcW w:w="1160" w:type="dxa"/>
            <w:vAlign w:val="bottom"/>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Currency impacts</w:t>
            </w:r>
          </w:p>
        </w:tc>
        <w:tc>
          <w:tcPr>
            <w:tcW w:w="4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1160" w:type="dxa"/>
            <w:vAlign w:val="bottom"/>
          </w:tcPr>
          <w:p>
            <w:pPr>
              <w:spacing w:after="0"/>
              <w:rPr>
                <w:sz w:val="21"/>
                <w:szCs w:val="21"/>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2006</w:t>
            </w:r>
          </w:p>
        </w:tc>
        <w:tc>
          <w:tcPr>
            <w:tcW w:w="4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$ 2,095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$ 2,095</w:t>
            </w: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intangible asset in the table above is a contract intangible related to the SNR purchase agreement and related supply agreement (See Note 5.) This intangible asset is subject to amortization over approximately 5 years and amortization expense will approximate $500 for each of the five years. For the three and nine months ended September 30, 2006, the amortization expense totaled $125 and $243, respectively, and accumulated amortization totaled $243 at September 30, 2006.</w:t>
      </w:r>
    </w:p>
    <w:p>
      <w:pPr>
        <w:spacing w:after="0" w:line="27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 Compensation</w:t>
      </w:r>
    </w:p>
    <w:p>
      <w:pPr>
        <w:spacing w:after="0" w:line="2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 2006, the Company adopted SFAS No. 123(R) “Share-Based Payment.” SFAS No. 123(R) replaces SFAS No. 123 “Accounting for Stock-Based Compensation” and supersedes Accounting Principles Board Opinion (“APB”) No. 25 “Accounting for Stock Issued to Employees” and amends SFAS No. 95 “Statement of Cash Flows.” Prior to adoption of SFAS No. 123(R) the Company followed the disclosure-only requirements of SFAS No. 123 and continued to account for stock compensation under the requirements of APB No. 25.</w:t>
      </w: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adopted SFAS No. 123(R) using the modified prospective method that requires compensation expense of all employee and non-employee director share-based compensation awards be recognized in the financial statements based upon their fair value over the requisite service or vesting period for all new awards granted after the effective date and for all awards granted prior to the effective date of SFAS No. 123(R) that remain unvested on the effective date. Under the requirements of APB No. 25, the Company was required to recognize compensation cost only for stock option awards granted at a price lower than the market stock price at the date of grant. Effective with adoption of SFAS No. 123(R) , compensation expense related to stock option awards is recognized in the financial statements at the fair value of the award. The Company accounts for restricted share awards by recognizing the fair value of the awarded stock at the grant date as compensation expense over the vesting period, less anticipated forfeitures.</w:t>
      </w:r>
    </w:p>
    <w:p>
      <w:pPr>
        <w:spacing w:after="0" w:line="2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implementation requirements of SFAS No. 123(R) under the modified prospective method, the Company did not restate prior fiscal periods and is required to continue the same disclosure only requirements of SFAS No. 123 for comparative purposes until all periods reported are comparable on the same basis. The following table illustrates the reported net earnings for 2005 and pro-forma net earnings for 2005 including the effects of expensing stock options.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Three months</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Nine months</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ended</w:t>
            </w:r>
          </w:p>
        </w:tc>
      </w:tr>
      <w:tr>
        <w:trPr>
          <w:trHeight w:val="234"/>
        </w:trPr>
        <w:tc>
          <w:tcPr>
            <w:tcW w:w="20" w:type="dxa"/>
            <w:vAlign w:val="bottom"/>
          </w:tcPr>
          <w:p>
            <w:pPr>
              <w:spacing w:after="0"/>
              <w:rPr>
                <w:sz w:val="20"/>
                <w:szCs w:val="20"/>
                <w:color w:val="auto"/>
              </w:rPr>
            </w:pP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 Except per Share Data)</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September 30, 2005</w:t>
            </w: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2005</w:t>
            </w:r>
          </w:p>
        </w:tc>
      </w:tr>
      <w:tr>
        <w:trPr>
          <w:trHeight w:val="237"/>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 as reported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$ 9,892</w:t>
            </w: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9"/>
              </w:rPr>
              <w:t>Stock based compensation (income) expense, net of income tax,</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included in net income as reported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based compensation costs, net of income tax, that would have</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been included in net income if the fair value method had been</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applied</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37"/>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 pro-forma for 2005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$ 2,489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$ 9,477</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43"/>
        </w:trPr>
        <w:tc>
          <w:tcPr>
            <w:tcW w:w="5180" w:type="dxa"/>
            <w:vAlign w:val="bottom"/>
            <w:gridSpan w:val="2"/>
          </w:tcPr>
          <w:p>
            <w:pPr>
              <w:spacing w:after="0"/>
              <w:rPr>
                <w:sz w:val="20"/>
                <w:szCs w:val="20"/>
                <w:color w:val="auto"/>
              </w:rPr>
            </w:pPr>
            <w:r>
              <w:rPr>
                <w:rFonts w:ascii="Arial" w:cs="Arial" w:eastAsia="Arial" w:hAnsi="Arial"/>
                <w:sz w:val="18"/>
                <w:szCs w:val="18"/>
                <w:color w:val="auto"/>
              </w:rPr>
              <w:t>Basic earnings per share - as reported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$ 0.15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$ 0.58</w:t>
            </w: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 based compensation (income) expense, net of income tax,</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net income as reported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4"/>
              </w:rPr>
              <w:t>Stock based compensation costs, net of income tax, that would have</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w w:val="98"/>
              </w:rPr>
              <w:t>been included in net income if the fair value method had been</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applied</w:t>
            </w:r>
          </w:p>
        </w:tc>
        <w:tc>
          <w:tcPr>
            <w:tcW w:w="22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77"/>
        </w:trPr>
        <w:tc>
          <w:tcPr>
            <w:tcW w:w="20" w:type="dxa"/>
            <w:vAlign w:val="bottom"/>
          </w:tcPr>
          <w:p>
            <w:pPr>
              <w:spacing w:after="0"/>
              <w:rPr>
                <w:sz w:val="24"/>
                <w:szCs w:val="2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 pro-forma for 2005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$ 0.14</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$ 0.55</w:t>
            </w:r>
          </w:p>
        </w:tc>
      </w:tr>
      <w:tr>
        <w:trPr>
          <w:trHeight w:val="224"/>
        </w:trPr>
        <w:tc>
          <w:tcPr>
            <w:tcW w:w="20" w:type="dxa"/>
            <w:vAlign w:val="bottom"/>
          </w:tcPr>
          <w:p>
            <w:pPr>
              <w:spacing w:after="0"/>
              <w:rPr>
                <w:sz w:val="19"/>
                <w:szCs w:val="19"/>
                <w:color w:val="auto"/>
              </w:rPr>
            </w:pPr>
          </w:p>
        </w:tc>
        <w:tc>
          <w:tcPr>
            <w:tcW w:w="5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share-assuming dilution - as reported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$ 0.57</w:t>
            </w:r>
          </w:p>
        </w:tc>
      </w:tr>
      <w:tr>
        <w:trPr>
          <w:trHeight w:val="202"/>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9"/>
              </w:rPr>
              <w:t>Stock based compensation (income) expense, net of income tax,</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included in net income as reported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based compensation costs, net of income tax, that would have</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been included in net income if the fair value method had been</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applied</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37"/>
        </w:trPr>
        <w:tc>
          <w:tcPr>
            <w:tcW w:w="5180" w:type="dxa"/>
            <w:vAlign w:val="bottom"/>
            <w:gridSpan w:val="2"/>
          </w:tcPr>
          <w:p>
            <w:pPr>
              <w:spacing w:after="0"/>
              <w:rPr>
                <w:sz w:val="20"/>
                <w:szCs w:val="20"/>
                <w:color w:val="auto"/>
              </w:rPr>
            </w:pPr>
            <w:r>
              <w:rPr>
                <w:rFonts w:ascii="Arial" w:cs="Arial" w:eastAsia="Arial" w:hAnsi="Arial"/>
                <w:sz w:val="18"/>
                <w:szCs w:val="18"/>
                <w:color w:val="auto"/>
              </w:rPr>
              <w:t>Earnings per share - assuming dilution-pro-forma for 2005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$ 0.14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$ 0.54</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three and nine month periods ended September 30, 2006, approximately $116 and $321, respectively, of compensation expense was recognized in selling, general and administrative expense for all share-based awards. The cost recognized related to the restricted stock awards for the three and nine month periods was $47 and $252, respectively. The compensation expense recognized related to stock options during the three and nine month periods ended September 30, 2006 was $69. The impact on net income of all stock compensation expense in the nine months ended September 30, 2006 was approximately $231, net of tax benefits of $90.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Option awards are typically granted to non-employee directors and key employees on an annual basis. A single option grant is typically awarded to eligible employees and non-employee directors in the third quarter of each year if and when granted by the Compensation Committee of the Board of Directors and occasional individual grants are awarded to eligible employees throughout the year. All employee and non-employee directors are awarded options at an exercise price equal to the closing price of the Company's stock on the date of grant. The term life of options is ten years with vesting periods of generally three years for key employees and one year for non-employee directors. The fair value of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On August 14, 2006, the Company granted 154 options to certain key employees and non-employee directors. The assumptions relevant to determining the fair value at the date of grant are below:</w:t>
      </w:r>
    </w:p>
    <w:p>
      <w:pPr>
        <w:spacing w:after="0" w:line="22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Term</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1"/>
              </w:rPr>
              <w:t>6 years</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4.95%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Dividend yield</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2.78%</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Volatility</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88"/>
              </w:rPr>
              <w:t>43.68%</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6.20%</w:t>
            </w: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volatility rate is derived from actual Company common stock volatility over the same time period as the expected term. The volatility rate is derived by mathematical formula utilizing daily closing price data.</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expected dividend yield is derived by mathematical formula which uses the expected Company annual dividends over the expected term divided by the fair market value of the Company's common stock at the grant date.</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224"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forfeiture rate is determined from examining the historical pre-vesting forfeiture patterns of past option issuances to key employees and non-employee directors. While the forfeiture rate is not an input of the Black Scholes model for determining the fair value of the options, it is an important determinant of stock option compensation expense to be recorded. Prior to the quarter ended September 30, 2006, the Company used a standard forfeiture rate of 5%.</w:t>
      </w:r>
    </w:p>
    <w:p>
      <w:pPr>
        <w:spacing w:after="0" w:line="20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term is derived from using the “Simplified Method” of determining stock option terms as described under the Securities and Exchange Commissions Staff Accounting Bulletin 107. Prior to the quarter ended September 30, 2006, the option term was equal to the vesting period of 3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2006:</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20" w:type="dxa"/>
            <w:vAlign w:val="bottom"/>
          </w:tcPr>
          <w:p>
            <w:pPr>
              <w:spacing w:after="0"/>
              <w:rPr>
                <w:sz w:val="20"/>
                <w:szCs w:val="20"/>
                <w:color w:val="auto"/>
              </w:rPr>
            </w:pPr>
          </w:p>
        </w:tc>
        <w:tc>
          <w:tcPr>
            <w:tcW w:w="392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Shares (000)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($000)</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20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1" w:lineRule="exact"/>
              <w:rPr>
                <w:sz w:val="20"/>
                <w:szCs w:val="20"/>
                <w:color w:val="auto"/>
              </w:rPr>
            </w:pPr>
            <w:r>
              <w:rPr>
                <w:rFonts w:ascii="Arial" w:cs="Arial" w:eastAsia="Arial" w:hAnsi="Arial"/>
                <w:sz w:val="18"/>
                <w:szCs w:val="18"/>
                <w:color w:val="auto"/>
              </w:rPr>
              <w:t>3,025</w:t>
            </w:r>
            <w:r>
              <w:rPr>
                <w:rFonts w:ascii="Arial" w:cs="Arial" w:eastAsia="Arial" w:hAnsi="Arial"/>
                <w:sz w:val="29"/>
                <w:szCs w:val="29"/>
                <w:color w:val="auto"/>
                <w:vertAlign w:val="superscript"/>
              </w:rPr>
              <w:t>(1</w:t>
            </w: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Exercisable at September 30,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37" w:lineRule="exact"/>
              <w:rPr>
                <w:sz w:val="20"/>
                <w:szCs w:val="20"/>
                <w:color w:val="auto"/>
              </w:rPr>
            </w:pPr>
            <w:r>
              <w:rPr>
                <w:rFonts w:ascii="Arial" w:cs="Arial" w:eastAsia="Arial" w:hAnsi="Arial"/>
                <w:sz w:val="17"/>
                <w:szCs w:val="17"/>
                <w:color w:val="auto"/>
              </w:rPr>
              <w:t>2,974</w:t>
            </w:r>
            <w:r>
              <w:rPr>
                <w:rFonts w:ascii="Arial" w:cs="Arial" w:eastAsia="Arial" w:hAnsi="Arial"/>
                <w:sz w:val="27"/>
                <w:szCs w:val="27"/>
                <w:color w:val="auto"/>
                <w:vertAlign w:val="superscript"/>
              </w:rPr>
              <w:t>(1</w:t>
            </w: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Intrinsic value is the amount by which the market price of the stock exceeds the exercise price of the options at September 30, 2006.</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December 31, 2005, all outstanding options were fully vested and no compensation expense was incurred from these options. There were 154 and 267 options granted, respectively during the nine month periods ended September 30, 2006 and 2005. The weighted average grant date fair value of the options granted during the nine months ended September 30, 2006 was $4.30. As of September 30, 2006, there was approximately $522 of unrecognized compensation cost to be recognized over approximately three years.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Cash proceeds from the exercise of options in the three and nine month periods ended September 30, 2006 totaled approximately $0 and $696, respectively. In the three and nine month periods ended September 30, 2005, the Company received $739 and $2,861, respectively, in cash proceeds from the exercise of stock options. For the nine month periods ended September 30, 2006 and 2005, proceeds from stock options were presented inclusive of tax benefits of</w:t>
      </w:r>
    </w:p>
    <w:p>
      <w:pPr>
        <w:ind w:right="200" w:firstLine="45"/>
        <w:spacing w:after="0" w:line="261" w:lineRule="auto"/>
        <w:rPr>
          <w:sz w:val="20"/>
          <w:szCs w:val="20"/>
          <w:color w:val="auto"/>
        </w:rPr>
      </w:pPr>
      <w:r>
        <w:rPr>
          <w:rFonts w:ascii="Arial" w:cs="Arial" w:eastAsia="Arial" w:hAnsi="Arial"/>
          <w:sz w:val="18"/>
          <w:szCs w:val="18"/>
          <w:color w:val="auto"/>
        </w:rPr>
        <w:t>$87 and $626, respectively, in the Financing Activities section of the Consolidated Statements of Cash Flows. The total intrinsic value of options exercised during the nine month periods ended September 30, 2006 and 2005 was $290 and $1,846,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8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addition to stock option awards, the Company has restricted stock awards, the first grant of which was in July 2005. The Company’s policy for issuing restricted shares is similar to that described under “Stock Option Awards”. The recognized compensation costs before tax for these restricted stock awards in the three and nine month periods ended September 30, 2006 were approximately $47 and $252, respectively. The recognized compensation expense for restricted stock in the three and nine month periods ended September 30, 2005 was $103. The unrecognized compensation cost before tax for these awards at September 30, 2006 and 2005 total approximately $215 and $570, respectively, to be recognized over approximately two years. As of September 30, 2006, the forfeiture rate of the awards granted was 0%. Below is a summary of the status of the restricted shares as of September 30, 2006 and changes during the nine month period ended September 30, 2006: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40" w:type="dxa"/>
            <w:vAlign w:val="bottom"/>
          </w:tcPr>
          <w:p>
            <w:pPr>
              <w:jc w:val="right"/>
              <w:ind w:right="89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ind w:left="61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tcPr>
          <w:p>
            <w:pPr>
              <w:spacing w:after="0"/>
              <w:rPr>
                <w:sz w:val="18"/>
                <w:szCs w:val="18"/>
                <w:color w:val="auto"/>
              </w:rPr>
            </w:pPr>
          </w:p>
        </w:tc>
        <w:tc>
          <w:tcPr>
            <w:tcW w:w="2340" w:type="dxa"/>
            <w:vAlign w:val="bottom"/>
          </w:tcPr>
          <w:p>
            <w:pPr>
              <w:jc w:val="right"/>
              <w:ind w:right="670"/>
              <w:spacing w:after="0"/>
              <w:rPr>
                <w:sz w:val="20"/>
                <w:szCs w:val="20"/>
                <w:color w:val="auto"/>
              </w:rPr>
            </w:pPr>
            <w:r>
              <w:rPr>
                <w:rFonts w:ascii="Arial" w:cs="Arial" w:eastAsia="Arial" w:hAnsi="Arial"/>
                <w:sz w:val="18"/>
                <w:szCs w:val="18"/>
                <w:b w:val="1"/>
                <w:bCs w:val="1"/>
                <w:color w:val="auto"/>
              </w:rPr>
              <w:t>Average Grant-</w:t>
            </w:r>
          </w:p>
        </w:tc>
      </w:tr>
      <w:tr>
        <w:trPr>
          <w:trHeight w:val="234"/>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tcPr>
          <w:p>
            <w:pPr>
              <w:ind w:left="1020"/>
              <w:spacing w:after="0"/>
              <w:rPr>
                <w:sz w:val="20"/>
                <w:szCs w:val="20"/>
                <w:color w:val="auto"/>
              </w:rPr>
            </w:pPr>
            <w:r>
              <w:rPr>
                <w:rFonts w:ascii="Arial" w:cs="Arial" w:eastAsia="Arial" w:hAnsi="Arial"/>
                <w:sz w:val="18"/>
                <w:szCs w:val="18"/>
                <w:b w:val="1"/>
                <w:bCs w:val="1"/>
                <w:color w:val="auto"/>
              </w:rPr>
              <w:t>Non-vested Shares</w:t>
            </w:r>
          </w:p>
        </w:tc>
        <w:tc>
          <w:tcPr>
            <w:tcW w:w="2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spacing w:after="0"/>
              <w:rPr>
                <w:sz w:val="20"/>
                <w:szCs w:val="20"/>
                <w:color w:val="auto"/>
              </w:rPr>
            </w:pPr>
          </w:p>
        </w:tc>
        <w:tc>
          <w:tcPr>
            <w:tcW w:w="2340" w:type="dxa"/>
            <w:vAlign w:val="bottom"/>
          </w:tcPr>
          <w:p>
            <w:pPr>
              <w:jc w:val="right"/>
              <w:ind w:right="650"/>
              <w:spacing w:after="0"/>
              <w:rPr>
                <w:sz w:val="20"/>
                <w:szCs w:val="20"/>
                <w:color w:val="auto"/>
              </w:rPr>
            </w:pPr>
            <w:r>
              <w:rPr>
                <w:rFonts w:ascii="Arial" w:cs="Arial" w:eastAsia="Arial" w:hAnsi="Arial"/>
                <w:sz w:val="18"/>
                <w:szCs w:val="18"/>
                <w:b w:val="1"/>
                <w:bCs w:val="1"/>
                <w:color w:val="auto"/>
              </w:rPr>
              <w:t>Date Fair Value</w:t>
            </w:r>
          </w:p>
        </w:tc>
      </w:tr>
      <w:tr>
        <w:trPr>
          <w:trHeight w:val="237"/>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260" w:type="dxa"/>
            <w:vAlign w:val="bottom"/>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53</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$ 12.70</w:t>
            </w:r>
          </w:p>
        </w:tc>
      </w:tr>
      <w:tr>
        <w:trPr>
          <w:trHeight w:val="243"/>
        </w:trPr>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$ 12.70</w:t>
            </w:r>
          </w:p>
        </w:tc>
      </w:tr>
      <w:tr>
        <w:trPr>
          <w:trHeight w:val="270"/>
        </w:trPr>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September 30, 2006</w:t>
            </w:r>
          </w:p>
        </w:tc>
        <w:tc>
          <w:tcPr>
            <w:tcW w:w="26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$ 12.70</w:t>
            </w:r>
          </w:p>
        </w:tc>
      </w:tr>
      <w:tr>
        <w:trPr>
          <w:trHeight w:val="507"/>
        </w:trPr>
        <w:tc>
          <w:tcPr>
            <w:tcW w:w="86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3780" w:type="dxa"/>
            <w:vAlign w:val="bottom"/>
            <w:gridSpan w:val="2"/>
          </w:tcPr>
          <w:p>
            <w:pPr>
              <w:ind w:left="240"/>
              <w:spacing w:after="0"/>
              <w:rPr>
                <w:sz w:val="20"/>
                <w:szCs w:val="20"/>
                <w:color w:val="auto"/>
              </w:rPr>
            </w:pPr>
            <w:r>
              <w:rPr>
                <w:rFonts w:ascii="Arial" w:cs="Arial" w:eastAsia="Arial" w:hAnsi="Arial"/>
                <w:sz w:val="18"/>
                <w:szCs w:val="18"/>
                <w:b w:val="1"/>
                <w:bCs w:val="1"/>
                <w:color w:val="auto"/>
              </w:rPr>
              <w:t>Common Stock Repurchase</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200" w:lineRule="exact"/>
        <w:rPr>
          <w:sz w:val="20"/>
          <w:szCs w:val="20"/>
          <w:color w:val="auto"/>
        </w:rPr>
      </w:pPr>
    </w:p>
    <w:p>
      <w:pPr>
        <w:spacing w:after="0" w:line="3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first quarter of 2006, the Company’s Board of Directors authorized a stock repurchase program under which the Company is authorized to repurchase up to $10 million in common stock of the Company, during the subsequent 18 months in the open market or in private transactions, in accordance with applicable laws and regulations. This amount represented approximately 5% of the Company’s outstanding stock at the date of authorization. During the third quarter of 2006, the Company repurchased 157 shares at an approximate average cost of $11.82 a share for a total of $1,852. For the nine months ended September 30, 2006, the Company has repurchased 214 shares for a total of $2,534 at an approximate average cost of $11.87 per share. These shares have been retired and were recorded as an offset to additional paid in capital.</w:t>
      </w:r>
    </w:p>
    <w:p>
      <w:pPr>
        <w:spacing w:after="0" w:line="2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 Charges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Eltmann, Germany Restructuring</w:t>
      </w:r>
    </w:p>
    <w:p>
      <w:pPr>
        <w:spacing w:after="0" w:line="28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During the fourth quarter of 2004, we announced a reduction in staffing at our Eltmann, Germany ball production facility, a component of our NN Europe Segment. This restructuring has affected 76 employees and is expected to affect another 8 and will be completed during 2006.</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restructuring charges related to the restructuring at the Company’s Eltmann, Germany facility for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the nine months ended September 30, 2006: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w w:val="95"/>
              </w:rPr>
              <w:t>Twelve months ended December 31, 2005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 Thousands of Dollars)</w:t>
            </w:r>
          </w:p>
        </w:tc>
        <w:tc>
          <w:tcPr>
            <w:tcW w:w="1560" w:type="dxa"/>
            <w:vAlign w:val="bottom"/>
            <w:gridSpan w:val="4"/>
            <w:shd w:val="clear" w:color="auto" w:fill="CCEEFF"/>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Reserve Balance</w:t>
            </w:r>
          </w:p>
        </w:tc>
        <w:tc>
          <w:tcPr>
            <w:tcW w:w="1220" w:type="dxa"/>
            <w:vAlign w:val="bottom"/>
            <w:tcBorders>
              <w:right w:val="single" w:sz="8" w:color="CCEEFF"/>
            </w:tcBorders>
            <w:gridSpan w:val="2"/>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Adjustment to</w:t>
            </w:r>
          </w:p>
        </w:tc>
        <w:tc>
          <w:tcPr>
            <w:tcW w:w="2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Paid in</w:t>
            </w:r>
          </w:p>
        </w:tc>
        <w:tc>
          <w:tcPr>
            <w:tcW w:w="260" w:type="dxa"/>
            <w:vAlign w:val="bottom"/>
            <w:tcBorders>
              <w:right w:val="single" w:sz="8" w:color="CCEEFF"/>
            </w:tcBorders>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3"/>
              </w:rPr>
              <w:t>Currency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Reserve Balance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2"/>
              </w:rPr>
              <w:t>at 01/01/05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8"/>
              </w:rPr>
              <w:t>Reserve</w:t>
            </w:r>
          </w:p>
        </w:tc>
        <w:tc>
          <w:tcPr>
            <w:tcW w:w="1140" w:type="dxa"/>
            <w:vAlign w:val="bottom"/>
            <w:tcBorders>
              <w:bottom w:val="single" w:sz="8" w:color="CCEEFF"/>
              <w:right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Impacts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at 12/31/05</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2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88"/>
              </w:rPr>
              <w:t>Severance and other employee</w:t>
            </w:r>
          </w:p>
        </w:tc>
        <w:tc>
          <w:tcPr>
            <w:tcW w:w="100" w:type="dxa"/>
            <w:vAlign w:val="bottom"/>
            <w:tcBorders>
              <w:top w:val="single" w:sz="8" w:color="CCEEFF"/>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ind w:left="114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$ 2,290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 (342)</w:t>
            </w:r>
          </w:p>
        </w:tc>
        <w:tc>
          <w:tcPr>
            <w:tcW w:w="24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(884)</w:t>
            </w:r>
          </w:p>
        </w:tc>
        <w:tc>
          <w:tcPr>
            <w:tcW w:w="26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(219)</w:t>
            </w:r>
          </w:p>
        </w:tc>
        <w:tc>
          <w:tcPr>
            <w:tcW w:w="24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$ 845</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$ 2,290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 (342)</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90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 (884)</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11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 (219)</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$ 845</w:t>
            </w:r>
          </w:p>
        </w:tc>
        <w:tc>
          <w:tcPr>
            <w:tcW w:w="0" w:type="dxa"/>
            <w:vAlign w:val="bottom"/>
          </w:tcPr>
          <w:p>
            <w:pPr>
              <w:spacing w:after="0"/>
              <w:rPr>
                <w:sz w:val="1"/>
                <w:szCs w:val="1"/>
                <w:color w:val="auto"/>
              </w:rPr>
            </w:pPr>
          </w:p>
        </w:tc>
      </w:tr>
      <w:tr>
        <w:trPr>
          <w:trHeight w:val="467"/>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w w:val="99"/>
              </w:rPr>
              <w:t>Nine months ended September 30, 2006</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Borders>
              <w:right w:val="single" w:sz="8" w:color="CCEEFF"/>
            </w:tcBorders>
            <w:shd w:val="clear" w:color="auto" w:fill="CCEEFF"/>
          </w:tcPr>
          <w:p>
            <w:pPr>
              <w:spacing w:after="0"/>
              <w:rPr>
                <w:sz w:val="17"/>
                <w:szCs w:val="17"/>
                <w:color w:val="auto"/>
              </w:rPr>
            </w:pPr>
          </w:p>
        </w:tc>
        <w:tc>
          <w:tcPr>
            <w:tcW w:w="1460" w:type="dxa"/>
            <w:vAlign w:val="bottom"/>
            <w:gridSpan w:val="3"/>
            <w:shd w:val="clear" w:color="auto" w:fill="CCEEFF"/>
          </w:tcPr>
          <w:p>
            <w:pPr>
              <w:jc w:val="center"/>
              <w:ind w:right="160"/>
              <w:spacing w:after="0" w:line="198" w:lineRule="exact"/>
              <w:rPr>
                <w:sz w:val="20"/>
                <w:szCs w:val="20"/>
                <w:color w:val="auto"/>
              </w:rPr>
            </w:pPr>
            <w:r>
              <w:rPr>
                <w:rFonts w:ascii="Arial" w:cs="Arial" w:eastAsia="Arial" w:hAnsi="Arial"/>
                <w:sz w:val="18"/>
                <w:szCs w:val="18"/>
                <w:b w:val="1"/>
                <w:bCs w:val="1"/>
                <w:color w:val="auto"/>
                <w:w w:val="87"/>
              </w:rPr>
              <w:t>Reserve Balance</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ind w:left="120"/>
              <w:spacing w:after="0" w:line="198" w:lineRule="exact"/>
              <w:rPr>
                <w:sz w:val="20"/>
                <w:szCs w:val="20"/>
                <w:color w:val="auto"/>
              </w:rPr>
            </w:pPr>
            <w:r>
              <w:rPr>
                <w:rFonts w:ascii="Arial" w:cs="Arial" w:eastAsia="Arial" w:hAnsi="Arial"/>
                <w:sz w:val="18"/>
                <w:szCs w:val="18"/>
                <w:b w:val="1"/>
                <w:bCs w:val="1"/>
                <w:color w:val="auto"/>
              </w:rPr>
              <w:t>Paid in</w:t>
            </w:r>
          </w:p>
        </w:tc>
        <w:tc>
          <w:tcPr>
            <w:tcW w:w="260" w:type="dxa"/>
            <w:vAlign w:val="bottom"/>
            <w:tcBorders>
              <w:right w:val="single" w:sz="8" w:color="CCEEFF"/>
            </w:tcBorders>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3"/>
              </w:rPr>
              <w:t>Currency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Reserve Balance</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2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9"/>
              </w:rPr>
              <w:t>at 01/01/06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Charges</w:t>
            </w:r>
          </w:p>
        </w:tc>
        <w:tc>
          <w:tcPr>
            <w:tcW w:w="1140" w:type="dxa"/>
            <w:vAlign w:val="bottom"/>
            <w:tcBorders>
              <w:bottom w:val="single" w:sz="8" w:color="CCEEFF"/>
              <w:right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89"/>
              </w:rPr>
              <w:t>2006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16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Impacts</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at 09/30/06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gridSpan w:val="2"/>
          </w:tcPr>
          <w:p>
            <w:pPr>
              <w:ind w:left="1140"/>
              <w:spacing w:after="0"/>
              <w:rPr>
                <w:sz w:val="20"/>
                <w:szCs w:val="20"/>
                <w:color w:val="auto"/>
              </w:rPr>
            </w:pPr>
            <w:r>
              <w:rPr>
                <w:rFonts w:ascii="Arial" w:cs="Arial" w:eastAsia="Arial" w:hAnsi="Arial"/>
                <w:sz w:val="18"/>
                <w:szCs w:val="18"/>
                <w:color w:val="auto"/>
                <w:w w:val="89"/>
              </w:rPr>
              <w:t>Severance and other employee</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ind w:left="114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$ 845</w:t>
            </w:r>
          </w:p>
        </w:tc>
        <w:tc>
          <w:tcPr>
            <w:tcW w:w="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w:t>
            </w:r>
          </w:p>
        </w:tc>
        <w:tc>
          <w:tcPr>
            <w:tcW w:w="240" w:type="dxa"/>
            <w:vAlign w:val="bottom"/>
          </w:tcPr>
          <w:p>
            <w:pPr>
              <w:spacing w:after="0"/>
              <w:rPr>
                <w:sz w:val="22"/>
                <w:szCs w:val="22"/>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 (531)</w:t>
            </w:r>
          </w:p>
        </w:tc>
        <w:tc>
          <w:tcPr>
            <w:tcW w:w="26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$ 45</w:t>
            </w:r>
          </w:p>
        </w:tc>
        <w:tc>
          <w:tcPr>
            <w:tcW w:w="24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$ 359</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$ 845</w:t>
            </w:r>
          </w:p>
        </w:tc>
        <w:tc>
          <w:tcPr>
            <w:tcW w:w="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 --</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900" w:type="dxa"/>
            <w:vAlign w:val="bottom"/>
            <w:tcBorders>
              <w:bottom w:val="single" w:sz="8" w:color="auto"/>
              <w:right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 (531)</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11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$ 45</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$ 359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additional charges are expected to be incurred related to the 2004 restructuring program. We expect to pay all amounts by 2007, as some employees have elected to defer their severance payments. There were no additional restructuring charges during the three and nine month periods ended September 30, 2006 or 2005.</w:t>
      </w:r>
    </w:p>
    <w:p>
      <w:pPr>
        <w:spacing w:after="0" w:line="27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Property, Plant and Equipment</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2006, we completed a sale of excess land and two buildings at NN Europe’s Pinerolo, Italy plant. The net book value of this land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buildings was $1,013 and was classified as held for sale at December 31, 2005. The proceeds from the sale were $2,804, resulting in a pre-tax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$1,791. In addition, the Pinerolo plant disposed of excess machinery in the first quarter of 2006 with a net book value of $1,087, resulting in a pre-tax loss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$1,065.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2005 under Item 1.A. “Risk Factors”. There have been no material changes to these risk factors since December 31,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2006 Compared to the Three Months Ended September 30, 2005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30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 Thousands of Dollars)</w:t>
            </w:r>
          </w:p>
        </w:tc>
        <w:tc>
          <w:tcPr>
            <w:tcW w:w="1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7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20" w:type="dxa"/>
            <w:vAlign w:val="bottom"/>
          </w:tcPr>
          <w:p>
            <w:pPr>
              <w:spacing w:after="0"/>
              <w:rPr>
                <w:sz w:val="19"/>
                <w:szCs w:val="19"/>
                <w:color w:val="auto"/>
              </w:rPr>
            </w:pPr>
          </w:p>
        </w:tc>
      </w:tr>
      <w:tr>
        <w:trPr>
          <w:trHeight w:val="36"/>
        </w:trPr>
        <w:tc>
          <w:tcPr>
            <w:tcW w:w="47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$ 74,870</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$ 74,998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(128)</w:t>
            </w:r>
          </w:p>
        </w:tc>
        <w:tc>
          <w:tcPr>
            <w:tcW w:w="20" w:type="dxa"/>
            <w:vAlign w:val="bottom"/>
          </w:tcPr>
          <w:p>
            <w:pPr>
              <w:spacing w:after="0"/>
              <w:rPr>
                <w:sz w:val="18"/>
                <w:szCs w:val="18"/>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and amortization shown separately below)</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58,693</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58,177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7,178</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4,192</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3,998</w:t>
            </w: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916</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(550)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4,441</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1,808</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2,066</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$ 2,633</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$ 2,557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$ 76</w:t>
            </w:r>
          </w:p>
        </w:tc>
        <w:tc>
          <w:tcPr>
            <w:tcW w:w="20" w:type="dxa"/>
            <w:vAlign w:val="bottom"/>
          </w:tcPr>
          <w:p>
            <w:pPr>
              <w:spacing w:after="0"/>
              <w:rPr>
                <w:sz w:val="21"/>
                <w:szCs w:val="21"/>
                <w:color w:val="auto"/>
              </w:rPr>
            </w:pPr>
          </w:p>
        </w:tc>
      </w:tr>
    </w:tbl>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Overall revenues decreased as sales in the Plastics and Rubber Components Segment (“Plastics and Rubber”) ($2.2 million) and Domestic Ball and</w:t>
      </w:r>
      <w:r>
        <w:rPr>
          <w:rFonts w:ascii="Arial" w:cs="Arial" w:eastAsia="Arial" w:hAnsi="Arial"/>
          <w:sz w:val="16"/>
          <w:szCs w:val="16"/>
          <w:i w:val="1"/>
          <w:iCs w:val="1"/>
          <w:color w:val="auto"/>
        </w:rPr>
        <w:t xml:space="preserve"> </w:t>
      </w:r>
      <w:r>
        <w:rPr>
          <w:rFonts w:ascii="Arial" w:cs="Arial" w:eastAsia="Arial" w:hAnsi="Arial"/>
          <w:sz w:val="16"/>
          <w:szCs w:val="16"/>
          <w:color w:val="auto"/>
        </w:rPr>
        <w:t>Roller Segment (“Domestic Ball and Roller”) ($1.0 million) were lower and the NN Europe Segment (“NN Europe”) sales were up ($3.1 million). The Plastics and Rubber sales to certain automotive customers were lower than same quarter last year. The NN Europe increase was due primarily to the positive impacts from Euro denominated sales increasing in value relative to the dollar ($2.2 million) and price increases from contractual raw material pass through ($0.7 million). Domestic Ball and Roller sales were down due to lower sales to an existing customer as a result of a workers’ strike in Korea.</w:t>
      </w:r>
    </w:p>
    <w:p>
      <w:pPr>
        <w:spacing w:after="0" w:line="21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Cost of products sold decreased in Plastics and Rubber ($2.2 million) and at Domestic</w:t>
      </w:r>
      <w:r>
        <w:rPr>
          <w:rFonts w:ascii="Arial" w:cs="Arial" w:eastAsia="Arial" w:hAnsi="Arial"/>
          <w:sz w:val="17"/>
          <w:szCs w:val="17"/>
          <w:i w:val="1"/>
          <w:iCs w:val="1"/>
          <w:color w:val="auto"/>
        </w:rPr>
        <w:t xml:space="preserve"> </w:t>
      </w:r>
      <w:r>
        <w:rPr>
          <w:rFonts w:ascii="Arial" w:cs="Arial" w:eastAsia="Arial" w:hAnsi="Arial"/>
          <w:sz w:val="17"/>
          <w:szCs w:val="17"/>
          <w:color w:val="auto"/>
        </w:rPr>
        <w:t>Ball and Roller ($0.3 million). Cost of products sold was up at NN Europe ($3.0 million). The Plastics and Rubber decrease was due to lower sales volume to certain larger automotive customers and cost management and cost reduction initiatives. Domestic Ball and Roller was down due to lower sales volume partially offset by higher inflation net of cost reductions. NN Europe was up due to Euro denominated cost increasing in value relative to the U.S. Dollar ($1.8 million), increased sales volumes, and inflation partially offset by cost reductions.</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unfavorable impact of Euro denominated costs increasing in value relative to the dollar ($0.2 million) was</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decreases due to overall cost control initiatives.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NN EUROPE SEGMENT</w:t>
            </w: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88"/>
        </w:trPr>
        <w:tc>
          <w:tcPr>
            <w:tcW w:w="1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NN Europe</w:t>
            </w:r>
          </w:p>
        </w:tc>
        <w:tc>
          <w:tcPr>
            <w:tcW w:w="1080" w:type="dxa"/>
            <w:vAlign w:val="bottom"/>
            <w:tcBorders>
              <w:bottom w:val="single" w:sz="8" w:color="auto"/>
            </w:tcBorders>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3820" w:type="dxa"/>
            <w:vAlign w:val="bottom"/>
            <w:gridSpan w:val="2"/>
          </w:tcPr>
          <w:p>
            <w:pPr>
              <w:ind w:left="60"/>
              <w:spacing w:after="0"/>
              <w:rPr>
                <w:sz w:val="20"/>
                <w:szCs w:val="20"/>
                <w:color w:val="auto"/>
              </w:rPr>
            </w:pPr>
            <w:r>
              <w:rPr>
                <w:rFonts w:ascii="Arial" w:cs="Arial" w:eastAsia="Arial" w:hAnsi="Arial"/>
                <w:sz w:val="18"/>
                <w:szCs w:val="18"/>
                <w:color w:val="auto"/>
              </w:rPr>
              <w:t>(In Thousands of Dollars)</w:t>
            </w: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2005</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37"/>
        </w:trPr>
        <w:tc>
          <w:tcPr>
            <w:tcW w:w="1720" w:type="dxa"/>
            <w:vAlign w:val="bottom"/>
          </w:tcPr>
          <w:p>
            <w:pPr>
              <w:spacing w:after="0"/>
              <w:rPr>
                <w:sz w:val="20"/>
                <w:szCs w:val="20"/>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$ 46,863</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$ 43,749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$ 3,114</w:t>
            </w:r>
          </w:p>
        </w:tc>
      </w:tr>
      <w:tr>
        <w:trPr>
          <w:trHeight w:val="243"/>
        </w:trPr>
        <w:tc>
          <w:tcPr>
            <w:tcW w:w="2000" w:type="dxa"/>
            <w:vAlign w:val="bottom"/>
            <w:gridSpan w:val="2"/>
          </w:tcPr>
          <w:p>
            <w:pPr>
              <w:spacing w:after="0"/>
              <w:rPr>
                <w:sz w:val="21"/>
                <w:szCs w:val="21"/>
                <w:color w:val="auto"/>
              </w:rPr>
            </w:pPr>
          </w:p>
        </w:tc>
        <w:tc>
          <w:tcPr>
            <w:tcW w:w="3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$ 4,290</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$ 3,856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$ 434</w:t>
            </w:r>
          </w:p>
        </w:tc>
      </w:tr>
    </w:tbl>
    <w:p>
      <w:pPr>
        <w:spacing w:after="0" w:line="200" w:lineRule="exact"/>
        <w:rPr>
          <w:sz w:val="20"/>
          <w:szCs w:val="20"/>
          <w:color w:val="auto"/>
        </w:rPr>
      </w:pPr>
    </w:p>
    <w:p>
      <w:pPr>
        <w:spacing w:after="0" w:line="32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sales increase at NN Europe was primarily due to the positive impacts from the increase in value of the Euro relative to the U.S. Dollar ($2.2 million). Additionally, NN Europe benefited from price increases of passing through raw material inflation to certain customers with long term sales contracts ($0.7 million). Finally, volume was up slightly, as sales to a new customer offset unfavorable product mix to an existing customer ($0.2 million).</w:t>
      </w:r>
    </w:p>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Foreign exchange appreciation of the Euro added $0.2 million to pre-tax income. The increases in sales price from passing through raw material cost increases were offset by raw material inflation. Inflation in labor and utilities ($1.2 million) was not completely offset by cost reduction initiatives ($1.0 million). Pre-tax income was negatively affected by higher spending for research and development in Europe ($0.1 million). Depreciation and amortization costs were higher due to depreciation and amortization of the machinery and contract intangibles from the SNR machinery purchase ($0.2 million). Interest costs were lower as NN Europe paid off its Euro based loans during the first quarter of 2006 ($0.3 million). An additional positive impact of foreign exchange was from the increasing value of the Slovakian Koruna against the Euro at our Slovakian operation ($0.5 million).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DOMESTIC BALL AND ROLLER SEGMENT</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61"/>
        </w:trPr>
        <w:tc>
          <w:tcPr>
            <w:tcW w:w="17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3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Domestic Ball and Roller</w:t>
            </w:r>
          </w:p>
        </w:tc>
        <w:tc>
          <w:tcPr>
            <w:tcW w:w="1060" w:type="dxa"/>
            <w:vAlign w:val="bottom"/>
            <w:tcBorders>
              <w:bottom w:val="single" w:sz="8" w:color="auto"/>
            </w:tcBorders>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(In Thousands of Dollars)</w:t>
            </w: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2006</w:t>
            </w:r>
          </w:p>
        </w:tc>
        <w:tc>
          <w:tcPr>
            <w:tcW w:w="1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2005</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r>
      <w:tr>
        <w:trPr>
          <w:trHeight w:val="237"/>
        </w:trPr>
        <w:tc>
          <w:tcPr>
            <w:tcW w:w="172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$ 15,365</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$ 16,444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(1,079)</w:t>
            </w:r>
          </w:p>
        </w:tc>
      </w:tr>
      <w:tr>
        <w:trPr>
          <w:trHeight w:val="243"/>
        </w:trPr>
        <w:tc>
          <w:tcPr>
            <w:tcW w:w="37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loss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(922)</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(49)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(873)</w:t>
            </w:r>
          </w:p>
        </w:tc>
      </w:tr>
    </w:tbl>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revenues at Domestic Ball and Roller were down due to volume decreases to an existing customer ($1.3 million). The cause for this downturn was the customer’s business being affected by a workers’ strike at an automotive manufacturer in Korea, which is now ended. Partially offsetting this volume loss was favorable sales mix and targeted price increases for certain products ($0.2 million).</w:t>
      </w:r>
    </w:p>
    <w:p>
      <w:pPr>
        <w:spacing w:after="0" w:line="23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decrease in pre-tax income is from the sales volume reductions net of lower manufacturing cost ($0.6 million) and inefficiencies at the China operation due to start up of manufacturing operations ($0.3 million). Targeted sales price increases partially offset these decreases ($0.2 million). In addition, interest expense increased due to higher debt balances and interest rates on variable rate debt ($0.2 million).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PLASTICS AND RUBBER COMPONENTS SEGMENT</w:t>
            </w: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61"/>
        </w:trPr>
        <w:tc>
          <w:tcPr>
            <w:tcW w:w="17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Plastics And Rubber Components</w:t>
            </w:r>
          </w:p>
        </w:tc>
        <w:tc>
          <w:tcPr>
            <w:tcW w:w="1120" w:type="dxa"/>
            <w:vAlign w:val="bottom"/>
            <w:tcBorders>
              <w:bottom w:val="single" w:sz="8" w:color="auto"/>
            </w:tcBorders>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auto"/>
              </w:rPr>
              <w:t>(In Thousands of Dollars)</w:t>
            </w: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2006</w:t>
            </w:r>
          </w:p>
        </w:tc>
        <w:tc>
          <w:tcPr>
            <w:tcW w:w="20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7"/>
              </w:rPr>
              <w:t>Change</w:t>
            </w:r>
          </w:p>
        </w:tc>
      </w:tr>
      <w:tr>
        <w:trPr>
          <w:trHeight w:val="237"/>
        </w:trPr>
        <w:tc>
          <w:tcPr>
            <w:tcW w:w="1720" w:type="dxa"/>
            <w:vAlign w:val="bottom"/>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$ 12,642</w:t>
            </w:r>
          </w:p>
        </w:tc>
        <w:tc>
          <w:tcPr>
            <w:tcW w:w="2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$ 14,805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(2,163)</w:t>
            </w:r>
          </w:p>
        </w:tc>
      </w:tr>
      <w:tr>
        <w:trPr>
          <w:trHeight w:val="243"/>
        </w:trPr>
        <w:tc>
          <w:tcPr>
            <w:tcW w:w="440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$ 1,073</w:t>
            </w:r>
          </w:p>
        </w:tc>
        <w:tc>
          <w:tcPr>
            <w:tcW w:w="2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$ 816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 in Plastics and Rubber were down due to lower sales volume of rubber seals into the automotive market ($2.2 million).</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Pre-tax income was negatively affected by the volume decreases in sales net of cost of goods sold ($0.9 million), which was more than offset by cost reductions. The cost reductions were in the areas of material usage, labor, fixed overhead, and administrative cost, and are the direct result of the IMC portion of segment extensively applying the principles of Level 3 ($1.1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2006 Compared to the Nine Months Ended September 30, 2005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30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2005</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0" w:type="dxa"/>
            <w:vAlign w:val="bottom"/>
          </w:tcPr>
          <w:p>
            <w:pPr>
              <w:spacing w:after="0"/>
              <w:rPr>
                <w:sz w:val="19"/>
                <w:szCs w:val="19"/>
                <w:color w:val="auto"/>
              </w:rPr>
            </w:pPr>
          </w:p>
        </w:tc>
      </w:tr>
      <w:tr>
        <w:trPr>
          <w:trHeight w:val="36"/>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$ 244,441</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$ 245,500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(1,059)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and amortization shown separately below)</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189,597</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191,848</w:t>
            </w:r>
          </w:p>
        </w:tc>
        <w:tc>
          <w:tcPr>
            <w:tcW w:w="1060" w:type="dxa"/>
            <w:vAlign w:val="bottom"/>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21,922</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21,961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12,779</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12,302</w:t>
            </w: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(726)</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2,923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2,976</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18,256</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16,693</w:t>
            </w:r>
          </w:p>
        </w:tc>
        <w:tc>
          <w:tcPr>
            <w:tcW w:w="1060" w:type="dxa"/>
            <w:vAlign w:val="bottom"/>
          </w:tcPr>
          <w:p>
            <w:pPr>
              <w:jc w:val="right"/>
              <w:spacing w:after="0"/>
              <w:rPr>
                <w:sz w:val="20"/>
                <w:szCs w:val="20"/>
                <w:color w:val="auto"/>
              </w:rPr>
            </w:pPr>
            <w:r>
              <w:rPr>
                <w:rFonts w:ascii="Arial" w:cs="Arial" w:eastAsia="Arial" w:hAnsi="Arial"/>
                <w:sz w:val="18"/>
                <w:szCs w:val="18"/>
                <w:color w:val="auto"/>
              </w:rPr>
              <w:t>1,563</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6,908</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6,801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$ 11,348</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$ 9,892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$ 1,456</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Overall sales decreased due to the effects of foreign exchange ($2.7 million) and lower sales volume ($3.5 million) partially offset by higher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prices from the pass through of raw material price inflation to certain customers ($5.1 million.) The foreign exchange effects were due to Euro denominated sales having less value relative to the U.S. Dollar in 2006 versus 2005. The lower sales volume was in NN Europe ($1.7 million) and Plastics and Rubber ($4.0 million) offset by Domestic Ball and Roller ($2.2 million). The price increases were in all three segments.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Cost of products sold decreased primarily as Euro denominated cost had less value</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 to the U.S. Dollar ($2.2 million), in addition to lower sales volume ($2.7 million), and impacts of cost reductions ($4.3 million). These decreases were partially offset by increased cost of products sold due to inflation in raw material, energy, labor, and other manufacturing costs ($7.0 million).</w:t>
      </w:r>
    </w:p>
    <w:p>
      <w:pPr>
        <w:spacing w:after="0" w:line="22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For the nine month period, these costs were flat; however, the positive foreign exchange impact of Euro</w:t>
      </w:r>
      <w:r>
        <w:rPr>
          <w:rFonts w:ascii="Arial" w:cs="Arial" w:eastAsia="Arial" w:hAnsi="Arial"/>
          <w:sz w:val="16"/>
          <w:szCs w:val="16"/>
          <w:i w:val="1"/>
          <w:iCs w:val="1"/>
          <w:color w:val="auto"/>
        </w:rPr>
        <w:t xml:space="preserve"> </w:t>
      </w:r>
      <w:r>
        <w:rPr>
          <w:rFonts w:ascii="Arial" w:cs="Arial" w:eastAsia="Arial" w:hAnsi="Arial"/>
          <w:sz w:val="16"/>
          <w:szCs w:val="16"/>
          <w:color w:val="auto"/>
        </w:rPr>
        <w:t>denominated cost losing in value relative to the U.S. Dollar ($0.2 million) was offset by higher compensation costs due to stock option expensing.</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(Gain) Loss of Disposal of Assets. </w:t>
      </w:r>
      <w:r>
        <w:rPr>
          <w:rFonts w:ascii="Arial" w:cs="Arial" w:eastAsia="Arial" w:hAnsi="Arial"/>
          <w:sz w:val="18"/>
          <w:szCs w:val="18"/>
          <w:color w:val="auto"/>
        </w:rPr>
        <w:t>In 2006, NN Europe had a gain related to the disposal of excess land and building of $1.8 million which was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a loss on disposal of excess equipment of $1.1 million.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1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NN EUROPE SEGMENT</w:t>
            </w: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7"/>
        </w:trPr>
        <w:tc>
          <w:tcPr>
            <w:tcW w:w="1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NN Europe</w:t>
            </w:r>
          </w:p>
        </w:tc>
        <w:tc>
          <w:tcPr>
            <w:tcW w:w="1240" w:type="dxa"/>
            <w:vAlign w:val="bottom"/>
            <w:tcBorders>
              <w:bottom w:val="single" w:sz="8" w:color="auto"/>
            </w:tcBorders>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(In Thousands of Dollars)</w:t>
            </w:r>
          </w:p>
        </w:tc>
        <w:tc>
          <w:tcPr>
            <w:tcW w:w="16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2006</w:t>
            </w: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2005</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7"/>
        </w:trPr>
        <w:tc>
          <w:tcPr>
            <w:tcW w:w="1720" w:type="dxa"/>
            <w:vAlign w:val="bottom"/>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$ 150,836</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$ 152,460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(1,624)</w:t>
            </w:r>
          </w:p>
        </w:tc>
      </w:tr>
      <w:tr>
        <w:trPr>
          <w:trHeight w:val="243"/>
        </w:trPr>
        <w:tc>
          <w:tcPr>
            <w:tcW w:w="2000" w:type="dxa"/>
            <w:vAlign w:val="bottom"/>
            <w:gridSpan w:val="2"/>
          </w:tcPr>
          <w:p>
            <w:pPr>
              <w:spacing w:after="0"/>
              <w:rPr>
                <w:sz w:val="21"/>
                <w:szCs w:val="21"/>
                <w:color w:val="auto"/>
              </w:rPr>
            </w:pPr>
          </w:p>
        </w:tc>
        <w:tc>
          <w:tcPr>
            <w:tcW w:w="3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$ 15,427</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$ 13,553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$ 1,874</w:t>
            </w:r>
          </w:p>
        </w:tc>
      </w:tr>
    </w:tbl>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revenue decrease at NN Europe was primarily due to the effect of Euro denominated sales having less value relative to the U.S. Dollar in 2006 versus 2005 ($2.7 million). In addition, volume was lower ($1.7 million) primarily due to the forecasted loss of INA business and lower sales of higher priced small sized balls to an existing customer. These reductions were partially offset by price increases from contractual pass through of raw material cost increases to certain customers ($2.8 million).</w:t>
      </w:r>
    </w:p>
    <w:p>
      <w:pPr>
        <w:spacing w:after="0" w:line="24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increase in pre-tax income at NN Europe is due to price increases to customers, lower cost of products sold, gain from sale of land and building and lower interest costs, partially offset by effects of devaluation of the Euro relative to the U.S. Dollar, and effects of inflation in material, labor and utilities. Material, labor, and utility inflation ($4.2 million) was completely offset by cost reduction initiatives ($3.0 million), and the sales price increases due to contractual pass through of raw material cost increases to customers ($2.8 million). The negative impact on pre-tax income of the devaluation of the Euro relative to the U.S. Dollar in 2006 vs. 2005 ($0.3 million), and lower sales volume ($0.4 million) reduced pre-tax income. The gain from the sale of land at Pinerolo, net of machinery disposals, added $0.7 million to pre-tax income. Interest cost was lower ($0.7 million) due to the pay-off in the first quarter of 2006 of the Euro denominated loan. Depreciation and amortization expense was higher due to depreciation and amortization of machinery and contract intangibles from the SNR machinery purchase ($0.5 million).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DOMESTIC BALL AND ROLLER SEGMENT</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47"/>
        </w:trPr>
        <w:tc>
          <w:tcPr>
            <w:tcW w:w="17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3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Domestic Ball and Roller</w:t>
            </w:r>
          </w:p>
        </w:tc>
        <w:tc>
          <w:tcPr>
            <w:tcW w:w="1060" w:type="dxa"/>
            <w:vAlign w:val="bottom"/>
            <w:tcBorders>
              <w:bottom w:val="single" w:sz="8" w:color="auto"/>
            </w:tcBorders>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(In Thousands of Dollars)</w:t>
            </w: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2006</w:t>
            </w:r>
          </w:p>
        </w:tc>
        <w:tc>
          <w:tcPr>
            <w:tcW w:w="1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2005</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r>
      <w:tr>
        <w:trPr>
          <w:trHeight w:val="237"/>
        </w:trPr>
        <w:tc>
          <w:tcPr>
            <w:tcW w:w="172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$ 52,697</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$ 48,879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$ 3,818</w:t>
            </w:r>
          </w:p>
        </w:tc>
      </w:tr>
      <w:tr>
        <w:trPr>
          <w:trHeight w:val="243"/>
        </w:trPr>
        <w:tc>
          <w:tcPr>
            <w:tcW w:w="370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(loss)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(910)</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$ 1,647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(2,557)</w:t>
            </w:r>
          </w:p>
        </w:tc>
      </w:tr>
    </w:tbl>
    <w:p>
      <w:pPr>
        <w:spacing w:after="0" w:line="25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sales increases at Domestic Ball and Roller are due primarily to higher sales volume of $2.2 million and price increases from passing through material inflation to customers of $1.6 million. The sales volume increases were within ball products of the segment due to the effects of share gain within an existing customer. In the third quarter, this volume increase was partially offset by a downturn at an existing customer due to an automotive strike in Korea.</w:t>
      </w: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decrease in pre-tax income at Domestic Ball and Roller is due to increases in cost of products sold at the U.S. and China operations and higher SG&amp;A, depreciation, and interest cost. The positive impact of sales volume increases ($0.8 million) and price increases from raw material inflation pass-through ($1.6 million) were offset by higher inflation in material, labor, supplies ($2.8 million), and inefficiencies primarily at our China operations due to start up of the manufacturing facility and at our U.S. operations to a lesser extent ($1.4 million). The higher SG&amp;A cost were due to stock compensation expense and salaries ($0.2 million). The increased depreciation expense was due to starting to depreciate fixed assets at the China operation ($0.2 million). The interest cost increase was due to higher outstanding balances and interest rates on our variable rate debt ($0.5 million).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PLASTICS AND RUBBER COMPONENTS SEGMENT</w:t>
            </w: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47"/>
        </w:trPr>
        <w:tc>
          <w:tcPr>
            <w:tcW w:w="17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Plastics And Rubber Components</w:t>
            </w:r>
          </w:p>
        </w:tc>
        <w:tc>
          <w:tcPr>
            <w:tcW w:w="1120" w:type="dxa"/>
            <w:vAlign w:val="bottom"/>
            <w:tcBorders>
              <w:bottom w:val="single" w:sz="8" w:color="auto"/>
            </w:tcBorders>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auto"/>
              </w:rPr>
              <w:t>(In Thousands of Dollars)</w:t>
            </w: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2006</w:t>
            </w:r>
          </w:p>
        </w:tc>
        <w:tc>
          <w:tcPr>
            <w:tcW w:w="20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7"/>
              </w:rPr>
              <w:t>Change</w:t>
            </w:r>
          </w:p>
        </w:tc>
      </w:tr>
      <w:tr>
        <w:trPr>
          <w:trHeight w:val="237"/>
        </w:trPr>
        <w:tc>
          <w:tcPr>
            <w:tcW w:w="1720" w:type="dxa"/>
            <w:vAlign w:val="bottom"/>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$ 40,908</w:t>
            </w:r>
          </w:p>
        </w:tc>
        <w:tc>
          <w:tcPr>
            <w:tcW w:w="2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$ 44,161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(3,253)</w:t>
            </w:r>
          </w:p>
        </w:tc>
      </w:tr>
      <w:tr>
        <w:trPr>
          <w:trHeight w:val="243"/>
        </w:trPr>
        <w:tc>
          <w:tcPr>
            <w:tcW w:w="440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$ 3,739</w:t>
            </w:r>
          </w:p>
        </w:tc>
        <w:tc>
          <w:tcPr>
            <w:tcW w:w="2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$ 1,493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$ 2,246</w:t>
            </w:r>
          </w:p>
        </w:tc>
      </w:tr>
    </w:tbl>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Sales at Plastics and Rubber were down primarily due to lower volume in the rubber seal business sold into the automotive market ($4.0 million) partially offset by targeted price increases, not related to material cost pass through, in the plastics portion of the segment ($0.7 million).</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pre-tax income at the Plastics and Rubber Components Segment was due to price increases ($0.7 million) and to Level 3 and other cost saving initiatives in the areas of material usage, labor efficiency, and overhead cost ($3.4 million). These increases were partially offset by raw material and utilities inflation ($0.4 million) and the impact, net of cost of goods sold, of reductions in sales volume ($1.5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30, 2006, the Company entered into a new $90.0 million five year revolving credit facility, with Key Bank as the administrative lead, which can be increased up to a maximum of $120.0 million under certain conditions. Although the maximum amount under the facility is $120.0 million, initially only $90.0 million has been approved by the lenders. The additional $30.0 million is a pre-approved option to increase the size of the facility should the Company need to do so in the future and maintain current creditworthiness. The prior $90.0 million credit facility with AmSouth Bank as administrative lead was paid in full and cancelled as of the same date.</w:t>
      </w:r>
    </w:p>
    <w:p>
      <w:pPr>
        <w:spacing w:after="0" w:line="24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Amounts outstanding under the new $90.0 million credit facility and the $40.0 million notes as of September 30, 2006 were $22.7 million and $40.0 million, respectively. See Note 8 of the Notes to Consolidated Financial Statements. We were in compliance with all covenants of our new $90.0 million syndicated credit facility and our $40.0 million senior notes as of September 30, 2006.</w:t>
      </w:r>
    </w:p>
    <w:p>
      <w:pPr>
        <w:spacing w:after="0" w:line="23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bill and receive payment from some of our customers in Euros as well as other currencies. In 2006, the fluctuation of the Euro against the U.S. Dollar has negatively impacted revenue and income and increased the value of assets and liabilities, as the average exchange rate is lower from the nine months ended September 30, 2005 to nine months ended September 30, 2006 and the spot rate at September 30, 2006 was higher than the exchange rate at December 31, 2005. As of September 30, 2006, no currency hedges were in place. A strengthening of the U.S. Dollar and/or Euro against foreign currencies could impair our ability to compete with international competitors for foreign as well as domestic sales.</w:t>
      </w:r>
    </w:p>
    <w:p>
      <w:pPr>
        <w:spacing w:after="0" w:line="2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was $53.0 million at September 30, 2006 as compared to $41.1 million at December 31, 2005. The ratio of current assets to current liabilities increased from 1.63:1 at December 31, 2005 to 1.85:1 at September 30, 2006. The increase in working capital is due primarily to the increase in the cash balance in Europe ($6.8 million) and the appreciation in value of Euro denominated working capital balances when translated to US Dollars ($1.0 million). In addition, the working capital is higher due to the payoff of the short term portion of debt ($4.7 million) that was offsetting the December 31, 2005 working capital. Cash flow provided by operations was $22.8 million during the first nine months of 2006, compared with cash flow provided by operations of $10.3 million during the first nine months of 2005. The increase in operating cash flow is due to higher net income excluding non cash effects of depreciation and amortization ($2.2 million) and improvements in management of working capital. Accounts receivable have increased in 2006 at a much lower rate than 2005 due to improved days sales outstanding performance and lower sales volumes ($4.0 million). Inventory levels have been reduced in 2006, versus an increase in 2005, in line with 2006 targeted inventory reductions goals ($4.0 million). Finally, the reduction in accounts payable has been less in 2006 than 2005 ($2.1 million).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22" w:name="page23"/>
    <w:bookmarkEnd w:id="22"/>
    <w:p>
      <w:pPr>
        <w:ind w:right="80"/>
        <w:spacing w:after="0" w:line="291" w:lineRule="auto"/>
        <w:rPr>
          <w:sz w:val="20"/>
          <w:szCs w:val="20"/>
          <w:color w:val="auto"/>
        </w:rPr>
      </w:pPr>
      <w:r>
        <w:rPr>
          <w:rFonts w:ascii="Arial" w:cs="Arial" w:eastAsia="Arial" w:hAnsi="Arial"/>
          <w:sz w:val="16"/>
          <w:szCs w:val="16"/>
          <w:color w:val="auto"/>
        </w:rPr>
        <w:t>Total assets and current assets increased approximately $11.3 million and $4.2 million, respectively, from the December 31, 2005 balance due to appreciation of the Euro relative to the U.S. Dollar. Factoring out the foreign exchange effects, accounts receivable, net is up due to higher sales volume than year end and an increase in days sales outstanding ($0.7 million). Inventories, net are down due to targeted inventory reduction goals for 2006 ($2.2 million). Cash and cash equivalents are higher due to the positive cash flow in Europe ($6.8 million). Subsequent to quarter end, this cash was repatriated to pay down debt in the U.S. Factoring out foreign exchange effects, property plant and equipment, net is lower as year to date capital spending has been lower than depreciation and the NN Europe Segment disposed of certain machines ($1.8 million). In addition, land held for sale at December 31, 2005 was sold ($1.1 million). Finally, goodwill and intangibles, net increased by $1.9 million due to the acquisition of the contract intangibles related to the SNR asset purchase.</w:t>
      </w:r>
    </w:p>
    <w:p>
      <w:pPr>
        <w:spacing w:after="0" w:line="2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Total liabilities and current liabilities increased approximately $5.0 million and $3.2 million, respectively from the December 31, 2005 balance due to appreciation of the Euro relative to the U.S. Dollar. Factoring out the foreign exchange effects, Accounts payable is lower primarily due to the effect of seasonality of purchases in Europe caused by the August holidays ($4.3 million).</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2006, we plan to spend approximately $18.8 million on capital expenditures of which $7.6 million is related primarily to equipment, process upgrades, and replacements, approximately $8.9 million principally related to geographic expansion of our manufacturing base, and $2.3 million related to the completion of the purchase of certain equipment at SNR. In addition, we will pay $2.0 million for contract intangibles related to the SNR equipment purchase. Of these amounts approximately $13.5 million has been spent through September 30, 2006.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dividends payments, and share repurchase program through December 2006.</w:t>
      </w:r>
    </w:p>
    <w:p>
      <w:pPr>
        <w:spacing w:after="0" w:line="24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first quarter of 2006, our Board of Directors authorized a stock repurchase program under which we are authorized to repurchase up to $10 million in our common stock during the subsequent 18 months in the open market or in private transactions, in accordance with applicable laws and regulations. This amount represented approximately 5% of our outstanding stock at the date of authorization. During the three and nine month periods ended September 30, 2006, we repurchased 0.157 million and 0.214 million shares, respectively, at an average of approximately $11.82 and $11.87 per share, respectively, for a total of approximately $1.9 million and $2.5 million, respectively. These shares were retired and were recorded as on offset to additional paid in capital.</w:t>
      </w:r>
    </w:p>
    <w:p>
      <w:pPr>
        <w:spacing w:after="0" w:line="2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third quarter of 2006, the dividend declared on August 14, 2006 was paid totaling $1.4 million. For the nine months ended September 30, 2006, $4.1 million in dividends have been declared and paid at a rate of approximately $0.24 a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8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net sales historically have been of a seasonal nature due to the fact that a significant portion of our sales are to European customers that cease or significantly slow production during the month of August.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significant accounting policies, including the assumptions and judgments underlying them, are disclosed in our annual report on Form 10-K, for the fiscal year ended December 31, 2005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one material change during the nine month period ended September 30, 2006 was adoption of SFAS 123(R) related to accounting for stock compensation (see Note 10 of the financial statements). SFAS 123(R) has had a minimal effect on the financial statements for the three and nine month periods ended September 30, 2006, as 2006 options granted were only outstanding for two months of 2006 and as outstanding options were 100% vested at December 31, 2005. In addition, SFAS 123 (R) has mandated the elimination of variable accounting under APB 25 and FIN 44 with the adoption of SFAS 123(R).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Sales Concentration</w:t>
      </w:r>
    </w:p>
    <w:p>
      <w:pPr>
        <w:spacing w:after="0" w:line="28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contract covering sales to Schaeffler Group (INA) from our European locations expired on June 30, 2006. We are in the final stages of developing a supply agreement to replace the agreement that expired. Even though the contract has technically expired, we are still actively selling to Schaeffler Group (INA). We have reached an agreement in principle for a two year extension and expect to have a signed agreement during the fourth quarter of 2006.</w:t>
      </w:r>
    </w:p>
    <w:p>
      <w:pPr>
        <w:spacing w:after="0" w:line="20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we are in process of negotiating a new long term agreement with SKF to replace the one for precision balls that expired July 31, 2006. SKF has informally agreed in principle to carry the current agreement through to December 31, 2006. We have an agreement in principle with SKF for a three year extension and expect to have a signed agreement during the fourth quarter of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2006, we had $22.7 million outstanding under the domestic credit facilities and $40.0 million aggregate principal amount of senior notes outstanding. See Note 8 of the Notes to Consolidated Financial Statements. At September 30, 2006, a one-percent increase in the interest rate charged on our outstanding borrowings under our credit facilities, which are subject to variable interest rates, would result in interest expense increasing annually by approximately $0.2 million.</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September 30, 2006, the end of the period covered by this quarterly report.</w:t>
      </w:r>
    </w:p>
    <w:p>
      <w:pPr>
        <w:spacing w:after="0" w:line="24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24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not been any material changes in risk factors from those disclosed our Annual Report on Form 10-K for the year ended December 31, 2005 filed on March 16, 2006.</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ind w:left="980" w:hanging="2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980" w:hanging="24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980" w:hanging="2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(d) Maximum</w:t>
            </w:r>
          </w:p>
        </w:tc>
        <w:tc>
          <w:tcPr>
            <w:tcW w:w="2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 Total Number of</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(b) Average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(a) Total Number of</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Paid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(or Units) Purchased</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per Share (or Unit)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(or Units)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including</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5"/>
              </w:rPr>
              <w:t>commissions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Plans or Programs</w:t>
            </w:r>
          </w:p>
        </w:tc>
      </w:tr>
      <w:tr>
        <w:trPr>
          <w:trHeight w:val="210"/>
        </w:trPr>
        <w:tc>
          <w:tcPr>
            <w:tcW w:w="18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March 1- March 31</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20,474</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20,474</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$9,753,714</w:t>
            </w:r>
          </w:p>
        </w:tc>
        <w:tc>
          <w:tcPr>
            <w:tcW w:w="20" w:type="dxa"/>
            <w:vAlign w:val="bottom"/>
            <w:tcBorders>
              <w:bottom w:val="single" w:sz="8" w:color="auto"/>
            </w:tcBorders>
          </w:tcPr>
          <w:p>
            <w:pPr>
              <w:spacing w:after="0"/>
              <w:rPr>
                <w:sz w:val="18"/>
                <w:szCs w:val="18"/>
                <w:color w:val="auto"/>
              </w:rPr>
            </w:pPr>
          </w:p>
        </w:tc>
      </w:tr>
      <w:tr>
        <w:trPr>
          <w:trHeight w:val="210"/>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May 1</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May 31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36,347</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$9,318,353</w:t>
            </w:r>
          </w:p>
        </w:tc>
      </w:tr>
      <w:tr>
        <w:trPr>
          <w:trHeight w:val="210"/>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1</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July 31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$9,281,185</w:t>
            </w:r>
          </w:p>
        </w:tc>
      </w:tr>
      <w:tr>
        <w:trPr>
          <w:trHeight w:val="210"/>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1</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 August 31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153,615</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$7,466,064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purchases were made under the publicly announced $10 million repurchase plan authorized by the Board of Directors.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 NN, Inc. Elective Deferred Compensation Plan as of January 1, 2005, as amended November 2, 2006.</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31.1 Certification of Chief Executive Officer pursuant to Section 302 of Sarbanes-Oxley Act.</w:t>
      </w:r>
    </w:p>
    <w:p>
      <w:pPr>
        <w:spacing w:after="0" w:line="279"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31.2 Certification of Chief Financial Officer pursuant to Section 302 of Sarbanes-Oxley Act.</w:t>
      </w:r>
    </w:p>
    <w:p>
      <w:pPr>
        <w:spacing w:after="0" w:line="252" w:lineRule="exact"/>
        <w:rPr>
          <w:sz w:val="20"/>
          <w:szCs w:val="20"/>
          <w:color w:val="auto"/>
        </w:rPr>
      </w:pPr>
    </w:p>
    <w:p>
      <w:pPr>
        <w:jc w:val="right"/>
        <w:ind w:right="3760"/>
        <w:spacing w:after="0"/>
        <w:rPr>
          <w:sz w:val="20"/>
          <w:szCs w:val="20"/>
          <w:color w:val="auto"/>
        </w:rPr>
      </w:pPr>
      <w:r>
        <w:rPr>
          <w:rFonts w:ascii="Arial" w:cs="Arial" w:eastAsia="Arial" w:hAnsi="Arial"/>
          <w:sz w:val="18"/>
          <w:szCs w:val="18"/>
          <w:color w:val="auto"/>
        </w:rPr>
        <w:t>32.1Certification of Chief Executive Officer pursuant to Section 906 of Sarbanes-Oxley Act.</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32.2Certification of Chief Financial Officer pursuant to Section 906 of Sarbanes-Oxley Act.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8, 2006</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8, 2006</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 Corporate Development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8, 2006</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Administrative Officer</w:t>
      </w:r>
    </w:p>
    <w:p>
      <w:pPr>
        <w:spacing w:after="0" w:line="2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64" w:right="4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ELECTIVE DEFERRED COMPENSATION PLAN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Preamble</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plan which shall be known as the NN, Inc. Elective Deferred Compensation Plan (the “Plan”), is adopted as of the 1st day of January, 2005, by NN, Inc., a Tennessee corporation with principal offices and place of business at Building C, Suite 12, 2000 Waters Edge Drive, Johnson City, Tennessee 37604 (the “Company”). The Plan is an amendment and restatement of the NN, Inc. Elective Deferred Compensation Plan originally effected February 26, 1999 and subsequently amended effective January 1, 2002. The Company intends that the Plan shall at all times be administered and interpreted in such a manner as to constitute an unfunded Plan for the members of the Board of Directors of the Company who contribute materially to the continued growth of the Company, so as to qualify for all available exemptions from the provisions of Title I of ERISA.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340" w:type="dxa"/>
            <w:vAlign w:val="bottom"/>
          </w:tcPr>
          <w:p>
            <w:pPr>
              <w:jc w:val="center"/>
              <w:ind w:right="991"/>
              <w:spacing w:after="0"/>
              <w:rPr>
                <w:sz w:val="20"/>
                <w:szCs w:val="20"/>
                <w:color w:val="auto"/>
              </w:rPr>
            </w:pPr>
            <w:r>
              <w:rPr>
                <w:rFonts w:ascii="Arial" w:cs="Arial" w:eastAsia="Arial" w:hAnsi="Arial"/>
                <w:sz w:val="18"/>
                <w:szCs w:val="18"/>
                <w:color w:val="auto"/>
                <w:w w:val="99"/>
              </w:rPr>
              <w:t>ARTICLE I</w:t>
            </w:r>
          </w:p>
        </w:tc>
      </w:tr>
      <w:tr>
        <w:trPr>
          <w:trHeight w:val="230"/>
        </w:trPr>
        <w:tc>
          <w:tcPr>
            <w:tcW w:w="1080" w:type="dxa"/>
            <w:vAlign w:val="bottom"/>
          </w:tcPr>
          <w:p>
            <w:pPr>
              <w:spacing w:after="0"/>
              <w:rPr>
                <w:sz w:val="20"/>
                <w:szCs w:val="20"/>
                <w:color w:val="auto"/>
              </w:rPr>
            </w:pPr>
          </w:p>
        </w:tc>
        <w:tc>
          <w:tcPr>
            <w:tcW w:w="10340" w:type="dxa"/>
            <w:vAlign w:val="bottom"/>
          </w:tcPr>
          <w:p>
            <w:pPr>
              <w:jc w:val="center"/>
              <w:ind w:right="971"/>
              <w:spacing w:after="0"/>
              <w:rPr>
                <w:sz w:val="20"/>
                <w:szCs w:val="20"/>
                <w:color w:val="auto"/>
              </w:rPr>
            </w:pPr>
            <w:r>
              <w:rPr>
                <w:rFonts w:ascii="Arial" w:cs="Arial" w:eastAsia="Arial" w:hAnsi="Arial"/>
                <w:sz w:val="18"/>
                <w:szCs w:val="18"/>
                <w:color w:val="auto"/>
                <w:w w:val="98"/>
              </w:rPr>
              <w:t>ELIGIBILITY AND PARTICIPATION</w:t>
            </w:r>
          </w:p>
        </w:tc>
      </w:tr>
      <w:tr>
        <w:trPr>
          <w:trHeight w:val="486"/>
        </w:trPr>
        <w:tc>
          <w:tcPr>
            <w:tcW w:w="1080" w:type="dxa"/>
            <w:vAlign w:val="bottom"/>
          </w:tcPr>
          <w:p>
            <w:pPr>
              <w:spacing w:after="0"/>
              <w:rPr>
                <w:sz w:val="20"/>
                <w:szCs w:val="20"/>
                <w:color w:val="auto"/>
              </w:rPr>
            </w:pPr>
            <w:r>
              <w:rPr>
                <w:rFonts w:ascii="Arial" w:cs="Arial" w:eastAsia="Arial" w:hAnsi="Arial"/>
                <w:sz w:val="18"/>
                <w:szCs w:val="18"/>
                <w:color w:val="auto"/>
              </w:rPr>
              <w:t>Section 1 .1</w:t>
            </w:r>
          </w:p>
        </w:tc>
        <w:tc>
          <w:tcPr>
            <w:tcW w:w="10340" w:type="dxa"/>
            <w:vAlign w:val="bottom"/>
          </w:tcPr>
          <w:p>
            <w:pPr>
              <w:ind w:left="480"/>
              <w:spacing w:after="0"/>
              <w:rPr>
                <w:sz w:val="20"/>
                <w:szCs w:val="20"/>
                <w:color w:val="auto"/>
              </w:rPr>
            </w:pPr>
            <w:r>
              <w:rPr>
                <w:rFonts w:ascii="Arial" w:cs="Arial" w:eastAsia="Arial" w:hAnsi="Arial"/>
                <w:sz w:val="18"/>
                <w:szCs w:val="18"/>
                <w:color w:val="auto"/>
              </w:rPr>
              <w:t>All outside members of the Board of Directors of the Company are eligible to become and remain participants in the Plan.</w:t>
            </w:r>
          </w:p>
        </w:tc>
      </w:tr>
      <w:tr>
        <w:trPr>
          <w:trHeight w:val="472"/>
        </w:trPr>
        <w:tc>
          <w:tcPr>
            <w:tcW w:w="1080" w:type="dxa"/>
            <w:vAlign w:val="bottom"/>
          </w:tcPr>
          <w:p>
            <w:pPr>
              <w:spacing w:after="0"/>
              <w:rPr>
                <w:sz w:val="20"/>
                <w:szCs w:val="20"/>
                <w:color w:val="auto"/>
              </w:rPr>
            </w:pPr>
            <w:r>
              <w:rPr>
                <w:rFonts w:ascii="Arial" w:cs="Arial" w:eastAsia="Arial" w:hAnsi="Arial"/>
                <w:sz w:val="18"/>
                <w:szCs w:val="18"/>
                <w:color w:val="auto"/>
              </w:rPr>
              <w:t>Section 1 .2</w:t>
            </w:r>
          </w:p>
        </w:tc>
        <w:tc>
          <w:tcPr>
            <w:tcW w:w="10340" w:type="dxa"/>
            <w:vAlign w:val="bottom"/>
          </w:tcPr>
          <w:p>
            <w:pPr>
              <w:ind w:left="500"/>
              <w:spacing w:after="0"/>
              <w:rPr>
                <w:sz w:val="20"/>
                <w:szCs w:val="20"/>
                <w:color w:val="auto"/>
              </w:rPr>
            </w:pPr>
            <w:r>
              <w:rPr>
                <w:rFonts w:ascii="Arial" w:cs="Arial" w:eastAsia="Arial" w:hAnsi="Arial"/>
                <w:sz w:val="18"/>
                <w:szCs w:val="18"/>
                <w:color w:val="auto"/>
                <w:w w:val="94"/>
              </w:rPr>
              <w:t>The individuals described in Section 1.1 shall be eligible to participate in the Plan and may do so by filing a written election with the</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8"/>
              </w:rPr>
              <w:t>Company in the form attached or other form approved by the Company. In the first year in which a participant becomes eligible to</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0"/>
              </w:rPr>
              <w:t>participate in the Plan, the newly eligible participant may make an election to defer directors fees for services to be performed subsequent to</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the election within 30 days after the date the person becomes eligible. Except as otherwise provided herein, elections to defer payment of</w:t>
            </w:r>
          </w:p>
        </w:tc>
      </w:tr>
      <w:tr>
        <w:trPr>
          <w:trHeight w:val="230"/>
        </w:trPr>
        <w:tc>
          <w:tcPr>
            <w:tcW w:w="10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directors fees must be made before the beginning of the calendar year for which the directors fees are payable.</w:t>
            </w:r>
          </w:p>
        </w:tc>
      </w:tr>
      <w:tr>
        <w:trPr>
          <w:trHeight w:val="472"/>
        </w:trPr>
        <w:tc>
          <w:tcPr>
            <w:tcW w:w="1080" w:type="dxa"/>
            <w:vAlign w:val="bottom"/>
          </w:tcPr>
          <w:p>
            <w:pPr>
              <w:spacing w:after="0"/>
              <w:rPr>
                <w:sz w:val="20"/>
                <w:szCs w:val="20"/>
                <w:color w:val="auto"/>
              </w:rPr>
            </w:pPr>
            <w:r>
              <w:rPr>
                <w:rFonts w:ascii="Arial" w:cs="Arial" w:eastAsia="Arial" w:hAnsi="Arial"/>
                <w:sz w:val="18"/>
                <w:szCs w:val="18"/>
                <w:color w:val="auto"/>
              </w:rPr>
              <w:t>Section 1 .3</w:t>
            </w:r>
          </w:p>
        </w:tc>
        <w:tc>
          <w:tcPr>
            <w:tcW w:w="10340" w:type="dxa"/>
            <w:vAlign w:val="bottom"/>
          </w:tcPr>
          <w:p>
            <w:pPr>
              <w:ind w:left="500"/>
              <w:spacing w:after="0"/>
              <w:rPr>
                <w:sz w:val="20"/>
                <w:szCs w:val="20"/>
                <w:color w:val="auto"/>
              </w:rPr>
            </w:pPr>
            <w:r>
              <w:rPr>
                <w:rFonts w:ascii="Arial" w:cs="Arial" w:eastAsia="Arial" w:hAnsi="Arial"/>
                <w:sz w:val="18"/>
                <w:szCs w:val="18"/>
                <w:color w:val="auto"/>
                <w:w w:val="91"/>
              </w:rPr>
              <w:t>For each individual electing to participate in the Plan, the Company shall establish and maintain a deferred compensation account. The</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1"/>
              </w:rPr>
              <w:t>amount of each participant's deferred compensation shall be credited to this account as of the date such directors fees otherwise would be</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payable. No amount shall actually be set aside for payment under the Plan. Any participant to whom an amount is credited under the Plan</w:t>
            </w:r>
          </w:p>
        </w:tc>
      </w:tr>
      <w:tr>
        <w:trPr>
          <w:trHeight w:val="230"/>
        </w:trPr>
        <w:tc>
          <w:tcPr>
            <w:tcW w:w="10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shall be deemed a general, unsecured creditor of the Company.</w:t>
            </w:r>
          </w:p>
        </w:tc>
      </w:tr>
      <w:tr>
        <w:trPr>
          <w:trHeight w:val="472"/>
        </w:trPr>
        <w:tc>
          <w:tcPr>
            <w:tcW w:w="1080" w:type="dxa"/>
            <w:vAlign w:val="bottom"/>
          </w:tcPr>
          <w:p>
            <w:pPr>
              <w:spacing w:after="0"/>
              <w:rPr>
                <w:sz w:val="20"/>
                <w:szCs w:val="20"/>
                <w:color w:val="auto"/>
              </w:rPr>
            </w:pPr>
            <w:r>
              <w:rPr>
                <w:rFonts w:ascii="Arial" w:cs="Arial" w:eastAsia="Arial" w:hAnsi="Arial"/>
                <w:sz w:val="18"/>
                <w:szCs w:val="18"/>
                <w:color w:val="auto"/>
              </w:rPr>
              <w:t>Section 1.4</w:t>
            </w:r>
          </w:p>
        </w:tc>
        <w:tc>
          <w:tcPr>
            <w:tcW w:w="10340" w:type="dxa"/>
            <w:vAlign w:val="bottom"/>
          </w:tcPr>
          <w:p>
            <w:pPr>
              <w:ind w:left="440"/>
              <w:spacing w:after="0"/>
              <w:rPr>
                <w:sz w:val="20"/>
                <w:szCs w:val="20"/>
                <w:color w:val="auto"/>
              </w:rPr>
            </w:pPr>
            <w:r>
              <w:rPr>
                <w:rFonts w:ascii="Arial" w:cs="Arial" w:eastAsia="Arial" w:hAnsi="Arial"/>
                <w:sz w:val="18"/>
                <w:szCs w:val="18"/>
                <w:color w:val="auto"/>
                <w:w w:val="91"/>
              </w:rPr>
              <w:t>Any participant may defer all or any portion of his or her directors fees otherwise payable to him or her by the Company for the calendar</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0"/>
              </w:rPr>
              <w:t>year beginning after the date of said election as he or she may specify in said written election to the Company, and the amounts so deferred</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shall be paid only as provided in this Plan. Any new election to defer payment of directors fees must be made before the beginning of the</w:t>
            </w:r>
          </w:p>
        </w:tc>
      </w:tr>
      <w:tr>
        <w:trPr>
          <w:trHeight w:val="216"/>
        </w:trPr>
        <w:tc>
          <w:tcPr>
            <w:tcW w:w="108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3"/>
              </w:rPr>
              <w:t>calendar year for which the directors fees are payable. The election to defer shall be irrevocable as to the deferred-compensation for the</w:t>
            </w:r>
          </w:p>
        </w:tc>
      </w:tr>
      <w:tr>
        <w:trPr>
          <w:trHeight w:val="230"/>
        </w:trPr>
        <w:tc>
          <w:tcPr>
            <w:tcW w:w="1080" w:type="dxa"/>
            <w:vAlign w:val="bottom"/>
          </w:tcPr>
          <w:p>
            <w:pPr>
              <w:spacing w:after="0"/>
              <w:rPr>
                <w:sz w:val="20"/>
                <w:szCs w:val="20"/>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period for which the election is made.</w:t>
            </w:r>
          </w:p>
        </w:tc>
      </w:tr>
      <w:tr>
        <w:trPr>
          <w:trHeight w:val="447"/>
        </w:trPr>
        <w:tc>
          <w:tcPr>
            <w:tcW w:w="1080" w:type="dxa"/>
            <w:vAlign w:val="bottom"/>
          </w:tcPr>
          <w:p>
            <w:pPr>
              <w:spacing w:after="0"/>
              <w:rPr>
                <w:sz w:val="24"/>
                <w:szCs w:val="24"/>
                <w:color w:val="auto"/>
              </w:rPr>
            </w:pPr>
          </w:p>
        </w:tc>
        <w:tc>
          <w:tcPr>
            <w:tcW w:w="10340" w:type="dxa"/>
            <w:vAlign w:val="bottom"/>
          </w:tcPr>
          <w:p>
            <w:pPr>
              <w:jc w:val="center"/>
              <w:ind w:right="991"/>
              <w:spacing w:after="0"/>
              <w:rPr>
                <w:sz w:val="20"/>
                <w:szCs w:val="20"/>
                <w:color w:val="auto"/>
              </w:rPr>
            </w:pPr>
            <w:r>
              <w:rPr>
                <w:rFonts w:ascii="Arial" w:cs="Arial" w:eastAsia="Arial" w:hAnsi="Arial"/>
                <w:sz w:val="14"/>
                <w:szCs w:val="14"/>
                <w:color w:val="auto"/>
                <w:w w:val="76"/>
              </w:rPr>
              <w:t>1</w:t>
            </w:r>
          </w:p>
        </w:tc>
      </w:tr>
      <w:tr>
        <w:trPr>
          <w:trHeight w:val="117"/>
        </w:trPr>
        <w:tc>
          <w:tcPr>
            <w:tcW w:w="108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ARTICLE II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DEFERRED COMPENSATION</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amounts credited under the terms of the Plan to a deferred compensation account maintained in the name of a participant by the Company shall be invested in any investment option acceptable to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Such investiment election shall be made on a form approved by the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ectPr>
          <w:pgSz w:w="11900" w:h="16838" w:orient="portrait"/>
          <w:cols w:equalWidth="0" w:num="1">
            <w:col w:w="11420"/>
          </w:cols>
          <w:pgMar w:left="240" w:top="395"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Section 3.1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20" w:firstLine="224"/>
        <w:spacing w:after="0" w:line="264" w:lineRule="auto"/>
        <w:rPr>
          <w:sz w:val="20"/>
          <w:szCs w:val="20"/>
          <w:color w:val="auto"/>
        </w:rPr>
      </w:pPr>
      <w:r>
        <w:rPr>
          <w:rFonts w:ascii="Arial" w:cs="Arial" w:eastAsia="Arial" w:hAnsi="Arial"/>
          <w:sz w:val="18"/>
          <w:szCs w:val="18"/>
          <w:color w:val="auto"/>
        </w:rPr>
        <w:t>On the first day of the month next following the date on which a participant ceases to be a member of the Company~s Board of Directors for any reason including death, distribution of the amount credited to the participant’s account in accordance with this plan shall commence to or with respect to the participant in a lump sum.</w:t>
      </w:r>
    </w:p>
    <w:p>
      <w:pPr>
        <w:spacing w:after="0" w:line="200" w:lineRule="exact"/>
        <w:rPr>
          <w:sz w:val="20"/>
          <w:szCs w:val="20"/>
          <w:color w:val="auto"/>
        </w:rPr>
      </w:pPr>
    </w:p>
    <w:p>
      <w:pPr>
        <w:sectPr>
          <w:pgSz w:w="11900" w:h="16838" w:orient="portrait"/>
          <w:cols w:equalWidth="0" w:num="2">
            <w:col w:w="820" w:space="480"/>
            <w:col w:w="10120"/>
          </w:cols>
          <w:pgMar w:left="240" w:top="395"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firstLine="224"/>
        <w:spacing w:after="0" w:line="276" w:lineRule="auto"/>
        <w:rPr>
          <w:sz w:val="20"/>
          <w:szCs w:val="20"/>
          <w:color w:val="auto"/>
        </w:rPr>
      </w:pPr>
      <w:r>
        <w:rPr>
          <w:rFonts w:ascii="Arial" w:cs="Arial" w:eastAsia="Arial" w:hAnsi="Arial"/>
          <w:sz w:val="17"/>
          <w:szCs w:val="17"/>
          <w:color w:val="auto"/>
        </w:rPr>
        <w:t>If a participant should die before distribution has been made to the participant, the account shall be distributed to the participant’s beneficiary designated by the participant in writing and delivered to the Company at the time the participant first elected to become a participant in the Plan. If a participant has not designated a beneficiary, or if no designated beneficiary is living on the date of distribution, then, notwithstanding any provision herein to the contrary, such amounts shall be distributed to such participant’s estate in a lump sum distribution as soon as administratively feasible following such participant's death.</w:t>
      </w:r>
    </w:p>
    <w:p>
      <w:pPr>
        <w:spacing w:after="0" w:line="200" w:lineRule="exact"/>
        <w:rPr>
          <w:sz w:val="20"/>
          <w:szCs w:val="20"/>
          <w:color w:val="auto"/>
        </w:rPr>
      </w:pPr>
    </w:p>
    <w:p>
      <w:pPr>
        <w:sectPr>
          <w:pgSz w:w="11900" w:h="16838" w:orient="portrait"/>
          <w:cols w:equalWidth="0" w:num="2">
            <w:col w:w="820" w:space="480"/>
            <w:col w:w="10120"/>
          </w:cols>
          <w:pgMar w:left="240" w:top="395"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Section 3.3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0" w:firstLine="224"/>
        <w:spacing w:after="0" w:line="291" w:lineRule="auto"/>
        <w:rPr>
          <w:sz w:val="20"/>
          <w:szCs w:val="20"/>
          <w:color w:val="auto"/>
        </w:rPr>
      </w:pPr>
      <w:r>
        <w:rPr>
          <w:rFonts w:ascii="Arial" w:cs="Arial" w:eastAsia="Arial" w:hAnsi="Arial"/>
          <w:sz w:val="16"/>
          <w:szCs w:val="16"/>
          <w:color w:val="auto"/>
        </w:rPr>
        <w:t>In the event a participant incurs an unforeseeable emergency, the participant may make a written request to the Company for a hardship withdrawal from his or her account established under the Plan. An unforeseeable emergency is a severe financial hardship to the participant resulting from a sudden and unexpected illness or accident of the participant or of a dependent (as defined in Section 152(a) of the Internal Revenue Code of 1986, as amended)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section shalL be interpreted in a manner consistent with Sections 1 .457-2(h)(4) and 1 .457-2(h)(5) of the Treasury Regulations.</w:t>
      </w:r>
    </w:p>
    <w:p>
      <w:pPr>
        <w:spacing w:after="0" w:line="200" w:lineRule="exact"/>
        <w:rPr>
          <w:sz w:val="20"/>
          <w:szCs w:val="20"/>
          <w:color w:val="auto"/>
        </w:rPr>
      </w:pPr>
    </w:p>
    <w:p>
      <w:pPr>
        <w:sectPr>
          <w:pgSz w:w="11900" w:h="16838" w:orient="portrait"/>
          <w:cols w:equalWidth="0" w:num="2">
            <w:col w:w="820" w:space="480"/>
            <w:col w:w="10120"/>
          </w:cols>
          <w:pgMar w:left="240" w:top="395"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40" w:firstLine="214"/>
        <w:spacing w:after="0" w:line="259" w:lineRule="auto"/>
        <w:rPr>
          <w:sz w:val="20"/>
          <w:szCs w:val="20"/>
          <w:color w:val="auto"/>
        </w:rPr>
      </w:pPr>
      <w:r>
        <w:rPr>
          <w:rFonts w:ascii="Arial" w:cs="Arial" w:eastAsia="Arial" w:hAnsi="Arial"/>
          <w:sz w:val="18"/>
          <w:szCs w:val="18"/>
          <w:color w:val="auto"/>
        </w:rPr>
        <w:t>Anything herein to the contrary notwithstanding, if, at any time, a court or the Internal Revenue Service determines that an amount in a participant’s account is includable in the gross income of the participant and subject to tax, the Board of Directors of the Company may, in its sole discretion, permit a lump sum distribution of an amount equal to the amount determined to be includable in the participants gross income.</w:t>
      </w:r>
    </w:p>
    <w:p>
      <w:pPr>
        <w:spacing w:after="0" w:line="200" w:lineRule="exact"/>
        <w:rPr>
          <w:sz w:val="20"/>
          <w:szCs w:val="20"/>
          <w:color w:val="auto"/>
        </w:rPr>
      </w:pPr>
    </w:p>
    <w:p>
      <w:pPr>
        <w:sectPr>
          <w:pgSz w:w="11900" w:h="16838" w:orient="portrait"/>
          <w:cols w:equalWidth="0" w:num="2">
            <w:col w:w="820" w:space="480"/>
            <w:col w:w="10120"/>
          </w:cols>
          <w:pgMar w:left="240" w:top="39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color w:val="auto"/>
        </w:rPr>
        <w:t>ARTICLE IV</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reserves the right to amend or terminate the Plan at any time. Any such termination shall be effective as of the end of the calendar year during which notification is given to each participant. Notification will be by first class mail, addressed toeach participant at the participant’s last known address, or by other notice acknowledged in writing by the participant. Any amounts credited to an account of any participant shall remain subject to the provisions of the Plan and distribution will not be accelerated because of the termination of the Plan. No amendment or termination shall directly or indirectly reduce the balance of any account described in this Plan as of the effective date of such amendment or termination - No additional credits or contributions will be made to the accounts of the participants under the Plan after termination of the Plan, but interest may continue to be credited to the accounts of the participants under the Plan until all benefits are distributed to the participants or to their beneficiaries. Upon termination of the Plan, distribution of amounts credited to the accounts of the participants shall be made to the participants or their beneficiaries in accordance with Article III of this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CLAIMS PROCEDURE</w:t>
      </w:r>
    </w:p>
    <w:p>
      <w:pPr>
        <w:sectPr>
          <w:pgSz w:w="11900" w:h="16838" w:orient="portrait"/>
          <w:cols w:equalWidth="0" w:num="1">
            <w:col w:w="11420"/>
          </w:cols>
          <w:pgMar w:left="240" w:top="395"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Section 5.1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600" w:firstLine="224"/>
        <w:spacing w:after="0" w:line="277" w:lineRule="auto"/>
        <w:rPr>
          <w:sz w:val="20"/>
          <w:szCs w:val="20"/>
          <w:color w:val="auto"/>
        </w:rPr>
      </w:pPr>
      <w:r>
        <w:rPr>
          <w:rFonts w:ascii="Arial" w:cs="Arial" w:eastAsia="Arial" w:hAnsi="Arial"/>
          <w:sz w:val="18"/>
          <w:szCs w:val="18"/>
          <w:color w:val="auto"/>
        </w:rPr>
        <w:t>For purposes of handling claims with respect to this Plan, the “Claims Reviewer” shall be the Company, unless another person or organizational unit is designated by the Company as Claims Reviewer.</w:t>
      </w:r>
    </w:p>
    <w:p>
      <w:pPr>
        <w:spacing w:after="0" w:line="200" w:lineRule="exact"/>
        <w:rPr>
          <w:sz w:val="20"/>
          <w:szCs w:val="20"/>
          <w:color w:val="auto"/>
        </w:rPr>
      </w:pPr>
    </w:p>
    <w:p>
      <w:pPr>
        <w:sectPr>
          <w:pgSz w:w="11900" w:h="16838" w:orient="portrait"/>
          <w:cols w:equalWidth="0" w:num="2">
            <w:col w:w="820" w:space="480"/>
            <w:col w:w="10120"/>
          </w:cols>
          <w:pgMar w:left="240" w:top="395"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Section 5.2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This Section shall apply to claims not involving a determination of disability</w:t>
      </w:r>
    </w:p>
    <w:p>
      <w:pPr>
        <w:spacing w:after="0" w:line="200" w:lineRule="exact"/>
        <w:rPr>
          <w:sz w:val="20"/>
          <w:szCs w:val="20"/>
          <w:color w:val="auto"/>
        </w:rPr>
      </w:pPr>
    </w:p>
    <w:p>
      <w:pPr>
        <w:sectPr>
          <w:pgSz w:w="11900" w:h="16838" w:orient="portrait"/>
          <w:cols w:equalWidth="0" w:num="2">
            <w:col w:w="820" w:space="700"/>
            <w:col w:w="9900"/>
          </w:cols>
          <w:pgMar w:left="240" w:top="395" w:right="239" w:bottom="1440" w:gutter="0" w:footer="0" w:header="0"/>
          <w:type w:val="continuous"/>
        </w:sectPr>
      </w:pPr>
    </w:p>
    <w:p>
      <w:pPr>
        <w:spacing w:after="0" w:line="102"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color w:val="auto"/>
        </w:rPr>
        <w:t>An initial claim for benefits under the Plan must be made by the participant or his or her beneficiary in accordance with the terms of the Plan through which the benefits are provided.</w:t>
      </w:r>
    </w:p>
    <w:p>
      <w:pPr>
        <w:spacing w:after="0" w:line="224"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No later than 90 days after receipt of such a claim, the Claims Reviewer will render a written decision on the claim to the claimant, unless special circumstances require the extension of such 90 day period. If such extension is necessary, the Claims Reviewer shall provide the participant or the participant’s beneficiary with written notification of such extension before the expiration of the initial 90 day period. Such notice shall specify the reason or reasons for such extension and the date by which a final decision can be expected. In no event shall such extension exceed a period of 90 days from the end of the initial 90 day period.</w:t>
      </w:r>
    </w:p>
    <w:p>
      <w:pPr>
        <w:spacing w:after="0" w:line="22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the event the Claims Reviewer denies the claim of a participant or the beneficiary in whole or in part, the Claims Reviewer’s written notification shall specify, in a manner calculated to be understood by the claimant: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specific reason for the denial;</w:t>
      </w:r>
    </w:p>
    <w:p>
      <w:pPr>
        <w:sectPr>
          <w:pgSz w:w="11900" w:h="16838" w:orient="portrait"/>
          <w:cols w:equalWidth="0" w:num="1">
            <w:col w:w="11420"/>
          </w:cols>
          <w:pgMar w:left="240" w:top="39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0" w:name="page31"/>
    <w:bookmarkEnd w:id="30"/>
    <w:p>
      <w:pPr>
        <w:ind w:left="2180" w:hanging="713"/>
        <w:spacing w:after="0"/>
        <w:tabs>
          <w:tab w:leader="none" w:pos="2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reference to the Plan or other document or form that is the basis for the denial;</w:t>
      </w:r>
    </w:p>
    <w:p>
      <w:pPr>
        <w:spacing w:after="0" w:line="333" w:lineRule="exact"/>
        <w:rPr>
          <w:rFonts w:ascii="Arial" w:cs="Arial" w:eastAsia="Arial" w:hAnsi="Arial"/>
          <w:sz w:val="18"/>
          <w:szCs w:val="18"/>
          <w:color w:val="auto"/>
        </w:rPr>
      </w:pPr>
    </w:p>
    <w:p>
      <w:pPr>
        <w:ind w:left="2120" w:hanging="653"/>
        <w:spacing w:after="0" w:line="293" w:lineRule="auto"/>
        <w:tabs>
          <w:tab w:leader="none" w:pos="2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it is needed;</w:t>
      </w:r>
    </w:p>
    <w:p>
      <w:pPr>
        <w:spacing w:after="0" w:line="250" w:lineRule="exact"/>
        <w:rPr>
          <w:rFonts w:ascii="Arial" w:cs="Arial" w:eastAsia="Arial" w:hAnsi="Arial"/>
          <w:sz w:val="18"/>
          <w:szCs w:val="18"/>
          <w:color w:val="auto"/>
        </w:rPr>
      </w:pPr>
    </w:p>
    <w:p>
      <w:pPr>
        <w:ind w:left="2180" w:hanging="713"/>
        <w:spacing w:after="0"/>
        <w:tabs>
          <w:tab w:leader="none" w:pos="2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explanation of the applicable review procedures and the time limits applicable to such procedures; and</w:t>
      </w:r>
    </w:p>
    <w:p>
      <w:pPr>
        <w:spacing w:after="0" w:line="333" w:lineRule="exact"/>
        <w:rPr>
          <w:rFonts w:ascii="Arial" w:cs="Arial" w:eastAsia="Arial" w:hAnsi="Arial"/>
          <w:sz w:val="18"/>
          <w:szCs w:val="18"/>
          <w:color w:val="auto"/>
        </w:rPr>
      </w:pPr>
    </w:p>
    <w:p>
      <w:pPr>
        <w:ind w:left="2120" w:hanging="653"/>
        <w:spacing w:after="0" w:line="293" w:lineRule="auto"/>
        <w:tabs>
          <w:tab w:leader="none" w:pos="2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 following an adverse benefit determination on review.</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Should the claim be denied in whole or in part and should the claimant be dissatisfied with the Claims Reviewer’s disposition of the claimant’s claim, the claimant may have full and fair review of the claim by the Company upon written request therefore submitted by the claimant or the claimant’s duly authorized representative and received by the Company within 60 days after the claimant receives written notification that the claimant’s claim has been denied. In connection with such review, the claimant or the claimant~s duly authorized representative shall be entitled to submit written comments, documents, records and other information relating to the claim. The Company shall also provide the claimant or his duly authorized representative, upon request and free of charge, reasonable access to, and copies of, all documents, records and other information relevant to the claimant’s claim for benefits.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considering the review, the Company shall take into account all materials and information the claimant submits relating to the claim, without regard to whether such information was submitted or considered in the initial benefit determination.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act to deny or accept the claim within 60 days after the claimant’s written request for review unless special circumstances require the extension of such 60 day period. The notice of extension shall set forth the special circumstances and the date by which the Company expects to render its decision. In all events, the Company shall act to deny or accept the claim within 120 days of the receipt of the claimant’s request for review. The action of the Company shall be in the form of a written notice to the claimant and its contents shall include:</w:t>
      </w:r>
    </w:p>
    <w:p>
      <w:pPr>
        <w:spacing w:after="0" w:line="281" w:lineRule="exact"/>
        <w:rPr>
          <w:sz w:val="20"/>
          <w:szCs w:val="20"/>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333"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reference to the Plan or other document or form that is the basis for the denial;</w:t>
      </w:r>
    </w:p>
    <w:p>
      <w:pPr>
        <w:spacing w:after="0" w:line="292" w:lineRule="exact"/>
        <w:rPr>
          <w:rFonts w:ascii="Arial" w:cs="Arial" w:eastAsia="Arial" w:hAnsi="Arial"/>
          <w:sz w:val="18"/>
          <w:szCs w:val="18"/>
          <w:color w:val="auto"/>
        </w:rPr>
      </w:pPr>
    </w:p>
    <w:p>
      <w:pPr>
        <w:ind w:left="1960" w:right="20" w:hanging="655"/>
        <w:spacing w:after="0" w:line="258" w:lineRule="auto"/>
        <w:tabs>
          <w:tab w:leader="none" w:pos="156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other informaiton relevant to the claimant's claims for benefits;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1" w:name="page32"/>
    <w:bookmarkEnd w:id="31"/>
    <w:p>
      <w:pPr>
        <w:ind w:left="2120" w:hanging="653"/>
        <w:spacing w:after="0" w:line="293" w:lineRule="auto"/>
        <w:tabs>
          <w:tab w:leader="none" w:pos="2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 following an adverse benefit determination on review.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0"/>
              </w:rPr>
              <w:t>In no event may a claimant commence legal action for benefits the claimant believes are due the claimant until the claimant has exhausted</w:t>
            </w:r>
          </w:p>
        </w:tc>
      </w:tr>
      <w:tr>
        <w:trPr>
          <w:trHeight w:val="230"/>
        </w:trPr>
        <w:tc>
          <w:tcPr>
            <w:tcW w:w="114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all of the remedies and  procedures afforded the claimant by this Article V.</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Section 5.3</w:t>
            </w:r>
          </w:p>
        </w:tc>
        <w:tc>
          <w:tcPr>
            <w:tcW w:w="10280" w:type="dxa"/>
            <w:vAlign w:val="bottom"/>
            <w:gridSpan w:val="3"/>
          </w:tcPr>
          <w:p>
            <w:pPr>
              <w:ind w:left="520"/>
              <w:spacing w:after="0"/>
              <w:rPr>
                <w:sz w:val="20"/>
                <w:szCs w:val="20"/>
                <w:color w:val="auto"/>
              </w:rPr>
            </w:pPr>
            <w:r>
              <w:rPr>
                <w:rFonts w:ascii="Arial" w:cs="Arial" w:eastAsia="Arial" w:hAnsi="Arial"/>
                <w:sz w:val="18"/>
                <w:szCs w:val="18"/>
                <w:color w:val="auto"/>
              </w:rPr>
              <w:t>This Section shall apply to claims involving a determination of disability.</w:t>
            </w:r>
          </w:p>
        </w:tc>
      </w:tr>
      <w:tr>
        <w:trPr>
          <w:trHeight w:val="472"/>
        </w:trPr>
        <w:tc>
          <w:tcPr>
            <w:tcW w:w="1140" w:type="dxa"/>
            <w:vAlign w:val="bottom"/>
          </w:tcPr>
          <w:p>
            <w:pPr>
              <w:spacing w:after="0"/>
              <w:rPr>
                <w:sz w:val="24"/>
                <w:szCs w:val="24"/>
                <w:color w:val="auto"/>
              </w:rPr>
            </w:pPr>
          </w:p>
        </w:tc>
        <w:tc>
          <w:tcPr>
            <w:tcW w:w="10280" w:type="dxa"/>
            <w:vAlign w:val="bottom"/>
            <w:gridSpan w:val="3"/>
          </w:tcPr>
          <w:p>
            <w:pPr>
              <w:ind w:left="360"/>
              <w:spacing w:after="0"/>
              <w:rPr>
                <w:sz w:val="20"/>
                <w:szCs w:val="20"/>
                <w:color w:val="auto"/>
              </w:rPr>
            </w:pPr>
            <w:r>
              <w:rPr>
                <w:rFonts w:ascii="Arial" w:cs="Arial" w:eastAsia="Arial" w:hAnsi="Arial"/>
                <w:sz w:val="18"/>
                <w:szCs w:val="18"/>
                <w:color w:val="auto"/>
                <w:w w:val="94"/>
              </w:rPr>
              <w:t>An initial claim for disability benefits under the Plan must be made by the participant or his or her beneficiary in accordance with the</w:t>
            </w:r>
          </w:p>
        </w:tc>
      </w:tr>
      <w:tr>
        <w:trPr>
          <w:trHeight w:val="230"/>
        </w:trPr>
        <w:tc>
          <w:tcPr>
            <w:tcW w:w="114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terms of the Plan through which the benefits are provided.</w:t>
            </w:r>
          </w:p>
        </w:tc>
      </w:tr>
      <w:tr>
        <w:trPr>
          <w:trHeight w:val="478"/>
        </w:trPr>
        <w:tc>
          <w:tcPr>
            <w:tcW w:w="1140" w:type="dxa"/>
            <w:vAlign w:val="bottom"/>
          </w:tcPr>
          <w:p>
            <w:pPr>
              <w:spacing w:after="0"/>
              <w:rPr>
                <w:sz w:val="24"/>
                <w:szCs w:val="24"/>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1"/>
              </w:rPr>
              <w:t>No later than 45 days after receipt of such a claim, the Claims Reviewer will render a written decision on the claim to the claimant, unless</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3"/>
              </w:rPr>
              <w:t>special circumstances require a 30 day extension of such 45 day period. If a 30 day extension is necessary, the Claims Reviewer shall</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2"/>
              </w:rPr>
              <w:t>provide the participant or the participant's beneficiary with written notification of such extension before the expiration of the initial 45 day</w:t>
            </w:r>
          </w:p>
        </w:tc>
      </w:tr>
      <w:tr>
        <w:trPr>
          <w:trHeight w:val="222"/>
        </w:trPr>
        <w:tc>
          <w:tcPr>
            <w:tcW w:w="1140" w:type="dxa"/>
            <w:vAlign w:val="bottom"/>
          </w:tcPr>
          <w:p>
            <w:pPr>
              <w:spacing w:after="0"/>
              <w:rPr>
                <w:sz w:val="19"/>
                <w:szCs w:val="19"/>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0"/>
              </w:rPr>
              <w:t>period.</w:t>
            </w:r>
          </w:p>
        </w:tc>
        <w:tc>
          <w:tcPr>
            <w:tcW w:w="480" w:type="dxa"/>
            <w:vAlign w:val="bottom"/>
          </w:tcPr>
          <w:p>
            <w:pPr>
              <w:spacing w:after="0"/>
              <w:rPr>
                <w:sz w:val="19"/>
                <w:szCs w:val="19"/>
                <w:color w:val="auto"/>
              </w:rPr>
            </w:pPr>
          </w:p>
        </w:tc>
        <w:tc>
          <w:tcPr>
            <w:tcW w:w="8960" w:type="dxa"/>
            <w:vAlign w:val="bottom"/>
          </w:tcPr>
          <w:p>
            <w:pPr>
              <w:spacing w:after="0"/>
              <w:rPr>
                <w:sz w:val="19"/>
                <w:szCs w:val="19"/>
                <w:color w:val="auto"/>
              </w:rPr>
            </w:pPr>
          </w:p>
        </w:tc>
      </w:tr>
      <w:tr>
        <w:trPr>
          <w:trHeight w:val="474"/>
        </w:trPr>
        <w:tc>
          <w:tcPr>
            <w:tcW w:w="1140" w:type="dxa"/>
            <w:vAlign w:val="bottom"/>
          </w:tcPr>
          <w:p>
            <w:pPr>
              <w:spacing w:after="0"/>
              <w:rPr>
                <w:sz w:val="24"/>
                <w:szCs w:val="24"/>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2"/>
              </w:rPr>
              <w:t>Such notice shall specify the reason or reasons for such etension and the date by which a final decision can be expected. If, prior to the</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0"/>
              </w:rPr>
              <w:t>end of the first 30 day extension period, the Claims Reviewer determines that, due to maters beyond the control of the Claims Reviewer, a</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3"/>
              </w:rPr>
              <w:t>decision cannot be rendered within that extension period, the period for making a decision may be extended for up to an additional 30</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9"/>
              </w:rPr>
              <w:t>days, provided that the Claims Reviewer notifies the claimant, prior to the expiration of the first 30 day extension period, of the</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5"/>
              </w:rPr>
              <w:t>circumstances requiring the extension and the date as of which the Plan expects to render a decision. The notice of extension shall</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0"/>
              </w:rPr>
              <w:t>specifically explain the standards on which entitlement to a benefit is based, the unresolved issues preventing a decision on the claim and</w:t>
            </w:r>
          </w:p>
        </w:tc>
      </w:tr>
      <w:tr>
        <w:trPr>
          <w:trHeight w:val="216"/>
        </w:trPr>
        <w:tc>
          <w:tcPr>
            <w:tcW w:w="1140" w:type="dxa"/>
            <w:vAlign w:val="bottom"/>
          </w:tcPr>
          <w:p>
            <w:pPr>
              <w:spacing w:after="0"/>
              <w:rPr>
                <w:sz w:val="18"/>
                <w:szCs w:val="18"/>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1"/>
              </w:rPr>
              <w:t>the additional information needed to resolve those issues, and the claimant shall be afforded at least 45 days within which to provide the</w:t>
            </w:r>
          </w:p>
        </w:tc>
      </w:tr>
      <w:tr>
        <w:trPr>
          <w:trHeight w:val="230"/>
        </w:trPr>
        <w:tc>
          <w:tcPr>
            <w:tcW w:w="114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specified information.</w:t>
            </w:r>
          </w:p>
        </w:tc>
      </w:tr>
      <w:tr>
        <w:trPr>
          <w:trHeight w:val="472"/>
        </w:trPr>
        <w:tc>
          <w:tcPr>
            <w:tcW w:w="1140" w:type="dxa"/>
            <w:vAlign w:val="bottom"/>
          </w:tcPr>
          <w:p>
            <w:pPr>
              <w:spacing w:after="0"/>
              <w:rPr>
                <w:sz w:val="24"/>
                <w:szCs w:val="24"/>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w w:val="93"/>
              </w:rPr>
              <w:t>In the event the Claims Reviewer denies the claim of a participant or the beneficiary in whole or in part, the Claims Reviewer~s written</w:t>
            </w:r>
          </w:p>
        </w:tc>
      </w:tr>
      <w:tr>
        <w:trPr>
          <w:trHeight w:val="230"/>
        </w:trPr>
        <w:tc>
          <w:tcPr>
            <w:tcW w:w="1140" w:type="dxa"/>
            <w:vAlign w:val="bottom"/>
          </w:tcPr>
          <w:p>
            <w:pPr>
              <w:spacing w:after="0"/>
              <w:rPr>
                <w:sz w:val="20"/>
                <w:szCs w:val="20"/>
                <w:color w:val="auto"/>
              </w:rPr>
            </w:pPr>
          </w:p>
        </w:tc>
        <w:tc>
          <w:tcPr>
            <w:tcW w:w="10280" w:type="dxa"/>
            <w:vAlign w:val="bottom"/>
            <w:gridSpan w:val="3"/>
          </w:tcPr>
          <w:p>
            <w:pPr>
              <w:ind w:left="320"/>
              <w:spacing w:after="0"/>
              <w:rPr>
                <w:sz w:val="20"/>
                <w:szCs w:val="20"/>
                <w:color w:val="auto"/>
              </w:rPr>
            </w:pPr>
            <w:r>
              <w:rPr>
                <w:rFonts w:ascii="Arial" w:cs="Arial" w:eastAsia="Arial" w:hAnsi="Arial"/>
                <w:sz w:val="18"/>
                <w:szCs w:val="18"/>
                <w:color w:val="auto"/>
              </w:rPr>
              <w:t>notification shall specify, in a manner calculated to be understood by the claimant:</w:t>
            </w:r>
          </w:p>
        </w:tc>
      </w:tr>
      <w:tr>
        <w:trPr>
          <w:trHeight w:val="527"/>
        </w:trPr>
        <w:tc>
          <w:tcPr>
            <w:tcW w:w="114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the specific reason for the denial;</w:t>
            </w:r>
          </w:p>
        </w:tc>
      </w:tr>
      <w:tr>
        <w:trPr>
          <w:trHeight w:val="540"/>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(b)</w:t>
            </w:r>
          </w:p>
        </w:tc>
        <w:tc>
          <w:tcPr>
            <w:tcW w:w="8960" w:type="dxa"/>
            <w:vAlign w:val="bottom"/>
          </w:tcPr>
          <w:p>
            <w:pPr>
              <w:ind w:left="240"/>
              <w:spacing w:after="0"/>
              <w:rPr>
                <w:sz w:val="20"/>
                <w:szCs w:val="20"/>
                <w:color w:val="auto"/>
              </w:rPr>
            </w:pPr>
            <w:r>
              <w:rPr>
                <w:rFonts w:ascii="Arial" w:cs="Arial" w:eastAsia="Arial" w:hAnsi="Arial"/>
                <w:sz w:val="18"/>
                <w:szCs w:val="18"/>
                <w:color w:val="auto"/>
              </w:rPr>
              <w:t>a reference to the Plan or other document or form that is the basis for the denial;</w:t>
            </w:r>
          </w:p>
        </w:tc>
      </w:tr>
    </w:tbl>
    <w:p>
      <w:pPr>
        <w:spacing w:after="0" w:line="310" w:lineRule="exact"/>
        <w:rPr>
          <w:sz w:val="20"/>
          <w:szCs w:val="20"/>
          <w:color w:val="auto"/>
        </w:rPr>
      </w:pPr>
    </w:p>
    <w:p>
      <w:pPr>
        <w:ind w:left="2120" w:right="20" w:hanging="653"/>
        <w:spacing w:after="0" w:line="293" w:lineRule="auto"/>
        <w:tabs>
          <w:tab w:leader="none" w:pos="21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it is needed;</w:t>
      </w:r>
    </w:p>
    <w:p>
      <w:pPr>
        <w:spacing w:after="0" w:line="250" w:lineRule="exact"/>
        <w:rPr>
          <w:rFonts w:ascii="Arial" w:cs="Arial" w:eastAsia="Arial" w:hAnsi="Arial"/>
          <w:sz w:val="18"/>
          <w:szCs w:val="18"/>
          <w:color w:val="auto"/>
        </w:rPr>
      </w:pPr>
    </w:p>
    <w:p>
      <w:pPr>
        <w:ind w:left="2160" w:hanging="693"/>
        <w:spacing w:after="0"/>
        <w:tabs>
          <w:tab w:leader="none" w:pos="2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explanation of the applicable review procedures and the time limits applicable to such procedures;</w:t>
      </w:r>
    </w:p>
    <w:p>
      <w:pPr>
        <w:spacing w:after="0" w:line="333" w:lineRule="exact"/>
        <w:rPr>
          <w:rFonts w:ascii="Arial" w:cs="Arial" w:eastAsia="Arial" w:hAnsi="Arial"/>
          <w:sz w:val="18"/>
          <w:szCs w:val="18"/>
          <w:color w:val="auto"/>
        </w:rPr>
      </w:pPr>
    </w:p>
    <w:p>
      <w:pPr>
        <w:ind w:left="2680" w:hanging="674"/>
        <w:spacing w:after="0"/>
        <w:tabs>
          <w:tab w:leader="none" w:pos="26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statement of the claimant’s right to bring a civil action under ERISA Section 502(a) folLowing an adverse benefit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determination on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2" w:name="page33"/>
    <w:bookmarkEnd w:id="32"/>
    <w:p>
      <w:pPr>
        <w:ind w:left="1460" w:right="300" w:firstLine="7"/>
        <w:spacing w:after="0" w:line="259" w:lineRule="auto"/>
        <w:tabs>
          <w:tab w:leader="none" w:pos="16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 internal rule, guideline, protocol or other similar criterion was relied upon in making the adverse determination, either the specific rule, guideline, protocol or other similar criterion, or a statement that such a rule, guideline, protocol or other similar criterion was relied upon in making the adverse benefit determination and that a copy of such rule, guideline, protocol or other criterion will be provided free of charge to the claimant upon request; and</w:t>
      </w:r>
    </w:p>
    <w:p>
      <w:pPr>
        <w:spacing w:after="0" w:line="240" w:lineRule="exact"/>
        <w:rPr>
          <w:rFonts w:ascii="Arial" w:cs="Arial" w:eastAsia="Arial" w:hAnsi="Arial"/>
          <w:sz w:val="18"/>
          <w:szCs w:val="18"/>
          <w:color w:val="auto"/>
        </w:rPr>
      </w:pPr>
    </w:p>
    <w:p>
      <w:pPr>
        <w:ind w:left="1460" w:right="300" w:firstLine="7"/>
        <w:spacing w:after="0" w:line="264" w:lineRule="auto"/>
        <w:tabs>
          <w:tab w:leader="none" w:pos="1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adverse benefit determination is based on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Should the claim be denied in who~ or in part and should the claimant be dissatisfied with the Claims Reviewer’s disposition of the claimant’s claim, the claimant may have full and fair review of the claim by the Company upon written request therefore submitted by the claimant or the claimant’s duly authorized representative and received by the Company within 180 days after the claimant receives written notification that the claimant’s claim has been denied. The review will not afford deference to the initial adverse benefit determination and will neither be conducted by the individual who made the initial adverse benefit determination nor the subordinate of such individual. If the adverse benefit determination is based in whole or in part on a medical judgment, the Claims Reviewer will consult with a health care professional who has appropriate training and experience in the field of medicine involved in the medical judgment. The health care expert will neither be the individual who was consulted in connection with the adverse benefit determination nor the subordinate of such individual. The Claims Reviewer will provide the claimant with the identification of the medical expert whose advice was obtained on behalf of the Plan in connection with the claimant’s adverse benefit determination whether or not such advice was relied upon in making the benefit determination.</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such review, the claimant or the claimant’s duly authorized representative shall be entitled to submit written comments, documents, records and other information relating to the claim. The Company shall also provide the claimant or his duly authorized representative, upon request and free of charge, reasonable access to, and copies of, all documents, records and other information relevant to the claimant’s claim for benefits.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considering the review, the Company shall take into account all materials and information the claimant submits relating to the claim, without regard to whether such information was submitted or considered in the initial benefit determination.</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act to deny or accept the claim within 45 days after the claimant's written request for review unless special circumstances require the extension of such 45 day period. The notice of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both"/>
        <w:ind w:right="20"/>
        <w:spacing w:after="0" w:line="264" w:lineRule="auto"/>
        <w:rPr>
          <w:sz w:val="20"/>
          <w:szCs w:val="20"/>
          <w:color w:val="auto"/>
        </w:rPr>
      </w:pPr>
      <w:r>
        <w:rPr>
          <w:rFonts w:ascii="Arial" w:cs="Arial" w:eastAsia="Arial" w:hAnsi="Arial"/>
          <w:sz w:val="18"/>
          <w:szCs w:val="18"/>
          <w:color w:val="auto"/>
        </w:rPr>
        <w:t>shall set forth the special circumstances and the date by which the Company expects to render its decision. In all events, the Company shall act to deny or accept the claim within 90 days of the receipt of the claimant’s request for review. The action of the Company shall be in the form of a written notice to the cLaimant and its contents shall include:</w:t>
      </w:r>
    </w:p>
    <w:p>
      <w:pPr>
        <w:spacing w:after="0" w:line="235" w:lineRule="exact"/>
        <w:rPr>
          <w:sz w:val="20"/>
          <w:szCs w:val="20"/>
          <w:color w:val="auto"/>
        </w:rPr>
      </w:pPr>
    </w:p>
    <w:p>
      <w:pPr>
        <w:ind w:left="2320" w:hanging="449"/>
        <w:spacing w:after="0"/>
        <w:tabs>
          <w:tab w:leader="none" w:pos="2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279" w:lineRule="exact"/>
        <w:rPr>
          <w:rFonts w:ascii="Arial" w:cs="Arial" w:eastAsia="Arial" w:hAnsi="Arial"/>
          <w:sz w:val="18"/>
          <w:szCs w:val="18"/>
          <w:color w:val="auto"/>
        </w:rPr>
      </w:pPr>
    </w:p>
    <w:p>
      <w:pPr>
        <w:ind w:left="2520" w:hanging="469"/>
        <w:spacing w:after="0"/>
        <w:tabs>
          <w:tab w:leader="none" w:pos="2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reference to the Plan or other document or form that is the basis for the denial;</w:t>
      </w:r>
    </w:p>
    <w:p>
      <w:pPr>
        <w:spacing w:after="0" w:line="279" w:lineRule="exact"/>
        <w:rPr>
          <w:rFonts w:ascii="Arial" w:cs="Arial" w:eastAsia="Arial" w:hAnsi="Arial"/>
          <w:sz w:val="18"/>
          <w:szCs w:val="18"/>
          <w:color w:val="auto"/>
        </w:rPr>
      </w:pPr>
    </w:p>
    <w:p>
      <w:pPr>
        <w:ind w:left="2340" w:hanging="289"/>
        <w:spacing w:after="0"/>
        <w:tabs>
          <w:tab w:leader="none" w:pos="23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w:t>
      </w:r>
    </w:p>
    <w:p>
      <w:pPr>
        <w:spacing w:after="0" w:line="46" w:lineRule="exact"/>
        <w:rPr>
          <w:sz w:val="20"/>
          <w:szCs w:val="20"/>
          <w:color w:val="auto"/>
        </w:rPr>
      </w:pPr>
    </w:p>
    <w:p>
      <w:pPr>
        <w:ind w:left="1800"/>
        <w:spacing w:after="0"/>
        <w:tabs>
          <w:tab w:leader="none" w:pos="3740" w:val="left"/>
        </w:tabs>
        <w:rPr>
          <w:sz w:val="20"/>
          <w:szCs w:val="20"/>
          <w:color w:val="auto"/>
        </w:rPr>
      </w:pPr>
      <w:r>
        <w:rPr>
          <w:rFonts w:ascii="Arial" w:cs="Arial" w:eastAsia="Arial" w:hAnsi="Arial"/>
          <w:sz w:val="18"/>
          <w:szCs w:val="18"/>
          <w:color w:val="auto"/>
        </w:rPr>
        <w:t>documents, records and</w:t>
      </w:r>
      <w:r>
        <w:rPr>
          <w:sz w:val="20"/>
          <w:szCs w:val="20"/>
          <w:color w:val="auto"/>
        </w:rPr>
        <w:tab/>
      </w:r>
      <w:r>
        <w:rPr>
          <w:rFonts w:ascii="Arial" w:cs="Arial" w:eastAsia="Arial" w:hAnsi="Arial"/>
          <w:sz w:val="16"/>
          <w:szCs w:val="16"/>
          <w:color w:val="auto"/>
        </w:rPr>
        <w:t>other information relevant to the claimant’s claims for benefits;</w:t>
      </w:r>
    </w:p>
    <w:p>
      <w:pPr>
        <w:spacing w:after="0" w:line="265" w:lineRule="exact"/>
        <w:rPr>
          <w:sz w:val="20"/>
          <w:szCs w:val="20"/>
          <w:color w:val="auto"/>
        </w:rPr>
      </w:pPr>
    </w:p>
    <w:p>
      <w:pPr>
        <w:ind w:left="1460" w:right="140" w:firstLine="7"/>
        <w:spacing w:after="0" w:line="277" w:lineRule="auto"/>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 following an adverse benefit determination on review;</w:t>
      </w:r>
    </w:p>
    <w:p>
      <w:pPr>
        <w:spacing w:after="0" w:line="264" w:lineRule="exact"/>
        <w:rPr>
          <w:rFonts w:ascii="Arial" w:cs="Arial" w:eastAsia="Arial" w:hAnsi="Arial"/>
          <w:sz w:val="18"/>
          <w:szCs w:val="18"/>
          <w:color w:val="auto"/>
        </w:rPr>
      </w:pPr>
    </w:p>
    <w:p>
      <w:pPr>
        <w:ind w:left="1800" w:right="80" w:firstLine="99"/>
        <w:spacing w:after="0" w:line="246" w:lineRule="auto"/>
        <w:tabs>
          <w:tab w:leader="none" w:pos="2232" w:val="left"/>
        </w:tabs>
        <w:numPr>
          <w:ilvl w:val="1"/>
          <w:numId w:val="10"/>
        </w:numPr>
        <w:rPr>
          <w:rFonts w:ascii="Arial" w:cs="Arial" w:eastAsia="Arial" w:hAnsi="Arial"/>
          <w:sz w:val="22"/>
          <w:szCs w:val="22"/>
          <w:color w:val="auto"/>
        </w:rPr>
      </w:pPr>
      <w:r>
        <w:rPr>
          <w:rFonts w:ascii="Arial" w:cs="Arial" w:eastAsia="Arial" w:hAnsi="Arial"/>
          <w:sz w:val="18"/>
          <w:szCs w:val="18"/>
          <w:color w:val="auto"/>
        </w:rPr>
        <w:t>if an internal rule, guideline, protocol or other similar criterion was relied upon in making the adverse determination, either the specific rule, guideline, protocol or other similar criterion, or a statement that such a rule, guideline, protocol or other similar criterion was relied upon in making the adverse benefit determination and that a copy of such rule, guideline, protocol or other criterion will be provided free of charge to the claimant upon request;</w:t>
      </w:r>
    </w:p>
    <w:p>
      <w:pPr>
        <w:spacing w:after="0" w:line="252" w:lineRule="exact"/>
        <w:rPr>
          <w:rFonts w:ascii="Arial" w:cs="Arial" w:eastAsia="Arial" w:hAnsi="Arial"/>
          <w:sz w:val="22"/>
          <w:szCs w:val="22"/>
          <w:color w:val="auto"/>
        </w:rPr>
      </w:pPr>
    </w:p>
    <w:p>
      <w:pPr>
        <w:jc w:val="both"/>
        <w:ind w:left="1800" w:right="380" w:firstLine="206"/>
        <w:spacing w:after="0" w:line="286" w:lineRule="auto"/>
        <w:tabs>
          <w:tab w:leader="none" w:pos="2315" w:val="left"/>
        </w:tabs>
        <w:numPr>
          <w:ilvl w:val="2"/>
          <w:numId w:val="10"/>
        </w:numPr>
        <w:rPr>
          <w:rFonts w:ascii="Arial" w:cs="Arial" w:eastAsia="Arial" w:hAnsi="Arial"/>
          <w:sz w:val="17"/>
          <w:szCs w:val="17"/>
          <w:color w:val="auto"/>
        </w:rPr>
      </w:pPr>
      <w:r>
        <w:rPr>
          <w:rFonts w:ascii="Arial" w:cs="Arial" w:eastAsia="Arial" w:hAnsi="Arial"/>
          <w:sz w:val="17"/>
          <w:szCs w:val="17"/>
          <w:color w:val="auto"/>
        </w:rPr>
        <w:t>if the adverse benefit determination is based on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219" w:lineRule="exact"/>
        <w:rPr>
          <w:rFonts w:ascii="Arial" w:cs="Arial" w:eastAsia="Arial" w:hAnsi="Arial"/>
          <w:sz w:val="17"/>
          <w:szCs w:val="17"/>
          <w:color w:val="auto"/>
        </w:rPr>
      </w:pPr>
    </w:p>
    <w:p>
      <w:pPr>
        <w:ind w:left="1800" w:right="520" w:firstLine="206"/>
        <w:spacing w:after="0" w:line="264" w:lineRule="auto"/>
        <w:tabs>
          <w:tab w:leader="none" w:pos="231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 .”</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no event may a claimant commence legal action for benefits the claimant believes are due the claimant until the claimant has exhausted all of the remedies and procedures afforded the claimant by this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ADMINISTRATION</w:t>
      </w:r>
    </w:p>
    <w:p>
      <w:pPr>
        <w:sectPr>
          <w:pgSz w:w="11900" w:h="16838" w:orient="portrait"/>
          <w:cols w:equalWidth="0" w:num="1">
            <w:col w:w="11360"/>
          </w:cols>
          <w:pgMar w:left="240" w:top="936" w:right="29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Section 6.1</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firstLine="68"/>
        <w:spacing w:after="0" w:line="269" w:lineRule="auto"/>
        <w:rPr>
          <w:sz w:val="20"/>
          <w:szCs w:val="20"/>
          <w:color w:val="auto"/>
        </w:rPr>
      </w:pPr>
      <w:r>
        <w:rPr>
          <w:rFonts w:ascii="Arial" w:cs="Arial" w:eastAsia="Arial" w:hAnsi="Arial"/>
          <w:sz w:val="17"/>
          <w:szCs w:val="17"/>
          <w:color w:val="auto"/>
        </w:rPr>
        <w:t>The right of a participant or the participant’s beneficiary to receive a distribution hereunder shall be an unsecured claim against the general assets of the Company, and neither a participant nor his or her designated beneficiary shaLl have any rights in or against any amount credited to any accounts under this Plan or any other assets of the Company. The Plan at all times shall be considered entirely unfunded both for tax purposes and for purposes of Title I of the Employee Retirement Income Security Act of 1974, as amended. Any funds invested hereunder shall continue for all purposes to be part of the general assets of the Company and available to its general creditors in the event of bankruptcy or insolvency. Accounts under this Plan and any benefits which may be payable pursuant to this Plan are not subject in any manner to anticipation, sale, alienation, transfer, assignment, pledge, encumbrance, attachment, or garnishment by creditors of a participant or a participant’s beneficiary. The Plan constitutes a mere promise by the Company to make benefit payments in the future.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200" w:lineRule="exact"/>
        <w:rPr>
          <w:sz w:val="20"/>
          <w:szCs w:val="20"/>
          <w:color w:val="auto"/>
        </w:rPr>
      </w:pPr>
    </w:p>
    <w:p>
      <w:pPr>
        <w:sectPr>
          <w:pgSz w:w="11900" w:h="16838" w:orient="portrait"/>
          <w:cols w:equalWidth="0" w:num="2">
            <w:col w:w="820" w:space="640"/>
            <w:col w:w="9900"/>
          </w:cols>
          <w:pgMar w:left="240" w:top="936"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Section 6.2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80" w:firstLine="68"/>
        <w:spacing w:after="0" w:line="257" w:lineRule="auto"/>
        <w:rPr>
          <w:sz w:val="20"/>
          <w:szCs w:val="20"/>
          <w:color w:val="auto"/>
        </w:rPr>
      </w:pPr>
      <w:r>
        <w:rPr>
          <w:rFonts w:ascii="Arial" w:cs="Arial" w:eastAsia="Arial" w:hAnsi="Arial"/>
          <w:sz w:val="18"/>
          <w:szCs w:val="18"/>
          <w:color w:val="auto"/>
        </w:rPr>
        <w:t>The Plan shall be administered by the Board of Directors of the Company, which shall have the authority, duty and power to interpret and construe the provisions of the Plan as the Board deems appropriate including the authority to determine eligibility for benefits under the Plan. The Board shall have the duty and responsibility of maintaining records, making the requisite calculations and disbursing the payments hereunder. The interpretations, determinations, regulations and calculations of the Board shall be final and binding on all persons and parties concerned.</w:t>
      </w:r>
    </w:p>
    <w:p>
      <w:pPr>
        <w:spacing w:after="0" w:line="200" w:lineRule="exact"/>
        <w:rPr>
          <w:sz w:val="20"/>
          <w:szCs w:val="20"/>
          <w:color w:val="auto"/>
        </w:rPr>
      </w:pPr>
    </w:p>
    <w:p>
      <w:pPr>
        <w:sectPr>
          <w:pgSz w:w="11900" w:h="16838" w:orient="portrait"/>
          <w:cols w:equalWidth="0" w:num="2">
            <w:col w:w="820" w:space="640"/>
            <w:col w:w="9900"/>
          </w:cols>
          <w:pgMar w:left="240" w:top="936" w:right="29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Section 6.3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60" w:firstLine="71"/>
        <w:spacing w:after="0" w:line="264" w:lineRule="auto"/>
        <w:rPr>
          <w:sz w:val="20"/>
          <w:szCs w:val="20"/>
          <w:color w:val="auto"/>
        </w:rPr>
      </w:pPr>
      <w:r>
        <w:rPr>
          <w:rFonts w:ascii="Arial" w:cs="Arial" w:eastAsia="Arial" w:hAnsi="Arial"/>
          <w:sz w:val="18"/>
          <w:szCs w:val="18"/>
          <w:color w:val="auto"/>
        </w:rPr>
        <w:t>Expenses of administration shall be paid by the Company. The Board of Directors of the Company shall be entitled to rely on all tables, valuations, certificates, opinions, data and reports furnished by any actuary, accountant, controller, counselor other person employed or retained by the Company with’ respect to the Plan.</w:t>
      </w:r>
    </w:p>
    <w:p>
      <w:pPr>
        <w:spacing w:after="0" w:line="200" w:lineRule="exact"/>
        <w:rPr>
          <w:sz w:val="20"/>
          <w:szCs w:val="20"/>
          <w:color w:val="auto"/>
        </w:rPr>
      </w:pPr>
    </w:p>
    <w:p>
      <w:pPr>
        <w:sectPr>
          <w:pgSz w:w="11900" w:h="16838" w:orient="portrait"/>
          <w:cols w:equalWidth="0" w:num="2">
            <w:col w:w="820" w:space="640"/>
            <w:col w:w="9900"/>
          </w:cols>
          <w:pgMar w:left="240" w:top="936" w:right="29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6.4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00" w:firstLine="113"/>
        <w:spacing w:after="0" w:line="277" w:lineRule="auto"/>
        <w:rPr>
          <w:sz w:val="20"/>
          <w:szCs w:val="20"/>
          <w:color w:val="auto"/>
        </w:rPr>
      </w:pPr>
      <w:r>
        <w:rPr>
          <w:rFonts w:ascii="Arial" w:cs="Arial" w:eastAsia="Arial" w:hAnsi="Arial"/>
          <w:sz w:val="18"/>
          <w:szCs w:val="18"/>
          <w:color w:val="auto"/>
        </w:rPr>
        <w:t>The Company shall furnish individual annual statements of accrued benefits to each participant, or current beneficiary, in such form as determined by the Company or as required by law.</w:t>
      </w:r>
    </w:p>
    <w:p>
      <w:pPr>
        <w:spacing w:after="0" w:line="200" w:lineRule="exact"/>
        <w:rPr>
          <w:sz w:val="20"/>
          <w:szCs w:val="20"/>
          <w:color w:val="auto"/>
        </w:rPr>
      </w:pPr>
    </w:p>
    <w:p>
      <w:pPr>
        <w:sectPr>
          <w:pgSz w:w="11900" w:h="16838" w:orient="portrait"/>
          <w:cols w:equalWidth="0" w:num="2">
            <w:col w:w="820" w:space="640"/>
            <w:col w:w="9900"/>
          </w:cols>
          <w:pgMar w:left="240" w:top="936" w:right="2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Section 6.5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firstLine="113"/>
        <w:spacing w:after="0" w:line="259" w:lineRule="auto"/>
        <w:rPr>
          <w:sz w:val="20"/>
          <w:szCs w:val="20"/>
          <w:color w:val="auto"/>
        </w:rPr>
      </w:pPr>
      <w:r>
        <w:rPr>
          <w:rFonts w:ascii="Arial" w:cs="Arial" w:eastAsia="Arial" w:hAnsi="Arial"/>
          <w:sz w:val="18"/>
          <w:szCs w:val="18"/>
          <w:color w:val="auto"/>
        </w:rPr>
        <w:t>The sole rights of a participant or beneficiary under this Plan shall be to have this Plan administered according to its provisions, to receive whatever benefits he or she may be entitled to hereunder, and nothing in the Plan shall be interpreted as a guaranty that any funds in any trust which may be established in connection with the Plan or assets of the Company will be sufficient to pay any benefit hereunder. Further, the adoption and maintenance of this Plan shall not be construed as</w:t>
      </w:r>
    </w:p>
    <w:p>
      <w:pPr>
        <w:spacing w:after="0" w:line="200" w:lineRule="exact"/>
        <w:rPr>
          <w:sz w:val="20"/>
          <w:szCs w:val="20"/>
          <w:color w:val="auto"/>
        </w:rPr>
      </w:pPr>
    </w:p>
    <w:p>
      <w:pPr>
        <w:sectPr>
          <w:pgSz w:w="11900" w:h="16838" w:orient="portrait"/>
          <w:cols w:equalWidth="0" w:num="2">
            <w:col w:w="820" w:space="640"/>
            <w:col w:w="9900"/>
          </w:cols>
          <w:pgMar w:left="240" w:top="93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type w:val="continuous"/>
        </w:sectPr>
      </w:pPr>
    </w:p>
    <w:bookmarkStart w:id="35" w:name="page36"/>
    <w:bookmarkEnd w:id="35"/>
    <w:p>
      <w:pPr>
        <w:ind w:left="1480"/>
        <w:spacing w:after="0"/>
        <w:rPr>
          <w:sz w:val="20"/>
          <w:szCs w:val="20"/>
          <w:color w:val="auto"/>
        </w:rPr>
      </w:pPr>
      <w:r>
        <w:rPr>
          <w:rFonts w:ascii="Arial" w:cs="Arial" w:eastAsia="Arial" w:hAnsi="Arial"/>
          <w:sz w:val="16"/>
          <w:szCs w:val="16"/>
          <w:color w:val="auto"/>
        </w:rPr>
        <w:t>creating any contract of employment between the Company and any participant.</w:t>
      </w:r>
    </w:p>
    <w:p>
      <w:pPr>
        <w:sectPr>
          <w:pgSz w:w="11900" w:h="16838" w:orient="portrait"/>
          <w:cols w:equalWidth="0" w:num="1">
            <w:col w:w="11400"/>
          </w:cols>
          <w:pgMar w:left="240" w:top="935" w:right="25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Section 6.6</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firstLine="68"/>
        <w:spacing w:after="0" w:line="293" w:lineRule="auto"/>
        <w:rPr>
          <w:sz w:val="20"/>
          <w:szCs w:val="20"/>
          <w:color w:val="auto"/>
        </w:rPr>
      </w:pPr>
      <w:r>
        <w:rPr>
          <w:rFonts w:ascii="Arial" w:cs="Arial" w:eastAsia="Arial" w:hAnsi="Arial"/>
          <w:sz w:val="16"/>
          <w:szCs w:val="16"/>
          <w:color w:val="auto"/>
        </w:rPr>
        <w:t>The Company may from time to time establish rules and procedures which it determines to be necessary for the proper administration of the Plan and the benefits payable to an individual in the event that individual is declared incompetent and a conservator or other person legally charged with that individual’s care is appointed. Except as otherwise provided herein, when the Company determines that such individual is unable to manage his or her financial affairs, the Company may pay such individual’s benefits to such conservator, person legally charged with such individual’s care, or institution then contributing toward or providing for the care and maintenance of such individual. Any such payment shall constitute a complete discharge of any liability of the Company and the Plan for such individual.</w:t>
      </w:r>
    </w:p>
    <w:p>
      <w:pPr>
        <w:spacing w:after="0" w:line="200" w:lineRule="exact"/>
        <w:rPr>
          <w:sz w:val="20"/>
          <w:szCs w:val="20"/>
          <w:color w:val="auto"/>
        </w:rPr>
      </w:pPr>
    </w:p>
    <w:p>
      <w:pPr>
        <w:sectPr>
          <w:pgSz w:w="11900" w:h="16838" w:orient="portrait"/>
          <w:cols w:equalWidth="0" w:num="2">
            <w:col w:w="820" w:space="640"/>
            <w:col w:w="9940"/>
          </w:cols>
          <w:pgMar w:left="240" w:top="935" w:right="2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Section 6.7</w:t>
      </w:r>
    </w:p>
    <w:p>
      <w:pPr>
        <w:spacing w:after="0" w:line="20" w:lineRule="exact"/>
        <w:rPr>
          <w:sz w:val="20"/>
          <w:szCs w:val="20"/>
          <w:color w:val="auto"/>
        </w:rPr>
      </w:pPr>
      <w:r>
        <w:rPr>
          <w:sz w:val="20"/>
          <w:szCs w:val="20"/>
          <w:color w:val="auto"/>
        </w:rPr>
        <w:br w:type="column"/>
      </w:r>
    </w:p>
    <w:p>
      <w:pPr>
        <w:ind w:firstLine="68"/>
        <w:spacing w:after="0" w:line="259" w:lineRule="auto"/>
        <w:rPr>
          <w:sz w:val="20"/>
          <w:szCs w:val="20"/>
          <w:color w:val="auto"/>
        </w:rPr>
      </w:pPr>
      <w:r>
        <w:rPr>
          <w:rFonts w:ascii="Arial" w:cs="Arial" w:eastAsia="Arial" w:hAnsi="Arial"/>
          <w:sz w:val="18"/>
          <w:szCs w:val="18"/>
          <w:color w:val="auto"/>
        </w:rPr>
        <w:t>The Plan may be continued after a sale of assets of the Company, or a merger or consolidation of the Company into or with another corporation or entity only if and to the extent that the transferee, purchaser or successor entity agrees to continue the Plan. In the event that the Plan is not continued by the transferee, purchaser or successor entity, then the Plan shall be terminated subject to the provisions of Article IV.</w:t>
      </w:r>
    </w:p>
    <w:p>
      <w:pPr>
        <w:spacing w:after="0" w:line="200" w:lineRule="exact"/>
        <w:rPr>
          <w:sz w:val="20"/>
          <w:szCs w:val="20"/>
          <w:color w:val="auto"/>
        </w:rPr>
      </w:pPr>
    </w:p>
    <w:p>
      <w:pPr>
        <w:sectPr>
          <w:pgSz w:w="11900" w:h="16838" w:orient="portrait"/>
          <w:cols w:equalWidth="0" w:num="2">
            <w:col w:w="820" w:space="640"/>
            <w:col w:w="9940"/>
          </w:cols>
          <w:pgMar w:left="240" w:top="935"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Section 6.9</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firstLine="71"/>
        <w:spacing w:after="0" w:line="259" w:lineRule="auto"/>
        <w:rPr>
          <w:sz w:val="20"/>
          <w:szCs w:val="20"/>
          <w:color w:val="auto"/>
        </w:rPr>
      </w:pPr>
      <w:r>
        <w:rPr>
          <w:rFonts w:ascii="Arial" w:cs="Arial" w:eastAsia="Arial" w:hAnsi="Arial"/>
          <w:sz w:val="18"/>
          <w:szCs w:val="18"/>
          <w:color w:val="auto"/>
        </w:rPr>
        <w:t>Notwithstanding any provision herein to the contrary, neither the Company nor any individual acting as an employee or agent of the Company shall be liable to any participant, former participant, designated beneficiary, or any other person for any claim, loss, liability or expense incurred in connection with the Plan, unless attributable to fraud or willful misconduct on the part of the Company or any such employee or agent of the Company.</w:t>
      </w:r>
    </w:p>
    <w:p>
      <w:pPr>
        <w:spacing w:after="0" w:line="200" w:lineRule="exact"/>
        <w:rPr>
          <w:sz w:val="20"/>
          <w:szCs w:val="20"/>
          <w:color w:val="auto"/>
        </w:rPr>
      </w:pPr>
    </w:p>
    <w:p>
      <w:pPr>
        <w:sectPr>
          <w:pgSz w:w="11900" w:h="16838" w:orient="portrait"/>
          <w:cols w:equalWidth="0" w:num="2">
            <w:col w:w="820" w:space="640"/>
            <w:col w:w="9940"/>
          </w:cols>
          <w:pgMar w:left="240" w:top="935"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Section 6.10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0" w:firstLine="61"/>
        <w:spacing w:after="0" w:line="277" w:lineRule="auto"/>
        <w:rPr>
          <w:sz w:val="20"/>
          <w:szCs w:val="20"/>
          <w:color w:val="auto"/>
        </w:rPr>
      </w:pPr>
      <w:r>
        <w:rPr>
          <w:rFonts w:ascii="Arial" w:cs="Arial" w:eastAsia="Arial" w:hAnsi="Arial"/>
          <w:sz w:val="18"/>
          <w:szCs w:val="18"/>
          <w:color w:val="auto"/>
        </w:rPr>
        <w:t>All questions pertaining to the construction, validity and effect of the Plan shall be determined in accordance with the laws of the United States and to the extent not preempted by such laws, by the laws of the State of Tennessee.</w:t>
      </w:r>
    </w:p>
    <w:p>
      <w:pPr>
        <w:spacing w:after="0" w:line="200" w:lineRule="exact"/>
        <w:rPr>
          <w:sz w:val="20"/>
          <w:szCs w:val="20"/>
          <w:color w:val="auto"/>
        </w:rPr>
      </w:pPr>
    </w:p>
    <w:p>
      <w:pPr>
        <w:sectPr>
          <w:pgSz w:w="11900" w:h="16838" w:orient="portrait"/>
          <w:cols w:equalWidth="0" w:num="2">
            <w:col w:w="900" w:space="560"/>
            <w:col w:w="9940"/>
          </w:cols>
          <w:pgMar w:left="240" w:top="93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NN, INC. ELECTIVE DEFERRED COMPENSATION PLAN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WHEREAS, the NN, Inc. Elective Deferred Compensation Plan (hereinafter referred to as the "Plan") was established effective February 26, 1999; 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WHEREAS, the Employer desires to amend the Plan under Article IV thereof to provide an optional form of benefit payment under the terms of the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Employer hereby amends the Plan, effective as of the first day of January, 2005,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of the Plan shall be amended to read, as follows:</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the first day of the month next following the date on which a participant ceases to be a member of the Company's Board of Directors for any reason including death, distribution of the amount credited to the participant's account in accordance with this plan shall commence to or with respect to the participant in either (1) a lump sum or (2) three (3) equal annual installments.</w:t>
      </w:r>
    </w:p>
    <w:p>
      <w:pPr>
        <w:spacing w:after="0" w:line="235" w:lineRule="exact"/>
        <w:rPr>
          <w:sz w:val="20"/>
          <w:szCs w:val="20"/>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Participant may make an initial payment election under Section 3.1(b) or changes to an election under Section 3.1(c). If the Participant fails to timely elect a payment election, the Plan will pay the affected Participant’s Vested Accrued Benefit in a lump-sum cash payment.</w:t>
      </w:r>
    </w:p>
    <w:p>
      <w:pPr>
        <w:spacing w:after="0" w:line="200" w:lineRule="exact"/>
        <w:rPr>
          <w:rFonts w:ascii="Arial" w:cs="Arial" w:eastAsia="Arial" w:hAnsi="Arial"/>
          <w:sz w:val="17"/>
          <w:szCs w:val="17"/>
          <w:color w:val="auto"/>
        </w:rPr>
      </w:pPr>
    </w:p>
    <w:p>
      <w:pPr>
        <w:jc w:val="both"/>
        <w:ind w:left="660" w:hanging="652"/>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Initial Payment Election</w:t>
      </w:r>
      <w:r>
        <w:rPr>
          <w:rFonts w:ascii="Arial" w:cs="Arial" w:eastAsia="Arial" w:hAnsi="Arial"/>
          <w:sz w:val="16"/>
          <w:szCs w:val="16"/>
          <w:color w:val="auto"/>
        </w:rPr>
        <w:t>. A Participant must make an initial payment election at the time of the Participant’s election to defer. A payment election may apply to all deferred compensation regardless of the time deferred or only to specific deferred compensation based on date of deferral, as the payment election indicates. A Participant must make any permissible initial payment election on a form the Employer provides for that purpose.</w:t>
      </w:r>
    </w:p>
    <w:p>
      <w:pPr>
        <w:spacing w:after="0" w:line="200" w:lineRule="exact"/>
        <w:rPr>
          <w:rFonts w:ascii="Arial" w:cs="Arial" w:eastAsia="Arial" w:hAnsi="Arial"/>
          <w:sz w:val="16"/>
          <w:szCs w:val="16"/>
          <w:color w:val="auto"/>
        </w:rPr>
      </w:pPr>
    </w:p>
    <w:p>
      <w:pPr>
        <w:jc w:val="both"/>
        <w:ind w:left="660" w:hanging="652"/>
        <w:spacing w:after="0" w:line="27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Changes to Payment Election</w:t>
      </w:r>
      <w:r>
        <w:rPr>
          <w:rFonts w:ascii="Arial" w:cs="Arial" w:eastAsia="Arial" w:hAnsi="Arial"/>
          <w:sz w:val="17"/>
          <w:szCs w:val="17"/>
          <w:color w:val="auto"/>
        </w:rPr>
        <w:t>. A Participant may change the election. If the Plan permits Participants to change existing payment elections (initial or change elections) as to any or all deferred compensation, including any Plan default payment applicable in the absence of an election, any such change election must comply with this Section 3.1(c). A Participant must make any change election on a form the Employer provides for such purpose. Any Participant change election: (i) may not take effect until at least 12 months following the date of the change election; (ii) must result in the first payment under the change election being made not earlier than 5 years following the date upon which the originally-elected payment would have been made (except if payment is on account of death, Disability or Unforeseeable Emergency); and (iii) if the change election relates to a Participant’s or the Employer’s previous election of a fixed schedule, the Participant must make the change election not less than 12 months prior to the date of the first scheduled payment under the initial election. A Beneficiary following a Participant’s death may not make a payment change election under this Section 3.1(c).</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WITNESS WHEREOF, this Amendment has been executed this 2nd day of November, 2006.</w:t>
      </w:r>
    </w:p>
    <w:p>
      <w:pPr>
        <w:spacing w:after="0" w:line="200" w:lineRule="exact"/>
        <w:rPr>
          <w:sz w:val="20"/>
          <w:szCs w:val="20"/>
          <w:color w:val="auto"/>
        </w:rPr>
      </w:pPr>
    </w:p>
    <w:p>
      <w:pPr>
        <w:spacing w:after="0" w:line="345"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C. Kelly,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3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3525" cy="8890"/>
                    </a:xfrm>
                    <a:prstGeom prst="rect">
                      <a:avLst/>
                    </a:prstGeom>
                    <a:noFill/>
                  </pic:spPr>
                </pic:pic>
              </a:graphicData>
            </a:graphic>
          </wp:anchor>
        </w:drawing>
      </w:r>
    </w:p>
    <w:p>
      <w:pPr>
        <w:spacing w:after="0" w:line="191" w:lineRule="exact"/>
        <w:rPr>
          <w:sz w:val="20"/>
          <w:szCs w:val="20"/>
          <w:color w:val="auto"/>
        </w:rPr>
      </w:pPr>
    </w:p>
    <w:p>
      <w:pPr>
        <w:spacing w:after="0"/>
        <w:tabs>
          <w:tab w:leader="none" w:pos="320" w:val="left"/>
          <w:tab w:leader="none" w:pos="520" w:val="left"/>
          <w:tab w:leader="none" w:pos="740" w:val="left"/>
          <w:tab w:leader="none" w:pos="940" w:val="left"/>
          <w:tab w:leader="none" w:pos="1160" w:val="left"/>
          <w:tab w:leader="none" w:pos="1400" w:val="left"/>
          <w:tab w:leader="none" w:pos="1920" w:val="left"/>
          <w:tab w:leader="none" w:pos="2200" w:val="left"/>
          <w:tab w:leader="none" w:pos="2600" w:val="left"/>
          <w:tab w:leader="none" w:pos="2900" w:val="left"/>
          <w:tab w:leader="none" w:pos="3140" w:val="left"/>
          <w:tab w:leader="none" w:pos="3360" w:val="left"/>
          <w:tab w:leader="none" w:pos="3560" w:val="left"/>
          <w:tab w:leader="none" w:pos="3800" w:val="left"/>
          <w:tab w:leader="none" w:pos="4220" w:val="left"/>
          <w:tab w:leader="none" w:pos="4460" w:val="left"/>
          <w:tab w:leader="none" w:pos="4660" w:val="left"/>
        </w:tabs>
        <w:rPr>
          <w:sz w:val="20"/>
          <w:szCs w:val="20"/>
          <w:color w:val="auto"/>
        </w:rPr>
      </w:pPr>
      <w:r>
        <w:rPr>
          <w:rFonts w:ascii="Arial" w:cs="Arial" w:eastAsia="Arial" w:hAnsi="Arial"/>
          <w:sz w:val="18"/>
          <w:szCs w:val="18"/>
          <w:color w:val="auto"/>
        </w:rPr>
        <w:t>W</w:t>
        <w:tab/>
        <w:t>i</w:t>
        <w:tab/>
        <w:t>l</w:t>
        <w:tab/>
        <w:t>l</w:t>
        <w:tab/>
        <w:t>i</w:t>
        <w:tab/>
        <w:t>a</w:t>
        <w:tab/>
        <w:t>m</w:t>
      </w:r>
      <w:r>
        <w:rPr>
          <w:sz w:val="20"/>
          <w:szCs w:val="20"/>
          <w:color w:val="auto"/>
        </w:rPr>
        <w:tab/>
      </w:r>
      <w:r>
        <w:rPr>
          <w:rFonts w:ascii="Arial" w:cs="Arial" w:eastAsia="Arial" w:hAnsi="Arial"/>
          <w:sz w:val="18"/>
          <w:szCs w:val="18"/>
          <w:color w:val="auto"/>
        </w:rPr>
        <w:t>C</w:t>
        <w:tab/>
        <w:t>.</w:t>
      </w:r>
      <w:r>
        <w:rPr>
          <w:sz w:val="20"/>
          <w:szCs w:val="20"/>
          <w:color w:val="auto"/>
        </w:rPr>
        <w:tab/>
      </w:r>
      <w:r>
        <w:rPr>
          <w:rFonts w:ascii="Arial" w:cs="Arial" w:eastAsia="Arial" w:hAnsi="Arial"/>
          <w:sz w:val="18"/>
          <w:szCs w:val="18"/>
          <w:color w:val="auto"/>
        </w:rPr>
        <w:t>K</w:t>
        <w:tab/>
        <w:t>e</w:t>
        <w:tab/>
        <w:t>l</w:t>
        <w:tab/>
        <w:t>l</w:t>
        <w:tab/>
        <w:t>y</w:t>
        <w:tab/>
        <w:t>,</w:t>
      </w:r>
      <w:r>
        <w:rPr>
          <w:sz w:val="20"/>
          <w:szCs w:val="20"/>
          <w:color w:val="auto"/>
        </w:rPr>
        <w:tab/>
      </w:r>
      <w:r>
        <w:rPr>
          <w:rFonts w:ascii="Arial" w:cs="Arial" w:eastAsia="Arial" w:hAnsi="Arial"/>
          <w:sz w:val="18"/>
          <w:szCs w:val="18"/>
          <w:color w:val="auto"/>
        </w:rPr>
        <w:t>J</w:t>
        <w:tab/>
        <w:t>r</w:t>
        <w:tab/>
        <w:t>.</w:t>
      </w:r>
    </w:p>
    <w:p>
      <w:pPr>
        <w:spacing w:after="0" w:line="23"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8"/>
          <w:szCs w:val="18"/>
          <w:color w:val="auto"/>
        </w:rPr>
        <w:t>&amp;# 160;</w:t>
      </w:r>
      <w:r>
        <w:rPr>
          <w:sz w:val="20"/>
          <w:szCs w:val="20"/>
          <w:color w:val="auto"/>
        </w:rPr>
        <w:tab/>
      </w:r>
      <w:r>
        <w:rPr>
          <w:rFonts w:ascii="Arial" w:cs="Arial" w:eastAsia="Arial" w:hAnsi="Arial"/>
          <w:sz w:val="17"/>
          <w:szCs w:val="17"/>
          <w:color w:val="auto"/>
        </w:rPr>
        <w:t>Title: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Signed, sealed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22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2525" cy="889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Witness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left="986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25" w:lineRule="exact"/>
        <w:rPr>
          <w:sz w:val="20"/>
          <w:szCs w:val="20"/>
          <w:color w:val="auto"/>
        </w:rPr>
      </w:pPr>
    </w:p>
    <w:p>
      <w:pPr>
        <w:ind w:left="1200" w:hanging="544"/>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firstLine="656"/>
        <w:spacing w:after="0" w:line="342" w:lineRule="auto"/>
        <w:tabs>
          <w:tab w:leader="none" w:pos="11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656"/>
        <w:spacing w:after="0" w:line="308" w:lineRule="auto"/>
        <w:tabs>
          <w:tab w:leader="none" w:pos="1197"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80" w:firstLine="656"/>
        <w:spacing w:after="0" w:line="264" w:lineRule="auto"/>
        <w:tabs>
          <w:tab w:leader="none" w:pos="11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60" w:hanging="297"/>
        <w:spacing w:after="0" w:line="286" w:lineRule="auto"/>
        <w:tabs>
          <w:tab w:leader="none" w:pos="1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307"/>
        <w:spacing w:after="0" w:line="264"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297"/>
        <w:spacing w:after="0" w:line="264"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307"/>
        <w:spacing w:after="0" w:line="286" w:lineRule="auto"/>
        <w:tabs>
          <w:tab w:leader="none" w:pos="1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80" w:firstLine="656"/>
        <w:spacing w:after="0" w:line="308" w:lineRule="auto"/>
        <w:tabs>
          <w:tab w:leader="none" w:pos="119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960" w:hanging="297"/>
        <w:spacing w:after="0" w:line="342" w:lineRule="auto"/>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307"/>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8, 2006</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 President and Chief Executive Officer</w:t>
      </w:r>
    </w:p>
    <w:p>
      <w:pPr>
        <w:sectPr>
          <w:pgSz w:w="11900" w:h="16838" w:orient="portrait"/>
          <w:cols w:equalWidth="0" w:num="1">
            <w:col w:w="11420"/>
          </w:cols>
          <w:pgMar w:left="240" w:top="76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25" w:lineRule="exact"/>
        <w:rPr>
          <w:sz w:val="20"/>
          <w:szCs w:val="20"/>
          <w:color w:val="auto"/>
        </w:rPr>
      </w:pPr>
    </w:p>
    <w:p>
      <w:pPr>
        <w:ind w:left="1200" w:hanging="544"/>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firstLine="656"/>
        <w:spacing w:after="0" w:line="342" w:lineRule="auto"/>
        <w:tabs>
          <w:tab w:leader="none" w:pos="11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656"/>
        <w:spacing w:after="0" w:line="308" w:lineRule="auto"/>
        <w:tabs>
          <w:tab w:leader="none" w:pos="11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60" w:hanging="297"/>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307"/>
        <w:spacing w:after="0" w:line="264"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297"/>
        <w:spacing w:after="0" w:line="264"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307"/>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firstLine="656"/>
        <w:spacing w:after="0" w:line="308" w:lineRule="auto"/>
        <w:tabs>
          <w:tab w:leader="none" w:pos="8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960" w:hanging="297"/>
        <w:spacing w:after="0" w:line="342" w:lineRule="auto"/>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307"/>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8, 2006</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280860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 Vice President - Corporate Development and Chief Financial Officer</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3"/>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w:t>
            </w:r>
          </w:p>
        </w:tc>
        <w:tc>
          <w:tcPr>
            <w:tcW w:w="4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4"/>
              </w:rPr>
              <w:t>2006</w:t>
            </w:r>
          </w:p>
        </w:tc>
        <w:tc>
          <w:tcPr>
            <w:tcW w:w="5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/s/ Roderick R.</w:t>
            </w:r>
          </w:p>
        </w:tc>
        <w:tc>
          <w:tcPr>
            <w:tcW w:w="0" w:type="dxa"/>
            <w:vAlign w:val="bottom"/>
          </w:tcPr>
          <w:p>
            <w:pPr>
              <w:spacing w:after="0"/>
              <w:rPr>
                <w:sz w:val="1"/>
                <w:szCs w:val="1"/>
                <w:color w:val="auto"/>
              </w:rPr>
            </w:pPr>
          </w:p>
        </w:tc>
      </w:tr>
      <w:tr>
        <w:trPr>
          <w:trHeight w:val="196"/>
        </w:trPr>
        <w:tc>
          <w:tcPr>
            <w:tcW w:w="5460" w:type="dxa"/>
            <w:vAlign w:val="bottom"/>
            <w:gridSpan w:val="3"/>
          </w:tcPr>
          <w:p>
            <w:pPr>
              <w:spacing w:after="0" w:line="196" w:lineRule="exact"/>
              <w:rPr>
                <w:sz w:val="20"/>
                <w:szCs w:val="20"/>
                <w:color w:val="auto"/>
              </w:rPr>
            </w:pPr>
            <w:r>
              <w:rPr>
                <w:rFonts w:ascii="Arial" w:cs="Arial" w:eastAsia="Arial" w:hAnsi="Arial"/>
                <w:sz w:val="18"/>
                <w:szCs w:val="18"/>
                <w:color w:val="auto"/>
              </w:rPr>
              <w:t>Baty</w:t>
            </w:r>
          </w:p>
        </w:tc>
        <w:tc>
          <w:tcPr>
            <w:tcW w:w="1920" w:type="dxa"/>
            <w:vAlign w:val="bottom"/>
          </w:tcPr>
          <w:p>
            <w:pPr>
              <w:spacing w:after="0"/>
              <w:rPr>
                <w:sz w:val="17"/>
                <w:szCs w:val="17"/>
                <w:color w:val="auto"/>
              </w:rPr>
            </w:pPr>
          </w:p>
        </w:tc>
        <w:tc>
          <w:tcPr>
            <w:tcW w:w="4040" w:type="dxa"/>
            <w:vAlign w:val="bottom"/>
            <w:gridSpan w:val="2"/>
            <w:vMerge w:val="restart"/>
          </w:tcPr>
          <w:p>
            <w:pPr>
              <w:ind w:left="1160"/>
              <w:spacing w:after="0"/>
              <w:rPr>
                <w:sz w:val="20"/>
                <w:szCs w:val="20"/>
                <w:color w:val="auto"/>
              </w:rPr>
            </w:pPr>
            <w:r>
              <w:rPr>
                <w:rFonts w:ascii="Arial" w:cs="Arial" w:eastAsia="Arial" w:hAnsi="Arial"/>
                <w:sz w:val="18"/>
                <w:szCs w:val="18"/>
                <w:color w:val="auto"/>
              </w:rPr>
              <w:t>Roderick R. Baty</w:t>
            </w:r>
          </w:p>
        </w:tc>
        <w:tc>
          <w:tcPr>
            <w:tcW w:w="0" w:type="dxa"/>
            <w:vAlign w:val="bottom"/>
          </w:tcPr>
          <w:p>
            <w:pPr>
              <w:spacing w:after="0"/>
              <w:rPr>
                <w:sz w:val="1"/>
                <w:szCs w:val="1"/>
                <w:color w:val="auto"/>
              </w:rPr>
            </w:pPr>
          </w:p>
        </w:tc>
      </w:tr>
      <w:tr>
        <w:trPr>
          <w:trHeight w:val="222"/>
        </w:trPr>
        <w:tc>
          <w:tcPr>
            <w:tcW w:w="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40" w:type="dxa"/>
            <w:vAlign w:val="bottom"/>
            <w:gridSpan w:val="2"/>
          </w:tcPr>
          <w:p>
            <w:pPr>
              <w:ind w:left="1160"/>
              <w:spacing w:after="0"/>
              <w:rPr>
                <w:sz w:val="20"/>
                <w:szCs w:val="20"/>
                <w:color w:val="auto"/>
              </w:rPr>
            </w:pPr>
            <w:r>
              <w:rPr>
                <w:rFonts w:ascii="Arial" w:cs="Arial" w:eastAsia="Arial" w:hAnsi="Arial"/>
                <w:sz w:val="18"/>
                <w:szCs w:val="18"/>
                <w:color w:val="auto"/>
              </w:rPr>
              <w:t>Chairman, President and Chief</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40" w:type="dxa"/>
            <w:vAlign w:val="bottom"/>
            <w:gridSpan w:val="2"/>
          </w:tcPr>
          <w:p>
            <w:pPr>
              <w:ind w:left="116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gridSpan w:val="3"/>
          </w:tcPr>
          <w:p>
            <w:pPr>
              <w:spacing w:after="0"/>
              <w:rPr>
                <w:sz w:val="20"/>
                <w:szCs w:val="20"/>
                <w:color w:val="auto"/>
              </w:rPr>
            </w:pPr>
            <w:r>
              <w:rPr>
                <w:rFonts w:ascii="Arial" w:cs="Arial" w:eastAsia="Arial" w:hAnsi="Arial"/>
                <w:sz w:val="18"/>
                <w:szCs w:val="18"/>
                <w:color w:val="auto"/>
              </w:rPr>
              <w:t>Date: November 8, 2006</w:t>
            </w:r>
          </w:p>
        </w:tc>
        <w:tc>
          <w:tcPr>
            <w:tcW w:w="5900" w:type="dxa"/>
            <w:vAlign w:val="bottom"/>
            <w:gridSpan w:val="3"/>
          </w:tcPr>
          <w:p>
            <w:pPr>
              <w:ind w:left="2940"/>
              <w:spacing w:after="0"/>
              <w:rPr>
                <w:sz w:val="20"/>
                <w:szCs w:val="20"/>
                <w:color w:val="auto"/>
              </w:rPr>
            </w:pPr>
            <w:r>
              <w:rPr>
                <w:rFonts w:ascii="Arial" w:cs="Arial" w:eastAsia="Arial" w:hAnsi="Arial"/>
                <w:sz w:val="18"/>
                <w:szCs w:val="18"/>
                <w:color w:val="auto"/>
              </w:rPr>
              <w:t>/s/ James H. Dorton</w:t>
            </w:r>
          </w:p>
        </w:tc>
      </w:tr>
      <w:tr>
        <w:trPr>
          <w:trHeight w:val="202"/>
        </w:trPr>
        <w:tc>
          <w:tcPr>
            <w:tcW w:w="4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2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color w:val="auto"/>
                <w:w w:val="99"/>
              </w:rPr>
              <w:t>James H. Dorton</w:t>
            </w:r>
          </w:p>
        </w:tc>
        <w:tc>
          <w:tcPr>
            <w:tcW w:w="154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89"/>
              </w:rPr>
              <w:t>Vice President - Corporate Development</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60" w:type="dxa"/>
            <w:vAlign w:val="bottom"/>
            <w:gridSpan w:val="2"/>
          </w:tcPr>
          <w:p>
            <w:pPr>
              <w:ind w:left="320"/>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4"/>
    </w:lvl>
  </w:abstractNum>
  <w:abstractNum w:abstractNumId="6">
    <w:nsid w:val="4DB127F8"/>
    <w:multiLevelType w:val="hybridMultilevel"/>
    <w:lvl w:ilvl="0">
      <w:lvlJc w:val="left"/>
      <w:lvlText w:val="(%1)"/>
      <w:numFmt w:val="lowerLetter"/>
      <w:start w:val="3"/>
    </w:lvl>
    <w:lvl w:ilvl="1">
      <w:lvlJc w:val="left"/>
      <w:lvlText w:val="(%2)"/>
      <w:numFmt w:val="lowerLetter"/>
      <w:start w:val="5"/>
    </w:lvl>
  </w:abstractNum>
  <w:abstractNum w:abstractNumId="7">
    <w:nsid w:val="216231B"/>
    <w:multiLevelType w:val="hybridMultilevel"/>
    <w:lvl w:ilvl="0">
      <w:lvlJc w:val="left"/>
      <w:lvlText w:val="(%1)"/>
      <w:numFmt w:val="lowerLetter"/>
      <w:start w:val="6"/>
    </w:lvl>
  </w:abstractNum>
  <w:abstractNum w:abstractNumId="8">
    <w:nsid w:val="1F16E9E8"/>
    <w:multiLevelType w:val="hybridMultilevel"/>
    <w:lvl w:ilvl="0">
      <w:lvlJc w:val="left"/>
      <w:lvlText w:val="(%1)"/>
      <w:numFmt w:val="lowerLetter"/>
      <w:start w:val="1"/>
    </w:lvl>
    <w:lvl w:ilvl="1">
      <w:lvlJc w:val="left"/>
      <w:lvlText w:val="(%2)"/>
      <w:numFmt w:val="lowerLetter"/>
      <w:start w:val="2"/>
    </w:lvl>
  </w:abstractNum>
  <w:abstractNum w:abstractNumId="9">
    <w:nsid w:val="1190CDE7"/>
    <w:multiLevelType w:val="hybridMultilevel"/>
    <w:lvl w:ilvl="0">
      <w:lvlJc w:val="left"/>
      <w:lvlText w:val="(%1)"/>
      <w:numFmt w:val="lowerLetter"/>
      <w:start w:val="4"/>
    </w:lvl>
    <w:lvl w:ilvl="1">
      <w:lvlJc w:val="left"/>
      <w:lvlText w:val="(%2)"/>
      <w:numFmt w:val="lowerLetter"/>
      <w:start w:val="6"/>
    </w:lvl>
    <w:lvl w:ilvl="2">
      <w:lvlJc w:val="left"/>
      <w:lvlText w:val="(%3)"/>
      <w:numFmt w:val="lowerLetter"/>
      <w:start w:val="7"/>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2019-12-12T11:39:40Z</dcterms:created>
  <dcterms:modified xsi:type="dcterms:W3CDTF">2019-12-12T11:39:40Z</dcterms:modified>
</cp:coreProperties>
</file>