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74"/>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785"/>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945"/>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045" w:right="3679" w:hanging="1360"/>
        <w:spacing w:after="0" w:line="470" w:lineRule="auto"/>
        <w:tabs>
          <w:tab w:leader="none" w:pos="199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 (formerly NN Ball &amp; Roller, Inc.) (Name of Issuer)</w:t>
      </w:r>
    </w:p>
    <w:p>
      <w:pPr>
        <w:spacing w:after="0" w:line="6"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325"/>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629337106 (formerly 629305103)</w:t>
      </w:r>
    </w:p>
    <w:p>
      <w:pPr>
        <w:spacing w:after="0" w:line="201" w:lineRule="exact"/>
        <w:rPr>
          <w:sz w:val="24"/>
          <w:szCs w:val="24"/>
          <w:color w:val="auto"/>
        </w:rPr>
      </w:pPr>
    </w:p>
    <w:p>
      <w:pPr>
        <w:ind w:left="3165"/>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994"/>
        <w:spacing w:after="0"/>
        <w:rPr>
          <w:sz w:val="20"/>
          <w:szCs w:val="20"/>
          <w:color w:val="auto"/>
        </w:rPr>
      </w:pPr>
      <w:r>
        <w:rPr>
          <w:rFonts w:ascii="Courier New" w:cs="Courier New" w:eastAsia="Courier New" w:hAnsi="Courier New"/>
          <w:sz w:val="18"/>
          <w:szCs w:val="18"/>
          <w:color w:val="auto"/>
        </w:rPr>
        <w:t>December 29, 2000</w:t>
      </w:r>
    </w:p>
    <w:p>
      <w:pPr>
        <w:spacing w:after="0" w:line="201" w:lineRule="exact"/>
        <w:rPr>
          <w:sz w:val="24"/>
          <w:szCs w:val="24"/>
          <w:color w:val="auto"/>
        </w:rPr>
      </w:pPr>
    </w:p>
    <w:p>
      <w:pPr>
        <w:ind w:left="945"/>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ind w:left="5"/>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 w:right="7899" w:hanging="5"/>
        <w:spacing w:after="0" w:line="279" w:lineRule="auto"/>
        <w:tabs>
          <w:tab w:leader="none" w:pos="42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left="5"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525" w:hanging="420"/>
        <w:spacing w:after="0"/>
        <w:tabs>
          <w:tab w:leader="none" w:pos="52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25"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Group International, Inc.</w:t>
      </w:r>
    </w:p>
    <w:p>
      <w:pPr>
        <w:spacing w:after="0" w:line="1" w:lineRule="exact"/>
        <w:rPr>
          <w:rFonts w:ascii="Courier New" w:cs="Courier New" w:eastAsia="Courier New" w:hAnsi="Courier New"/>
          <w:sz w:val="18"/>
          <w:szCs w:val="18"/>
          <w:color w:val="auto"/>
        </w:rPr>
      </w:pPr>
    </w:p>
    <w:p>
      <w:pPr>
        <w:ind w:left="5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95-4154357</w:t>
      </w:r>
    </w:p>
    <w:p>
      <w:pPr>
        <w:sectPr>
          <w:pgSz w:w="11900" w:h="16838" w:orient="portrait"/>
          <w:cols w:equalWidth="0" w:num="1">
            <w:col w:w="9684"/>
          </w:cols>
          <w:pgMar w:left="775" w:top="1440" w:right="1440" w:bottom="0" w:gutter="0" w:footer="0" w:header="0"/>
        </w:sectPr>
      </w:pPr>
    </w:p>
    <w:bookmarkStart w:id="1" w:name="page2"/>
    <w:bookmarkEnd w:id="1"/>
    <w:p>
      <w:pPr>
        <w:ind w:left="520" w:hanging="420"/>
        <w:spacing w:after="0"/>
        <w:tabs>
          <w:tab w:leader="none" w:pos="5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2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20" w:hanging="420"/>
        <w:spacing w:after="0"/>
        <w:tabs>
          <w:tab w:leader="none" w:pos="5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right="5359" w:hanging="420"/>
        <w:spacing w:after="0" w:line="470" w:lineRule="auto"/>
        <w:tabs>
          <w:tab w:leader="none" w:pos="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5999" w:hanging="430"/>
        <w:spacing w:after="0" w:line="470" w:lineRule="auto"/>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300,600</w:t>
      </w:r>
    </w:p>
    <w:p>
      <w:pPr>
        <w:spacing w:after="0" w:line="209" w:lineRule="exact"/>
        <w:rPr>
          <w:sz w:val="20"/>
          <w:szCs w:val="20"/>
          <w:color w:val="auto"/>
        </w:rPr>
      </w:pPr>
    </w:p>
    <w:p>
      <w:pPr>
        <w:ind w:left="1900" w:hanging="430"/>
        <w:spacing w:after="0"/>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0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345,800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259" w:hanging="430"/>
        <w:spacing w:after="0" w:line="470" w:lineRule="auto"/>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20" w:right="2419" w:hanging="420"/>
        <w:spacing w:after="0" w:line="470"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345,800 Beneficial ownership disclaimed pursuant to Rule 13d-4</w:t>
      </w:r>
    </w:p>
    <w:p>
      <w:pPr>
        <w:spacing w:after="0" w:line="214" w:lineRule="exact"/>
        <w:rPr>
          <w:sz w:val="20"/>
          <w:szCs w:val="20"/>
          <w:color w:val="auto"/>
        </w:rPr>
      </w:pPr>
    </w:p>
    <w:p>
      <w:pPr>
        <w:ind w:left="520" w:right="1999" w:hanging="420"/>
        <w:spacing w:after="0" w:line="235" w:lineRule="auto"/>
        <w:tabs>
          <w:tab w:leader="none" w:pos="5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20" w:right="4199" w:hanging="420"/>
        <w:spacing w:after="0" w:line="470" w:lineRule="auto"/>
        <w:tabs>
          <w:tab w:leader="none" w:pos="5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2.3%</w:t>
      </w:r>
    </w:p>
    <w:p>
      <w:pPr>
        <w:spacing w:after="0" w:line="214" w:lineRule="exact"/>
        <w:rPr>
          <w:rFonts w:ascii="Courier New" w:cs="Courier New" w:eastAsia="Courier New" w:hAnsi="Courier New"/>
          <w:sz w:val="18"/>
          <w:szCs w:val="18"/>
          <w:color w:val="auto"/>
        </w:rPr>
      </w:pPr>
    </w:p>
    <w:p>
      <w:pPr>
        <w:ind w:left="520" w:right="4619" w:hanging="420"/>
        <w:spacing w:after="0" w:line="470" w:lineRule="auto"/>
        <w:tabs>
          <w:tab w:leader="none" w:pos="5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ectPr>
          <w:pgSz w:w="11900" w:h="16838" w:orient="portrait"/>
          <w:cols w:equalWidth="0" w:num="1">
            <w:col w:w="9679"/>
          </w:cols>
          <w:pgMar w:left="780" w:top="339" w:right="1440" w:bottom="1440" w:gutter="0" w:footer="0" w:header="0"/>
        </w:sectPr>
      </w:pPr>
    </w:p>
    <w:bookmarkStart w:id="2" w:name="page3"/>
    <w:bookmarkEnd w:id="2"/>
    <w:p>
      <w:pPr>
        <w:jc w:val="center"/>
        <w:ind w:right="18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Schedule 13G</w:t>
      </w:r>
    </w:p>
    <w:p>
      <w:pPr>
        <w:jc w:val="center"/>
        <w:ind w:right="17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NN Inc. (formerly NN Ball &amp; Roller, Inc.)</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800 Tennessee Road</w:t>
      </w:r>
    </w:p>
    <w:p>
      <w:pPr>
        <w:ind w:left="740"/>
        <w:spacing w:after="0"/>
        <w:tabs>
          <w:tab w:leader="none" w:pos="1880" w:val="left"/>
        </w:tabs>
        <w:rPr>
          <w:sz w:val="20"/>
          <w:szCs w:val="20"/>
          <w:color w:val="auto"/>
        </w:rPr>
      </w:pPr>
      <w:r>
        <w:rPr>
          <w:rFonts w:ascii="Courier New" w:cs="Courier New" w:eastAsia="Courier New" w:hAnsi="Courier New"/>
          <w:sz w:val="18"/>
          <w:szCs w:val="18"/>
          <w:color w:val="auto"/>
        </w:rPr>
        <w:t>Erwin, TN</w:t>
      </w:r>
      <w:r>
        <w:rPr>
          <w:sz w:val="20"/>
          <w:szCs w:val="20"/>
          <w:color w:val="auto"/>
        </w:rPr>
        <w:tab/>
      </w:r>
      <w:r>
        <w:rPr>
          <w:rFonts w:ascii="Courier New" w:cs="Courier New" w:eastAsia="Courier New" w:hAnsi="Courier New"/>
          <w:sz w:val="16"/>
          <w:szCs w:val="16"/>
          <w:color w:val="auto"/>
        </w:rPr>
        <w:t>37650</w:t>
      </w:r>
    </w:p>
    <w:p>
      <w:pPr>
        <w:spacing w:after="0" w:line="200"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Group International, Inc.</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ind w:left="740"/>
        <w:spacing w:after="0" w:line="238" w:lineRule="auto"/>
        <w:rPr>
          <w:sz w:val="20"/>
          <w:szCs w:val="20"/>
          <w:color w:val="auto"/>
        </w:rPr>
      </w:pPr>
      <w:r>
        <w:rPr>
          <w:rFonts w:ascii="Courier New" w:cs="Courier New" w:eastAsia="Courier New" w:hAnsi="Courier New"/>
          <w:sz w:val="18"/>
          <w:szCs w:val="18"/>
          <w:color w:val="auto"/>
        </w:rPr>
        <w:t>11100 Santa Monica Blvd.</w:t>
      </w:r>
    </w:p>
    <w:p>
      <w:pPr>
        <w:ind w:left="740"/>
        <w:spacing w:after="0"/>
        <w:tabs>
          <w:tab w:leader="none" w:pos="250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w:t>
      </w:r>
    </w:p>
    <w:p>
      <w:pPr>
        <w:spacing w:after="0" w:line="200" w:lineRule="exact"/>
        <w:rPr>
          <w:sz w:val="20"/>
          <w:szCs w:val="20"/>
          <w:color w:val="auto"/>
        </w:rPr>
      </w:pPr>
    </w:p>
    <w:p>
      <w:pPr>
        <w:spacing w:after="0"/>
        <w:tabs>
          <w:tab w:leader="none" w:pos="1240" w:val="left"/>
          <w:tab w:leader="none" w:pos="282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No.:</w:t>
      </w:r>
    </w:p>
    <w:p>
      <w:pPr>
        <w:ind w:left="740"/>
        <w:spacing w:after="0" w:line="238" w:lineRule="auto"/>
        <w:rPr>
          <w:sz w:val="20"/>
          <w:szCs w:val="20"/>
          <w:color w:val="auto"/>
        </w:rPr>
      </w:pPr>
      <w:r>
        <w:rPr>
          <w:rFonts w:ascii="Courier New" w:cs="Courier New" w:eastAsia="Courier New" w:hAnsi="Courier New"/>
          <w:sz w:val="18"/>
          <w:szCs w:val="18"/>
          <w:color w:val="auto"/>
        </w:rPr>
        <w:t>629337106</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740"/>
        <w:spacing w:after="0" w:line="238" w:lineRule="auto"/>
        <w:rPr>
          <w:sz w:val="20"/>
          <w:szCs w:val="20"/>
          <w:color w:val="auto"/>
        </w:rPr>
      </w:pPr>
      <w:r>
        <w:rPr>
          <w:rFonts w:ascii="Courier New" w:cs="Courier New" w:eastAsia="Courier New" w:hAnsi="Courier New"/>
          <w:sz w:val="18"/>
          <w:szCs w:val="18"/>
          <w:color w:val="auto"/>
        </w:rPr>
        <w:t>240.13d-2(b) or (c), check whether the person filings is a:</w:t>
      </w:r>
    </w:p>
    <w:p>
      <w:pPr>
        <w:spacing w:after="0" w:line="5" w:lineRule="exact"/>
        <w:rPr>
          <w:sz w:val="20"/>
          <w:szCs w:val="20"/>
          <w:color w:val="auto"/>
        </w:rPr>
      </w:pPr>
    </w:p>
    <w:p>
      <w:pPr>
        <w:ind w:left="1260" w:right="2939" w:hanging="528"/>
        <w:spacing w:after="0" w:line="235" w:lineRule="auto"/>
        <w:tabs>
          <w:tab w:leader="none" w:pos="136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60" w:hanging="728"/>
        <w:spacing w:after="0"/>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60" w:hanging="728"/>
        <w:spacing w:after="0"/>
        <w:tabs>
          <w:tab w:leader="none" w:pos="14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60" w:hanging="728"/>
        <w:spacing w:after="0" w:line="238" w:lineRule="auto"/>
        <w:tabs>
          <w:tab w:leader="none" w:pos="14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60" w:hanging="728"/>
        <w:spacing w:after="0" w:line="238" w:lineRule="auto"/>
        <w:tabs>
          <w:tab w:leader="none" w:pos="14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60" w:hanging="728"/>
        <w:spacing w:after="0" w:line="238" w:lineRule="auto"/>
        <w:tabs>
          <w:tab w:leader="none" w:pos="14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629337106 (formerly 629305103)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Capital Group International, Inc. is the parent holding company of a group of investment management companies that hold investment power and, in</w:t>
      </w:r>
    </w:p>
    <w:p>
      <w:pPr>
        <w:spacing w:after="0" w:line="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some cases, voting power over the securities reported</w:t>
      </w:r>
    </w:p>
    <w:p>
      <w:pPr>
        <w:spacing w:after="0" w:line="4" w:lineRule="exact"/>
        <w:rPr>
          <w:sz w:val="20"/>
          <w:szCs w:val="20"/>
          <w:color w:val="auto"/>
        </w:rPr>
      </w:pPr>
    </w:p>
    <w:p>
      <w:pPr>
        <w:ind w:left="740" w:right="2099"/>
        <w:spacing w:after="0" w:line="275" w:lineRule="auto"/>
        <w:rPr>
          <w:sz w:val="20"/>
          <w:szCs w:val="20"/>
          <w:color w:val="auto"/>
        </w:rPr>
      </w:pPr>
      <w:r>
        <w:rPr>
          <w:rFonts w:ascii="Courier New" w:cs="Courier New" w:eastAsia="Courier New" w:hAnsi="Courier New"/>
          <w:sz w:val="16"/>
          <w:szCs w:val="16"/>
          <w:color w:val="auto"/>
        </w:rPr>
        <w:t>in this Schedule 13G. The investment management companies, which include a "bank" as defined in Section 3(a)6 of the Securities Exchange Act of 1934 (the "Act") and several investment advisers registered under Section 203 of the Investment Advisers Act of</w:t>
      </w:r>
    </w:p>
    <w:p>
      <w:pPr>
        <w:sectPr>
          <w:pgSz w:w="11900" w:h="16838" w:orient="portrait"/>
          <w:cols w:equalWidth="0" w:num="1">
            <w:col w:w="9679"/>
          </w:cols>
          <w:pgMar w:left="780" w:top="919" w:right="1440" w:bottom="0" w:gutter="0" w:footer="0" w:header="0"/>
        </w:sectPr>
      </w:pPr>
    </w:p>
    <w:bookmarkStart w:id="3" w:name="page4"/>
    <w:bookmarkEnd w:id="3"/>
    <w:p>
      <w:pPr>
        <w:ind w:left="740" w:right="1879"/>
        <w:spacing w:after="0" w:line="237" w:lineRule="auto"/>
        <w:rPr>
          <w:sz w:val="20"/>
          <w:szCs w:val="20"/>
          <w:color w:val="auto"/>
        </w:rPr>
      </w:pPr>
      <w:r>
        <w:rPr>
          <w:rFonts w:ascii="Courier New" w:cs="Courier New" w:eastAsia="Courier New" w:hAnsi="Courier New"/>
          <w:sz w:val="18"/>
          <w:szCs w:val="18"/>
          <w:color w:val="auto"/>
        </w:rPr>
        <w:t>1940, provide investment advisory and management services for their respective clients which include registered investment companies and institutional accounts. Capital Group International, Inc. does not have investment power or voting power over any of the securities reported herein; however, Capital Group International, Inc. may be deemed to "beneficially own" such securities by virtue of Rule 13d-3 under the Act.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40" w:right="1879" w:hanging="736"/>
        <w:spacing w:after="0" w:line="275" w:lineRule="auto"/>
        <w:tabs>
          <w:tab w:leader="none" w:pos="7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percent or Less of a Class. If this statement is being filed to report the fact that as of the date hereof the reporting person has ceased to be the beneficial owner of more than 5 percent of the class of securities, check the following: [X]</w:t>
      </w:r>
    </w:p>
    <w:p>
      <w:pPr>
        <w:spacing w:after="0" w:line="17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1040" w:right="1779"/>
        <w:spacing w:after="0" w:line="236" w:lineRule="auto"/>
        <w:rPr>
          <w:sz w:val="20"/>
          <w:szCs w:val="20"/>
          <w:color w:val="auto"/>
        </w:rPr>
      </w:pPr>
      <w:r>
        <w:rPr>
          <w:rFonts w:ascii="Courier New" w:cs="Courier New" w:eastAsia="Courier New" w:hAnsi="Courier New"/>
          <w:sz w:val="18"/>
          <w:szCs w:val="18"/>
          <w:color w:val="auto"/>
        </w:rPr>
        <w:t>Capital Guardian Trust Company is a bank as defined in Section 3(a)(6) of the Act and a wholly owned subsidiary of Capital Group International, Inc.</w:t>
      </w:r>
    </w:p>
    <w:p>
      <w:pPr>
        <w:spacing w:after="0" w:line="203" w:lineRule="exact"/>
        <w:rPr>
          <w:sz w:val="20"/>
          <w:szCs w:val="20"/>
          <w:color w:val="auto"/>
        </w:rPr>
      </w:pPr>
    </w:p>
    <w:p>
      <w:pPr>
        <w:spacing w:after="0"/>
        <w:tabs>
          <w:tab w:leader="none" w:pos="920" w:val="left"/>
          <w:tab w:leader="none" w:pos="72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20" w:val="left"/>
          <w:tab w:leader="none" w:pos="44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629337106 (formerly 629305103)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9, 2001</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Kristine N. Nishiyama</w:t>
      </w:r>
    </w:p>
    <w:p>
      <w:pPr>
        <w:sectPr>
          <w:pgSz w:w="11900" w:h="16838" w:orient="portrait"/>
          <w:cols w:equalWidth="0" w:num="1">
            <w:col w:w="9679"/>
          </w:cols>
          <w:pgMar w:left="780" w:top="142" w:right="1440" w:bottom="0" w:gutter="0" w:footer="0" w:header="0"/>
        </w:sectPr>
      </w:pPr>
    </w:p>
    <w:bookmarkStart w:id="4" w:name="page5"/>
    <w:bookmarkEnd w:id="4"/>
    <w:p>
      <w:pPr>
        <w:ind w:left="920"/>
        <w:spacing w:after="0"/>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920" w:right="199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29, 1999 included as an Exhibit to Schedule 13G filed with the Securities and Exchange Commission by Capital Group International, Inc. on February 10, 2000 with respect to Acclaim Entertainment, Inc</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40"/>
    </w:lvl>
  </w:abstractNum>
  <w:abstractNum w:abstractNumId="1">
    <w:nsid w:val="7545E146"/>
    <w:multiLevelType w:val="hybridMultilevel"/>
    <w:lvl w:ilvl="0">
      <w:lvlJc w:val="left"/>
      <w:lvlText w:val="[%1]"/>
      <w:numFmt w:val="upperLetter"/>
      <w:start w:val="24"/>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4"/>
      <w:numFmt w:val="bullet"/>
      <w:start w:val="1"/>
    </w:lvl>
  </w:abstractNum>
  <w:abstractNum w:abstractNumId="6">
    <w:nsid w:val="216231B"/>
    <w:multiLevelType w:val="hybridMultilevel"/>
    <w:lvl w:ilvl="0">
      <w:lvlJc w:val="left"/>
      <w:lvlText w:val="5"/>
      <w:numFmt w:val="bullet"/>
      <w:start w:val="1"/>
    </w:lvl>
  </w:abstractNum>
  <w:abstractNum w:abstractNumId="7">
    <w:nsid w:val="1F16E9E8"/>
    <w:multiLevelType w:val="hybridMultilevel"/>
    <w:lvl w:ilvl="0">
      <w:lvlJc w:val="left"/>
      <w:lvlText w:val="6"/>
      <w:numFmt w:val="bullet"/>
      <w:start w:val="1"/>
    </w:lvl>
  </w:abstractNum>
  <w:abstractNum w:abstractNumId="8">
    <w:nsid w:val="1190CDE7"/>
    <w:multiLevelType w:val="hybridMultilevel"/>
    <w:lvl w:ilvl="0">
      <w:lvlJc w:val="left"/>
      <w:lvlText w:val="8"/>
      <w:numFmt w:val="bullet"/>
      <w:start w:val="1"/>
    </w:lvl>
  </w:abstractNum>
  <w:abstractNum w:abstractNumId="9">
    <w:nsid w:val="66EF438D"/>
    <w:multiLevelType w:val="hybridMultilevel"/>
    <w:lvl w:ilvl="0">
      <w:lvlJc w:val="left"/>
      <w:lvlText w:val="9"/>
      <w:numFmt w:val="bullet"/>
      <w:start w:val="1"/>
    </w:lvl>
  </w:abstractNum>
  <w:abstractNum w:abstractNumId="10">
    <w:nsid w:val="140E0F76"/>
    <w:multiLevelType w:val="hybridMultilevel"/>
    <w:lvl w:ilvl="0">
      <w:lvlJc w:val="left"/>
      <w:lvlText w:val="%1"/>
      <w:numFmt w:val="decimal"/>
      <w:start w:val="10"/>
    </w:lvl>
  </w:abstractNum>
  <w:abstractNum w:abstractNumId="11">
    <w:nsid w:val="3352255A"/>
    <w:multiLevelType w:val="hybridMultilevel"/>
    <w:lvl w:ilvl="0">
      <w:lvlJc w:val="left"/>
      <w:lvlText w:val="(%1)"/>
      <w:numFmt w:val="lowerLetter"/>
      <w:start w:val="7"/>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2019-12-14T03:16:59Z</dcterms:created>
  <dcterms:modified xsi:type="dcterms:W3CDTF">2019-12-14T03:16:59Z</dcterms:modified>
</cp:coreProperties>
</file>