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240665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CURRENT REPORT</w:t>
      </w:r>
    </w:p>
    <w:p>
      <w:pPr>
        <w:spacing w:after="0" w:line="12"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PURSUANT TO SECTION 13 OR 15(d)</w:t>
      </w:r>
    </w:p>
    <w:p>
      <w:pPr>
        <w:jc w:val="center"/>
        <w:ind w:right="-17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80"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Date of Report (Date of earliest event reported): May 5, 2016 (May 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229870</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421005</wp:posOffset>
            </wp:positionV>
            <wp:extent cx="840105" cy="8401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40105"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179"/>
        <w:spacing w:after="0"/>
        <w:rPr>
          <w:sz w:val="20"/>
          <w:szCs w:val="20"/>
          <w:color w:val="auto"/>
        </w:rPr>
      </w:pPr>
      <w:r>
        <w:rPr>
          <w:rFonts w:ascii="Arial" w:cs="Arial" w:eastAsia="Arial" w:hAnsi="Arial"/>
          <w:sz w:val="42"/>
          <w:szCs w:val="42"/>
          <w:b w:val="1"/>
          <w:bCs w:val="1"/>
          <w:color w:val="auto"/>
        </w:rPr>
        <w:t>NN, INC.</w:t>
      </w:r>
    </w:p>
    <w:p>
      <w:pPr>
        <w:spacing w:after="0" w:line="45"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224155</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1120" w:type="dxa"/>
        <w:tblCellMar>
          <w:top w:w="0" w:type="dxa"/>
          <w:left w:w="0" w:type="dxa"/>
          <w:bottom w:w="0" w:type="dxa"/>
          <w:right w:w="0" w:type="dxa"/>
        </w:tblCellMar>
      </w:tblPr>
      <w:tr>
        <w:trPr>
          <w:trHeight w:val="205"/>
        </w:trPr>
        <w:tc>
          <w:tcPr>
            <w:tcW w:w="4100" w:type="dxa"/>
            <w:vAlign w:val="bottom"/>
          </w:tcPr>
          <w:p>
            <w:pPr>
              <w:jc w:val="center"/>
              <w:ind w:right="2363"/>
              <w:spacing w:after="0"/>
              <w:rPr>
                <w:sz w:val="20"/>
                <w:szCs w:val="20"/>
                <w:color w:val="auto"/>
              </w:rPr>
            </w:pPr>
            <w:r>
              <w:rPr>
                <w:rFonts w:ascii="Arial" w:cs="Arial" w:eastAsia="Arial" w:hAnsi="Arial"/>
                <w:sz w:val="17"/>
                <w:szCs w:val="17"/>
                <w:b w:val="1"/>
                <w:bCs w:val="1"/>
                <w:color w:val="auto"/>
                <w:w w:val="93"/>
              </w:rPr>
              <w:t>Delaware</w:t>
            </w:r>
          </w:p>
        </w:tc>
        <w:tc>
          <w:tcPr>
            <w:tcW w:w="2420" w:type="dxa"/>
            <w:vAlign w:val="bottom"/>
          </w:tcPr>
          <w:p>
            <w:pPr>
              <w:ind w:left="240"/>
              <w:spacing w:after="0"/>
              <w:rPr>
                <w:sz w:val="20"/>
                <w:szCs w:val="20"/>
                <w:color w:val="auto"/>
              </w:rPr>
            </w:pPr>
            <w:r>
              <w:rPr>
                <w:rFonts w:ascii="Arial" w:cs="Arial" w:eastAsia="Arial" w:hAnsi="Arial"/>
                <w:sz w:val="17"/>
                <w:szCs w:val="17"/>
                <w:b w:val="1"/>
                <w:bCs w:val="1"/>
                <w:color w:val="auto"/>
              </w:rPr>
              <w:t>000-23486</w:t>
            </w:r>
          </w:p>
        </w:tc>
        <w:tc>
          <w:tcPr>
            <w:tcW w:w="2500" w:type="dxa"/>
            <w:vAlign w:val="bottom"/>
          </w:tcPr>
          <w:p>
            <w:pPr>
              <w:jc w:val="right"/>
              <w:ind w:right="43"/>
              <w:spacing w:after="0"/>
              <w:rPr>
                <w:sz w:val="20"/>
                <w:szCs w:val="20"/>
                <w:color w:val="auto"/>
              </w:rPr>
            </w:pPr>
            <w:r>
              <w:rPr>
                <w:rFonts w:ascii="Arial" w:cs="Arial" w:eastAsia="Arial" w:hAnsi="Arial"/>
                <w:sz w:val="17"/>
                <w:szCs w:val="17"/>
                <w:b w:val="1"/>
                <w:bCs w:val="1"/>
                <w:color w:val="auto"/>
              </w:rPr>
              <w:t>62-1096725</w:t>
            </w:r>
          </w:p>
        </w:tc>
      </w:tr>
      <w:tr>
        <w:trPr>
          <w:trHeight w:val="144"/>
        </w:trPr>
        <w:tc>
          <w:tcPr>
            <w:tcW w:w="4100" w:type="dxa"/>
            <w:vAlign w:val="bottom"/>
          </w:tcPr>
          <w:p>
            <w:pPr>
              <w:jc w:val="center"/>
              <w:ind w:right="2363"/>
              <w:spacing w:after="0" w:line="144" w:lineRule="exact"/>
              <w:rPr>
                <w:sz w:val="20"/>
                <w:szCs w:val="20"/>
                <w:color w:val="auto"/>
              </w:rPr>
            </w:pPr>
            <w:r>
              <w:rPr>
                <w:rFonts w:ascii="Arial" w:cs="Arial" w:eastAsia="Arial" w:hAnsi="Arial"/>
                <w:sz w:val="14"/>
                <w:szCs w:val="14"/>
                <w:b w:val="1"/>
                <w:bCs w:val="1"/>
                <w:color w:val="auto"/>
                <w:w w:val="91"/>
              </w:rPr>
              <w:t>(State or Other Jurisdiction</w:t>
            </w:r>
          </w:p>
        </w:tc>
        <w:tc>
          <w:tcPr>
            <w:tcW w:w="2420" w:type="dxa"/>
            <w:vAlign w:val="bottom"/>
          </w:tcPr>
          <w:p>
            <w:pPr>
              <w:ind w:left="220"/>
              <w:spacing w:after="0" w:line="144"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343"/>
              <w:spacing w:after="0" w:line="144" w:lineRule="exact"/>
              <w:rPr>
                <w:sz w:val="20"/>
                <w:szCs w:val="20"/>
                <w:color w:val="auto"/>
              </w:rPr>
            </w:pPr>
            <w:r>
              <w:rPr>
                <w:rFonts w:ascii="Arial" w:cs="Arial" w:eastAsia="Arial" w:hAnsi="Arial"/>
                <w:sz w:val="14"/>
                <w:szCs w:val="14"/>
                <w:b w:val="1"/>
                <w:bCs w:val="1"/>
                <w:color w:val="auto"/>
                <w:w w:val="93"/>
              </w:rPr>
              <w:t>(I.R.S. Employer</w:t>
            </w:r>
          </w:p>
        </w:tc>
      </w:tr>
      <w:tr>
        <w:trPr>
          <w:trHeight w:val="182"/>
        </w:trPr>
        <w:tc>
          <w:tcPr>
            <w:tcW w:w="4100" w:type="dxa"/>
            <w:vAlign w:val="bottom"/>
          </w:tcPr>
          <w:p>
            <w:pPr>
              <w:jc w:val="center"/>
              <w:ind w:right="2383"/>
              <w:spacing w:after="0"/>
              <w:rPr>
                <w:sz w:val="20"/>
                <w:szCs w:val="20"/>
                <w:color w:val="auto"/>
              </w:rPr>
            </w:pPr>
            <w:r>
              <w:rPr>
                <w:rFonts w:ascii="Arial" w:cs="Arial" w:eastAsia="Arial" w:hAnsi="Arial"/>
                <w:sz w:val="14"/>
                <w:szCs w:val="14"/>
                <w:b w:val="1"/>
                <w:bCs w:val="1"/>
                <w:color w:val="auto"/>
                <w:w w:val="92"/>
              </w:rPr>
              <w:t>of Incorporation)</w:t>
            </w:r>
          </w:p>
        </w:tc>
        <w:tc>
          <w:tcPr>
            <w:tcW w:w="2420" w:type="dxa"/>
            <w:vAlign w:val="bottom"/>
          </w:tcPr>
          <w:p>
            <w:pPr>
              <w:ind w:left="22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343"/>
              <w:spacing w:after="0"/>
              <w:rPr>
                <w:sz w:val="20"/>
                <w:szCs w:val="20"/>
                <w:color w:val="auto"/>
              </w:rPr>
            </w:pPr>
            <w:r>
              <w:rPr>
                <w:rFonts w:ascii="Arial" w:cs="Arial" w:eastAsia="Arial" w:hAnsi="Arial"/>
                <w:sz w:val="14"/>
                <w:szCs w:val="14"/>
                <w:b w:val="1"/>
                <w:bCs w:val="1"/>
                <w:color w:val="auto"/>
                <w:w w:val="91"/>
              </w:rPr>
              <w:t>Identification No.)</w:t>
            </w:r>
          </w:p>
        </w:tc>
      </w:tr>
      <w:tr>
        <w:trPr>
          <w:trHeight w:val="420"/>
        </w:trPr>
        <w:tc>
          <w:tcPr>
            <w:tcW w:w="6520" w:type="dxa"/>
            <w:vAlign w:val="bottom"/>
            <w:gridSpan w:val="2"/>
          </w:tcPr>
          <w:p>
            <w:pPr>
              <w:jc w:val="center"/>
              <w:ind w:right="1004"/>
              <w:spacing w:after="0"/>
              <w:rPr>
                <w:sz w:val="20"/>
                <w:szCs w:val="20"/>
                <w:color w:val="auto"/>
              </w:rPr>
            </w:pPr>
            <w:r>
              <w:rPr>
                <w:rFonts w:ascii="Arial" w:cs="Arial" w:eastAsia="Arial" w:hAnsi="Arial"/>
                <w:sz w:val="17"/>
                <w:szCs w:val="17"/>
                <w:b w:val="1"/>
                <w:bCs w:val="1"/>
                <w:color w:val="auto"/>
                <w:w w:val="91"/>
              </w:rPr>
              <w:t>207 Mockingbird Lane, Johnson City, Tennessee</w:t>
            </w:r>
          </w:p>
        </w:tc>
        <w:tc>
          <w:tcPr>
            <w:tcW w:w="2500" w:type="dxa"/>
            <w:vAlign w:val="bottom"/>
          </w:tcPr>
          <w:p>
            <w:pPr>
              <w:jc w:val="right"/>
              <w:ind w:right="243"/>
              <w:spacing w:after="0"/>
              <w:rPr>
                <w:sz w:val="20"/>
                <w:szCs w:val="20"/>
                <w:color w:val="auto"/>
              </w:rPr>
            </w:pPr>
            <w:r>
              <w:rPr>
                <w:rFonts w:ascii="Arial" w:cs="Arial" w:eastAsia="Arial" w:hAnsi="Arial"/>
                <w:sz w:val="17"/>
                <w:szCs w:val="17"/>
                <w:b w:val="1"/>
                <w:bCs w:val="1"/>
                <w:color w:val="auto"/>
              </w:rPr>
              <w:t>37604</w:t>
            </w:r>
          </w:p>
        </w:tc>
      </w:tr>
      <w:tr>
        <w:trPr>
          <w:trHeight w:val="182"/>
        </w:trPr>
        <w:tc>
          <w:tcPr>
            <w:tcW w:w="4100" w:type="dxa"/>
            <w:vAlign w:val="bottom"/>
          </w:tcPr>
          <w:p>
            <w:pPr>
              <w:jc w:val="center"/>
              <w:ind w:left="1243"/>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420" w:type="dxa"/>
            <w:vAlign w:val="bottom"/>
          </w:tcPr>
          <w:p>
            <w:pPr>
              <w:spacing w:after="0"/>
              <w:rPr>
                <w:sz w:val="15"/>
                <w:szCs w:val="15"/>
                <w:color w:val="auto"/>
              </w:rPr>
            </w:pPr>
          </w:p>
        </w:tc>
        <w:tc>
          <w:tcPr>
            <w:tcW w:w="2500" w:type="dxa"/>
            <w:vAlign w:val="bottom"/>
          </w:tcPr>
          <w:p>
            <w:pPr>
              <w:jc w:val="center"/>
              <w:ind w:left="1343"/>
              <w:spacing w:after="0"/>
              <w:rPr>
                <w:sz w:val="20"/>
                <w:szCs w:val="20"/>
                <w:color w:val="auto"/>
              </w:rPr>
            </w:pPr>
            <w:r>
              <w:rPr>
                <w:rFonts w:ascii="Arial" w:cs="Arial" w:eastAsia="Arial" w:hAnsi="Arial"/>
                <w:sz w:val="14"/>
                <w:szCs w:val="14"/>
                <w:b w:val="1"/>
                <w:bCs w:val="1"/>
                <w:color w:val="auto"/>
                <w:w w:val="92"/>
              </w:rPr>
              <w:t>(Zip Code)</w:t>
            </w:r>
          </w:p>
        </w:tc>
      </w:tr>
    </w:tbl>
    <w:p>
      <w:pPr>
        <w:spacing w:after="0" w:line="175"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(423) 434-8310</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8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219710</wp:posOffset>
            </wp:positionV>
            <wp:extent cx="1529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line="289" w:lineRule="auto"/>
        <w:rPr>
          <w:sz w:val="20"/>
          <w:szCs w:val="20"/>
          <w:color w:val="auto"/>
        </w:rPr>
      </w:pPr>
      <w:r>
        <w:rPr>
          <w:rFonts w:ascii="Arial" w:cs="Arial" w:eastAsia="Arial" w:hAnsi="Arial"/>
          <w:sz w:val="17"/>
          <w:szCs w:val="17"/>
          <w:color w:val="auto"/>
        </w:rPr>
        <w:t>Check the appropriate box if the Form 8-K filing is intended to simultaneously satisfy the filing obligation of the registrant under any of the following provisions (see General Instruction A.2. below):</w:t>
      </w:r>
    </w:p>
    <w:p>
      <w:pPr>
        <w:spacing w:after="0" w:line="66"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240.14d- 2(b))</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wp:posOffset>
            </wp:positionV>
            <wp:extent cx="7250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60"/>
          </w:cols>
          <w:pgMar w:left="240" w:top="360" w:right="39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25" w:lineRule="exact"/>
        <w:rPr>
          <w:sz w:val="20"/>
          <w:szCs w:val="20"/>
          <w:color w:val="auto"/>
        </w:rPr>
      </w:pPr>
    </w:p>
    <w:p>
      <w:pPr>
        <w:ind w:right="360" w:firstLine="457"/>
        <w:spacing w:after="0" w:line="289" w:lineRule="auto"/>
        <w:rPr>
          <w:sz w:val="20"/>
          <w:szCs w:val="20"/>
          <w:color w:val="auto"/>
        </w:rPr>
      </w:pPr>
      <w:r>
        <w:rPr>
          <w:rFonts w:ascii="Arial" w:cs="Arial" w:eastAsia="Arial" w:hAnsi="Arial"/>
          <w:sz w:val="17"/>
          <w:szCs w:val="17"/>
          <w:color w:val="auto"/>
        </w:rPr>
        <w:t>On May 4, 2016, NN, Inc. (the “Company”) issued a press release announcing the Company’s results of operations and financial condition for the three months ended March 31, 2016. The full text of the press release is furnished as Exhibit 99.1 and is incorporated herein by reference.</w:t>
      </w:r>
    </w:p>
    <w:p>
      <w:pPr>
        <w:spacing w:after="0" w:line="296"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25" w:lineRule="exact"/>
        <w:rPr>
          <w:sz w:val="20"/>
          <w:szCs w:val="20"/>
          <w:color w:val="auto"/>
        </w:rPr>
      </w:pPr>
    </w:p>
    <w:p>
      <w:pPr>
        <w:jc w:val="both"/>
        <w:ind w:right="420" w:firstLine="457"/>
        <w:spacing w:after="0" w:line="273" w:lineRule="auto"/>
        <w:rPr>
          <w:sz w:val="20"/>
          <w:szCs w:val="20"/>
          <w:color w:val="auto"/>
        </w:rPr>
      </w:pPr>
      <w:r>
        <w:rPr>
          <w:rFonts w:ascii="Arial" w:cs="Arial" w:eastAsia="Arial" w:hAnsi="Arial"/>
          <w:sz w:val="17"/>
          <w:szCs w:val="17"/>
          <w:color w:val="auto"/>
        </w:rPr>
        <w:t xml:space="preserve">On May 4, 2016, the Company posted a presentation regarding the Company’s results of operations and financial condition for the three months ended March 31, 2016 to the Investor Relations section of its website at </w:t>
      </w:r>
      <w:r>
        <w:rPr>
          <w:rFonts w:ascii="Arial" w:cs="Arial" w:eastAsia="Arial" w:hAnsi="Arial"/>
          <w:sz w:val="17"/>
          <w:szCs w:val="17"/>
          <w:i w:val="1"/>
          <w:iCs w:val="1"/>
          <w:color w:val="auto"/>
        </w:rPr>
        <w:t>www.nninc.com</w:t>
      </w:r>
      <w:r>
        <w:rPr>
          <w:rFonts w:ascii="Arial" w:cs="Arial" w:eastAsia="Arial" w:hAnsi="Arial"/>
          <w:sz w:val="17"/>
          <w:szCs w:val="17"/>
          <w:color w:val="auto"/>
        </w:rPr>
        <w:t>. A copy of the presentation is furnished as Exhibit 99.2 and is incorporated herein by reference.</w:t>
      </w:r>
    </w:p>
    <w:p>
      <w:pPr>
        <w:spacing w:after="0" w:line="171"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color w:val="auto"/>
        </w:rPr>
        <w:t>Pursuant to the rules and regulations of the U.S. Securities and Exchange Commission (the “SEC”), the information furnished pursuant to Item 2.02 and 7.01 of this Current Report on Form 8-K (including Exhibit 99.1 and Exhibit 99.2)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17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Exhibit 99.1 and Exhibit 99.2 contain certain “non-GAAP financial measures” as that term is defined by the rules and regulations of the SEC. The non-GAAP financial measures used in Exhibit 99.1 and Exhibit 99.2 have inherent limitations as performance measures and should not be considered in isolation of, as a substitute for, or superior to, financial information prepared in accordance with U.S. generally accepted accounting principles (“GAAP”). The non-GAAP financial measures contained in Exhibit 99.1 and Exhibit 99.2 may differ from similarly titled measures presented by other companies. The non-GAAP financial measures, as well as other information contained in Exhibit 99.1 and Exhibit 99.2, should be read in conjunction with the Company’s financial statements filed with the SEC.</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3880" w:type="dxa"/>
            <w:vAlign w:val="bottom"/>
            <w:gridSpan w:val="2"/>
          </w:tcPr>
          <w:p>
            <w:pPr>
              <w:ind w:left="360"/>
              <w:spacing w:after="0"/>
              <w:rPr>
                <w:sz w:val="20"/>
                <w:szCs w:val="20"/>
                <w:color w:val="auto"/>
              </w:rPr>
            </w:pPr>
            <w:r>
              <w:rPr>
                <w:rFonts w:ascii="Arial" w:cs="Arial" w:eastAsia="Arial" w:hAnsi="Arial"/>
                <w:sz w:val="17"/>
                <w:szCs w:val="17"/>
                <w:b w:val="1"/>
                <w:bCs w:val="1"/>
                <w:color w:val="auto"/>
              </w:rPr>
              <w:t>FINANCIAL STATEMENTS AND EXHIBITS</w:t>
            </w:r>
          </w:p>
        </w:tc>
        <w:tc>
          <w:tcPr>
            <w:tcW w:w="0" w:type="dxa"/>
            <w:vAlign w:val="bottom"/>
          </w:tcPr>
          <w:p>
            <w:pPr>
              <w:spacing w:after="0"/>
              <w:rPr>
                <w:sz w:val="1"/>
                <w:szCs w:val="1"/>
                <w:color w:val="auto"/>
              </w:rPr>
            </w:pPr>
          </w:p>
        </w:tc>
      </w:tr>
      <w:tr>
        <w:trPr>
          <w:trHeight w:val="358"/>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1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440" w:type="dxa"/>
            <w:vAlign w:val="bottom"/>
          </w:tcPr>
          <w:p>
            <w:pPr>
              <w:spacing w:after="0"/>
              <w:rPr>
                <w:sz w:val="20"/>
                <w:szCs w:val="20"/>
                <w:color w:val="auto"/>
              </w:rPr>
            </w:pPr>
            <w:r>
              <w:rPr>
                <w:rFonts w:ascii="Arial" w:cs="Arial" w:eastAsia="Arial" w:hAnsi="Arial"/>
                <w:sz w:val="17"/>
                <w:szCs w:val="17"/>
                <w:color w:val="auto"/>
              </w:rPr>
              <w:t>99.1</w:t>
            </w:r>
          </w:p>
        </w:tc>
        <w:tc>
          <w:tcPr>
            <w:tcW w:w="5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Press Release of NN, Inc. dated May 4, 2016.</w:t>
            </w:r>
          </w:p>
        </w:tc>
        <w:tc>
          <w:tcPr>
            <w:tcW w:w="0" w:type="dxa"/>
            <w:vAlign w:val="bottom"/>
          </w:tcPr>
          <w:p>
            <w:pPr>
              <w:spacing w:after="0"/>
              <w:rPr>
                <w:sz w:val="1"/>
                <w:szCs w:val="1"/>
                <w:color w:val="auto"/>
              </w:rPr>
            </w:pPr>
          </w:p>
        </w:tc>
      </w:tr>
      <w:tr>
        <w:trPr>
          <w:trHeight w:val="314"/>
        </w:trPr>
        <w:tc>
          <w:tcPr>
            <w:tcW w:w="440" w:type="dxa"/>
            <w:vAlign w:val="bottom"/>
          </w:tcPr>
          <w:p>
            <w:pPr>
              <w:spacing w:after="0"/>
              <w:rPr>
                <w:sz w:val="20"/>
                <w:szCs w:val="20"/>
                <w:color w:val="auto"/>
              </w:rPr>
            </w:pPr>
            <w:r>
              <w:rPr>
                <w:rFonts w:ascii="Arial" w:cs="Arial" w:eastAsia="Arial" w:hAnsi="Arial"/>
                <w:sz w:val="17"/>
                <w:szCs w:val="17"/>
                <w:color w:val="auto"/>
              </w:rPr>
              <w:t>99.2</w:t>
            </w:r>
          </w:p>
        </w:tc>
        <w:tc>
          <w:tcPr>
            <w:tcW w:w="5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w w:val="97"/>
              </w:rPr>
              <w:t>Investor Presentation of NN, Inc. dated May 4, 2016.</w:t>
            </w:r>
          </w:p>
        </w:tc>
        <w:tc>
          <w:tcPr>
            <w:tcW w:w="0" w:type="dxa"/>
            <w:vAlign w:val="bottom"/>
          </w:tcPr>
          <w:p>
            <w:pPr>
              <w:spacing w:after="0"/>
              <w:rPr>
                <w:sz w:val="1"/>
                <w:szCs w:val="1"/>
                <w:color w:val="auto"/>
              </w:rPr>
            </w:pPr>
          </w:p>
        </w:tc>
      </w:tr>
    </w:tbl>
    <w:p>
      <w:pPr>
        <w:sectPr>
          <w:pgSz w:w="11900" w:h="16838" w:orient="portrait"/>
          <w:cols w:equalWidth="0" w:num="1">
            <w:col w:w="11400"/>
          </w:cols>
          <w:pgMar w:left="240" w:top="265"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SIGNATURES</w:t>
      </w:r>
    </w:p>
    <w:p>
      <w:pPr>
        <w:spacing w:after="0" w:line="230"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May 5, 2016</w:t>
      </w:r>
    </w:p>
    <w:p>
      <w:pPr>
        <w:spacing w:after="0" w:line="244"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NN, INC.</w:t>
      </w:r>
    </w:p>
    <w:p>
      <w:pPr>
        <w:spacing w:after="0" w:line="230"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Matthew S. Heiter</w:t>
            </w:r>
          </w:p>
        </w:tc>
      </w:tr>
      <w:tr>
        <w:trPr>
          <w:trHeight w:val="203"/>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960" w:type="dxa"/>
            <w:vAlign w:val="bottom"/>
          </w:tcPr>
          <w:p>
            <w:pPr>
              <w:spacing w:after="0"/>
              <w:rPr>
                <w:sz w:val="20"/>
                <w:szCs w:val="20"/>
                <w:color w:val="auto"/>
              </w:rPr>
            </w:pPr>
            <w:r>
              <w:rPr>
                <w:rFonts w:ascii="Arial" w:cs="Arial" w:eastAsia="Arial" w:hAnsi="Arial"/>
                <w:sz w:val="17"/>
                <w:szCs w:val="17"/>
                <w:color w:val="auto"/>
              </w:rPr>
              <w:t>Matthew S. Heiter</w:t>
            </w:r>
          </w:p>
        </w:tc>
      </w:t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spacing w:after="0"/>
              <w:rPr>
                <w:sz w:val="20"/>
                <w:szCs w:val="20"/>
                <w:color w:val="auto"/>
              </w:rPr>
            </w:pPr>
            <w:r>
              <w:rPr>
                <w:rFonts w:ascii="Arial" w:cs="Arial" w:eastAsia="Arial" w:hAnsi="Arial"/>
                <w:sz w:val="17"/>
                <w:szCs w:val="17"/>
                <w:color w:val="auto"/>
              </w:rPr>
              <w:t>Senior Vice President and General Counsel</w:t>
            </w:r>
          </w:p>
        </w:tc>
      </w:tr>
    </w:tbl>
    <w:p>
      <w:pPr>
        <w:sectPr>
          <w:pgSz w:w="11900" w:h="16838" w:orient="portrait"/>
          <w:cols w:equalWidth="0" w:num="1">
            <w:col w:w="11420"/>
          </w:cols>
          <w:pgMar w:left="240" w:top="265"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0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440" w:type="dxa"/>
            <w:vAlign w:val="bottom"/>
          </w:tcPr>
          <w:p>
            <w:pPr>
              <w:spacing w:after="0"/>
              <w:rPr>
                <w:sz w:val="20"/>
                <w:szCs w:val="20"/>
                <w:color w:val="auto"/>
              </w:rPr>
            </w:pPr>
            <w:r>
              <w:rPr>
                <w:rFonts w:ascii="Arial" w:cs="Arial" w:eastAsia="Arial" w:hAnsi="Arial"/>
                <w:sz w:val="17"/>
                <w:szCs w:val="17"/>
                <w:color w:val="auto"/>
              </w:rPr>
              <w:t>99.1</w:t>
            </w:r>
          </w:p>
        </w:tc>
        <w:tc>
          <w:tcPr>
            <w:tcW w:w="56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rPr>
              <w:t>Press Release of NN, Inc. dated May 4, 2016.</w:t>
            </w:r>
          </w:p>
        </w:tc>
        <w:tc>
          <w:tcPr>
            <w:tcW w:w="0" w:type="dxa"/>
            <w:vAlign w:val="bottom"/>
          </w:tcPr>
          <w:p>
            <w:pPr>
              <w:spacing w:after="0"/>
              <w:rPr>
                <w:sz w:val="1"/>
                <w:szCs w:val="1"/>
                <w:color w:val="auto"/>
              </w:rPr>
            </w:pPr>
          </w:p>
        </w:tc>
      </w:tr>
      <w:tr>
        <w:trPr>
          <w:trHeight w:val="314"/>
        </w:trPr>
        <w:tc>
          <w:tcPr>
            <w:tcW w:w="440" w:type="dxa"/>
            <w:vAlign w:val="bottom"/>
          </w:tcPr>
          <w:p>
            <w:pPr>
              <w:spacing w:after="0"/>
              <w:rPr>
                <w:sz w:val="20"/>
                <w:szCs w:val="20"/>
                <w:color w:val="auto"/>
              </w:rPr>
            </w:pPr>
            <w:r>
              <w:rPr>
                <w:rFonts w:ascii="Arial" w:cs="Arial" w:eastAsia="Arial" w:hAnsi="Arial"/>
                <w:sz w:val="17"/>
                <w:szCs w:val="17"/>
                <w:color w:val="auto"/>
              </w:rPr>
              <w:t>99.2</w:t>
            </w:r>
          </w:p>
        </w:tc>
        <w:tc>
          <w:tcPr>
            <w:tcW w:w="56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w w:val="93"/>
              </w:rPr>
              <w:t>Investor Presentation of NN, Inc. dated May 4, 2016.</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5541010</wp:posOffset>
            </wp:positionH>
            <wp:positionV relativeFrom="paragraph">
              <wp:posOffset>170180</wp:posOffset>
            </wp:positionV>
            <wp:extent cx="1712595" cy="448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2595" cy="4489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1905" cy="307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1905" cy="30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RE: NN, Inc.</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207 Mockingbird Lane</w:t>
      </w:r>
    </w:p>
    <w:p>
      <w:pPr>
        <w:spacing w:after="0" w:line="13"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3</w:t>
      </w:r>
      <w:r>
        <w:rPr>
          <w:rFonts w:ascii="Arial" w:cs="Arial" w:eastAsia="Arial" w:hAnsi="Arial"/>
          <w:sz w:val="14"/>
          <w:szCs w:val="14"/>
          <w:color w:val="auto"/>
        </w:rPr>
        <w:t>rd</w:t>
      </w:r>
      <w:r>
        <w:rPr>
          <w:rFonts w:ascii="Arial" w:cs="Arial" w:eastAsia="Arial" w:hAnsi="Arial"/>
          <w:sz w:val="17"/>
          <w:szCs w:val="17"/>
          <w:color w:val="auto"/>
        </w:rPr>
        <w:t xml:space="preserve"> Floor</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Johnson City, TN 37604</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w:t>
      </w:r>
    </w:p>
    <w:p>
      <w:pPr>
        <w:sectPr>
          <w:pgSz w:w="11900" w:h="16838" w:orient="portrait"/>
          <w:cols w:equalWidth="0" w:num="1">
            <w:col w:w="11420"/>
          </w:cols>
          <w:pgMar w:left="240" w:top="121" w:right="23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AT THE COMPANY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Robbie Atkinson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VP, Corporate Treasurer &amp; Investor Relations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(423) 434-8398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AT FINANCIAL RELATIONS BOARD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Marilynn Meek</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(General info)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212-827-3773</w:t>
      </w:r>
    </w:p>
    <w:p>
      <w:pPr>
        <w:spacing w:after="0" w:line="200" w:lineRule="exact"/>
        <w:rPr>
          <w:sz w:val="20"/>
          <w:szCs w:val="20"/>
          <w:color w:val="auto"/>
        </w:rPr>
      </w:pPr>
    </w:p>
    <w:p>
      <w:pPr>
        <w:sectPr>
          <w:pgSz w:w="11900" w:h="16838" w:orient="portrait"/>
          <w:cols w:equalWidth="0" w:num="2">
            <w:col w:w="5220" w:space="720"/>
            <w:col w:w="5480"/>
          </w:cols>
          <w:pgMar w:left="240" w:top="121"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4, 2016</w:t>
      </w:r>
    </w:p>
    <w:p>
      <w:pPr>
        <w:sectPr>
          <w:pgSz w:w="11900" w:h="16838" w:orient="portrait"/>
          <w:cols w:equalWidth="0" w:num="1">
            <w:col w:w="11420"/>
          </w:cols>
          <w:pgMar w:left="240" w:top="121" w:right="239" w:bottom="1440" w:gutter="0" w:footer="0" w:header="0"/>
          <w:type w:val="continuous"/>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NN, INC. REPORTS FIRST QUARTER 2016 RESULTS IN LINE WITH COMPANY GUIDANCE</w:t>
      </w:r>
    </w:p>
    <w:p>
      <w:pPr>
        <w:spacing w:after="0" w:line="250" w:lineRule="exact"/>
        <w:rPr>
          <w:sz w:val="20"/>
          <w:szCs w:val="20"/>
          <w:color w:val="auto"/>
        </w:rPr>
      </w:pPr>
    </w:p>
    <w:p>
      <w:pPr>
        <w:ind w:left="900" w:hanging="332"/>
        <w:spacing w:after="0"/>
        <w:tabs>
          <w:tab w:leader="none" w:pos="9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Net sales of $212.2 million, an increase of $48.5 million</w:t>
      </w:r>
    </w:p>
    <w:p>
      <w:pPr>
        <w:spacing w:after="0" w:line="131" w:lineRule="exact"/>
        <w:rPr>
          <w:rFonts w:ascii="Arial" w:cs="Arial" w:eastAsia="Arial" w:hAnsi="Arial"/>
          <w:sz w:val="17"/>
          <w:szCs w:val="17"/>
          <w:b w:val="1"/>
          <w:bCs w:val="1"/>
          <w:color w:val="auto"/>
        </w:rPr>
      </w:pPr>
    </w:p>
    <w:p>
      <w:pPr>
        <w:ind w:left="900" w:hanging="332"/>
        <w:spacing w:after="0"/>
        <w:tabs>
          <w:tab w:leader="none" w:pos="9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Adjusted income from operations increased $9.1 million to $24 million</w:t>
      </w:r>
    </w:p>
    <w:p>
      <w:pPr>
        <w:spacing w:after="0" w:line="131" w:lineRule="exact"/>
        <w:rPr>
          <w:rFonts w:ascii="Arial" w:cs="Arial" w:eastAsia="Arial" w:hAnsi="Arial"/>
          <w:sz w:val="17"/>
          <w:szCs w:val="17"/>
          <w:b w:val="1"/>
          <w:bCs w:val="1"/>
          <w:color w:val="auto"/>
        </w:rPr>
      </w:pPr>
    </w:p>
    <w:p>
      <w:pPr>
        <w:ind w:left="900" w:hanging="332"/>
        <w:spacing w:after="0"/>
        <w:tabs>
          <w:tab w:leader="none" w:pos="9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Adjusted net income of $7.1 million or $0.27 per diluted share</w:t>
      </w:r>
    </w:p>
    <w:p>
      <w:pPr>
        <w:spacing w:after="0" w:line="224" w:lineRule="exact"/>
        <w:rPr>
          <w:sz w:val="20"/>
          <w:szCs w:val="20"/>
          <w:color w:val="auto"/>
        </w:rPr>
      </w:pPr>
    </w:p>
    <w:p>
      <w:pPr>
        <w:jc w:val="both"/>
        <w:ind w:right="80"/>
        <w:spacing w:after="0" w:line="296" w:lineRule="auto"/>
        <w:rPr>
          <w:sz w:val="20"/>
          <w:szCs w:val="20"/>
          <w:color w:val="auto"/>
        </w:rPr>
      </w:pPr>
      <w:r>
        <w:rPr>
          <w:rFonts w:ascii="Arial" w:cs="Arial" w:eastAsia="Arial" w:hAnsi="Arial"/>
          <w:sz w:val="17"/>
          <w:szCs w:val="17"/>
          <w:b w:val="1"/>
          <w:bCs w:val="1"/>
          <w:color w:val="auto"/>
        </w:rPr>
        <w:t xml:space="preserve">Johnson City, Tenn, May 4, 2016 – </w:t>
      </w:r>
      <w:r>
        <w:rPr>
          <w:rFonts w:ascii="Arial" w:cs="Arial" w:eastAsia="Arial" w:hAnsi="Arial"/>
          <w:sz w:val="17"/>
          <w:szCs w:val="17"/>
          <w:color w:val="auto"/>
        </w:rPr>
        <w:t>NN, Inc., (NASDAQ: NNBR), a diversified industrial company, today reported its financial results for the first quarter ended</w:t>
      </w:r>
      <w:r>
        <w:rPr>
          <w:rFonts w:ascii="Arial" w:cs="Arial" w:eastAsia="Arial" w:hAnsi="Arial"/>
          <w:sz w:val="17"/>
          <w:szCs w:val="17"/>
          <w:b w:val="1"/>
          <w:bCs w:val="1"/>
          <w:color w:val="auto"/>
        </w:rPr>
        <w:t xml:space="preserve"> </w:t>
      </w:r>
      <w:r>
        <w:rPr>
          <w:rFonts w:ascii="Arial" w:cs="Arial" w:eastAsia="Arial" w:hAnsi="Arial"/>
          <w:sz w:val="17"/>
          <w:szCs w:val="17"/>
          <w:color w:val="auto"/>
        </w:rPr>
        <w:t>March 31, 2016.</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Quarter 2016 Results</w:t>
      </w:r>
    </w:p>
    <w:p>
      <w:pPr>
        <w:spacing w:after="0" w:line="125" w:lineRule="exact"/>
        <w:rPr>
          <w:sz w:val="20"/>
          <w:szCs w:val="20"/>
          <w:color w:val="auto"/>
        </w:rPr>
      </w:pPr>
    </w:p>
    <w:p>
      <w:pPr>
        <w:ind w:right="360"/>
        <w:spacing w:after="0" w:line="322" w:lineRule="auto"/>
        <w:rPr>
          <w:sz w:val="20"/>
          <w:szCs w:val="20"/>
          <w:color w:val="auto"/>
        </w:rPr>
      </w:pPr>
      <w:r>
        <w:rPr>
          <w:rFonts w:ascii="Arial" w:cs="Arial" w:eastAsia="Arial" w:hAnsi="Arial"/>
          <w:sz w:val="16"/>
          <w:szCs w:val="16"/>
          <w:color w:val="auto"/>
        </w:rPr>
        <w:t>Net sales for the first quarter of 2016 increased $48.5 million, or 30% to $212.2 million, compared to $163.7 million for the first quarter of 2015. Acquisitions added $55.6 million in revenue. Negative currency and price/mix impacts reduced reported net sales by $7.1 million versus the first quarter of last year.</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Adjusted income from operations for the first quarter of 2016 was $24.0 million, an increase of 61%, compared to $14.9 million for the same period in 2015.</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Adjusted net income was $7.1 million, or $0.27 per diluted share, compared to $8.0 million, or $0.41 per diluted share for the same period in 2015.</w:t>
      </w:r>
    </w:p>
    <w:p>
      <w:pPr>
        <w:spacing w:after="0" w:line="212"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color w:val="auto"/>
        </w:rPr>
        <w:t>Richard Holder, President and Chief Executive Officer, commented, “Our performance for the quarter was in line with our expectations as we continue to see the positive effects of the NN Operating System. The first quarter also marked our first full period post the acquisition of PEP. We are very pleased with where we are in our integration efforts as we continue to find more opportunities to deliver engineered solutions to our customers.”</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Business Group Results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Autocam Precision Components</w:t>
      </w:r>
    </w:p>
    <w:p>
      <w:pPr>
        <w:spacing w:after="0" w:line="125"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Net sales for the first quarter of 2016 were $84.0 million, compared to $82.6 million in the first quarter of 2015, an increase of $1.4 million. Adjusted income from operations for the quarter increased $1.1 million to $9.7 million, compared to $8.6 million in the first quarter of 2015.</w:t>
      </w:r>
    </w:p>
    <w:p>
      <w:pPr>
        <w:spacing w:after="0" w:line="158"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Holder commented, “The Autocam Group continues to perform well with the continued adoption of CAFE technologies driving our performance, and we are pleased with the margin expansion the team has achieved.”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Precision Bearing Components</w:t>
      </w:r>
    </w:p>
    <w:p>
      <w:pPr>
        <w:spacing w:after="0" w:line="1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Net sales for the first quarter of 2016 were $64.7 million, compared to $73.2 million in the first quarter of 2015, a decrease of $8.5 million. Negative currency impacts of $1.4 million and a soft industrial market accounted for the decline. Adjusted income from operations for the first quarter was $7.1 million, compared to $9.2 million in the first quarter of 2015.</w:t>
      </w:r>
    </w:p>
    <w:p>
      <w:pPr>
        <w:spacing w:after="0" w:line="171"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color w:val="auto"/>
        </w:rPr>
        <w:t>Holder commented, “The Group rebounded in the first quarter from the challenges during the fourth quarter of 2015. Operating performance returned to our expectations, and we continue to drive margin expansion throughout 2016.”</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Precision Engineered Products</w:t>
      </w:r>
    </w:p>
    <w:p>
      <w:pPr>
        <w:spacing w:after="0" w:line="125" w:lineRule="exact"/>
        <w:rPr>
          <w:sz w:val="20"/>
          <w:szCs w:val="20"/>
          <w:color w:val="auto"/>
        </w:rPr>
      </w:pPr>
    </w:p>
    <w:p>
      <w:pPr>
        <w:ind w:right="300"/>
        <w:spacing w:after="0" w:line="322" w:lineRule="auto"/>
        <w:rPr>
          <w:sz w:val="20"/>
          <w:szCs w:val="20"/>
          <w:color w:val="auto"/>
        </w:rPr>
      </w:pPr>
      <w:r>
        <w:rPr>
          <w:rFonts w:ascii="Arial" w:cs="Arial" w:eastAsia="Arial" w:hAnsi="Arial"/>
          <w:sz w:val="16"/>
          <w:szCs w:val="16"/>
          <w:color w:val="auto"/>
        </w:rPr>
        <w:t>Net sales for the first quarter of 2016 were $63.5 million, compared to $7.9 million in the first quarter of 2015, an increase of $55.6 million. The acquisition of PEP accounted for $56.0 million of the increase. Adjusted income from operations for the quarter was $13.2 million, compared to $0.2 million in 2015.</w:t>
      </w:r>
    </w:p>
    <w:p>
      <w:pPr>
        <w:spacing w:after="0" w:line="135" w:lineRule="exact"/>
        <w:rPr>
          <w:sz w:val="20"/>
          <w:szCs w:val="20"/>
          <w:color w:val="auto"/>
        </w:rPr>
      </w:pPr>
    </w:p>
    <w:p>
      <w:pPr>
        <w:ind w:right="620"/>
        <w:spacing w:after="0" w:line="289" w:lineRule="auto"/>
        <w:rPr>
          <w:sz w:val="20"/>
          <w:szCs w:val="20"/>
          <w:color w:val="auto"/>
        </w:rPr>
      </w:pPr>
      <w:r>
        <w:rPr>
          <w:rFonts w:ascii="Arial" w:cs="Arial" w:eastAsia="Arial" w:hAnsi="Arial"/>
          <w:sz w:val="17"/>
          <w:szCs w:val="17"/>
          <w:color w:val="auto"/>
        </w:rPr>
        <w:t>Holder commented, “The integration of PEP is off to a good start. The strong operating performance in the quarter met our expectations. We expect to see improvements throughout the year as we implement the NN Operating System.”</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Guidance</w:t>
      </w:r>
    </w:p>
    <w:p>
      <w:pPr>
        <w:spacing w:after="0" w:line="125"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Holder continued, “Our businesses have performed to our expectations thus far in 2016. We are encouraged by the positive trends in the macro back drop and reaffirm our guidance for the year.”</w:t>
      </w:r>
    </w:p>
    <w:p>
      <w:pPr>
        <w:spacing w:after="0" w:line="158"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 xml:space="preserve">The full set of financial guidance for the second quarter and full year 2016 can be found in our supplemental presentation posted in the Investor Relations section of our website at </w:t>
      </w:r>
      <w:r>
        <w:rPr>
          <w:rFonts w:ascii="Arial" w:cs="Arial" w:eastAsia="Arial" w:hAnsi="Arial"/>
          <w:sz w:val="17"/>
          <w:szCs w:val="17"/>
          <w:u w:val="single" w:color="auto"/>
          <w:color w:val="auto"/>
        </w:rPr>
        <w:t>www.nninc.com</w:t>
      </w:r>
      <w:r>
        <w:rPr>
          <w:rFonts w:ascii="Arial" w:cs="Arial" w:eastAsia="Arial" w:hAnsi="Arial"/>
          <w:sz w:val="17"/>
          <w:szCs w:val="17"/>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Holder concluded, “We are pleased with our performance to start the year. The team continues to focus on the disciplined execution of the NN Operating System.”</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GAAP Results</w:t>
      </w:r>
    </w:p>
    <w:p>
      <w:pPr>
        <w:spacing w:after="0" w:line="1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a GAAP basis, income from operations for the first quarter of 2016 was $11.9 million, compared to $13.9 million for the same period in 2015. Net loss on a GAAP basis for first quarter of 2016 was $1.3 million, or ($0.05) per diluted share. This compares to net income of $6.0 million, or $0.31 per diluted share in the first quarter of 2015.</w:t>
      </w:r>
    </w:p>
    <w:p>
      <w:pPr>
        <w:sectPr>
          <w:pgSz w:w="11900" w:h="16838" w:orient="portrait"/>
          <w:cols w:equalWidth="0" w:num="1">
            <w:col w:w="11380"/>
          </w:cols>
          <w:pgMar w:left="240" w:top="265" w:right="279" w:bottom="1440" w:gutter="0" w:footer="0" w:header="0"/>
        </w:sectPr>
      </w:pPr>
    </w:p>
    <w:bookmarkStart w:id="6" w:name="page7"/>
    <w:bookmarkEnd w:id="6"/>
    <w:p>
      <w:pPr>
        <w:ind w:right="16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On a GAAP basis, income from operations for first quarter 2016 in the Autocam Precision Components Group was $6.5 million compared to $7.7 million for the same period in 2015.</w:t>
      </w:r>
    </w:p>
    <w:p>
      <w:pPr>
        <w:spacing w:after="0" w:line="158"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On a GAAP basis, income from operations for first quarter 2016 in the Precision Bearing Components Group was $6.3 million compared to $9.1 million for the same period in 2015.</w:t>
      </w:r>
    </w:p>
    <w:p>
      <w:pPr>
        <w:spacing w:after="0" w:line="158"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On a GAAP basis, income from operations for first quarter 2016 in the Precision Engineered Products Group was $5.4 million compared to $0.2 million for the same period in 2015.</w:t>
      </w:r>
    </w:p>
    <w:p>
      <w:pPr>
        <w:spacing w:after="0" w:line="158" w:lineRule="exact"/>
        <w:rPr>
          <w:sz w:val="20"/>
          <w:szCs w:val="20"/>
          <w:color w:val="auto"/>
        </w:rPr>
      </w:pPr>
    </w:p>
    <w:p>
      <w:pPr>
        <w:ind w:right="80" w:firstLine="5"/>
        <w:spacing w:after="0" w:line="273" w:lineRule="auto"/>
        <w:tabs>
          <w:tab w:leader="none" w:pos="296"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will discuss its results during its quarterly investor conference call tomorrow morning starting at 9:00 a.m. ET. The call and supplemental presentation may be accessed via NN’s website, </w:t>
      </w:r>
      <w:r>
        <w:rPr>
          <w:rFonts w:ascii="Arial" w:cs="Arial" w:eastAsia="Arial" w:hAnsi="Arial"/>
          <w:sz w:val="17"/>
          <w:szCs w:val="17"/>
          <w:u w:val="single" w:color="auto"/>
          <w:color w:val="auto"/>
        </w:rPr>
        <w:t>www.nninc.com</w:t>
      </w:r>
      <w:r>
        <w:rPr>
          <w:rFonts w:ascii="Arial" w:cs="Arial" w:eastAsia="Arial" w:hAnsi="Arial"/>
          <w:sz w:val="17"/>
          <w:szCs w:val="17"/>
          <w:color w:val="auto"/>
        </w:rPr>
        <w:t>. The conference call can also be accessed by dialing 888-505-4368 or 719-325-2281 Conference ID: 9964576. For those who are unavailable to listen to the live broadcast, a replay will be available shortly after the call for 90 days.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discloses in this press release the non-GAAP financial measures of adjusted income from operations and adjusted net income. Each of adjusted income from operations and adjusted net income provide supplementary information about the impacts of acquisition related expenses, foreign-exchange and other non-operating impacts on our business.</w:t>
      </w:r>
    </w:p>
    <w:p>
      <w:pPr>
        <w:spacing w:after="0" w:line="171"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The attached financial tables include a reconciliation of adjusted income from operations and adjusted net income to the U.S. GAAP financial measures of income from operations and net income.</w:t>
      </w:r>
    </w:p>
    <w:p>
      <w:pPr>
        <w:spacing w:after="0" w:line="158"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Johnson City, Tennessee, NN has 42 manufacturing plants in North America, Western Europe, Eastern Europe, South America and China.</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completed acquisitions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70"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2015. Except as required by law, we undertake no obligation to update or revise any forward-looking statements we make in our press releases, whether as a result of new information, future events or otherwise.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Financial Tables Follow</w:t>
      </w:r>
    </w:p>
    <w:p>
      <w:pPr>
        <w:sectPr>
          <w:pgSz w:w="11900" w:h="16838" w:orient="portrait"/>
          <w:cols w:equalWidth="0" w:num="1">
            <w:col w:w="11420"/>
          </w:cols>
          <w:pgMar w:left="240" w:top="27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NN,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Income (Loss)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57"/>
        </w:trPr>
        <w:tc>
          <w:tcPr>
            <w:tcW w:w="204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5"/>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3"/>
        </w:trPr>
        <w:tc>
          <w:tcPr>
            <w:tcW w:w="9660" w:type="dxa"/>
            <w:vAlign w:val="bottom"/>
            <w:gridSpan w:val="2"/>
          </w:tcPr>
          <w:p>
            <w:pPr>
              <w:spacing w:after="0" w:line="153" w:lineRule="exact"/>
              <w:rPr>
                <w:sz w:val="20"/>
                <w:szCs w:val="20"/>
                <w:color w:val="auto"/>
              </w:rPr>
            </w:pPr>
            <w:r>
              <w:rPr>
                <w:rFonts w:ascii="Arial" w:cs="Arial" w:eastAsia="Arial" w:hAnsi="Arial"/>
                <w:sz w:val="14"/>
                <w:szCs w:val="14"/>
                <w:color w:val="auto"/>
              </w:rPr>
              <w:t>(in thousands, except per share data)</w:t>
            </w:r>
          </w:p>
        </w:tc>
        <w:tc>
          <w:tcPr>
            <w:tcW w:w="100" w:type="dxa"/>
            <w:vAlign w:val="bottom"/>
          </w:tcPr>
          <w:p>
            <w:pPr>
              <w:spacing w:after="0"/>
              <w:rPr>
                <w:sz w:val="15"/>
                <w:szCs w:val="15"/>
                <w:color w:val="auto"/>
              </w:rPr>
            </w:pPr>
          </w:p>
        </w:tc>
        <w:tc>
          <w:tcPr>
            <w:tcW w:w="58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Net sales</w:t>
            </w:r>
          </w:p>
        </w:tc>
        <w:tc>
          <w:tcPr>
            <w:tcW w:w="7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212,226</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163,746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60" w:type="dxa"/>
            <w:vAlign w:val="bottom"/>
            <w:gridSpan w:val="2"/>
          </w:tcPr>
          <w:p>
            <w:pPr>
              <w:spacing w:after="0"/>
              <w:rPr>
                <w:sz w:val="20"/>
                <w:szCs w:val="20"/>
                <w:color w:val="auto"/>
              </w:rPr>
            </w:pPr>
            <w:r>
              <w:rPr>
                <w:rFonts w:ascii="Arial" w:cs="Arial" w:eastAsia="Arial" w:hAnsi="Arial"/>
                <w:sz w:val="17"/>
                <w:szCs w:val="17"/>
                <w:color w:val="auto"/>
              </w:rPr>
              <w:t>Cost of products sold (exclusive of depreciation and amortization shown separately below)</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w w:val="91"/>
              </w:rPr>
              <w:t>159,754</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129,317</w:t>
            </w:r>
          </w:p>
        </w:tc>
        <w:tc>
          <w:tcPr>
            <w:tcW w:w="0" w:type="dxa"/>
            <w:vAlign w:val="bottom"/>
          </w:tcPr>
          <w:p>
            <w:pPr>
              <w:spacing w:after="0"/>
              <w:rPr>
                <w:sz w:val="1"/>
                <w:szCs w:val="1"/>
                <w:color w:val="auto"/>
              </w:rPr>
            </w:pPr>
          </w:p>
        </w:tc>
      </w:tr>
      <w:tr>
        <w:trPr>
          <w:trHeight w:val="210"/>
        </w:trPr>
        <w:tc>
          <w:tcPr>
            <w:tcW w:w="9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20,712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12,001</w:t>
            </w:r>
          </w:p>
        </w:tc>
        <w:tc>
          <w:tcPr>
            <w:tcW w:w="0" w:type="dxa"/>
            <w:vAlign w:val="bottom"/>
          </w:tcPr>
          <w:p>
            <w:pPr>
              <w:spacing w:after="0"/>
              <w:rPr>
                <w:sz w:val="1"/>
                <w:szCs w:val="1"/>
                <w:color w:val="auto"/>
              </w:rPr>
            </w:pPr>
          </w:p>
        </w:tc>
      </w:tr>
      <w:tr>
        <w:trPr>
          <w:trHeight w:val="210"/>
        </w:trPr>
        <w:tc>
          <w:tcPr>
            <w:tcW w:w="966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17,348</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8,494</w:t>
            </w:r>
          </w:p>
        </w:tc>
        <w:tc>
          <w:tcPr>
            <w:tcW w:w="0" w:type="dxa"/>
            <w:vAlign w:val="bottom"/>
          </w:tcPr>
          <w:p>
            <w:pPr>
              <w:spacing w:after="0"/>
              <w:rPr>
                <w:sz w:val="1"/>
                <w:szCs w:val="1"/>
                <w:color w:val="auto"/>
              </w:rPr>
            </w:pPr>
          </w:p>
        </w:tc>
      </w:tr>
      <w:tr>
        <w:trPr>
          <w:trHeight w:val="210"/>
        </w:trPr>
        <w:tc>
          <w:tcPr>
            <w:tcW w:w="9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Restructuring and impairment charges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60" w:type="dxa"/>
            <w:vAlign w:val="bottom"/>
            <w:gridSpan w:val="2"/>
          </w:tcPr>
          <w:p>
            <w:pPr>
              <w:spacing w:after="0"/>
              <w:rPr>
                <w:sz w:val="20"/>
                <w:szCs w:val="20"/>
                <w:color w:val="auto"/>
              </w:rPr>
            </w:pPr>
            <w:r>
              <w:rPr>
                <w:rFonts w:ascii="Arial" w:cs="Arial" w:eastAsia="Arial" w:hAnsi="Arial"/>
                <w:sz w:val="17"/>
                <w:szCs w:val="17"/>
                <w:color w:val="auto"/>
              </w:rPr>
              <w:t>Income from operations</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11,874</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13,934</w:t>
            </w:r>
          </w:p>
        </w:tc>
        <w:tc>
          <w:tcPr>
            <w:tcW w:w="0" w:type="dxa"/>
            <w:vAlign w:val="bottom"/>
          </w:tcPr>
          <w:p>
            <w:pPr>
              <w:spacing w:after="0"/>
              <w:rPr>
                <w:sz w:val="1"/>
                <w:szCs w:val="1"/>
                <w:color w:val="auto"/>
              </w:rPr>
            </w:pPr>
          </w:p>
        </w:tc>
      </w:tr>
      <w:tr>
        <w:trPr>
          <w:trHeight w:val="105"/>
        </w:trPr>
        <w:tc>
          <w:tcPr>
            <w:tcW w:w="2040" w:type="dxa"/>
            <w:vAlign w:val="bottom"/>
          </w:tcPr>
          <w:p>
            <w:pPr>
              <w:spacing w:after="0"/>
              <w:rPr>
                <w:sz w:val="9"/>
                <w:szCs w:val="9"/>
                <w:color w:val="auto"/>
              </w:rPr>
            </w:pPr>
          </w:p>
        </w:tc>
        <w:tc>
          <w:tcPr>
            <w:tcW w:w="7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9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16,422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5,938</w:t>
            </w:r>
          </w:p>
        </w:tc>
        <w:tc>
          <w:tcPr>
            <w:tcW w:w="0" w:type="dxa"/>
            <w:vAlign w:val="bottom"/>
          </w:tcPr>
          <w:p>
            <w:pPr>
              <w:spacing w:after="0"/>
              <w:rPr>
                <w:sz w:val="1"/>
                <w:szCs w:val="1"/>
                <w:color w:val="auto"/>
              </w:rPr>
            </w:pPr>
          </w:p>
        </w:tc>
      </w:tr>
      <w:tr>
        <w:trPr>
          <w:trHeight w:val="210"/>
        </w:trPr>
        <w:tc>
          <w:tcPr>
            <w:tcW w:w="9660" w:type="dxa"/>
            <w:vAlign w:val="bottom"/>
            <w:gridSpan w:val="2"/>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(1,129)</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1,400</w:t>
            </w: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(loss) before provision (benefit) for income taxes and share of net income from joint venture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(3,419)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6,596</w:t>
            </w:r>
          </w:p>
        </w:tc>
        <w:tc>
          <w:tcPr>
            <w:tcW w:w="0" w:type="dxa"/>
            <w:vAlign w:val="bottom"/>
          </w:tcPr>
          <w:p>
            <w:pPr>
              <w:spacing w:after="0"/>
              <w:rPr>
                <w:sz w:val="1"/>
                <w:szCs w:val="1"/>
                <w:color w:val="auto"/>
              </w:rPr>
            </w:pPr>
          </w:p>
        </w:tc>
      </w:tr>
      <w:tr>
        <w:trPr>
          <w:trHeight w:val="210"/>
        </w:trPr>
        <w:tc>
          <w:tcPr>
            <w:tcW w:w="9660" w:type="dxa"/>
            <w:vAlign w:val="bottom"/>
            <w:gridSpan w:val="2"/>
          </w:tcPr>
          <w:p>
            <w:pPr>
              <w:spacing w:after="0"/>
              <w:rPr>
                <w:sz w:val="20"/>
                <w:szCs w:val="20"/>
                <w:color w:val="auto"/>
              </w:rPr>
            </w:pPr>
            <w:r>
              <w:rPr>
                <w:rFonts w:ascii="Arial" w:cs="Arial" w:eastAsia="Arial" w:hAnsi="Arial"/>
                <w:sz w:val="17"/>
                <w:szCs w:val="17"/>
                <w:color w:val="auto"/>
              </w:rPr>
              <w:t>Provision (benefit) expense for income taxes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(720)</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1,456</w:t>
            </w:r>
          </w:p>
        </w:tc>
        <w:tc>
          <w:tcPr>
            <w:tcW w:w="0" w:type="dxa"/>
            <w:vAlign w:val="bottom"/>
          </w:tcPr>
          <w:p>
            <w:pPr>
              <w:spacing w:after="0"/>
              <w:rPr>
                <w:sz w:val="1"/>
                <w:szCs w:val="1"/>
                <w:color w:val="auto"/>
              </w:rPr>
            </w:pPr>
          </w:p>
        </w:tc>
      </w:tr>
      <w:tr>
        <w:trPr>
          <w:trHeight w:val="210"/>
        </w:trPr>
        <w:tc>
          <w:tcPr>
            <w:tcW w:w="9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 of net income from joint venture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7"/>
                <w:szCs w:val="17"/>
                <w:color w:val="auto"/>
              </w:rPr>
              <w:t>Net (loss) income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(1,299)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6,001</w:t>
            </w:r>
          </w:p>
        </w:tc>
        <w:tc>
          <w:tcPr>
            <w:tcW w:w="0" w:type="dxa"/>
            <w:vAlign w:val="bottom"/>
          </w:tcPr>
          <w:p>
            <w:pPr>
              <w:spacing w:after="0"/>
              <w:rPr>
                <w:sz w:val="1"/>
                <w:szCs w:val="1"/>
                <w:color w:val="auto"/>
              </w:rPr>
            </w:pPr>
          </w:p>
        </w:tc>
      </w:tr>
      <w:tr>
        <w:trPr>
          <w:trHeight w:val="210"/>
        </w:trPr>
        <w:tc>
          <w:tcPr>
            <w:tcW w:w="9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income (loss) per share: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60" w:type="dxa"/>
            <w:vAlign w:val="bottom"/>
            <w:gridSpan w:val="2"/>
          </w:tcPr>
          <w:p>
            <w:pPr>
              <w:spacing w:after="0"/>
              <w:rPr>
                <w:sz w:val="20"/>
                <w:szCs w:val="20"/>
                <w:color w:val="auto"/>
              </w:rPr>
            </w:pPr>
            <w:r>
              <w:rPr>
                <w:rFonts w:ascii="Arial" w:cs="Arial" w:eastAsia="Arial" w:hAnsi="Arial"/>
                <w:sz w:val="17"/>
                <w:szCs w:val="17"/>
                <w:color w:val="auto"/>
              </w:rPr>
              <w:t>Net income (loss)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(0.05)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0.</w:t>
            </w:r>
            <w:r>
              <w:rPr>
                <w:rFonts w:ascii="Arial" w:cs="Arial" w:eastAsia="Arial" w:hAnsi="Arial"/>
                <w:sz w:val="17"/>
                <w:szCs w:val="17"/>
                <w:u w:val="single" w:color="auto"/>
                <w:color w:val="auto"/>
              </w:rPr>
              <w:t>32</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outstanding</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26,869</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18,996</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7"/>
                <w:szCs w:val="17"/>
                <w:color w:val="auto"/>
              </w:rPr>
              <w:t>Diluted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0.31</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7"/>
                <w:szCs w:val="17"/>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26,869</w:t>
            </w: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19,380</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dividends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NN,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3"/>
        </w:trPr>
        <w:tc>
          <w:tcPr>
            <w:tcW w:w="6560" w:type="dxa"/>
            <w:vAlign w:val="bottom"/>
            <w:gridSpan w:val="2"/>
            <w:vMerge w:val="continue"/>
          </w:tcPr>
          <w:p>
            <w:pPr>
              <w:spacing w:after="0"/>
              <w:rPr>
                <w:sz w:val="15"/>
                <w:szCs w:val="15"/>
                <w:color w:val="auto"/>
              </w:rPr>
            </w:pP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4520" w:type="dxa"/>
            <w:vAlign w:val="bottom"/>
            <w:tcBorders>
              <w:top w:val="single" w:sz="8" w:color="CCEEFF"/>
            </w:tcBorders>
            <w:shd w:val="clear" w:color="auto" w:fill="CCEEFF"/>
          </w:tcPr>
          <w:p>
            <w:pPr>
              <w:spacing w:after="0"/>
              <w:rPr>
                <w:sz w:val="15"/>
                <w:szCs w:val="15"/>
                <w:color w:val="auto"/>
              </w:rPr>
            </w:pPr>
          </w:p>
        </w:tc>
        <w:tc>
          <w:tcPr>
            <w:tcW w:w="28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Cash</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15,087</w:t>
            </w:r>
          </w:p>
        </w:tc>
        <w:tc>
          <w:tcPr>
            <w:tcW w:w="0" w:type="dxa"/>
            <w:vAlign w:val="bottom"/>
          </w:tcPr>
          <w:p>
            <w:pPr>
              <w:spacing w:after="0"/>
              <w:rPr>
                <w:sz w:val="1"/>
                <w:szCs w:val="1"/>
                <w:color w:val="auto"/>
              </w:rPr>
            </w:pPr>
          </w:p>
        </w:tc>
      </w:tr>
      <w:tr>
        <w:trPr>
          <w:trHeight w:val="210"/>
        </w:trPr>
        <w:tc>
          <w:tcPr>
            <w:tcW w:w="6560" w:type="dxa"/>
            <w:vAlign w:val="bottom"/>
            <w:gridSpan w:val="2"/>
          </w:tcPr>
          <w:p>
            <w:pPr>
              <w:ind w:left="360"/>
              <w:spacing w:after="0"/>
              <w:rPr>
                <w:sz w:val="20"/>
                <w:szCs w:val="20"/>
                <w:color w:val="auto"/>
              </w:rPr>
            </w:pPr>
            <w:r>
              <w:rPr>
                <w:rFonts w:ascii="Arial" w:cs="Arial" w:eastAsia="Arial" w:hAnsi="Arial"/>
                <w:sz w:val="17"/>
                <w:szCs w:val="17"/>
                <w:color w:val="auto"/>
              </w:rPr>
              <w:t>Accounts receivable, net</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143,323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123,005</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Inventories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119,836</w:t>
            </w:r>
          </w:p>
        </w:tc>
        <w:tc>
          <w:tcPr>
            <w:tcW w:w="0" w:type="dxa"/>
            <w:vAlign w:val="bottom"/>
          </w:tcPr>
          <w:p>
            <w:pPr>
              <w:spacing w:after="0"/>
              <w:rPr>
                <w:sz w:val="1"/>
                <w:szCs w:val="1"/>
                <w:color w:val="auto"/>
              </w:rPr>
            </w:pPr>
          </w:p>
        </w:tc>
      </w:tr>
      <w:tr>
        <w:trPr>
          <w:trHeight w:val="210"/>
        </w:trPr>
        <w:tc>
          <w:tcPr>
            <w:tcW w:w="6560" w:type="dxa"/>
            <w:vAlign w:val="bottom"/>
            <w:gridSpan w:val="2"/>
          </w:tcPr>
          <w:p>
            <w:pPr>
              <w:ind w:left="360"/>
              <w:spacing w:after="0"/>
              <w:rPr>
                <w:sz w:val="20"/>
                <w:szCs w:val="20"/>
                <w:color w:val="auto"/>
              </w:rPr>
            </w:pPr>
            <w:r>
              <w:rPr>
                <w:rFonts w:ascii="Arial" w:cs="Arial" w:eastAsia="Arial" w:hAnsi="Arial"/>
                <w:sz w:val="17"/>
                <w:szCs w:val="17"/>
                <w:color w:val="auto"/>
              </w:rPr>
              <w:t>Income tax receivable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3,989</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Current deferred tax assets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6,696</w:t>
            </w: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Arial" w:cs="Arial" w:eastAsia="Arial" w:hAnsi="Arial"/>
                <w:sz w:val="17"/>
                <w:szCs w:val="17"/>
                <w:color w:val="auto"/>
              </w:rPr>
              <w:t>Other current assets</w:t>
            </w:r>
          </w:p>
        </w:tc>
        <w:tc>
          <w:tcPr>
            <w:tcW w:w="2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13,125</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Total current assets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295,635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280,181</w:t>
            </w:r>
          </w:p>
        </w:tc>
        <w:tc>
          <w:tcPr>
            <w:tcW w:w="0" w:type="dxa"/>
            <w:vAlign w:val="bottom"/>
          </w:tcPr>
          <w:p>
            <w:pPr>
              <w:spacing w:after="0"/>
              <w:rPr>
                <w:sz w:val="1"/>
                <w:szCs w:val="1"/>
                <w:color w:val="auto"/>
              </w:rPr>
            </w:pPr>
          </w:p>
        </w:tc>
      </w:tr>
      <w:tr>
        <w:trPr>
          <w:trHeight w:val="314"/>
        </w:trPr>
        <w:tc>
          <w:tcPr>
            <w:tcW w:w="6560" w:type="dxa"/>
            <w:vAlign w:val="bottom"/>
            <w:gridSpan w:val="2"/>
          </w:tcPr>
          <w:p>
            <w:pPr>
              <w:spacing w:after="0"/>
              <w:rPr>
                <w:sz w:val="20"/>
                <w:szCs w:val="20"/>
                <w:color w:val="auto"/>
              </w:rPr>
            </w:pPr>
            <w:r>
              <w:rPr>
                <w:rFonts w:ascii="Arial" w:cs="Arial" w:eastAsia="Arial" w:hAnsi="Arial"/>
                <w:sz w:val="17"/>
                <w:szCs w:val="17"/>
                <w:color w:val="auto"/>
              </w:rPr>
              <w:t>Property, plant and equipment, net</w:t>
            </w: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325,222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318,968</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Goodwill, net</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450,190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449,898</w:t>
            </w:r>
          </w:p>
        </w:tc>
        <w:tc>
          <w:tcPr>
            <w:tcW w:w="0" w:type="dxa"/>
            <w:vAlign w:val="bottom"/>
          </w:tcPr>
          <w:p>
            <w:pPr>
              <w:spacing w:after="0"/>
              <w:rPr>
                <w:sz w:val="1"/>
                <w:szCs w:val="1"/>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7"/>
                <w:szCs w:val="17"/>
                <w:color w:val="auto"/>
              </w:rPr>
              <w:t>Intangible assets, net</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273,807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282,169</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Non-current deferred tax assets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742</w:t>
            </w:r>
          </w:p>
        </w:tc>
        <w:tc>
          <w:tcPr>
            <w:tcW w:w="0" w:type="dxa"/>
            <w:vAlign w:val="bottom"/>
          </w:tcPr>
          <w:p>
            <w:pPr>
              <w:spacing w:after="0"/>
              <w:rPr>
                <w:sz w:val="1"/>
                <w:szCs w:val="1"/>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7"/>
                <w:szCs w:val="17"/>
                <w:color w:val="auto"/>
              </w:rPr>
              <w:t>Investment in joint venture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39,862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38,462</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non-current assets</w:t>
            </w:r>
          </w:p>
        </w:tc>
        <w:tc>
          <w:tcPr>
            <w:tcW w:w="2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10,901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700"/>
              <w:spacing w:after="0"/>
              <w:rPr>
                <w:sz w:val="20"/>
                <w:szCs w:val="20"/>
                <w:color w:val="auto"/>
              </w:rPr>
            </w:pPr>
            <w:r>
              <w:rPr>
                <w:rFonts w:ascii="Arial" w:cs="Arial" w:eastAsia="Arial" w:hAnsi="Arial"/>
                <w:sz w:val="17"/>
                <w:szCs w:val="17"/>
                <w:color w:val="auto"/>
              </w:rPr>
              <w:t>Total assets</w:t>
            </w:r>
          </w:p>
        </w:tc>
        <w:tc>
          <w:tcPr>
            <w:tcW w:w="29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1,395,617</w:t>
            </w:r>
          </w:p>
        </w:tc>
        <w:tc>
          <w:tcPr>
            <w:tcW w:w="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w w:val="92"/>
              </w:rPr>
              <w:t>1,380,567</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Accounts payable</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69,101</w:t>
            </w:r>
          </w:p>
        </w:tc>
        <w:tc>
          <w:tcPr>
            <w:tcW w:w="0" w:type="dxa"/>
            <w:vAlign w:val="bottom"/>
          </w:tcPr>
          <w:p>
            <w:pPr>
              <w:spacing w:after="0"/>
              <w:rPr>
                <w:sz w:val="1"/>
                <w:szCs w:val="1"/>
                <w:color w:val="auto"/>
              </w:rPr>
            </w:pPr>
          </w:p>
        </w:tc>
      </w:tr>
      <w:tr>
        <w:trPr>
          <w:trHeight w:val="210"/>
        </w:trPr>
        <w:tc>
          <w:tcPr>
            <w:tcW w:w="6560" w:type="dxa"/>
            <w:vAlign w:val="bottom"/>
            <w:gridSpan w:val="2"/>
          </w:tcPr>
          <w:p>
            <w:pPr>
              <w:ind w:left="360"/>
              <w:spacing w:after="0"/>
              <w:rPr>
                <w:sz w:val="20"/>
                <w:szCs w:val="20"/>
                <w:color w:val="auto"/>
              </w:rPr>
            </w:pPr>
            <w:r>
              <w:rPr>
                <w:rFonts w:ascii="Arial" w:cs="Arial" w:eastAsia="Arial" w:hAnsi="Arial"/>
                <w:sz w:val="17"/>
                <w:szCs w:val="17"/>
                <w:color w:val="auto"/>
              </w:rPr>
              <w:t>Accrued salaries, wages and benefits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24,341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21,125</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Income taxes payable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5,350</w:t>
            </w:r>
          </w:p>
        </w:tc>
        <w:tc>
          <w:tcPr>
            <w:tcW w:w="0" w:type="dxa"/>
            <w:vAlign w:val="bottom"/>
          </w:tcPr>
          <w:p>
            <w:pPr>
              <w:spacing w:after="0"/>
              <w:rPr>
                <w:sz w:val="1"/>
                <w:szCs w:val="1"/>
                <w:color w:val="auto"/>
              </w:rPr>
            </w:pPr>
          </w:p>
        </w:tc>
      </w:tr>
      <w:tr>
        <w:trPr>
          <w:trHeight w:val="210"/>
        </w:trPr>
        <w:tc>
          <w:tcPr>
            <w:tcW w:w="6560" w:type="dxa"/>
            <w:vAlign w:val="bottom"/>
            <w:gridSpan w:val="2"/>
          </w:tcPr>
          <w:p>
            <w:pPr>
              <w:ind w:left="360"/>
              <w:spacing w:after="0"/>
              <w:rPr>
                <w:sz w:val="20"/>
                <w:szCs w:val="20"/>
                <w:color w:val="auto"/>
              </w:rPr>
            </w:pPr>
            <w:r>
              <w:rPr>
                <w:rFonts w:ascii="Arial" w:cs="Arial" w:eastAsia="Arial" w:hAnsi="Arial"/>
                <w:sz w:val="17"/>
                <w:szCs w:val="17"/>
                <w:color w:val="auto"/>
              </w:rPr>
              <w:t>Current maturities of long-term debt</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11,947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11,714</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Current portion of obligation under capital lease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4,786</w:t>
            </w: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Arial" w:cs="Arial" w:eastAsia="Arial" w:hAnsi="Arial"/>
                <w:sz w:val="17"/>
                <w:szCs w:val="17"/>
                <w:color w:val="auto"/>
              </w:rPr>
              <w:t>Other current liabilities</w:t>
            </w:r>
          </w:p>
        </w:tc>
        <w:tc>
          <w:tcPr>
            <w:tcW w:w="2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26,938</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Total current liabilities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141,483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133,351</w:t>
            </w:r>
          </w:p>
        </w:tc>
        <w:tc>
          <w:tcPr>
            <w:tcW w:w="0" w:type="dxa"/>
            <w:vAlign w:val="bottom"/>
          </w:tcPr>
          <w:p>
            <w:pPr>
              <w:spacing w:after="0"/>
              <w:rPr>
                <w:sz w:val="1"/>
                <w:szCs w:val="1"/>
                <w:color w:val="auto"/>
              </w:rPr>
            </w:pPr>
          </w:p>
        </w:tc>
      </w:tr>
      <w:tr>
        <w:trPr>
          <w:trHeight w:val="314"/>
        </w:trPr>
        <w:tc>
          <w:tcPr>
            <w:tcW w:w="6560" w:type="dxa"/>
            <w:vAlign w:val="bottom"/>
            <w:gridSpan w:val="2"/>
          </w:tcPr>
          <w:p>
            <w:pPr>
              <w:spacing w:after="0"/>
              <w:rPr>
                <w:sz w:val="20"/>
                <w:szCs w:val="20"/>
                <w:color w:val="auto"/>
              </w:rPr>
            </w:pPr>
            <w:r>
              <w:rPr>
                <w:rFonts w:ascii="Arial" w:cs="Arial" w:eastAsia="Arial" w:hAnsi="Arial"/>
                <w:sz w:val="17"/>
                <w:szCs w:val="17"/>
                <w:color w:val="auto"/>
              </w:rPr>
              <w:t>Non-current deferred tax liabilities</w:t>
            </w: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111,050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117,459</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 net of current portion</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804,672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795,400</w:t>
            </w:r>
          </w:p>
        </w:tc>
        <w:tc>
          <w:tcPr>
            <w:tcW w:w="0" w:type="dxa"/>
            <w:vAlign w:val="bottom"/>
          </w:tcPr>
          <w:p>
            <w:pPr>
              <w:spacing w:after="0"/>
              <w:rPr>
                <w:sz w:val="1"/>
                <w:szCs w:val="1"/>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7"/>
                <w:szCs w:val="17"/>
                <w:color w:val="auto"/>
              </w:rPr>
              <w:t>Accrued post-employment benefits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6,177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6,157</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Obligation under capital lease, net of current portion</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9,573</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7"/>
                <w:szCs w:val="17"/>
                <w:color w:val="auto"/>
              </w:rPr>
              <w:t>Other</w:t>
            </w:r>
          </w:p>
        </w:tc>
        <w:tc>
          <w:tcPr>
            <w:tcW w:w="2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6,257</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Total liabilities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1,078,285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1,066,686</w:t>
            </w:r>
          </w:p>
        </w:tc>
        <w:tc>
          <w:tcPr>
            <w:tcW w:w="0" w:type="dxa"/>
            <w:vAlign w:val="bottom"/>
          </w:tcPr>
          <w:p>
            <w:pPr>
              <w:spacing w:after="0"/>
              <w:rPr>
                <w:sz w:val="1"/>
                <w:szCs w:val="1"/>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7"/>
                <w:szCs w:val="17"/>
                <w:color w:val="auto"/>
              </w:rPr>
              <w:t>Total stockholders’ equity</w:t>
            </w:r>
          </w:p>
        </w:tc>
        <w:tc>
          <w:tcPr>
            <w:tcW w:w="2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317,332</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313,881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5"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Reconciliation of income from operations to adjusted income from operations: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80" w:type="dxa"/>
            <w:vAlign w:val="bottom"/>
          </w:tcPr>
          <w:p>
            <w:pPr>
              <w:spacing w:after="0"/>
              <w:rPr>
                <w:sz w:val="20"/>
                <w:szCs w:val="20"/>
                <w:color w:val="auto"/>
              </w:rPr>
            </w:pPr>
            <w:r>
              <w:rPr>
                <w:rFonts w:ascii="Arial" w:cs="Arial" w:eastAsia="Arial" w:hAnsi="Arial"/>
                <w:sz w:val="14"/>
                <w:szCs w:val="14"/>
                <w:b w:val="1"/>
                <w:bCs w:val="1"/>
                <w:color w:val="auto"/>
              </w:rPr>
              <w:t>NN, Inc - Total Company</w:t>
            </w:r>
          </w:p>
        </w:tc>
        <w:tc>
          <w:tcPr>
            <w:tcW w:w="160" w:type="dxa"/>
            <w:vAlign w:val="bottom"/>
          </w:tcPr>
          <w:p>
            <w:pPr>
              <w:spacing w:after="0"/>
              <w:rPr>
                <w:sz w:val="15"/>
                <w:szCs w:val="15"/>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2140" w:type="dxa"/>
            <w:vAlign w:val="bottom"/>
            <w:gridSpan w:val="7"/>
          </w:tcPr>
          <w:p>
            <w:pPr>
              <w:ind w:left="80"/>
              <w:spacing w:after="0"/>
              <w:rPr>
                <w:sz w:val="20"/>
                <w:szCs w:val="20"/>
                <w:color w:val="auto"/>
              </w:rPr>
            </w:pPr>
            <w:r>
              <w:rPr>
                <w:rFonts w:ascii="Arial" w:cs="Arial" w:eastAsia="Arial" w:hAnsi="Arial"/>
                <w:sz w:val="14"/>
                <w:szCs w:val="14"/>
                <w:b w:val="1"/>
                <w:bCs w:val="1"/>
                <w:color w:val="auto"/>
                <w:w w:val="98"/>
              </w:rPr>
              <w:t>Three Months Ended March 31,</w:t>
            </w:r>
          </w:p>
        </w:tc>
        <w:tc>
          <w:tcPr>
            <w:tcW w:w="4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83"/>
              </w:rPr>
              <w:t>2015</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7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620"/>
              <w:spacing w:after="0" w:line="137" w:lineRule="exact"/>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1"/>
                <w:szCs w:val="11"/>
                <w:color w:val="auto"/>
              </w:rPr>
            </w:pPr>
          </w:p>
        </w:tc>
        <w:tc>
          <w:tcPr>
            <w:tcW w:w="620" w:type="dxa"/>
            <w:vAlign w:val="bottom"/>
          </w:tcPr>
          <w:p>
            <w:pPr>
              <w:spacing w:after="0" w:line="137" w:lineRule="exact"/>
              <w:rPr>
                <w:sz w:val="20"/>
                <w:szCs w:val="20"/>
                <w:color w:val="auto"/>
              </w:rPr>
            </w:pPr>
            <w:r>
              <w:rPr>
                <w:rFonts w:ascii="Arial" w:cs="Arial" w:eastAsia="Arial" w:hAnsi="Arial"/>
                <w:sz w:val="14"/>
                <w:szCs w:val="14"/>
                <w:b w:val="1"/>
                <w:bCs w:val="1"/>
                <w:color w:val="auto"/>
                <w:w w:val="85"/>
              </w:rPr>
              <w:t>% of Sales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40"/>
              <w:spacing w:after="0" w:line="137" w:lineRule="exact"/>
              <w:rPr>
                <w:sz w:val="20"/>
                <w:szCs w:val="20"/>
                <w:color w:val="auto"/>
              </w:rPr>
            </w:pPr>
            <w:r>
              <w:rPr>
                <w:rFonts w:ascii="Arial" w:cs="Arial" w:eastAsia="Arial" w:hAnsi="Arial"/>
                <w:sz w:val="14"/>
                <w:szCs w:val="14"/>
                <w:b w:val="1"/>
                <w:bCs w:val="1"/>
                <w:color w:val="auto"/>
              </w:rPr>
              <w:t>$’000</w:t>
            </w:r>
          </w:p>
        </w:tc>
        <w:tc>
          <w:tcPr>
            <w:tcW w:w="480" w:type="dxa"/>
            <w:vAlign w:val="bottom"/>
          </w:tcPr>
          <w:p>
            <w:pPr>
              <w:spacing w:after="0"/>
              <w:rPr>
                <w:sz w:val="11"/>
                <w:szCs w:val="11"/>
                <w:color w:val="auto"/>
              </w:rPr>
            </w:pPr>
          </w:p>
        </w:tc>
        <w:tc>
          <w:tcPr>
            <w:tcW w:w="620" w:type="dxa"/>
            <w:vAlign w:val="bottom"/>
          </w:tcPr>
          <w:p>
            <w:pPr>
              <w:spacing w:after="0" w:line="137" w:lineRule="exact"/>
              <w:rPr>
                <w:sz w:val="20"/>
                <w:szCs w:val="20"/>
                <w:color w:val="auto"/>
              </w:rPr>
            </w:pPr>
            <w:r>
              <w:rPr>
                <w:rFonts w:ascii="Arial" w:cs="Arial" w:eastAsia="Arial" w:hAnsi="Arial"/>
                <w:sz w:val="14"/>
                <w:szCs w:val="14"/>
                <w:b w:val="1"/>
                <w:bCs w:val="1"/>
                <w:color w:val="auto"/>
                <w:w w:val="85"/>
              </w:rPr>
              <w:t>% of Sales</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from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11,874</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13,934</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7"/>
                <w:szCs w:val="17"/>
                <w:color w:val="auto"/>
              </w:rPr>
              <w:t>Restructuring &amp; impairment charges</w:t>
            </w: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7"/>
                <w:szCs w:val="17"/>
                <w:color w:val="auto"/>
              </w:rPr>
              <w:t>2,963</w:t>
            </w:r>
          </w:p>
        </w:tc>
        <w:tc>
          <w:tcPr>
            <w:tcW w:w="1120" w:type="dxa"/>
            <w:vAlign w:val="bottom"/>
            <w:gridSpan w:val="3"/>
          </w:tcPr>
          <w:p>
            <w:pPr>
              <w:jc w:val="right"/>
              <w:ind w:right="240"/>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Acquisition &amp; integration expenses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3,263</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7"/>
                <w:szCs w:val="17"/>
                <w:color w:val="auto"/>
              </w:rPr>
              <w:t>Amortization of intangibles</w:t>
            </w: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7"/>
                <w:szCs w:val="17"/>
                <w:color w:val="auto"/>
              </w:rPr>
              <w:t>5,926</w:t>
            </w:r>
          </w:p>
        </w:tc>
        <w:tc>
          <w:tcPr>
            <w:tcW w:w="1120" w:type="dxa"/>
            <w:vAlign w:val="bottom"/>
            <w:gridSpan w:val="3"/>
          </w:tcPr>
          <w:p>
            <w:pPr>
              <w:jc w:val="right"/>
              <w:ind w:right="240"/>
              <w:spacing w:after="0"/>
              <w:rPr>
                <w:sz w:val="20"/>
                <w:szCs w:val="20"/>
                <w:color w:val="auto"/>
              </w:rPr>
            </w:pPr>
            <w:r>
              <w:rPr>
                <w:rFonts w:ascii="Arial" w:cs="Arial" w:eastAsia="Arial" w:hAnsi="Arial"/>
                <w:sz w:val="17"/>
                <w:szCs w:val="17"/>
                <w:color w:val="auto"/>
              </w:rPr>
              <w:t>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983</w:t>
            </w:r>
          </w:p>
        </w:tc>
        <w:tc>
          <w:tcPr>
            <w:tcW w:w="1320" w:type="dxa"/>
            <w:vAlign w:val="bottom"/>
            <w:gridSpan w:val="3"/>
          </w:tcPr>
          <w:p>
            <w:pPr>
              <w:jc w:val="right"/>
              <w:ind w:right="8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6"/>
        </w:trPr>
        <w:tc>
          <w:tcPr>
            <w:tcW w:w="6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income from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24,026</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11.3%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14,917</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7"/>
                <w:szCs w:val="17"/>
                <w:b w:val="1"/>
                <w:bCs w:val="1"/>
                <w:color w:val="auto"/>
              </w:rPr>
              <w:t>Total Sales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78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80"/>
              <w:spacing w:after="0"/>
              <w:rPr>
                <w:sz w:val="20"/>
                <w:szCs w:val="20"/>
                <w:color w:val="auto"/>
              </w:rPr>
            </w:pPr>
            <w:r>
              <w:rPr>
                <w:rFonts w:ascii="Arial" w:cs="Arial" w:eastAsia="Arial" w:hAnsi="Arial"/>
                <w:sz w:val="17"/>
                <w:szCs w:val="17"/>
                <w:color w:val="auto"/>
              </w:rPr>
              <w:t>212,226</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163,746</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liabilities and stockholders’ equity</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1,395,617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1,380,567</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7"/>
                <w:szCs w:val="17"/>
                <w:b w:val="1"/>
                <w:bCs w:val="1"/>
                <w:color w:val="auto"/>
              </w:rPr>
              <w:t>Reconciliation of income from operations to adjusted income from operations: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780" w:type="dxa"/>
            <w:vAlign w:val="bottom"/>
          </w:tcPr>
          <w:p>
            <w:pPr>
              <w:spacing w:after="0"/>
              <w:rPr>
                <w:sz w:val="20"/>
                <w:szCs w:val="20"/>
                <w:color w:val="auto"/>
              </w:rPr>
            </w:pPr>
            <w:r>
              <w:rPr>
                <w:rFonts w:ascii="Arial" w:cs="Arial" w:eastAsia="Arial" w:hAnsi="Arial"/>
                <w:sz w:val="14"/>
                <w:szCs w:val="14"/>
                <w:b w:val="1"/>
                <w:bCs w:val="1"/>
                <w:color w:val="auto"/>
              </w:rPr>
              <w:t>NN, Inc - Autocam Precision Components Group</w:t>
            </w:r>
          </w:p>
        </w:tc>
        <w:tc>
          <w:tcPr>
            <w:tcW w:w="160" w:type="dxa"/>
            <w:vAlign w:val="bottom"/>
          </w:tcPr>
          <w:p>
            <w:pPr>
              <w:spacing w:after="0"/>
              <w:rPr>
                <w:sz w:val="24"/>
                <w:szCs w:val="24"/>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2140" w:type="dxa"/>
            <w:vAlign w:val="bottom"/>
            <w:gridSpan w:val="7"/>
          </w:tcPr>
          <w:p>
            <w:pPr>
              <w:ind w:left="80"/>
              <w:spacing w:after="0"/>
              <w:rPr>
                <w:sz w:val="20"/>
                <w:szCs w:val="20"/>
                <w:color w:val="auto"/>
              </w:rPr>
            </w:pPr>
            <w:r>
              <w:rPr>
                <w:rFonts w:ascii="Arial" w:cs="Arial" w:eastAsia="Arial" w:hAnsi="Arial"/>
                <w:sz w:val="14"/>
                <w:szCs w:val="14"/>
                <w:b w:val="1"/>
                <w:bCs w:val="1"/>
                <w:color w:val="auto"/>
                <w:w w:val="98"/>
              </w:rPr>
              <w:t>Three Months Ended March 31,</w:t>
            </w:r>
          </w:p>
        </w:tc>
        <w:tc>
          <w:tcPr>
            <w:tcW w:w="4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83"/>
              </w:rPr>
              <w:t>2015</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7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620"/>
              <w:spacing w:after="0" w:line="137" w:lineRule="exact"/>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1"/>
                <w:szCs w:val="11"/>
                <w:color w:val="auto"/>
              </w:rPr>
            </w:pPr>
          </w:p>
        </w:tc>
        <w:tc>
          <w:tcPr>
            <w:tcW w:w="620" w:type="dxa"/>
            <w:vAlign w:val="bottom"/>
          </w:tcPr>
          <w:p>
            <w:pPr>
              <w:spacing w:after="0" w:line="137" w:lineRule="exact"/>
              <w:rPr>
                <w:sz w:val="20"/>
                <w:szCs w:val="20"/>
                <w:color w:val="auto"/>
              </w:rPr>
            </w:pPr>
            <w:r>
              <w:rPr>
                <w:rFonts w:ascii="Arial" w:cs="Arial" w:eastAsia="Arial" w:hAnsi="Arial"/>
                <w:sz w:val="14"/>
                <w:szCs w:val="14"/>
                <w:b w:val="1"/>
                <w:bCs w:val="1"/>
                <w:color w:val="auto"/>
                <w:w w:val="85"/>
              </w:rPr>
              <w:t>% of Sales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40"/>
              <w:spacing w:after="0" w:line="137" w:lineRule="exact"/>
              <w:rPr>
                <w:sz w:val="20"/>
                <w:szCs w:val="20"/>
                <w:color w:val="auto"/>
              </w:rPr>
            </w:pPr>
            <w:r>
              <w:rPr>
                <w:rFonts w:ascii="Arial" w:cs="Arial" w:eastAsia="Arial" w:hAnsi="Arial"/>
                <w:sz w:val="14"/>
                <w:szCs w:val="14"/>
                <w:b w:val="1"/>
                <w:bCs w:val="1"/>
                <w:color w:val="auto"/>
              </w:rPr>
              <w:t>$’000</w:t>
            </w:r>
          </w:p>
        </w:tc>
        <w:tc>
          <w:tcPr>
            <w:tcW w:w="480" w:type="dxa"/>
            <w:vAlign w:val="bottom"/>
          </w:tcPr>
          <w:p>
            <w:pPr>
              <w:spacing w:after="0"/>
              <w:rPr>
                <w:sz w:val="11"/>
                <w:szCs w:val="11"/>
                <w:color w:val="auto"/>
              </w:rPr>
            </w:pPr>
          </w:p>
        </w:tc>
        <w:tc>
          <w:tcPr>
            <w:tcW w:w="620" w:type="dxa"/>
            <w:vAlign w:val="bottom"/>
          </w:tcPr>
          <w:p>
            <w:pPr>
              <w:spacing w:after="0" w:line="137" w:lineRule="exact"/>
              <w:rPr>
                <w:sz w:val="20"/>
                <w:szCs w:val="20"/>
                <w:color w:val="auto"/>
              </w:rPr>
            </w:pPr>
            <w:r>
              <w:rPr>
                <w:rFonts w:ascii="Arial" w:cs="Arial" w:eastAsia="Arial" w:hAnsi="Arial"/>
                <w:sz w:val="14"/>
                <w:szCs w:val="14"/>
                <w:b w:val="1"/>
                <w:bCs w:val="1"/>
                <w:color w:val="auto"/>
                <w:w w:val="85"/>
              </w:rPr>
              <w:t>% of Sales</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from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6,527</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7.8%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7,718</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7"/>
                <w:szCs w:val="17"/>
                <w:color w:val="auto"/>
              </w:rPr>
              <w:t>Restructuring &amp; impairment Charges</w:t>
            </w: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7"/>
                <w:szCs w:val="17"/>
                <w:color w:val="auto"/>
              </w:rPr>
              <w:t>2,274</w:t>
            </w:r>
          </w:p>
        </w:tc>
        <w:tc>
          <w:tcPr>
            <w:tcW w:w="1120" w:type="dxa"/>
            <w:vAlign w:val="bottom"/>
            <w:gridSpan w:val="3"/>
          </w:tcPr>
          <w:p>
            <w:pPr>
              <w:jc w:val="right"/>
              <w:ind w:right="240"/>
              <w:spacing w:after="0"/>
              <w:rPr>
                <w:sz w:val="20"/>
                <w:szCs w:val="20"/>
                <w:color w:val="auto"/>
              </w:rPr>
            </w:pPr>
            <w:r>
              <w:rPr>
                <w:rFonts w:ascii="Arial" w:cs="Arial" w:eastAsia="Arial" w:hAnsi="Arial"/>
                <w:sz w:val="17"/>
                <w:szCs w:val="17"/>
                <w:color w:val="auto"/>
              </w:rPr>
              <w:t>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Acquisition &amp; integration expenses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7"/>
                <w:szCs w:val="17"/>
                <w:color w:val="auto"/>
              </w:rPr>
              <w:t>Amortization of intangibles</w:t>
            </w: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7"/>
                <w:szCs w:val="17"/>
                <w:color w:val="auto"/>
              </w:rPr>
              <w:t>885</w:t>
            </w:r>
          </w:p>
        </w:tc>
        <w:tc>
          <w:tcPr>
            <w:tcW w:w="1120" w:type="dxa"/>
            <w:vAlign w:val="bottom"/>
            <w:gridSpan w:val="3"/>
          </w:tcPr>
          <w:p>
            <w:pPr>
              <w:jc w:val="right"/>
              <w:ind w:right="240"/>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910</w:t>
            </w:r>
          </w:p>
        </w:tc>
        <w:tc>
          <w:tcPr>
            <w:tcW w:w="1320" w:type="dxa"/>
            <w:vAlign w:val="bottom"/>
            <w:gridSpan w:val="3"/>
          </w:tcPr>
          <w:p>
            <w:pPr>
              <w:jc w:val="right"/>
              <w:ind w:right="8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6"/>
        </w:trPr>
        <w:tc>
          <w:tcPr>
            <w:tcW w:w="6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income from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9,686</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11.5%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8,628</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780" w:type="dxa"/>
            <w:vAlign w:val="bottom"/>
          </w:tcPr>
          <w:p>
            <w:pPr>
              <w:spacing w:after="0"/>
              <w:rPr>
                <w:sz w:val="20"/>
                <w:szCs w:val="20"/>
                <w:color w:val="auto"/>
              </w:rPr>
            </w:pPr>
            <w:r>
              <w:rPr>
                <w:rFonts w:ascii="Arial" w:cs="Arial" w:eastAsia="Arial" w:hAnsi="Arial"/>
                <w:sz w:val="17"/>
                <w:szCs w:val="17"/>
                <w:color w:val="auto"/>
              </w:rPr>
              <w:t>China JV Contribution</w:t>
            </w:r>
          </w:p>
        </w:tc>
        <w:tc>
          <w:tcPr>
            <w:tcW w:w="16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7"/>
                <w:szCs w:val="17"/>
                <w:color w:val="auto"/>
              </w:rPr>
              <w:t>1,400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861</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income from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rPr>
              <w:t>11,086</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13.2%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9,489</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11.5%</w:t>
            </w:r>
          </w:p>
        </w:tc>
        <w:tc>
          <w:tcPr>
            <w:tcW w:w="0" w:type="dxa"/>
            <w:vAlign w:val="bottom"/>
          </w:tcPr>
          <w:p>
            <w:pPr>
              <w:spacing w:after="0"/>
              <w:rPr>
                <w:sz w:val="1"/>
                <w:szCs w:val="1"/>
                <w:color w:val="auto"/>
              </w:rPr>
            </w:pPr>
          </w:p>
        </w:tc>
      </w:tr>
      <w:tr>
        <w:trPr>
          <w:trHeight w:val="314"/>
        </w:trPr>
        <w:tc>
          <w:tcPr>
            <w:tcW w:w="6780" w:type="dxa"/>
            <w:vAlign w:val="bottom"/>
          </w:tcPr>
          <w:p>
            <w:pPr>
              <w:spacing w:after="0"/>
              <w:rPr>
                <w:sz w:val="20"/>
                <w:szCs w:val="20"/>
                <w:color w:val="auto"/>
              </w:rPr>
            </w:pPr>
            <w:r>
              <w:rPr>
                <w:rFonts w:ascii="Arial" w:cs="Arial" w:eastAsia="Arial" w:hAnsi="Arial"/>
                <w:sz w:val="17"/>
                <w:szCs w:val="17"/>
                <w:b w:val="1"/>
                <w:bCs w:val="1"/>
                <w:color w:val="auto"/>
              </w:rPr>
              <w:t>Total Sales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80"/>
              <w:spacing w:after="0"/>
              <w:rPr>
                <w:sz w:val="20"/>
                <w:szCs w:val="20"/>
                <w:color w:val="auto"/>
              </w:rPr>
            </w:pPr>
            <w:r>
              <w:rPr>
                <w:rFonts w:ascii="Arial" w:cs="Arial" w:eastAsia="Arial" w:hAnsi="Arial"/>
                <w:sz w:val="17"/>
                <w:szCs w:val="17"/>
                <w:color w:val="auto"/>
              </w:rPr>
              <w:t>83,990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82,622</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5"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Reconciliation of income from operations to adjusted income from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20"/>
                <w:szCs w:val="20"/>
                <w:color w:val="auto"/>
              </w:rPr>
            </w:pPr>
            <w:r>
              <w:rPr>
                <w:rFonts w:ascii="Arial" w:cs="Arial" w:eastAsia="Arial" w:hAnsi="Arial"/>
                <w:sz w:val="14"/>
                <w:szCs w:val="14"/>
                <w:b w:val="1"/>
                <w:bCs w:val="1"/>
                <w:color w:val="auto"/>
              </w:rPr>
              <w:t>NN, Inc - Precision Bearing Components Group</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60" w:type="dxa"/>
            <w:vAlign w:val="bottom"/>
            <w:gridSpan w:val="13"/>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7"/>
        </w:trPr>
        <w:tc>
          <w:tcPr>
            <w:tcW w:w="7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2016</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2015</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3"/>
          </w:tcPr>
          <w:p>
            <w:pPr>
              <w:ind w:left="20"/>
              <w:spacing w:after="0" w:line="137" w:lineRule="exact"/>
              <w:rPr>
                <w:sz w:val="20"/>
                <w:szCs w:val="20"/>
                <w:color w:val="auto"/>
              </w:rPr>
            </w:pPr>
            <w:r>
              <w:rPr>
                <w:rFonts w:ascii="Arial" w:cs="Arial" w:eastAsia="Arial" w:hAnsi="Arial"/>
                <w:sz w:val="14"/>
                <w:szCs w:val="14"/>
                <w:b w:val="1"/>
                <w:bCs w:val="1"/>
                <w:color w:val="auto"/>
              </w:rPr>
              <w:t>$’000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w w:val="88"/>
              </w:rPr>
              <w:t>% of Sales</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3"/>
          </w:tcPr>
          <w:p>
            <w:pPr>
              <w:ind w:left="20"/>
              <w:spacing w:after="0" w:line="137" w:lineRule="exact"/>
              <w:rPr>
                <w:sz w:val="20"/>
                <w:szCs w:val="20"/>
                <w:color w:val="auto"/>
              </w:rPr>
            </w:pPr>
            <w:r>
              <w:rPr>
                <w:rFonts w:ascii="Arial" w:cs="Arial" w:eastAsia="Arial" w:hAnsi="Arial"/>
                <w:sz w:val="14"/>
                <w:szCs w:val="14"/>
                <w:b w:val="1"/>
                <w:bCs w:val="1"/>
                <w:color w:val="auto"/>
              </w:rPr>
              <w:t>$’000</w:t>
            </w:r>
          </w:p>
        </w:tc>
        <w:tc>
          <w:tcPr>
            <w:tcW w:w="320" w:type="dxa"/>
            <w:vAlign w:val="bottom"/>
          </w:tcPr>
          <w:p>
            <w:pPr>
              <w:spacing w:after="0"/>
              <w:rPr>
                <w:sz w:val="11"/>
                <w:szCs w:val="11"/>
                <w:color w:val="auto"/>
              </w:rPr>
            </w:pPr>
          </w:p>
        </w:tc>
        <w:tc>
          <w:tcPr>
            <w:tcW w:w="620" w:type="dxa"/>
            <w:vAlign w:val="bottom"/>
          </w:tcPr>
          <w:p>
            <w:pPr>
              <w:spacing w:after="0" w:line="137" w:lineRule="exact"/>
              <w:rPr>
                <w:sz w:val="20"/>
                <w:szCs w:val="20"/>
                <w:color w:val="auto"/>
              </w:rPr>
            </w:pPr>
            <w:r>
              <w:rPr>
                <w:rFonts w:ascii="Arial" w:cs="Arial" w:eastAsia="Arial" w:hAnsi="Arial"/>
                <w:sz w:val="14"/>
                <w:szCs w:val="14"/>
                <w:b w:val="1"/>
                <w:bCs w:val="1"/>
                <w:color w:val="auto"/>
                <w:w w:val="85"/>
              </w:rPr>
              <w:t>% of Sales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from operations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6,326</w:t>
            </w:r>
          </w:p>
        </w:tc>
        <w:tc>
          <w:tcPr>
            <w:tcW w:w="1300" w:type="dxa"/>
            <w:vAlign w:val="bottom"/>
            <w:gridSpan w:val="5"/>
            <w:shd w:val="clear" w:color="auto" w:fill="CCEEFF"/>
          </w:tcPr>
          <w:p>
            <w:pPr>
              <w:jc w:val="right"/>
              <w:ind w:right="180"/>
              <w:spacing w:after="0"/>
              <w:rPr>
                <w:sz w:val="20"/>
                <w:szCs w:val="20"/>
                <w:color w:val="auto"/>
              </w:rPr>
            </w:pPr>
            <w:r>
              <w:rPr>
                <w:rFonts w:ascii="Arial" w:cs="Arial" w:eastAsia="Arial" w:hAnsi="Arial"/>
                <w:sz w:val="17"/>
                <w:szCs w:val="17"/>
                <w:color w:val="auto"/>
              </w:rPr>
              <w:t>9.8%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9,089</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7"/>
                <w:szCs w:val="17"/>
                <w:color w:val="auto"/>
              </w:rPr>
              <w:t>Restructuring &amp; impairment Charges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7"/>
                <w:szCs w:val="17"/>
                <w:color w:val="auto"/>
              </w:rPr>
              <w:t>689</w:t>
            </w:r>
          </w:p>
        </w:tc>
        <w:tc>
          <w:tcPr>
            <w:tcW w:w="1300" w:type="dxa"/>
            <w:vAlign w:val="bottom"/>
            <w:gridSpan w:val="5"/>
          </w:tcPr>
          <w:p>
            <w:pPr>
              <w:jc w:val="right"/>
              <w:ind w:right="180"/>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ind w:left="200"/>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intangibles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7"/>
                <w:szCs w:val="17"/>
                <w:b w:val="1"/>
                <w:bCs w:val="1"/>
                <w:color w:val="auto"/>
              </w:rPr>
              <w:t>Adjusted income from operations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vMerge w:val="continue"/>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7"/>
                <w:szCs w:val="17"/>
                <w:color w:val="auto"/>
              </w:rPr>
              <w:t>7,073</w:t>
            </w:r>
          </w:p>
        </w:tc>
        <w:tc>
          <w:tcPr>
            <w:tcW w:w="1300" w:type="dxa"/>
            <w:vAlign w:val="bottom"/>
            <w:gridSpan w:val="5"/>
          </w:tcPr>
          <w:p>
            <w:pPr>
              <w:jc w:val="right"/>
              <w:ind w:right="180"/>
              <w:spacing w:after="0"/>
              <w:rPr>
                <w:sz w:val="20"/>
                <w:szCs w:val="20"/>
                <w:color w:val="auto"/>
              </w:rPr>
            </w:pPr>
            <w:r>
              <w:rPr>
                <w:rFonts w:ascii="Arial" w:cs="Arial" w:eastAsia="Arial" w:hAnsi="Arial"/>
                <w:sz w:val="17"/>
                <w:szCs w:val="17"/>
                <w:color w:val="auto"/>
              </w:rPr>
              <w:t>10.9%</w:t>
            </w:r>
          </w:p>
        </w:tc>
        <w:tc>
          <w:tcPr>
            <w:tcW w:w="2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40" w:type="dxa"/>
            <w:vAlign w:val="bottom"/>
            <w:gridSpan w:val="3"/>
          </w:tcPr>
          <w:p>
            <w:pPr>
              <w:jc w:val="right"/>
              <w:ind w:right="80"/>
              <w:spacing w:after="0"/>
              <w:rPr>
                <w:sz w:val="20"/>
                <w:szCs w:val="20"/>
                <w:color w:val="auto"/>
              </w:rPr>
            </w:pPr>
            <w:r>
              <w:rPr>
                <w:rFonts w:ascii="Arial" w:cs="Arial" w:eastAsia="Arial" w:hAnsi="Arial"/>
                <w:sz w:val="17"/>
                <w:szCs w:val="17"/>
                <w:color w:val="auto"/>
              </w:rPr>
              <w:t>9,162</w:t>
            </w:r>
          </w:p>
        </w:tc>
        <w:tc>
          <w:tcPr>
            <w:tcW w:w="1140" w:type="dxa"/>
            <w:vAlign w:val="bottom"/>
            <w:gridSpan w:val="3"/>
          </w:tcPr>
          <w:p>
            <w:pPr>
              <w:jc w:val="right"/>
              <w:ind w:right="4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7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Sales</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$64,745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ind w:left="160"/>
              <w:spacing w:after="0"/>
              <w:rPr>
                <w:sz w:val="20"/>
                <w:szCs w:val="20"/>
                <w:color w:val="auto"/>
              </w:rPr>
            </w:pPr>
            <w:r>
              <w:rPr>
                <w:rFonts w:ascii="Arial" w:cs="Arial" w:eastAsia="Arial" w:hAnsi="Arial"/>
                <w:sz w:val="17"/>
                <w:szCs w:val="17"/>
                <w:color w:val="auto"/>
              </w:rPr>
              <w:t>$73,236</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7360" w:type="dxa"/>
            <w:vAlign w:val="bottom"/>
          </w:tcPr>
          <w:p>
            <w:pPr>
              <w:spacing w:after="0"/>
              <w:rPr>
                <w:sz w:val="20"/>
                <w:szCs w:val="20"/>
                <w:color w:val="auto"/>
              </w:rPr>
            </w:pPr>
            <w:r>
              <w:rPr>
                <w:rFonts w:ascii="Arial" w:cs="Arial" w:eastAsia="Arial" w:hAnsi="Arial"/>
                <w:sz w:val="17"/>
                <w:szCs w:val="17"/>
                <w:b w:val="1"/>
                <w:bCs w:val="1"/>
                <w:color w:val="auto"/>
              </w:rPr>
              <w:t>Reconciliation of income from operations to adjusted income from operations: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360" w:type="dxa"/>
            <w:vAlign w:val="bottom"/>
          </w:tcPr>
          <w:p>
            <w:pPr>
              <w:spacing w:after="0"/>
              <w:rPr>
                <w:sz w:val="20"/>
                <w:szCs w:val="20"/>
                <w:color w:val="auto"/>
              </w:rPr>
            </w:pPr>
            <w:r>
              <w:rPr>
                <w:rFonts w:ascii="Arial" w:cs="Arial" w:eastAsia="Arial" w:hAnsi="Arial"/>
                <w:sz w:val="14"/>
                <w:szCs w:val="14"/>
                <w:b w:val="1"/>
                <w:bCs w:val="1"/>
                <w:color w:val="auto"/>
              </w:rPr>
              <w:t>NN, Inc - Precision Engineered Products Group</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10"/>
          </w:tcPr>
          <w:p>
            <w:pPr>
              <w:jc w:val="right"/>
              <w:ind w:right="2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2015</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360" w:type="dxa"/>
            <w:vAlign w:val="bottom"/>
          </w:tcPr>
          <w:p>
            <w:pPr>
              <w:spacing w:after="0"/>
              <w:rPr>
                <w:sz w:val="11"/>
                <w:szCs w:val="11"/>
                <w:color w:val="auto"/>
              </w:rPr>
            </w:pPr>
          </w:p>
        </w:tc>
        <w:tc>
          <w:tcPr>
            <w:tcW w:w="800" w:type="dxa"/>
            <w:vAlign w:val="bottom"/>
            <w:gridSpan w:val="5"/>
          </w:tcPr>
          <w:p>
            <w:pPr>
              <w:ind w:left="120"/>
              <w:spacing w:after="0" w:line="137" w:lineRule="exact"/>
              <w:rPr>
                <w:sz w:val="20"/>
                <w:szCs w:val="20"/>
                <w:color w:val="auto"/>
              </w:rPr>
            </w:pPr>
            <w:r>
              <w:rPr>
                <w:rFonts w:ascii="Arial" w:cs="Arial" w:eastAsia="Arial" w:hAnsi="Arial"/>
                <w:sz w:val="14"/>
                <w:szCs w:val="14"/>
                <w:b w:val="1"/>
                <w:bCs w:val="1"/>
                <w:color w:val="auto"/>
              </w:rPr>
              <w:t>$’000</w:t>
            </w:r>
          </w:p>
        </w:tc>
        <w:tc>
          <w:tcPr>
            <w:tcW w:w="260" w:type="dxa"/>
            <w:vAlign w:val="bottom"/>
          </w:tcPr>
          <w:p>
            <w:pPr>
              <w:spacing w:after="0"/>
              <w:rPr>
                <w:sz w:val="11"/>
                <w:szCs w:val="11"/>
                <w:color w:val="auto"/>
              </w:rPr>
            </w:pPr>
          </w:p>
        </w:tc>
        <w:tc>
          <w:tcPr>
            <w:tcW w:w="64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w w:val="88"/>
              </w:rPr>
              <w:t>% of Sales</w:t>
            </w:r>
          </w:p>
        </w:tc>
        <w:tc>
          <w:tcPr>
            <w:tcW w:w="4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4"/>
          </w:tcPr>
          <w:p>
            <w:pPr>
              <w:jc w:val="right"/>
              <w:ind w:right="240"/>
              <w:spacing w:after="0" w:line="137" w:lineRule="exact"/>
              <w:rPr>
                <w:sz w:val="20"/>
                <w:szCs w:val="20"/>
                <w:color w:val="auto"/>
              </w:rPr>
            </w:pPr>
            <w:r>
              <w:rPr>
                <w:rFonts w:ascii="Arial" w:cs="Arial" w:eastAsia="Arial" w:hAnsi="Arial"/>
                <w:sz w:val="14"/>
                <w:szCs w:val="14"/>
                <w:b w:val="1"/>
                <w:bCs w:val="1"/>
                <w:color w:val="auto"/>
              </w:rPr>
              <w:t>$’000</w:t>
            </w:r>
          </w:p>
        </w:tc>
        <w:tc>
          <w:tcPr>
            <w:tcW w:w="320" w:type="dxa"/>
            <w:vAlign w:val="bottom"/>
          </w:tcPr>
          <w:p>
            <w:pPr>
              <w:spacing w:after="0"/>
              <w:rPr>
                <w:sz w:val="11"/>
                <w:szCs w:val="11"/>
                <w:color w:val="auto"/>
              </w:rPr>
            </w:pPr>
          </w:p>
        </w:tc>
        <w:tc>
          <w:tcPr>
            <w:tcW w:w="620" w:type="dxa"/>
            <w:vAlign w:val="bottom"/>
          </w:tcPr>
          <w:p>
            <w:pPr>
              <w:spacing w:after="0" w:line="137" w:lineRule="exact"/>
              <w:rPr>
                <w:sz w:val="20"/>
                <w:szCs w:val="20"/>
                <w:color w:val="auto"/>
              </w:rPr>
            </w:pPr>
            <w:r>
              <w:rPr>
                <w:rFonts w:ascii="Arial" w:cs="Arial" w:eastAsia="Arial" w:hAnsi="Arial"/>
                <w:sz w:val="14"/>
                <w:szCs w:val="14"/>
                <w:b w:val="1"/>
                <w:bCs w:val="1"/>
                <w:color w:val="auto"/>
                <w:w w:val="85"/>
              </w:rPr>
              <w:t>% of Sales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from operations</w:t>
            </w: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w w:val="98"/>
              </w:rPr>
              <w:t>$ 5,421</w:t>
            </w:r>
          </w:p>
        </w:tc>
        <w:tc>
          <w:tcPr>
            <w:tcW w:w="4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260"/>
              <w:spacing w:after="0"/>
              <w:rPr>
                <w:sz w:val="20"/>
                <w:szCs w:val="20"/>
                <w:color w:val="auto"/>
              </w:rPr>
            </w:pPr>
            <w:r>
              <w:rPr>
                <w:rFonts w:ascii="Arial" w:cs="Arial" w:eastAsia="Arial" w:hAnsi="Arial"/>
                <w:sz w:val="17"/>
                <w:szCs w:val="17"/>
                <w:color w:val="auto"/>
              </w:rPr>
              <w:t>8.5%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213</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7"/>
                <w:szCs w:val="17"/>
                <w:color w:val="auto"/>
              </w:rPr>
              <w:t>Restructuring &amp; impairment Charges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ind w:left="40"/>
              <w:spacing w:after="0"/>
              <w:rPr>
                <w:sz w:val="20"/>
                <w:szCs w:val="20"/>
                <w:color w:val="auto"/>
              </w:rPr>
            </w:pPr>
            <w:r>
              <w:rPr>
                <w:rFonts w:ascii="Arial" w:cs="Arial" w:eastAsia="Arial" w:hAnsi="Arial"/>
                <w:sz w:val="17"/>
                <w:szCs w:val="17"/>
                <w:color w:val="auto"/>
              </w:rPr>
              <w:t>—</w:t>
            </w:r>
          </w:p>
        </w:tc>
        <w:tc>
          <w:tcPr>
            <w:tcW w:w="1300" w:type="dxa"/>
            <w:vAlign w:val="bottom"/>
            <w:gridSpan w:val="5"/>
          </w:tcPr>
          <w:p>
            <w:pPr>
              <w:jc w:val="right"/>
              <w:ind w:right="260"/>
              <w:spacing w:after="0"/>
              <w:rPr>
                <w:sz w:val="20"/>
                <w:szCs w:val="20"/>
                <w:color w:val="auto"/>
              </w:rPr>
            </w:pPr>
            <w:r>
              <w:rPr>
                <w:rFonts w:ascii="Arial" w:cs="Arial" w:eastAsia="Arial" w:hAnsi="Arial"/>
                <w:sz w:val="17"/>
                <w:szCs w:val="17"/>
                <w:color w:val="auto"/>
              </w:rPr>
              <w:t>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Acquisition &amp; integration expenses</w:t>
            </w: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2,777</w:t>
            </w:r>
          </w:p>
        </w:tc>
        <w:tc>
          <w:tcPr>
            <w:tcW w:w="4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260"/>
              <w:spacing w:after="0"/>
              <w:rPr>
                <w:sz w:val="20"/>
                <w:szCs w:val="20"/>
                <w:color w:val="auto"/>
              </w:rPr>
            </w:pPr>
            <w:r>
              <w:rPr>
                <w:rFonts w:ascii="Arial" w:cs="Arial" w:eastAsia="Arial" w:hAnsi="Arial"/>
                <w:sz w:val="17"/>
                <w:szCs w:val="17"/>
                <w:color w:val="auto"/>
              </w:rPr>
              <w:t>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7"/>
                <w:szCs w:val="17"/>
                <w:color w:val="auto"/>
              </w:rPr>
              <w:t>Amortization of intangibles</w:t>
            </w:r>
          </w:p>
        </w:tc>
        <w:tc>
          <w:tcPr>
            <w:tcW w:w="760" w:type="dxa"/>
            <w:vAlign w:val="bottom"/>
            <w:gridSpan w:val="4"/>
          </w:tcPr>
          <w:p>
            <w:pPr>
              <w:jc w:val="right"/>
              <w:ind w:right="180"/>
              <w:spacing w:after="0"/>
              <w:rPr>
                <w:sz w:val="20"/>
                <w:szCs w:val="20"/>
                <w:color w:val="auto"/>
              </w:rPr>
            </w:pPr>
            <w:r>
              <w:rPr>
                <w:rFonts w:ascii="Arial" w:cs="Arial" w:eastAsia="Arial" w:hAnsi="Arial"/>
                <w:sz w:val="17"/>
                <w:szCs w:val="17"/>
                <w:color w:val="auto"/>
              </w:rPr>
              <w:t>4,983</w:t>
            </w:r>
          </w:p>
        </w:tc>
        <w:tc>
          <w:tcPr>
            <w:tcW w:w="40" w:type="dxa"/>
            <w:vAlign w:val="bottom"/>
          </w:tcPr>
          <w:p>
            <w:pPr>
              <w:spacing w:after="0"/>
              <w:rPr>
                <w:sz w:val="18"/>
                <w:szCs w:val="18"/>
                <w:color w:val="auto"/>
              </w:rPr>
            </w:pPr>
          </w:p>
        </w:tc>
        <w:tc>
          <w:tcPr>
            <w:tcW w:w="1300" w:type="dxa"/>
            <w:vAlign w:val="bottom"/>
            <w:gridSpan w:val="5"/>
          </w:tcPr>
          <w:p>
            <w:pPr>
              <w:jc w:val="right"/>
              <w:ind w:right="260"/>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6"/>
        </w:trPr>
        <w:tc>
          <w:tcPr>
            <w:tcW w:w="7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income from operations</w:t>
            </w: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13,181</w:t>
            </w:r>
          </w:p>
        </w:tc>
        <w:tc>
          <w:tcPr>
            <w:tcW w:w="4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260"/>
              <w:spacing w:after="0"/>
              <w:rPr>
                <w:sz w:val="20"/>
                <w:szCs w:val="20"/>
                <w:color w:val="auto"/>
              </w:rPr>
            </w:pPr>
            <w:r>
              <w:rPr>
                <w:rFonts w:ascii="Arial" w:cs="Arial" w:eastAsia="Arial" w:hAnsi="Arial"/>
                <w:sz w:val="17"/>
                <w:szCs w:val="17"/>
                <w:color w:val="auto"/>
              </w:rPr>
              <w:t>20.8%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213</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7"/>
                <w:szCs w:val="17"/>
                <w:b w:val="1"/>
                <w:bCs w:val="1"/>
                <w:color w:val="auto"/>
              </w:rPr>
              <w:t>Total Sales</w:t>
            </w: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7360" w:type="dxa"/>
            <w:vAlign w:val="bottom"/>
            <w:vMerge w:val="continue"/>
          </w:tcPr>
          <w:p>
            <w:pPr>
              <w:spacing w:after="0"/>
              <w:rPr>
                <w:sz w:val="24"/>
                <w:szCs w:val="24"/>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7"/>
                <w:szCs w:val="17"/>
                <w:color w:val="auto"/>
                <w:w w:val="91"/>
              </w:rPr>
              <w:t>$63,491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4"/>
          </w:tcPr>
          <w:p>
            <w:pPr>
              <w:ind w:left="160"/>
              <w:spacing w:after="0"/>
              <w:rPr>
                <w:sz w:val="20"/>
                <w:szCs w:val="20"/>
                <w:color w:val="auto"/>
              </w:rPr>
            </w:pPr>
            <w:r>
              <w:rPr>
                <w:rFonts w:ascii="Arial" w:cs="Arial" w:eastAsia="Arial" w:hAnsi="Arial"/>
                <w:sz w:val="17"/>
                <w:szCs w:val="17"/>
                <w:color w:val="auto"/>
              </w:rPr>
              <w:t>$7,888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5"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Reconciliation of net income to adjusted net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20"/>
                <w:szCs w:val="20"/>
                <w:color w:val="auto"/>
              </w:rPr>
            </w:pPr>
            <w:r>
              <w:rPr>
                <w:rFonts w:ascii="Arial" w:cs="Arial" w:eastAsia="Arial" w:hAnsi="Arial"/>
                <w:sz w:val="14"/>
                <w:szCs w:val="14"/>
                <w:b w:val="1"/>
                <w:bCs w:val="1"/>
                <w:color w:val="auto"/>
              </w:rPr>
              <w:t>NN, Inc - Total Company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w w:val="93"/>
              </w:rPr>
              <w:t>Three Months Ended March 31, 2016</w:t>
            </w:r>
          </w:p>
        </w:tc>
        <w:tc>
          <w:tcPr>
            <w:tcW w:w="180" w:type="dxa"/>
            <w:vAlign w:val="bottom"/>
          </w:tcPr>
          <w:p>
            <w:pPr>
              <w:spacing w:after="0"/>
              <w:rPr>
                <w:sz w:val="14"/>
                <w:szCs w:val="14"/>
                <w:color w:val="auto"/>
              </w:rPr>
            </w:pPr>
          </w:p>
        </w:tc>
        <w:tc>
          <w:tcPr>
            <w:tcW w:w="2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Three Months Ended March 31, 2015</w:t>
            </w:r>
          </w:p>
        </w:tc>
        <w:tc>
          <w:tcPr>
            <w:tcW w:w="0" w:type="dxa"/>
            <w:vAlign w:val="bottom"/>
          </w:tcPr>
          <w:p>
            <w:pPr>
              <w:spacing w:after="0"/>
              <w:rPr>
                <w:sz w:val="1"/>
                <w:szCs w:val="1"/>
                <w:color w:val="auto"/>
              </w:rPr>
            </w:pPr>
          </w:p>
        </w:tc>
      </w:tr>
      <w:tr>
        <w:trPr>
          <w:trHeight w:val="144"/>
        </w:trPr>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In Thousands</w:t>
            </w:r>
          </w:p>
        </w:tc>
        <w:tc>
          <w:tcPr>
            <w:tcW w:w="700" w:type="dxa"/>
            <w:vAlign w:val="bottom"/>
            <w:gridSpan w:val="2"/>
            <w:vMerge w:val="restart"/>
          </w:tcPr>
          <w:p>
            <w:pPr>
              <w:spacing w:after="0"/>
              <w:rPr>
                <w:sz w:val="12"/>
                <w:szCs w:val="12"/>
                <w:color w:val="auto"/>
              </w:rPr>
            </w:pPr>
          </w:p>
        </w:tc>
        <w:tc>
          <w:tcPr>
            <w:tcW w:w="1880" w:type="dxa"/>
            <w:vAlign w:val="bottom"/>
            <w:gridSpan w:val="3"/>
          </w:tcPr>
          <w:p>
            <w:pPr>
              <w:jc w:val="right"/>
              <w:ind w:right="780"/>
              <w:spacing w:after="0" w:line="144" w:lineRule="exact"/>
              <w:rPr>
                <w:sz w:val="20"/>
                <w:szCs w:val="20"/>
                <w:color w:val="auto"/>
              </w:rPr>
            </w:pPr>
            <w:r>
              <w:rPr>
                <w:rFonts w:ascii="Arial" w:cs="Arial" w:eastAsia="Arial" w:hAnsi="Arial"/>
                <w:sz w:val="14"/>
                <w:szCs w:val="14"/>
                <w:b w:val="1"/>
                <w:bCs w:val="1"/>
                <w:color w:val="auto"/>
                <w:w w:val="97"/>
              </w:rPr>
              <w:t>Diluted Earnings</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In Thousands</w:t>
            </w:r>
          </w:p>
        </w:tc>
        <w:tc>
          <w:tcPr>
            <w:tcW w:w="36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3"/>
          </w:tcPr>
          <w:p>
            <w:pPr>
              <w:ind w:left="60"/>
              <w:spacing w:after="0" w:line="144" w:lineRule="exact"/>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67"/>
        </w:trPr>
        <w:tc>
          <w:tcPr>
            <w:tcW w:w="50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CCEEFF"/>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Per Share</w:t>
            </w:r>
          </w:p>
        </w:tc>
        <w:tc>
          <w:tcPr>
            <w:tcW w:w="7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Per Share</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1,299)</w:t>
            </w:r>
          </w:p>
        </w:tc>
        <w:tc>
          <w:tcPr>
            <w:tcW w:w="70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(0.05)</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6,001</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7"/>
                <w:szCs w:val="17"/>
                <w:color w:val="auto"/>
              </w:rPr>
              <w:t>After-tax acquisition and integration costs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2,422</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7"/>
                <w:szCs w:val="17"/>
                <w:color w:val="auto"/>
              </w:rPr>
              <w:t>0.09</w:t>
            </w:r>
          </w:p>
        </w:tc>
        <w:tc>
          <w:tcPr>
            <w:tcW w:w="18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After-tax foreign exchange loss on inter-company loans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(654)</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(0.02)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886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7"/>
                <w:szCs w:val="17"/>
                <w:color w:val="auto"/>
              </w:rPr>
              <w:t>Restructuring &amp; impairment charges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2,198</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7"/>
                <w:szCs w:val="17"/>
                <w:color w:val="auto"/>
              </w:rPr>
              <w:t>0.08</w:t>
            </w:r>
          </w:p>
        </w:tc>
        <w:tc>
          <w:tcPr>
            <w:tcW w:w="18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intangibles &amp; deferred financing costs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0.17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1,140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7"/>
                <w:szCs w:val="17"/>
                <w:color w:val="auto"/>
              </w:rPr>
              <w:t>Adjusted net income</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vMerge w:val="continue"/>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7,126</w:t>
            </w:r>
          </w:p>
        </w:tc>
        <w:tc>
          <w:tcPr>
            <w:tcW w:w="6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7"/>
                <w:szCs w:val="17"/>
                <w:color w:val="auto"/>
                <w:w w:val="84"/>
              </w:rPr>
              <w:t>$</w:t>
            </w:r>
          </w:p>
        </w:tc>
        <w:tc>
          <w:tcPr>
            <w:tcW w:w="1680" w:type="dxa"/>
            <w:vAlign w:val="bottom"/>
            <w:gridSpan w:val="2"/>
          </w:tcPr>
          <w:p>
            <w:pPr>
              <w:jc w:val="right"/>
              <w:ind w:right="720"/>
              <w:spacing w:after="0"/>
              <w:rPr>
                <w:sz w:val="20"/>
                <w:szCs w:val="20"/>
                <w:color w:val="auto"/>
              </w:rPr>
            </w:pPr>
            <w:r>
              <w:rPr>
                <w:rFonts w:ascii="Arial" w:cs="Arial" w:eastAsia="Arial" w:hAnsi="Arial"/>
                <w:sz w:val="17"/>
                <w:szCs w:val="17"/>
                <w:color w:val="auto"/>
              </w:rPr>
              <w:t>0.27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8,027</w:t>
            </w:r>
          </w:p>
        </w:tc>
        <w:tc>
          <w:tcPr>
            <w:tcW w:w="54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0.41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The Company discloses in this press release the non-GAAP financial measures of adjusted income from operations and adjusted net income. Each of adjusted income from operations and adjusted net income provide supplementary information about the impacts of acquisition related expenses and foreign-exchange impacts on inter-company loans. Over the past three years, we have completed six acquisitions, two of which were transformative for the Company. The costs we incurred in completing such acquisitions, including the amortization of intangibles and deferred financing costs,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We believe the presentation of adjusted income from operations and adjusted net income provides useful information in assessing our underlying business trends and facilitates comparison of our long-term performance over given periods</w:t>
      </w:r>
    </w:p>
    <w:p>
      <w:pPr>
        <w:spacing w:after="0" w:line="16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net income growth derived from income amounts presented in accordance with GAAP. The Company does not consider these non-GAAP financial measures to be a substitute for, or superior to, the information provided by GAAP financial results.</w:t>
      </w:r>
    </w:p>
    <w:p>
      <w:pPr>
        <w:sectPr>
          <w:pgSz w:w="11900" w:h="16838" w:orient="portrait"/>
          <w:cols w:equalWidth="0" w:num="1">
            <w:col w:w="11420"/>
          </w:cols>
          <w:pgMar w:left="240" w:top="265"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312025" cy="41160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2025" cy="411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FFFFFF"/>
        </w:rPr>
        <w:t>First Quarter 2016 Earnings Release</w:t>
      </w:r>
    </w:p>
    <w:p>
      <w:pPr>
        <w:spacing w:after="0"/>
        <w:rPr>
          <w:sz w:val="20"/>
          <w:szCs w:val="20"/>
          <w:color w:val="auto"/>
        </w:rPr>
      </w:pPr>
      <w:r>
        <w:rPr>
          <w:rFonts w:ascii="Arial" w:cs="Arial" w:eastAsia="Arial" w:hAnsi="Arial"/>
          <w:sz w:val="13"/>
          <w:szCs w:val="13"/>
          <w:color w:val="FFFFFF"/>
        </w:rPr>
        <w:t>May 4, 2016</w:t>
      </w:r>
    </w:p>
    <w:p>
      <w:pPr>
        <w:sectPr>
          <w:pgSz w:w="11900" w:h="16838" w:orient="portrait"/>
          <w:cols w:equalWidth="0" w:num="1">
            <w:col w:w="11420"/>
          </w:cols>
          <w:pgMar w:left="240" w:top="127" w:right="2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Forward Looking Statement:s</w:t>
      </w:r>
    </w:p>
    <w:p>
      <w:pPr>
        <w:spacing w:after="0" w:line="245" w:lineRule="auto"/>
        <w:rPr>
          <w:sz w:val="20"/>
          <w:szCs w:val="20"/>
          <w:color w:val="auto"/>
        </w:rPr>
      </w:pPr>
      <w:r>
        <w:rPr>
          <w:rFonts w:ascii="Arial" w:cs="Arial" w:eastAsia="Arial" w:hAnsi="Arial"/>
          <w:sz w:val="5"/>
          <w:szCs w:val="5"/>
          <w:color w:val="FFFFFF"/>
        </w:rPr>
        <w:t>provisions of the Private SecuritiesWith theLitigationexceptionReformoftheActhistoricalof1995.—informationnumber containedofrisksandin uncertaintiesthispresentation,that maythematterscause actualdescribedresultshereintobecontainmateriallyforwarddifferent-lookingfromstatementssuchforwardthat-arelookingmadestatements.pursuanttoSuchthesafefactorsharbor include, among others, general economic conditions nd economic conditions in the industrial sector, competitive influences, risks that current customers will commence increase captive production, risks of capacity</w:t>
      </w:r>
    </w:p>
    <w:p>
      <w:pPr>
        <w:ind w:right="80"/>
        <w:spacing w:after="0" w:line="245" w:lineRule="auto"/>
        <w:rPr>
          <w:sz w:val="20"/>
          <w:szCs w:val="20"/>
          <w:color w:val="auto"/>
        </w:rPr>
      </w:pPr>
      <w:r>
        <w:rPr>
          <w:rFonts w:ascii="Arial" w:cs="Arial" w:eastAsia="Arial" w:hAnsi="Arial"/>
          <w:sz w:val="5"/>
          <w:szCs w:val="5"/>
          <w:color w:val="FFFFFF"/>
        </w:rPr>
        <w:t>statementsunderutilization,listed qualityfromtimeissues,totimeavailabilityintheCompany’ofrawmaterials,periodiccurrencyreports filedand otherwith therisksSecuritiesassociatedandwithExchangeinternationalCommission,trade,theincluding,Company’sbut dependencenotlimited to,on thecertainCompany’smajorcustomers,AnnualReportandotheron10risk-K factorsforthe fiscalandcautionaryyearended December 31, 2015.</w:t>
      </w:r>
    </w:p>
    <w:p>
      <w:pPr>
        <w:spacing w:after="0" w:line="59" w:lineRule="exact"/>
        <w:rPr>
          <w:sz w:val="20"/>
          <w:szCs w:val="20"/>
          <w:color w:val="auto"/>
        </w:rPr>
      </w:pPr>
    </w:p>
    <w:p>
      <w:pPr>
        <w:ind w:left="10840"/>
        <w:spacing w:after="0"/>
        <w:rPr>
          <w:sz w:val="20"/>
          <w:szCs w:val="20"/>
          <w:color w:val="auto"/>
        </w:rPr>
      </w:pPr>
      <w:r>
        <w:rPr>
          <w:rFonts w:ascii="Arial" w:cs="Arial" w:eastAsia="Arial" w:hAnsi="Arial"/>
          <w:sz w:val="1"/>
          <w:szCs w:val="1"/>
          <w:color w:val="FFFFFF"/>
        </w:rPr>
        <w:t>Relations”Withrespectsectiontoanyofnonthe-GAAP financialswebmeasuressite,www.nninc.com,includedintheunderfollowingtheheadingpresentation,“News &amp;theEvents”accompanyingandsubheadinginformation“Presentations.”requiredby SEC Regulation G can be found at the back of this presentation or in the “Investor</w:t>
      </w:r>
    </w:p>
    <w:p>
      <w:pPr>
        <w:ind w:right="300"/>
        <w:spacing w:after="0"/>
        <w:rPr>
          <w:sz w:val="20"/>
          <w:szCs w:val="20"/>
          <w:color w:val="auto"/>
        </w:rPr>
      </w:pPr>
      <w:r>
        <w:rPr>
          <w:rFonts w:ascii="Arial" w:cs="Arial" w:eastAsia="Arial" w:hAnsi="Arial"/>
          <w:sz w:val="10"/>
          <w:szCs w:val="10"/>
          <w:color w:val="FFFFFF"/>
        </w:rPr>
        <w:t>Disclaimer: NN disclaimsCompany’obligation to update any such factors or to publicly announce the result of any revisions to any of the forward-looking statements included herein or therein to reflect future events or developments.</w:t>
      </w:r>
    </w:p>
    <w:p>
      <w:pPr>
        <w:spacing w:after="0" w:line="219" w:lineRule="auto"/>
        <w:rPr>
          <w:sz w:val="20"/>
          <w:szCs w:val="20"/>
          <w:color w:val="auto"/>
        </w:rPr>
      </w:pPr>
      <w:r>
        <w:rPr>
          <w:rFonts w:ascii="Arial" w:cs="Arial" w:eastAsia="Arial" w:hAnsi="Arial"/>
          <w:sz w:val="4"/>
          <w:szCs w:val="4"/>
          <w:color w:val="FFFFFF"/>
        </w:rPr>
        <w:t>www.nninc.com</w:t>
      </w:r>
    </w:p>
    <w:p>
      <w:pPr>
        <w:spacing w:after="0"/>
        <w:rPr>
          <w:sz w:val="20"/>
          <w:szCs w:val="20"/>
          <w:color w:val="auto"/>
        </w:rPr>
      </w:pPr>
      <w:r>
        <w:rPr>
          <w:rFonts w:ascii="Arial" w:cs="Arial" w:eastAsia="Arial" w:hAnsi="Arial"/>
          <w:sz w:val="13"/>
          <w:szCs w:val="13"/>
          <w:color w:val="FFFFFF"/>
        </w:rPr>
        <w:t>2</w:t>
      </w:r>
    </w:p>
    <w:p>
      <w:pPr>
        <w:sectPr>
          <w:pgSz w:w="11900" w:h="16838" w:orient="portrait"/>
          <w:cols w:equalWidth="0" w:num="1">
            <w:col w:w="11420"/>
          </w:cols>
          <w:pgMar w:left="240" w:top="1440" w:right="2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FFFFFF"/>
        </w:rPr>
        <w:t>First Quarter</w:t>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SalesHighlightsof$212.2Mof1stQuarter 2016</w:t>
      </w:r>
    </w:p>
    <w:p>
      <w:pPr>
        <w:spacing w:after="0" w:line="204" w:lineRule="auto"/>
        <w:rPr>
          <w:sz w:val="20"/>
          <w:szCs w:val="20"/>
          <w:color w:val="auto"/>
        </w:rPr>
      </w:pPr>
      <w:r>
        <w:rPr>
          <w:rFonts w:ascii="Arial" w:cs="Arial" w:eastAsia="Arial" w:hAnsi="Arial"/>
          <w:sz w:val="4"/>
          <w:szCs w:val="4"/>
          <w:color w:val="FFFFFF"/>
        </w:rPr>
        <w:t>PEP acquisition contributed $56.0M</w:t>
      </w:r>
    </w:p>
    <w:p>
      <w:pPr>
        <w:ind w:left="520"/>
        <w:spacing w:after="0" w:line="205" w:lineRule="auto"/>
        <w:rPr>
          <w:sz w:val="20"/>
          <w:szCs w:val="20"/>
          <w:color w:val="auto"/>
        </w:rPr>
      </w:pPr>
      <w:r>
        <w:rPr>
          <w:rFonts w:ascii="Arial" w:cs="Arial" w:eastAsia="Arial" w:hAnsi="Arial"/>
          <w:sz w:val="4"/>
          <w:szCs w:val="4"/>
          <w:color w:val="FFFFFF"/>
          <w:vertAlign w:val="subscript"/>
        </w:rPr>
        <w:t>EBITDA</w:t>
      </w:r>
      <w:r>
        <w:rPr>
          <w:rFonts w:ascii="Arial" w:cs="Arial" w:eastAsia="Arial" w:hAnsi="Arial"/>
          <w:sz w:val="2"/>
          <w:szCs w:val="2"/>
          <w:color w:val="FFFFFF"/>
        </w:rPr>
        <w:t>arnings Per Share of $0.27 above the midpoint of our guidance</w:t>
      </w:r>
    </w:p>
    <w:p>
      <w:pPr>
        <w:spacing w:after="0" w:line="205" w:lineRule="auto"/>
        <w:tabs>
          <w:tab w:leader="none" w:pos="1000" w:val="left"/>
        </w:tabs>
        <w:rPr>
          <w:sz w:val="20"/>
          <w:szCs w:val="20"/>
          <w:color w:val="auto"/>
        </w:rPr>
      </w:pPr>
      <w:r>
        <w:rPr>
          <w:rFonts w:ascii="Arial" w:cs="Arial" w:eastAsia="Arial" w:hAnsi="Arial"/>
          <w:sz w:val="4"/>
          <w:szCs w:val="4"/>
          <w:color w:val="FFFFFF"/>
          <w:vertAlign w:val="subscript"/>
        </w:rPr>
        <w:t>Adjusted</w:t>
      </w:r>
      <w:r>
        <w:rPr>
          <w:sz w:val="20"/>
          <w:szCs w:val="20"/>
          <w:color w:val="auto"/>
        </w:rPr>
        <w:tab/>
      </w:r>
      <w:r>
        <w:rPr>
          <w:rFonts w:ascii="Arial" w:cs="Arial" w:eastAsia="Arial" w:hAnsi="Arial"/>
          <w:sz w:val="2"/>
          <w:szCs w:val="2"/>
          <w:color w:val="FFFFFF"/>
        </w:rPr>
        <w:t>of $35.6M at the top of our guidance range</w:t>
      </w:r>
    </w:p>
    <w:p>
      <w:pPr>
        <w:ind w:right="4939" w:firstLine="506"/>
        <w:spacing w:after="0" w:line="204" w:lineRule="auto"/>
        <w:rPr>
          <w:sz w:val="20"/>
          <w:szCs w:val="20"/>
          <w:color w:val="auto"/>
        </w:rPr>
      </w:pPr>
      <w:r>
        <w:rPr>
          <w:rFonts w:ascii="Arial" w:cs="Arial" w:eastAsia="Arial" w:hAnsi="Arial"/>
          <w:sz w:val="8"/>
          <w:szCs w:val="8"/>
          <w:color w:val="FFFFFF"/>
        </w:rPr>
        <w:t>Operating Margins increased 220 bps compared to Q1 2015, exceeding our guidance range Free Cash Flow ahead of expectations</w:t>
      </w:r>
    </w:p>
    <w:p>
      <w:pPr>
        <w:spacing w:after="0" w:line="206" w:lineRule="auto"/>
        <w:rPr>
          <w:sz w:val="20"/>
          <w:szCs w:val="20"/>
          <w:color w:val="auto"/>
        </w:rPr>
      </w:pPr>
      <w:r>
        <w:rPr>
          <w:rFonts w:ascii="Arial" w:cs="Arial" w:eastAsia="Arial" w:hAnsi="Arial"/>
          <w:sz w:val="4"/>
          <w:szCs w:val="4"/>
          <w:color w:val="FFFFFF"/>
        </w:rPr>
        <w:t>www.nninc.com</w:t>
      </w:r>
    </w:p>
    <w:p>
      <w:pPr>
        <w:spacing w:after="0"/>
        <w:rPr>
          <w:sz w:val="20"/>
          <w:szCs w:val="20"/>
          <w:color w:val="auto"/>
        </w:rPr>
      </w:pPr>
      <w:r>
        <w:rPr>
          <w:rFonts w:ascii="Arial" w:cs="Arial" w:eastAsia="Arial" w:hAnsi="Arial"/>
          <w:sz w:val="13"/>
          <w:szCs w:val="13"/>
          <w:color w:val="FFFFFF"/>
        </w:rPr>
        <w:t>4</w:t>
      </w:r>
    </w:p>
    <w:p>
      <w:pPr>
        <w:sectPr>
          <w:pgSz w:w="11900" w:h="16838" w:orient="portrait"/>
          <w:cols w:equalWidth="0" w:num="1">
            <w:col w:w="10219"/>
          </w:cols>
          <w:pgMar w:left="2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gridSpan w:val="3"/>
          </w:tcPr>
          <w:p>
            <w:pPr>
              <w:spacing w:after="0"/>
              <w:rPr>
                <w:sz w:val="20"/>
                <w:szCs w:val="20"/>
                <w:color w:val="auto"/>
              </w:rPr>
            </w:pPr>
            <w:r>
              <w:rPr>
                <w:rFonts w:ascii="Arial" w:cs="Arial" w:eastAsia="Arial" w:hAnsi="Arial"/>
                <w:sz w:val="13"/>
                <w:szCs w:val="13"/>
                <w:color w:val="FFFFFF"/>
              </w:rPr>
              <w:t>1st Quarter 2016 Financial Summary</w:t>
            </w:r>
          </w:p>
        </w:tc>
        <w:tc>
          <w:tcPr>
            <w:tcW w:w="0" w:type="dxa"/>
            <w:vAlign w:val="bottom"/>
          </w:tcPr>
          <w:p>
            <w:pPr>
              <w:spacing w:after="0"/>
              <w:rPr>
                <w:sz w:val="1"/>
                <w:szCs w:val="1"/>
                <w:color w:val="auto"/>
              </w:rPr>
            </w:pPr>
          </w:p>
        </w:tc>
      </w:tr>
      <w:tr>
        <w:trPr>
          <w:trHeight w:val="39"/>
        </w:trPr>
        <w:tc>
          <w:tcPr>
            <w:tcW w:w="3540" w:type="dxa"/>
            <w:vAlign w:val="bottom"/>
            <w:gridSpan w:val="3"/>
          </w:tcPr>
          <w:p>
            <w:pPr>
              <w:spacing w:after="0" w:line="40" w:lineRule="exact"/>
              <w:rPr>
                <w:sz w:val="20"/>
                <w:szCs w:val="20"/>
                <w:color w:val="auto"/>
              </w:rPr>
            </w:pPr>
            <w:r>
              <w:rPr>
                <w:rFonts w:ascii="Arial" w:cs="Arial" w:eastAsia="Arial" w:hAnsi="Arial"/>
                <w:sz w:val="4"/>
                <w:szCs w:val="4"/>
                <w:color w:val="FFFFFF"/>
              </w:rPr>
              <w:t>Adjusted Earnings Per Share Net Sales</w:t>
            </w:r>
          </w:p>
        </w:tc>
        <w:tc>
          <w:tcPr>
            <w:tcW w:w="0" w:type="dxa"/>
            <w:vAlign w:val="bottom"/>
          </w:tcPr>
          <w:p>
            <w:pPr>
              <w:spacing w:after="0" w:line="20" w:lineRule="exact"/>
              <w:rPr>
                <w:sz w:val="1"/>
                <w:szCs w:val="1"/>
                <w:color w:val="auto"/>
              </w:rPr>
            </w:pPr>
          </w:p>
        </w:tc>
      </w:tr>
      <w:tr>
        <w:trPr>
          <w:trHeight w:val="39"/>
        </w:trPr>
        <w:tc>
          <w:tcPr>
            <w:tcW w:w="3540" w:type="dxa"/>
            <w:vAlign w:val="bottom"/>
            <w:gridSpan w:val="3"/>
          </w:tcPr>
          <w:p>
            <w:pPr>
              <w:ind w:left="40"/>
              <w:spacing w:after="0" w:line="40" w:lineRule="exact"/>
              <w:rPr>
                <w:sz w:val="20"/>
                <w:szCs w:val="20"/>
                <w:color w:val="auto"/>
              </w:rPr>
            </w:pPr>
            <w:r>
              <w:rPr>
                <w:rFonts w:ascii="Arial" w:cs="Arial" w:eastAsia="Arial" w:hAnsi="Arial"/>
                <w:sz w:val="4"/>
                <w:szCs w:val="4"/>
                <w:color w:val="FFFFFF"/>
              </w:rPr>
              <w:t>ssued 7.6M shares in Q3 2015 30% growth compared to prior year</w:t>
            </w:r>
          </w:p>
        </w:tc>
        <w:tc>
          <w:tcPr>
            <w:tcW w:w="0" w:type="dxa"/>
            <w:vAlign w:val="bottom"/>
          </w:tcPr>
          <w:p>
            <w:pPr>
              <w:spacing w:after="0" w:line="20" w:lineRule="exact"/>
              <w:rPr>
                <w:sz w:val="1"/>
                <w:szCs w:val="1"/>
                <w:color w:val="auto"/>
              </w:rPr>
            </w:pPr>
          </w:p>
        </w:tc>
      </w:tr>
      <w:tr>
        <w:trPr>
          <w:trHeight w:val="39"/>
        </w:trPr>
        <w:tc>
          <w:tcPr>
            <w:tcW w:w="3540" w:type="dxa"/>
            <w:vAlign w:val="bottom"/>
            <w:gridSpan w:val="3"/>
          </w:tcPr>
          <w:p>
            <w:pPr>
              <w:spacing w:after="0" w:line="40" w:lineRule="exact"/>
              <w:rPr>
                <w:sz w:val="20"/>
                <w:szCs w:val="20"/>
                <w:color w:val="auto"/>
              </w:rPr>
            </w:pPr>
            <w:r>
              <w:rPr>
                <w:rFonts w:ascii="Arial" w:cs="Arial" w:eastAsia="Arial" w:hAnsi="Arial"/>
                <w:sz w:val="4"/>
                <w:szCs w:val="4"/>
                <w:color w:val="FFFFFF"/>
              </w:rPr>
              <w:t>In Millions</w:t>
            </w:r>
          </w:p>
        </w:tc>
        <w:tc>
          <w:tcPr>
            <w:tcW w:w="0" w:type="dxa"/>
            <w:vAlign w:val="bottom"/>
          </w:tcPr>
          <w:p>
            <w:pPr>
              <w:spacing w:after="0" w:line="20" w:lineRule="exact"/>
              <w:rPr>
                <w:sz w:val="1"/>
                <w:szCs w:val="1"/>
                <w:color w:val="auto"/>
              </w:rPr>
            </w:pPr>
          </w:p>
        </w:tc>
      </w:tr>
      <w:tr>
        <w:trPr>
          <w:trHeight w:val="39"/>
        </w:trPr>
        <w:tc>
          <w:tcPr>
            <w:tcW w:w="300" w:type="dxa"/>
            <w:vAlign w:val="bottom"/>
          </w:tcPr>
          <w:p>
            <w:pPr>
              <w:jc w:val="right"/>
              <w:spacing w:after="0" w:line="40" w:lineRule="exact"/>
              <w:rPr>
                <w:sz w:val="20"/>
                <w:szCs w:val="20"/>
                <w:color w:val="auto"/>
              </w:rPr>
            </w:pPr>
            <w:r>
              <w:rPr>
                <w:rFonts w:ascii="Arial" w:cs="Arial" w:eastAsia="Arial" w:hAnsi="Arial"/>
                <w:sz w:val="4"/>
                <w:szCs w:val="4"/>
                <w:color w:val="FFFFFF"/>
              </w:rPr>
              <w:t>$0.45</w:t>
            </w:r>
          </w:p>
        </w:tc>
        <w:tc>
          <w:tcPr>
            <w:tcW w:w="120" w:type="dxa"/>
            <w:vAlign w:val="bottom"/>
          </w:tcPr>
          <w:p>
            <w:pPr>
              <w:spacing w:after="0"/>
              <w:rPr>
                <w:sz w:val="3"/>
                <w:szCs w:val="3"/>
                <w:color w:val="auto"/>
              </w:rPr>
            </w:pPr>
          </w:p>
        </w:tc>
        <w:tc>
          <w:tcPr>
            <w:tcW w:w="3120" w:type="dxa"/>
            <w:vAlign w:val="bottom"/>
          </w:tcPr>
          <w:p>
            <w:pPr>
              <w:ind w:left="40"/>
              <w:spacing w:after="0" w:line="40" w:lineRule="exact"/>
              <w:rPr>
                <w:sz w:val="20"/>
                <w:szCs w:val="20"/>
                <w:color w:val="auto"/>
              </w:rPr>
            </w:pPr>
            <w:r>
              <w:rPr>
                <w:rFonts w:ascii="Arial" w:cs="Arial" w:eastAsia="Arial" w:hAnsi="Arial"/>
                <w:sz w:val="4"/>
                <w:szCs w:val="4"/>
                <w:color w:val="FFFFFF"/>
              </w:rPr>
              <w:t>$ 220.0</w:t>
            </w:r>
          </w:p>
        </w:tc>
        <w:tc>
          <w:tcPr>
            <w:tcW w:w="0" w:type="dxa"/>
            <w:vAlign w:val="bottom"/>
          </w:tcPr>
          <w:p>
            <w:pPr>
              <w:spacing w:after="0" w:line="20" w:lineRule="exact"/>
              <w:rPr>
                <w:sz w:val="1"/>
                <w:szCs w:val="1"/>
                <w:color w:val="auto"/>
              </w:rPr>
            </w:pPr>
          </w:p>
        </w:tc>
      </w:tr>
      <w:tr>
        <w:trPr>
          <w:trHeight w:val="52"/>
        </w:trPr>
        <w:tc>
          <w:tcPr>
            <w:tcW w:w="420" w:type="dxa"/>
            <w:vAlign w:val="bottom"/>
            <w:gridSpan w:val="2"/>
          </w:tcPr>
          <w:p>
            <w:pPr>
              <w:jc w:val="right"/>
              <w:spacing w:after="0" w:line="53" w:lineRule="exact"/>
              <w:rPr>
                <w:sz w:val="20"/>
                <w:szCs w:val="20"/>
                <w:color w:val="auto"/>
              </w:rPr>
            </w:pPr>
            <w:r>
              <w:rPr>
                <w:rFonts w:ascii="Arial" w:cs="Arial" w:eastAsia="Arial" w:hAnsi="Arial"/>
                <w:sz w:val="5"/>
                <w:szCs w:val="5"/>
                <w:color w:val="FFFFFF"/>
              </w:rPr>
              <w:t>210.0</w:t>
            </w:r>
          </w:p>
        </w:tc>
        <w:tc>
          <w:tcPr>
            <w:tcW w:w="3120" w:type="dxa"/>
            <w:vAlign w:val="bottom"/>
            <w:vMerge w:val="restart"/>
          </w:tcPr>
          <w:p>
            <w:pPr>
              <w:ind w:left="40"/>
              <w:spacing w:after="0" w:line="92" w:lineRule="exact"/>
              <w:rPr>
                <w:sz w:val="20"/>
                <w:szCs w:val="20"/>
                <w:color w:val="auto"/>
              </w:rPr>
            </w:pPr>
            <w:r>
              <w:rPr>
                <w:rFonts w:ascii="Arial" w:cs="Arial" w:eastAsia="Arial" w:hAnsi="Arial"/>
                <w:sz w:val="10"/>
                <w:szCs w:val="10"/>
                <w:color w:val="FFFFFF"/>
              </w:rPr>
              <w:t>$ 212.2</w:t>
            </w:r>
          </w:p>
        </w:tc>
        <w:tc>
          <w:tcPr>
            <w:tcW w:w="0" w:type="dxa"/>
            <w:vAlign w:val="bottom"/>
          </w:tcPr>
          <w:p>
            <w:pPr>
              <w:spacing w:after="0"/>
              <w:rPr>
                <w:sz w:val="1"/>
                <w:szCs w:val="1"/>
                <w:color w:val="auto"/>
              </w:rPr>
            </w:pPr>
          </w:p>
        </w:tc>
      </w:tr>
      <w:tr>
        <w:trPr>
          <w:trHeight w:val="39"/>
        </w:trPr>
        <w:tc>
          <w:tcPr>
            <w:tcW w:w="300" w:type="dxa"/>
            <w:vAlign w:val="bottom"/>
          </w:tcPr>
          <w:p>
            <w:pPr>
              <w:jc w:val="right"/>
              <w:spacing w:after="0" w:line="40" w:lineRule="exact"/>
              <w:rPr>
                <w:sz w:val="20"/>
                <w:szCs w:val="20"/>
                <w:color w:val="auto"/>
              </w:rPr>
            </w:pPr>
            <w:r>
              <w:rPr>
                <w:rFonts w:ascii="Arial" w:cs="Arial" w:eastAsia="Arial" w:hAnsi="Arial"/>
                <w:sz w:val="4"/>
                <w:szCs w:val="4"/>
                <w:color w:val="FFFFFF"/>
              </w:rPr>
              <w:t>$0.40</w:t>
            </w:r>
          </w:p>
        </w:tc>
        <w:tc>
          <w:tcPr>
            <w:tcW w:w="120" w:type="dxa"/>
            <w:vAlign w:val="bottom"/>
          </w:tcPr>
          <w:p>
            <w:pPr>
              <w:spacing w:after="0"/>
              <w:rPr>
                <w:sz w:val="3"/>
                <w:szCs w:val="3"/>
                <w:color w:val="auto"/>
              </w:rPr>
            </w:pPr>
          </w:p>
        </w:tc>
        <w:tc>
          <w:tcPr>
            <w:tcW w:w="3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3540" w:type="dxa"/>
            <w:vAlign w:val="bottom"/>
            <w:gridSpan w:val="3"/>
          </w:tcPr>
          <w:p>
            <w:pPr>
              <w:ind w:left="100"/>
              <w:spacing w:after="0" w:line="53" w:lineRule="exact"/>
              <w:rPr>
                <w:sz w:val="20"/>
                <w:szCs w:val="20"/>
                <w:color w:val="auto"/>
              </w:rPr>
            </w:pPr>
            <w:r>
              <w:rPr>
                <w:rFonts w:ascii="Arial" w:cs="Arial" w:eastAsia="Arial" w:hAnsi="Arial"/>
                <w:sz w:val="5"/>
                <w:szCs w:val="5"/>
                <w:color w:val="FFFFFF"/>
              </w:rPr>
              <w:t>0.41 $ 200.0</w:t>
            </w:r>
          </w:p>
        </w:tc>
        <w:tc>
          <w:tcPr>
            <w:tcW w:w="0" w:type="dxa"/>
            <w:vAlign w:val="bottom"/>
          </w:tcPr>
          <w:p>
            <w:pPr>
              <w:spacing w:after="0"/>
              <w:rPr>
                <w:sz w:val="1"/>
                <w:szCs w:val="1"/>
                <w:color w:val="auto"/>
              </w:rPr>
            </w:pPr>
          </w:p>
        </w:tc>
      </w:tr>
      <w:tr>
        <w:trPr>
          <w:trHeight w:val="39"/>
        </w:trPr>
        <w:tc>
          <w:tcPr>
            <w:tcW w:w="300" w:type="dxa"/>
            <w:vAlign w:val="bottom"/>
          </w:tcPr>
          <w:p>
            <w:pPr>
              <w:jc w:val="right"/>
              <w:spacing w:after="0" w:line="40" w:lineRule="exact"/>
              <w:rPr>
                <w:sz w:val="20"/>
                <w:szCs w:val="20"/>
                <w:color w:val="auto"/>
              </w:rPr>
            </w:pPr>
            <w:r>
              <w:rPr>
                <w:rFonts w:ascii="Arial" w:cs="Arial" w:eastAsia="Arial" w:hAnsi="Arial"/>
                <w:sz w:val="4"/>
                <w:szCs w:val="4"/>
                <w:color w:val="FFFFFF"/>
              </w:rPr>
              <w:t>0.35</w:t>
            </w: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2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190.0</w:t>
            </w:r>
          </w:p>
        </w:tc>
        <w:tc>
          <w:tcPr>
            <w:tcW w:w="3120" w:type="dxa"/>
            <w:vAlign w:val="bottom"/>
            <w:vMerge w:val="restart"/>
          </w:tcPr>
          <w:p>
            <w:pPr>
              <w:ind w:left="40"/>
              <w:spacing w:after="0" w:line="79" w:lineRule="exact"/>
              <w:rPr>
                <w:sz w:val="20"/>
                <w:szCs w:val="20"/>
                <w:color w:val="auto"/>
              </w:rPr>
            </w:pPr>
            <w:r>
              <w:rPr>
                <w:rFonts w:ascii="Arial" w:cs="Arial" w:eastAsia="Arial" w:hAnsi="Arial"/>
                <w:sz w:val="9"/>
                <w:szCs w:val="9"/>
                <w:color w:val="FFFFFF"/>
              </w:rPr>
              <w:t>$ 180.0</w:t>
            </w:r>
          </w:p>
        </w:tc>
        <w:tc>
          <w:tcPr>
            <w:tcW w:w="0" w:type="dxa"/>
            <w:vAlign w:val="bottom"/>
          </w:tcPr>
          <w:p>
            <w:pPr>
              <w:spacing w:after="0" w:line="20" w:lineRule="exact"/>
              <w:rPr>
                <w:sz w:val="1"/>
                <w:szCs w:val="1"/>
                <w:color w:val="auto"/>
              </w:rPr>
            </w:pPr>
          </w:p>
        </w:tc>
      </w:tr>
      <w:tr>
        <w:trPr>
          <w:trHeight w:val="39"/>
        </w:trPr>
        <w:tc>
          <w:tcPr>
            <w:tcW w:w="300" w:type="dxa"/>
            <w:vAlign w:val="bottom"/>
          </w:tcPr>
          <w:p>
            <w:pPr>
              <w:jc w:val="right"/>
              <w:spacing w:after="0" w:line="40" w:lineRule="exact"/>
              <w:rPr>
                <w:sz w:val="20"/>
                <w:szCs w:val="20"/>
                <w:color w:val="auto"/>
              </w:rPr>
            </w:pPr>
            <w:r>
              <w:rPr>
                <w:rFonts w:ascii="Arial" w:cs="Arial" w:eastAsia="Arial" w:hAnsi="Arial"/>
                <w:sz w:val="4"/>
                <w:szCs w:val="4"/>
                <w:color w:val="FFFFFF"/>
              </w:rPr>
              <w:t>$0.30</w:t>
            </w:r>
          </w:p>
        </w:tc>
        <w:tc>
          <w:tcPr>
            <w:tcW w:w="120" w:type="dxa"/>
            <w:vAlign w:val="bottom"/>
          </w:tcPr>
          <w:p>
            <w:pPr>
              <w:spacing w:after="0"/>
              <w:rPr>
                <w:sz w:val="3"/>
                <w:szCs w:val="3"/>
                <w:color w:val="auto"/>
              </w:rPr>
            </w:pPr>
          </w:p>
        </w:tc>
        <w:tc>
          <w:tcPr>
            <w:tcW w:w="3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420" w:type="dxa"/>
            <w:vAlign w:val="bottom"/>
            <w:gridSpan w:val="2"/>
          </w:tcPr>
          <w:p>
            <w:pPr>
              <w:jc w:val="right"/>
              <w:spacing w:after="0" w:line="53" w:lineRule="exact"/>
              <w:rPr>
                <w:sz w:val="20"/>
                <w:szCs w:val="20"/>
                <w:color w:val="auto"/>
              </w:rPr>
            </w:pPr>
            <w:r>
              <w:rPr>
                <w:rFonts w:ascii="Arial" w:cs="Arial" w:eastAsia="Arial" w:hAnsi="Arial"/>
                <w:sz w:val="5"/>
                <w:szCs w:val="5"/>
                <w:color w:val="FFFFFF"/>
              </w:rPr>
              <w:t>170.0</w:t>
            </w:r>
          </w:p>
        </w:tc>
        <w:tc>
          <w:tcPr>
            <w:tcW w:w="3120" w:type="dxa"/>
            <w:vAlign w:val="bottom"/>
            <w:vMerge w:val="restart"/>
          </w:tcPr>
          <w:p>
            <w:pPr>
              <w:ind w:left="40"/>
              <w:spacing w:after="0" w:line="92" w:lineRule="exact"/>
              <w:rPr>
                <w:sz w:val="20"/>
                <w:szCs w:val="20"/>
                <w:color w:val="auto"/>
              </w:rPr>
            </w:pPr>
            <w:r>
              <w:rPr>
                <w:rFonts w:ascii="Arial" w:cs="Arial" w:eastAsia="Arial" w:hAnsi="Arial"/>
                <w:sz w:val="10"/>
                <w:szCs w:val="10"/>
                <w:color w:val="FFFFFF"/>
              </w:rPr>
              <w:t>$0.27</w:t>
            </w:r>
          </w:p>
        </w:tc>
        <w:tc>
          <w:tcPr>
            <w:tcW w:w="0" w:type="dxa"/>
            <w:vAlign w:val="bottom"/>
          </w:tcPr>
          <w:p>
            <w:pPr>
              <w:spacing w:after="0"/>
              <w:rPr>
                <w:sz w:val="1"/>
                <w:szCs w:val="1"/>
                <w:color w:val="auto"/>
              </w:rPr>
            </w:pPr>
          </w:p>
        </w:tc>
      </w:tr>
      <w:tr>
        <w:trPr>
          <w:trHeight w:val="39"/>
        </w:trPr>
        <w:tc>
          <w:tcPr>
            <w:tcW w:w="300" w:type="dxa"/>
            <w:vAlign w:val="bottom"/>
          </w:tcPr>
          <w:p>
            <w:pPr>
              <w:jc w:val="right"/>
              <w:spacing w:after="0" w:line="40" w:lineRule="exact"/>
              <w:rPr>
                <w:sz w:val="20"/>
                <w:szCs w:val="20"/>
                <w:color w:val="auto"/>
              </w:rPr>
            </w:pPr>
            <w:r>
              <w:rPr>
                <w:rFonts w:ascii="Arial" w:cs="Arial" w:eastAsia="Arial" w:hAnsi="Arial"/>
                <w:sz w:val="4"/>
                <w:szCs w:val="4"/>
                <w:color w:val="FFFFFF"/>
              </w:rPr>
              <w:t>$0.25</w:t>
            </w:r>
          </w:p>
        </w:tc>
        <w:tc>
          <w:tcPr>
            <w:tcW w:w="120" w:type="dxa"/>
            <w:vAlign w:val="bottom"/>
          </w:tcPr>
          <w:p>
            <w:pPr>
              <w:spacing w:after="0"/>
              <w:rPr>
                <w:sz w:val="3"/>
                <w:szCs w:val="3"/>
                <w:color w:val="auto"/>
              </w:rPr>
            </w:pPr>
          </w:p>
        </w:tc>
        <w:tc>
          <w:tcPr>
            <w:tcW w:w="3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420" w:type="dxa"/>
            <w:vAlign w:val="bottom"/>
            <w:gridSpan w:val="2"/>
          </w:tcPr>
          <w:p>
            <w:pPr>
              <w:jc w:val="right"/>
              <w:spacing w:after="0" w:line="53" w:lineRule="exact"/>
              <w:rPr>
                <w:sz w:val="20"/>
                <w:szCs w:val="20"/>
                <w:color w:val="auto"/>
              </w:rPr>
            </w:pPr>
            <w:r>
              <w:rPr>
                <w:rFonts w:ascii="Arial" w:cs="Arial" w:eastAsia="Arial" w:hAnsi="Arial"/>
                <w:sz w:val="5"/>
                <w:szCs w:val="5"/>
                <w:color w:val="FFFFFF"/>
              </w:rPr>
              <w:t>160.0</w:t>
            </w:r>
          </w:p>
        </w:tc>
        <w:tc>
          <w:tcPr>
            <w:tcW w:w="3120" w:type="dxa"/>
            <w:vAlign w:val="bottom"/>
          </w:tcPr>
          <w:p>
            <w:pPr>
              <w:ind w:left="20"/>
              <w:spacing w:after="0" w:line="53" w:lineRule="exact"/>
              <w:rPr>
                <w:sz w:val="20"/>
                <w:szCs w:val="20"/>
                <w:color w:val="auto"/>
              </w:rPr>
            </w:pPr>
            <w:r>
              <w:rPr>
                <w:rFonts w:ascii="Arial" w:cs="Arial" w:eastAsia="Arial" w:hAnsi="Arial"/>
                <w:sz w:val="5"/>
                <w:szCs w:val="5"/>
                <w:color w:val="FFFFFF"/>
              </w:rPr>
              <w:t>$163.7</w:t>
            </w:r>
          </w:p>
        </w:tc>
        <w:tc>
          <w:tcPr>
            <w:tcW w:w="0" w:type="dxa"/>
            <w:vAlign w:val="bottom"/>
          </w:tcPr>
          <w:p>
            <w:pPr>
              <w:spacing w:after="0"/>
              <w:rPr>
                <w:sz w:val="1"/>
                <w:szCs w:val="1"/>
                <w:color w:val="auto"/>
              </w:rPr>
            </w:pPr>
          </w:p>
        </w:tc>
      </w:tr>
      <w:tr>
        <w:trPr>
          <w:trHeight w:val="39"/>
        </w:trPr>
        <w:tc>
          <w:tcPr>
            <w:tcW w:w="300" w:type="dxa"/>
            <w:vAlign w:val="bottom"/>
          </w:tcPr>
          <w:p>
            <w:pPr>
              <w:jc w:val="right"/>
              <w:spacing w:after="0" w:line="40" w:lineRule="exact"/>
              <w:rPr>
                <w:sz w:val="20"/>
                <w:szCs w:val="20"/>
                <w:color w:val="auto"/>
              </w:rPr>
            </w:pPr>
            <w:r>
              <w:rPr>
                <w:rFonts w:ascii="Arial" w:cs="Arial" w:eastAsia="Arial" w:hAnsi="Arial"/>
                <w:sz w:val="4"/>
                <w:szCs w:val="4"/>
                <w:color w:val="FFFFFF"/>
              </w:rPr>
              <w:t>0.20</w:t>
            </w:r>
          </w:p>
        </w:tc>
        <w:tc>
          <w:tcPr>
            <w:tcW w:w="120" w:type="dxa"/>
            <w:vAlign w:val="bottom"/>
            <w:vMerge w:val="restart"/>
          </w:tcPr>
          <w:p>
            <w:pPr>
              <w:jc w:val="right"/>
              <w:spacing w:after="0" w:line="118" w:lineRule="exact"/>
              <w:rPr>
                <w:sz w:val="20"/>
                <w:szCs w:val="20"/>
                <w:color w:val="auto"/>
              </w:rPr>
            </w:pPr>
            <w:r>
              <w:rPr>
                <w:rFonts w:ascii="Arial" w:cs="Arial" w:eastAsia="Arial" w:hAnsi="Arial"/>
                <w:sz w:val="13"/>
                <w:szCs w:val="13"/>
                <w:color w:val="FFFFFF"/>
                <w:w w:val="73"/>
              </w:rPr>
              <w:t>.0</w:t>
            </w:r>
          </w:p>
        </w:tc>
        <w:tc>
          <w:tcPr>
            <w:tcW w:w="3120" w:type="dxa"/>
            <w:vAlign w:val="bottom"/>
            <w:vMerge w:val="restart"/>
          </w:tcPr>
          <w:p>
            <w:pPr>
              <w:ind w:left="40"/>
              <w:spacing w:after="0" w:line="118" w:lineRule="exact"/>
              <w:rPr>
                <w:sz w:val="20"/>
                <w:szCs w:val="20"/>
                <w:color w:val="auto"/>
              </w:rPr>
            </w:pPr>
            <w:r>
              <w:rPr>
                <w:rFonts w:ascii="Arial" w:cs="Arial" w:eastAsia="Arial" w:hAnsi="Arial"/>
                <w:sz w:val="13"/>
                <w:szCs w:val="13"/>
                <w:color w:val="FFFFFF"/>
              </w:rPr>
              <w:t>$ 140.0</w:t>
            </w:r>
          </w:p>
        </w:tc>
        <w:tc>
          <w:tcPr>
            <w:tcW w:w="0" w:type="dxa"/>
            <w:vAlign w:val="bottom"/>
          </w:tcPr>
          <w:p>
            <w:pPr>
              <w:spacing w:after="0" w:line="20" w:lineRule="exact"/>
              <w:rPr>
                <w:sz w:val="1"/>
                <w:szCs w:val="1"/>
                <w:color w:val="auto"/>
              </w:rPr>
            </w:pPr>
          </w:p>
        </w:tc>
      </w:tr>
      <w:tr>
        <w:trPr>
          <w:trHeight w:val="79"/>
        </w:trPr>
        <w:tc>
          <w:tcPr>
            <w:tcW w:w="300" w:type="dxa"/>
            <w:vAlign w:val="bottom"/>
          </w:tcPr>
          <w:p>
            <w:pPr>
              <w:jc w:val="right"/>
              <w:spacing w:after="0" w:line="79" w:lineRule="exact"/>
              <w:rPr>
                <w:sz w:val="20"/>
                <w:szCs w:val="20"/>
                <w:color w:val="auto"/>
              </w:rPr>
            </w:pPr>
            <w:r>
              <w:rPr>
                <w:rFonts w:ascii="Arial" w:cs="Arial" w:eastAsia="Arial" w:hAnsi="Arial"/>
                <w:sz w:val="9"/>
                <w:szCs w:val="9"/>
                <w:color w:val="FFFFFF"/>
              </w:rPr>
              <w:t>$0150.</w:t>
            </w:r>
          </w:p>
        </w:tc>
        <w:tc>
          <w:tcPr>
            <w:tcW w:w="120" w:type="dxa"/>
            <w:vAlign w:val="bottom"/>
            <w:vMerge w:val="continue"/>
          </w:tcPr>
          <w:p>
            <w:pPr>
              <w:spacing w:after="0"/>
              <w:rPr>
                <w:sz w:val="6"/>
                <w:szCs w:val="6"/>
                <w:color w:val="auto"/>
              </w:rPr>
            </w:pPr>
          </w:p>
        </w:tc>
        <w:tc>
          <w:tcPr>
            <w:tcW w:w="3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420" w:type="dxa"/>
            <w:vAlign w:val="bottom"/>
            <w:gridSpan w:val="2"/>
          </w:tcPr>
          <w:p>
            <w:pPr>
              <w:jc w:val="right"/>
              <w:spacing w:after="0" w:line="53" w:lineRule="exact"/>
              <w:rPr>
                <w:sz w:val="20"/>
                <w:szCs w:val="20"/>
                <w:color w:val="auto"/>
              </w:rPr>
            </w:pPr>
            <w:r>
              <w:rPr>
                <w:rFonts w:ascii="Arial" w:cs="Arial" w:eastAsia="Arial" w:hAnsi="Arial"/>
                <w:sz w:val="5"/>
                <w:szCs w:val="5"/>
                <w:color w:val="FFFFFF"/>
              </w:rPr>
              <w:t>130.0</w:t>
            </w:r>
          </w:p>
        </w:tc>
        <w:tc>
          <w:tcPr>
            <w:tcW w:w="3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300" w:type="dxa"/>
            <w:vAlign w:val="bottom"/>
          </w:tcPr>
          <w:p>
            <w:pPr>
              <w:jc w:val="right"/>
              <w:spacing w:after="0" w:line="40" w:lineRule="exact"/>
              <w:rPr>
                <w:sz w:val="20"/>
                <w:szCs w:val="20"/>
                <w:color w:val="auto"/>
              </w:rPr>
            </w:pPr>
            <w:r>
              <w:rPr>
                <w:rFonts w:ascii="Arial" w:cs="Arial" w:eastAsia="Arial" w:hAnsi="Arial"/>
                <w:sz w:val="4"/>
                <w:szCs w:val="4"/>
                <w:color w:val="FFFFFF"/>
              </w:rPr>
              <w:t>0.10</w:t>
            </w: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2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120.0</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0" w:type="dxa"/>
            <w:vAlign w:val="bottom"/>
          </w:tcPr>
          <w:p>
            <w:pPr>
              <w:jc w:val="right"/>
              <w:spacing w:after="0" w:line="40" w:lineRule="exact"/>
              <w:rPr>
                <w:sz w:val="20"/>
                <w:szCs w:val="20"/>
                <w:color w:val="auto"/>
              </w:rPr>
            </w:pPr>
            <w:r>
              <w:rPr>
                <w:rFonts w:ascii="Arial" w:cs="Arial" w:eastAsia="Arial" w:hAnsi="Arial"/>
                <w:sz w:val="4"/>
                <w:szCs w:val="4"/>
                <w:color w:val="FFFFFF"/>
              </w:rPr>
              <w:t>0.05</w:t>
            </w: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2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110.0</w:t>
            </w:r>
          </w:p>
        </w:tc>
        <w:tc>
          <w:tcPr>
            <w:tcW w:w="3120" w:type="dxa"/>
            <w:vAlign w:val="bottom"/>
            <w:vMerge w:val="restart"/>
          </w:tcPr>
          <w:p>
            <w:pPr>
              <w:ind w:left="40"/>
              <w:spacing w:after="0" w:line="54" w:lineRule="exact"/>
              <w:rPr>
                <w:sz w:val="20"/>
                <w:szCs w:val="20"/>
                <w:color w:val="auto"/>
              </w:rPr>
            </w:pPr>
            <w:r>
              <w:rPr>
                <w:rFonts w:ascii="Arial" w:cs="Arial" w:eastAsia="Arial" w:hAnsi="Arial"/>
                <w:sz w:val="5"/>
                <w:szCs w:val="5"/>
                <w:color w:val="FFFFFF"/>
              </w:rPr>
              <w:t>$ 100.0</w:t>
            </w:r>
          </w:p>
        </w:tc>
        <w:tc>
          <w:tcPr>
            <w:tcW w:w="0" w:type="dxa"/>
            <w:vAlign w:val="bottom"/>
          </w:tcPr>
          <w:p>
            <w:pPr>
              <w:spacing w:after="0" w:line="20" w:lineRule="exact"/>
              <w:rPr>
                <w:sz w:val="1"/>
                <w:szCs w:val="1"/>
                <w:color w:val="auto"/>
              </w:rPr>
            </w:pPr>
          </w:p>
        </w:tc>
      </w:tr>
      <w:tr>
        <w:trPr>
          <w:trHeight w:val="14"/>
        </w:trPr>
        <w:tc>
          <w:tcPr>
            <w:tcW w:w="300" w:type="dxa"/>
            <w:vAlign w:val="bottom"/>
          </w:tcPr>
          <w:p>
            <w:pPr>
              <w:jc w:val="right"/>
              <w:spacing w:after="0"/>
              <w:rPr>
                <w:sz w:val="20"/>
                <w:szCs w:val="20"/>
                <w:color w:val="auto"/>
              </w:rPr>
            </w:pPr>
            <w:r>
              <w:rPr>
                <w:rFonts w:ascii="Arial" w:cs="Arial" w:eastAsia="Arial" w:hAnsi="Arial"/>
                <w:sz w:val="1"/>
                <w:szCs w:val="1"/>
                <w:color w:val="FFFFFF"/>
              </w:rPr>
              <w:t>$0.00</w:t>
            </w:r>
          </w:p>
        </w:tc>
        <w:tc>
          <w:tcPr>
            <w:tcW w:w="120" w:type="dxa"/>
            <w:vAlign w:val="bottom"/>
          </w:tcPr>
          <w:p>
            <w:pPr>
              <w:spacing w:after="0" w:line="20" w:lineRule="exact"/>
              <w:rPr>
                <w:sz w:val="1"/>
                <w:szCs w:val="1"/>
                <w:color w:val="auto"/>
              </w:rPr>
            </w:pPr>
          </w:p>
        </w:tc>
        <w:tc>
          <w:tcPr>
            <w:tcW w:w="3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auto"/>
        <w:rPr>
          <w:sz w:val="20"/>
          <w:szCs w:val="20"/>
          <w:color w:val="auto"/>
        </w:rPr>
      </w:pPr>
      <w:r>
        <w:rPr>
          <w:rFonts w:ascii="Arial" w:cs="Arial" w:eastAsia="Arial" w:hAnsi="Arial"/>
          <w:sz w:val="4"/>
          <w:szCs w:val="4"/>
          <w:color w:val="FFFFFF"/>
        </w:rPr>
        <w:t>www.nninc.com201520162015 2016</w:t>
      </w:r>
    </w:p>
    <w:p>
      <w:pPr>
        <w:spacing w:after="0"/>
        <w:rPr>
          <w:sz w:val="20"/>
          <w:szCs w:val="20"/>
          <w:color w:val="auto"/>
        </w:rPr>
      </w:pPr>
      <w:r>
        <w:rPr>
          <w:rFonts w:ascii="Arial" w:cs="Arial" w:eastAsia="Arial" w:hAnsi="Arial"/>
          <w:sz w:val="13"/>
          <w:szCs w:val="13"/>
          <w:color w:val="FFFFFF"/>
        </w:rPr>
        <w:t>5</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gridSpan w:val="2"/>
          </w:tcPr>
          <w:p>
            <w:pPr>
              <w:spacing w:after="0"/>
              <w:rPr>
                <w:sz w:val="20"/>
                <w:szCs w:val="20"/>
                <w:color w:val="auto"/>
              </w:rPr>
            </w:pPr>
            <w:r>
              <w:rPr>
                <w:rFonts w:ascii="Arial" w:cs="Arial" w:eastAsia="Arial" w:hAnsi="Arial"/>
                <w:sz w:val="13"/>
                <w:szCs w:val="13"/>
                <w:color w:val="FFFFFF"/>
              </w:rPr>
              <w:t>1st Quarter 2016 Financial Summary</w:t>
            </w: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740" w:type="dxa"/>
            <w:vAlign w:val="bottom"/>
            <w:gridSpan w:val="2"/>
          </w:tcPr>
          <w:p>
            <w:pPr>
              <w:spacing w:after="0" w:line="40" w:lineRule="exact"/>
              <w:rPr>
                <w:sz w:val="20"/>
                <w:szCs w:val="20"/>
                <w:color w:val="auto"/>
              </w:rPr>
            </w:pPr>
            <w:r>
              <w:rPr>
                <w:rFonts w:ascii="Arial" w:cs="Arial" w:eastAsia="Arial" w:hAnsi="Arial"/>
                <w:sz w:val="4"/>
                <w:szCs w:val="4"/>
                <w:color w:val="FFFFFF"/>
              </w:rPr>
              <w:t>Gross Margin Adjusted Operating Margin</w:t>
            </w:r>
          </w:p>
        </w:tc>
        <w:tc>
          <w:tcPr>
            <w:tcW w:w="2660" w:type="dxa"/>
            <w:vAlign w:val="bottom"/>
            <w:vMerge w:val="restart"/>
          </w:tcPr>
          <w:p>
            <w:pPr>
              <w:ind w:left="300"/>
              <w:spacing w:after="0" w:line="79" w:lineRule="exact"/>
              <w:rPr>
                <w:sz w:val="20"/>
                <w:szCs w:val="20"/>
                <w:color w:val="auto"/>
              </w:rPr>
            </w:pPr>
            <w:r>
              <w:rPr>
                <w:rFonts w:ascii="Arial" w:cs="Arial" w:eastAsia="Arial" w:hAnsi="Arial"/>
                <w:sz w:val="9"/>
                <w:szCs w:val="9"/>
                <w:color w:val="FFFFFF"/>
              </w:rPr>
              <w:t>margin expansion resulting from acquisitions</w:t>
            </w:r>
          </w:p>
        </w:tc>
        <w:tc>
          <w:tcPr>
            <w:tcW w:w="0" w:type="dxa"/>
            <w:vAlign w:val="bottom"/>
          </w:tcPr>
          <w:p>
            <w:pPr>
              <w:spacing w:after="0" w:line="20" w:lineRule="exact"/>
              <w:rPr>
                <w:sz w:val="1"/>
                <w:szCs w:val="1"/>
                <w:color w:val="auto"/>
              </w:rPr>
            </w:pPr>
          </w:p>
        </w:tc>
      </w:tr>
      <w:tr>
        <w:trPr>
          <w:trHeight w:val="39"/>
        </w:trPr>
        <w:tc>
          <w:tcPr>
            <w:tcW w:w="2740" w:type="dxa"/>
            <w:vAlign w:val="bottom"/>
            <w:gridSpan w:val="2"/>
          </w:tcPr>
          <w:p>
            <w:pPr>
              <w:spacing w:after="0" w:line="40" w:lineRule="exact"/>
              <w:rPr>
                <w:sz w:val="20"/>
                <w:szCs w:val="20"/>
                <w:color w:val="auto"/>
              </w:rPr>
            </w:pPr>
            <w:r>
              <w:rPr>
                <w:rFonts w:ascii="Arial" w:cs="Arial" w:eastAsia="Arial" w:hAnsi="Arial"/>
                <w:sz w:val="4"/>
                <w:szCs w:val="4"/>
                <w:color w:val="FFFFFF"/>
              </w:rPr>
              <w:t>370 bps improvement driven by acquisition of</w:t>
            </w:r>
          </w:p>
        </w:tc>
        <w:tc>
          <w:tcPr>
            <w:tcW w:w="2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400" w:type="dxa"/>
            <w:vAlign w:val="bottom"/>
            <w:gridSpan w:val="3"/>
          </w:tcPr>
          <w:p>
            <w:pPr>
              <w:spacing w:after="0" w:line="40" w:lineRule="exact"/>
              <w:rPr>
                <w:sz w:val="20"/>
                <w:szCs w:val="20"/>
                <w:color w:val="auto"/>
              </w:rPr>
            </w:pPr>
            <w:r>
              <w:rPr>
                <w:rFonts w:ascii="Arial" w:cs="Arial" w:eastAsia="Arial" w:hAnsi="Arial"/>
                <w:sz w:val="4"/>
                <w:szCs w:val="4"/>
                <w:color w:val="FFFFFF"/>
              </w:rPr>
              <w:t>PEP and the NN Operating System and improvementsContinued the NN Operating System</w:t>
            </w: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30.0%</w:t>
            </w:r>
          </w:p>
        </w:tc>
        <w:tc>
          <w:tcPr>
            <w:tcW w:w="2340" w:type="dxa"/>
            <w:vAlign w:val="bottom"/>
          </w:tcPr>
          <w:p>
            <w:pPr>
              <w:ind w:left="60"/>
              <w:spacing w:after="0" w:line="40" w:lineRule="exact"/>
              <w:rPr>
                <w:sz w:val="20"/>
                <w:szCs w:val="20"/>
                <w:color w:val="auto"/>
              </w:rPr>
            </w:pPr>
            <w:r>
              <w:rPr>
                <w:rFonts w:ascii="Arial" w:cs="Arial" w:eastAsia="Arial" w:hAnsi="Arial"/>
                <w:sz w:val="4"/>
                <w:szCs w:val="4"/>
                <w:color w:val="FFFFFF"/>
              </w:rPr>
              <w:t>14.0%</w:t>
            </w:r>
          </w:p>
        </w:tc>
        <w:tc>
          <w:tcPr>
            <w:tcW w:w="2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13</w:t>
            </w:r>
          </w:p>
        </w:tc>
        <w:tc>
          <w:tcPr>
            <w:tcW w:w="2340" w:type="dxa"/>
            <w:vAlign w:val="bottom"/>
            <w:vMerge w:val="restart"/>
          </w:tcPr>
          <w:p>
            <w:pPr>
              <w:ind w:left="60"/>
              <w:spacing w:after="0" w:line="92" w:lineRule="exact"/>
              <w:rPr>
                <w:sz w:val="20"/>
                <w:szCs w:val="20"/>
                <w:color w:val="auto"/>
              </w:rPr>
            </w:pPr>
            <w:r>
              <w:rPr>
                <w:rFonts w:ascii="Arial" w:cs="Arial" w:eastAsia="Arial" w:hAnsi="Arial"/>
                <w:sz w:val="10"/>
                <w:szCs w:val="10"/>
                <w:color w:val="FFFFFF"/>
              </w:rPr>
              <w:t>12.0%</w:t>
            </w: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25.0%</w:t>
            </w:r>
          </w:p>
        </w:tc>
        <w:tc>
          <w:tcPr>
            <w:tcW w:w="2340" w:type="dxa"/>
            <w:vAlign w:val="bottom"/>
            <w:vMerge w:val="continue"/>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24.7%</w:t>
            </w:r>
          </w:p>
        </w:tc>
        <w:tc>
          <w:tcPr>
            <w:tcW w:w="2340" w:type="dxa"/>
            <w:vAlign w:val="bottom"/>
          </w:tcPr>
          <w:p>
            <w:pPr>
              <w:ind w:left="60"/>
              <w:spacing w:after="0" w:line="53" w:lineRule="exact"/>
              <w:rPr>
                <w:sz w:val="20"/>
                <w:szCs w:val="20"/>
                <w:color w:val="auto"/>
              </w:rPr>
            </w:pPr>
            <w:r>
              <w:rPr>
                <w:rFonts w:ascii="Arial" w:cs="Arial" w:eastAsia="Arial" w:hAnsi="Arial"/>
                <w:sz w:val="5"/>
                <w:szCs w:val="5"/>
                <w:color w:val="FFFFFF"/>
              </w:rPr>
              <w:t>11.0% 11.3%</w:t>
            </w: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10</w:t>
            </w:r>
          </w:p>
        </w:tc>
        <w:tc>
          <w:tcPr>
            <w:tcW w:w="2340" w:type="dxa"/>
            <w:vAlign w:val="bottom"/>
            <w:vMerge w:val="restart"/>
          </w:tcPr>
          <w:p>
            <w:pPr>
              <w:ind w:left="60"/>
              <w:spacing w:after="0" w:line="92" w:lineRule="exact"/>
              <w:rPr>
                <w:sz w:val="20"/>
                <w:szCs w:val="20"/>
                <w:color w:val="auto"/>
              </w:rPr>
            </w:pPr>
            <w:r>
              <w:rPr>
                <w:rFonts w:ascii="Arial" w:cs="Arial" w:eastAsia="Arial" w:hAnsi="Arial"/>
                <w:sz w:val="10"/>
                <w:szCs w:val="10"/>
                <w:color w:val="FFFFFF"/>
              </w:rPr>
              <w:t>21.0%</w:t>
            </w: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20.0%</w:t>
            </w:r>
          </w:p>
        </w:tc>
        <w:tc>
          <w:tcPr>
            <w:tcW w:w="2340" w:type="dxa"/>
            <w:vAlign w:val="bottom"/>
            <w:vMerge w:val="continue"/>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2"/>
        </w:trPr>
        <w:tc>
          <w:tcPr>
            <w:tcW w:w="400" w:type="dxa"/>
            <w:vAlign w:val="bottom"/>
          </w:tcPr>
          <w:p>
            <w:pPr>
              <w:spacing w:after="0" w:line="92" w:lineRule="exact"/>
              <w:rPr>
                <w:sz w:val="20"/>
                <w:szCs w:val="20"/>
                <w:color w:val="auto"/>
              </w:rPr>
            </w:pPr>
            <w:r>
              <w:rPr>
                <w:rFonts w:ascii="Arial" w:cs="Arial" w:eastAsia="Arial" w:hAnsi="Arial"/>
                <w:sz w:val="10"/>
                <w:szCs w:val="10"/>
                <w:color w:val="FFFFFF"/>
              </w:rPr>
              <w:t>9 1%</w:t>
            </w:r>
          </w:p>
        </w:tc>
        <w:tc>
          <w:tcPr>
            <w:tcW w:w="2340" w:type="dxa"/>
            <w:vAlign w:val="bottom"/>
          </w:tcPr>
          <w:p>
            <w:pPr>
              <w:spacing w:after="0"/>
              <w:rPr>
                <w:sz w:val="7"/>
                <w:szCs w:val="7"/>
                <w:color w:val="auto"/>
              </w:rPr>
            </w:pPr>
          </w:p>
        </w:tc>
        <w:tc>
          <w:tcPr>
            <w:tcW w:w="2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8.0%</w:t>
            </w:r>
          </w:p>
        </w:tc>
        <w:tc>
          <w:tcPr>
            <w:tcW w:w="23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15.0%</w:t>
            </w:r>
          </w:p>
        </w:tc>
        <w:tc>
          <w:tcPr>
            <w:tcW w:w="23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7</w:t>
            </w:r>
          </w:p>
        </w:tc>
        <w:tc>
          <w:tcPr>
            <w:tcW w:w="23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6.0%</w:t>
            </w:r>
          </w:p>
        </w:tc>
        <w:tc>
          <w:tcPr>
            <w:tcW w:w="23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10.0%</w:t>
            </w:r>
          </w:p>
        </w:tc>
        <w:tc>
          <w:tcPr>
            <w:tcW w:w="23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5</w:t>
            </w:r>
          </w:p>
        </w:tc>
        <w:tc>
          <w:tcPr>
            <w:tcW w:w="23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4</w:t>
            </w:r>
          </w:p>
        </w:tc>
        <w:tc>
          <w:tcPr>
            <w:tcW w:w="2340" w:type="dxa"/>
            <w:vAlign w:val="bottom"/>
            <w:vMerge w:val="restart"/>
          </w:tcPr>
          <w:p>
            <w:pPr>
              <w:ind w:left="60"/>
              <w:spacing w:after="0" w:line="79" w:lineRule="exact"/>
              <w:rPr>
                <w:sz w:val="20"/>
                <w:szCs w:val="20"/>
                <w:color w:val="auto"/>
              </w:rPr>
            </w:pPr>
            <w:r>
              <w:rPr>
                <w:rFonts w:ascii="Arial" w:cs="Arial" w:eastAsia="Arial" w:hAnsi="Arial"/>
                <w:sz w:val="9"/>
                <w:szCs w:val="9"/>
                <w:color w:val="FFFFFF"/>
              </w:rPr>
              <w:t>3.0%</w:t>
            </w:r>
          </w:p>
        </w:tc>
        <w:tc>
          <w:tcPr>
            <w:tcW w:w="2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5.0%</w:t>
            </w:r>
          </w:p>
        </w:tc>
        <w:tc>
          <w:tcPr>
            <w:tcW w:w="2340" w:type="dxa"/>
            <w:vAlign w:val="bottom"/>
            <w:vMerge w:val="continue"/>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2</w:t>
            </w:r>
          </w:p>
        </w:tc>
        <w:tc>
          <w:tcPr>
            <w:tcW w:w="2340" w:type="dxa"/>
            <w:vAlign w:val="bottom"/>
            <w:vMerge w:val="restart"/>
          </w:tcPr>
          <w:p>
            <w:pPr>
              <w:ind w:left="60"/>
              <w:spacing w:after="0" w:line="28" w:lineRule="exact"/>
              <w:rPr>
                <w:sz w:val="20"/>
                <w:szCs w:val="20"/>
                <w:color w:val="auto"/>
              </w:rPr>
            </w:pPr>
            <w:r>
              <w:rPr>
                <w:rFonts w:ascii="Arial" w:cs="Arial" w:eastAsia="Arial" w:hAnsi="Arial"/>
                <w:sz w:val="3"/>
                <w:szCs w:val="3"/>
                <w:color w:val="FFFFFF"/>
              </w:rPr>
              <w:t>1.0%</w:t>
            </w: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0"/>
        </w:trPr>
        <w:tc>
          <w:tcPr>
            <w:tcW w:w="400" w:type="dxa"/>
            <w:vAlign w:val="bottom"/>
          </w:tcPr>
          <w:p>
            <w:pPr>
              <w:spacing w:after="0"/>
              <w:rPr>
                <w:sz w:val="20"/>
                <w:szCs w:val="20"/>
                <w:color w:val="auto"/>
              </w:rPr>
            </w:pPr>
            <w:r>
              <w:rPr>
                <w:rFonts w:ascii="Arial" w:cs="Arial" w:eastAsia="Arial" w:hAnsi="Arial"/>
                <w:sz w:val="2"/>
                <w:szCs w:val="2"/>
                <w:color w:val="FFFFFF"/>
              </w:rPr>
              <w:t>0.0%</w:t>
            </w:r>
          </w:p>
        </w:tc>
        <w:tc>
          <w:tcPr>
            <w:tcW w:w="2340" w:type="dxa"/>
            <w:vAlign w:val="bottom"/>
            <w:vMerge w:val="continu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3"/>
          <w:szCs w:val="13"/>
          <w:color w:val="FFFFFF"/>
        </w:rPr>
        <w:t>2015 2016 2015 2016</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FFFFFF"/>
        </w:rPr>
        <w:t>Gross Margin = Gross Profit (excluding depreciation) / Net Sales</w:t>
      </w:r>
    </w:p>
    <w:p>
      <w:pPr>
        <w:spacing w:after="0"/>
        <w:rPr>
          <w:sz w:val="20"/>
          <w:szCs w:val="20"/>
          <w:color w:val="auto"/>
        </w:rPr>
      </w:pPr>
      <w:r>
        <w:rPr>
          <w:rFonts w:ascii="Arial" w:cs="Arial" w:eastAsia="Arial" w:hAnsi="Arial"/>
          <w:sz w:val="13"/>
          <w:szCs w:val="13"/>
          <w:color w:val="FFFFFF"/>
        </w:rPr>
        <w:t>6</w:t>
      </w:r>
    </w:p>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FFFFFF"/>
        </w:rPr>
        <w:t>Adjusted1stQuarterEBITDA2016FinancialMargin SummarySG&amp;A</w:t>
      </w:r>
    </w:p>
    <w:p>
      <w:pPr>
        <w:spacing w:after="0" w:line="204" w:lineRule="auto"/>
        <w:rPr>
          <w:sz w:val="20"/>
          <w:szCs w:val="20"/>
          <w:color w:val="auto"/>
        </w:rPr>
      </w:pPr>
      <w:r>
        <w:rPr>
          <w:rFonts w:ascii="Arial" w:cs="Arial" w:eastAsia="Arial" w:hAnsi="Arial"/>
          <w:sz w:val="4"/>
          <w:szCs w:val="4"/>
          <w:color w:val="FFFFFF"/>
        </w:rPr>
        <w:t>acquisition210bpsimprovementofPEP&amp;theresultingNNOperatingfromtheSystem$5.4millionofPEPof the increase from the acquisition</w:t>
      </w:r>
    </w:p>
    <w:p>
      <w:pPr>
        <w:spacing w:after="0" w:line="205" w:lineRule="auto"/>
        <w:rPr>
          <w:sz w:val="20"/>
          <w:szCs w:val="20"/>
          <w:color w:val="auto"/>
        </w:rPr>
      </w:pPr>
      <w:r>
        <w:rPr>
          <w:rFonts w:ascii="Arial" w:cs="Arial" w:eastAsia="Arial" w:hAnsi="Arial"/>
          <w:sz w:val="4"/>
          <w:szCs w:val="4"/>
          <w:color w:val="FFFFFF"/>
        </w:rPr>
        <w:t>In Millions</w:t>
      </w:r>
    </w:p>
    <w:p>
      <w:pPr>
        <w:spacing w:after="0" w:line="199" w:lineRule="auto"/>
        <w:tabs>
          <w:tab w:leader="none" w:pos="440" w:val="left"/>
        </w:tabs>
        <w:rPr>
          <w:sz w:val="20"/>
          <w:szCs w:val="20"/>
          <w:color w:val="auto"/>
        </w:rPr>
      </w:pPr>
      <w:r>
        <w:rPr>
          <w:rFonts w:ascii="Arial" w:cs="Arial" w:eastAsia="Arial" w:hAnsi="Arial"/>
          <w:sz w:val="12"/>
          <w:szCs w:val="12"/>
          <w:color w:val="FFFFFF"/>
        </w:rPr>
        <w:t>18.0%</w:t>
      </w:r>
      <w:r>
        <w:rPr>
          <w:sz w:val="20"/>
          <w:szCs w:val="20"/>
          <w:color w:val="auto"/>
        </w:rPr>
        <w:tab/>
      </w:r>
      <w:r>
        <w:rPr>
          <w:rFonts w:ascii="Arial" w:cs="Arial" w:eastAsia="Arial" w:hAnsi="Arial"/>
          <w:sz w:val="11"/>
          <w:szCs w:val="11"/>
          <w:color w:val="FFFFFF"/>
        </w:rPr>
        <w:t>$22.0</w:t>
      </w:r>
    </w:p>
    <w:p>
      <w:pPr>
        <w:spacing w:after="0" w:line="191" w:lineRule="auto"/>
        <w:tabs>
          <w:tab w:leader="none" w:pos="440" w:val="left"/>
        </w:tabs>
        <w:rPr>
          <w:sz w:val="20"/>
          <w:szCs w:val="20"/>
          <w:color w:val="auto"/>
        </w:rPr>
      </w:pPr>
      <w:r>
        <w:rPr>
          <w:rFonts w:ascii="Arial" w:cs="Arial" w:eastAsia="Arial" w:hAnsi="Arial"/>
          <w:sz w:val="7"/>
          <w:szCs w:val="7"/>
          <w:color w:val="FFFFFF"/>
        </w:rPr>
        <w:t>$16.18</w:t>
      </w:r>
      <w:r>
        <w:rPr>
          <w:rFonts w:ascii="Arial" w:cs="Arial" w:eastAsia="Arial" w:hAnsi="Arial"/>
          <w:sz w:val="10"/>
          <w:szCs w:val="10"/>
          <w:color w:val="FFFFFF"/>
          <w:vertAlign w:val="subscript"/>
        </w:rPr>
        <w:t>0%</w:t>
      </w:r>
      <w:r>
        <w:rPr>
          <w:rFonts w:ascii="Arial" w:cs="Arial" w:eastAsia="Arial" w:hAnsi="Arial"/>
          <w:sz w:val="7"/>
          <w:szCs w:val="7"/>
          <w:color w:val="FFFFFF"/>
        </w:rPr>
        <w:t>0%.</w:t>
      </w:r>
      <w:r>
        <w:rPr>
          <w:sz w:val="20"/>
          <w:szCs w:val="20"/>
          <w:color w:val="auto"/>
        </w:rPr>
        <w:tab/>
      </w:r>
      <w:r>
        <w:rPr>
          <w:rFonts w:ascii="Arial" w:cs="Arial" w:eastAsia="Arial" w:hAnsi="Arial"/>
          <w:sz w:val="10"/>
          <w:szCs w:val="10"/>
          <w:color w:val="FFFFFF"/>
        </w:rPr>
        <w:t>16.8% $20.0 $20.7</w:t>
      </w:r>
    </w:p>
    <w:p>
      <w:pPr>
        <w:spacing w:after="0" w:line="182" w:lineRule="auto"/>
        <w:tabs>
          <w:tab w:leader="none" w:pos="440" w:val="left"/>
        </w:tabs>
        <w:rPr>
          <w:sz w:val="20"/>
          <w:szCs w:val="20"/>
          <w:color w:val="auto"/>
        </w:rPr>
      </w:pPr>
      <w:r>
        <w:rPr>
          <w:rFonts w:ascii="Arial" w:cs="Arial" w:eastAsia="Arial" w:hAnsi="Arial"/>
          <w:sz w:val="7"/>
          <w:szCs w:val="7"/>
          <w:color w:val="FFFFFF"/>
        </w:rPr>
        <w:t>$14.16</w:t>
      </w:r>
      <w:r>
        <w:rPr>
          <w:rFonts w:ascii="Arial" w:cs="Arial" w:eastAsia="Arial" w:hAnsi="Arial"/>
          <w:sz w:val="9"/>
          <w:szCs w:val="9"/>
          <w:color w:val="FFFFFF"/>
          <w:vertAlign w:val="subscript"/>
        </w:rPr>
        <w:t>0%</w:t>
      </w:r>
      <w:r>
        <w:rPr>
          <w:rFonts w:ascii="Arial" w:cs="Arial" w:eastAsia="Arial" w:hAnsi="Arial"/>
          <w:sz w:val="7"/>
          <w:szCs w:val="7"/>
          <w:color w:val="FFFFFF"/>
        </w:rPr>
        <w:t>.</w:t>
      </w:r>
      <w:r>
        <w:rPr>
          <w:sz w:val="20"/>
          <w:szCs w:val="20"/>
          <w:color w:val="auto"/>
        </w:rPr>
        <w:tab/>
      </w:r>
      <w:r>
        <w:rPr>
          <w:rFonts w:ascii="Arial" w:cs="Arial" w:eastAsia="Arial" w:hAnsi="Arial"/>
          <w:sz w:val="9"/>
          <w:szCs w:val="9"/>
          <w:color w:val="FFFFFF"/>
        </w:rPr>
        <w:t>14.7%</w:t>
      </w:r>
    </w:p>
    <w:p>
      <w:pPr>
        <w:spacing w:after="0" w:line="191" w:lineRule="auto"/>
        <w:rPr>
          <w:sz w:val="20"/>
          <w:szCs w:val="20"/>
          <w:color w:val="auto"/>
        </w:rPr>
      </w:pPr>
      <w:r>
        <w:rPr>
          <w:rFonts w:ascii="Arial" w:cs="Arial" w:eastAsia="Arial" w:hAnsi="Arial"/>
          <w:sz w:val="10"/>
          <w:szCs w:val="10"/>
          <w:color w:val="FFFFFF"/>
        </w:rPr>
        <w:t>$12.14.</w:t>
      </w:r>
    </w:p>
    <w:p>
      <w:pPr>
        <w:spacing w:after="0" w:line="192" w:lineRule="auto"/>
        <w:tabs>
          <w:tab w:leader="none" w:pos="440" w:val="left"/>
        </w:tabs>
        <w:rPr>
          <w:sz w:val="20"/>
          <w:szCs w:val="20"/>
          <w:color w:val="auto"/>
        </w:rPr>
      </w:pPr>
      <w:r>
        <w:rPr>
          <w:rFonts w:ascii="Arial" w:cs="Arial" w:eastAsia="Arial" w:hAnsi="Arial"/>
          <w:sz w:val="10"/>
          <w:szCs w:val="10"/>
          <w:color w:val="FFFFFF"/>
        </w:rPr>
        <w:t>$10.12.0</w:t>
      </w:r>
      <w:r>
        <w:rPr>
          <w:sz w:val="20"/>
          <w:szCs w:val="20"/>
          <w:color w:val="auto"/>
        </w:rPr>
        <w:tab/>
      </w:r>
      <w:r>
        <w:rPr>
          <w:rFonts w:ascii="Arial" w:cs="Arial" w:eastAsia="Arial" w:hAnsi="Arial"/>
          <w:sz w:val="10"/>
          <w:szCs w:val="10"/>
          <w:color w:val="FFFFFF"/>
        </w:rPr>
        <w:t>$12.0</w:t>
      </w:r>
    </w:p>
    <w:p>
      <w:pPr>
        <w:spacing w:after="0" w:line="205" w:lineRule="auto"/>
        <w:tabs>
          <w:tab w:leader="none" w:pos="440" w:val="left"/>
        </w:tabs>
        <w:rPr>
          <w:sz w:val="20"/>
          <w:szCs w:val="20"/>
          <w:color w:val="auto"/>
        </w:rPr>
      </w:pPr>
      <w:r>
        <w:rPr>
          <w:rFonts w:ascii="Arial" w:cs="Arial" w:eastAsia="Arial" w:hAnsi="Arial"/>
          <w:sz w:val="4"/>
          <w:szCs w:val="4"/>
          <w:color w:val="FFFFFF"/>
        </w:rPr>
        <w:t>8.0%</w:t>
      </w:r>
      <w:r>
        <w:rPr>
          <w:sz w:val="20"/>
          <w:szCs w:val="20"/>
          <w:color w:val="auto"/>
        </w:rPr>
        <w:tab/>
      </w:r>
      <w:r>
        <w:rPr>
          <w:rFonts w:ascii="Arial" w:cs="Arial" w:eastAsia="Arial" w:hAnsi="Arial"/>
          <w:sz w:val="4"/>
          <w:szCs w:val="4"/>
          <w:color w:val="FFFFFF"/>
        </w:rPr>
        <w:t>$10.0</w:t>
      </w:r>
    </w:p>
    <w:p>
      <w:pPr>
        <w:spacing w:after="0" w:line="182" w:lineRule="auto"/>
        <w:rPr>
          <w:sz w:val="20"/>
          <w:szCs w:val="20"/>
          <w:color w:val="auto"/>
        </w:rPr>
      </w:pPr>
      <w:r>
        <w:rPr>
          <w:rFonts w:ascii="Arial" w:cs="Arial" w:eastAsia="Arial" w:hAnsi="Arial"/>
          <w:sz w:val="7"/>
          <w:szCs w:val="7"/>
          <w:color w:val="FFFFFF"/>
        </w:rPr>
        <w:t>$$</w:t>
      </w:r>
      <w:r>
        <w:rPr>
          <w:rFonts w:ascii="Arial" w:cs="Arial" w:eastAsia="Arial" w:hAnsi="Arial"/>
          <w:sz w:val="9"/>
          <w:szCs w:val="9"/>
          <w:color w:val="FFFFFF"/>
          <w:vertAlign w:val="superscript"/>
        </w:rPr>
        <w:t>.</w:t>
      </w:r>
      <w:r>
        <w:rPr>
          <w:rFonts w:ascii="Arial" w:cs="Arial" w:eastAsia="Arial" w:hAnsi="Arial"/>
          <w:sz w:val="7"/>
          <w:szCs w:val="7"/>
          <w:color w:val="FFFFFF"/>
        </w:rPr>
        <w:t>68.</w:t>
      </w:r>
    </w:p>
    <w:p>
      <w:pPr>
        <w:spacing w:after="0" w:line="182" w:lineRule="auto"/>
        <w:rPr>
          <w:sz w:val="20"/>
          <w:szCs w:val="20"/>
          <w:color w:val="auto"/>
        </w:rPr>
      </w:pPr>
      <w:r>
        <w:rPr>
          <w:rFonts w:ascii="Arial" w:cs="Arial" w:eastAsia="Arial" w:hAnsi="Arial"/>
          <w:sz w:val="7"/>
          <w:szCs w:val="7"/>
          <w:color w:val="FFFFFF"/>
        </w:rPr>
        <w:t>$</w:t>
      </w:r>
      <w:r>
        <w:rPr>
          <w:rFonts w:ascii="Arial" w:cs="Arial" w:eastAsia="Arial" w:hAnsi="Arial"/>
          <w:sz w:val="9"/>
          <w:szCs w:val="9"/>
          <w:color w:val="FFFFFF"/>
          <w:vertAlign w:val="superscript"/>
        </w:rPr>
        <w:t>.</w:t>
      </w:r>
      <w:r>
        <w:rPr>
          <w:rFonts w:ascii="Arial" w:cs="Arial" w:eastAsia="Arial" w:hAnsi="Arial"/>
          <w:sz w:val="7"/>
          <w:szCs w:val="7"/>
          <w:color w:val="FFFFFF"/>
        </w:rPr>
        <w:t>4</w:t>
      </w:r>
      <w:r>
        <w:rPr>
          <w:rFonts w:ascii="Arial" w:cs="Arial" w:eastAsia="Arial" w:hAnsi="Arial"/>
          <w:sz w:val="9"/>
          <w:szCs w:val="9"/>
          <w:color w:val="FFFFFF"/>
          <w:vertAlign w:val="subscript"/>
        </w:rPr>
        <w:t>0%</w:t>
      </w:r>
      <w:r>
        <w:rPr>
          <w:rFonts w:ascii="Arial" w:cs="Arial" w:eastAsia="Arial" w:hAnsi="Arial"/>
          <w:sz w:val="7"/>
          <w:szCs w:val="7"/>
          <w:color w:val="FFFFFF"/>
        </w:rPr>
        <w:t>..</w:t>
      </w:r>
    </w:p>
    <w:p>
      <w:pPr>
        <w:spacing w:after="0" w:line="219" w:lineRule="auto"/>
        <w:tabs>
          <w:tab w:leader="none" w:pos="440" w:val="left"/>
        </w:tabs>
        <w:rPr>
          <w:sz w:val="20"/>
          <w:szCs w:val="20"/>
          <w:color w:val="auto"/>
        </w:rPr>
      </w:pPr>
      <w:r>
        <w:rPr>
          <w:rFonts w:ascii="Arial" w:cs="Arial" w:eastAsia="Arial" w:hAnsi="Arial"/>
          <w:sz w:val="5"/>
          <w:szCs w:val="5"/>
          <w:color w:val="FFFFFF"/>
        </w:rPr>
        <w:t>2.</w:t>
      </w:r>
      <w:r>
        <w:rPr>
          <w:sz w:val="20"/>
          <w:szCs w:val="20"/>
          <w:color w:val="auto"/>
        </w:rPr>
        <w:tab/>
      </w:r>
      <w:r>
        <w:rPr>
          <w:rFonts w:ascii="Arial" w:cs="Arial" w:eastAsia="Arial" w:hAnsi="Arial"/>
          <w:sz w:val="5"/>
          <w:szCs w:val="5"/>
          <w:color w:val="FFFFFF"/>
        </w:rPr>
        <w:t>$2.0</w:t>
      </w:r>
    </w:p>
    <w:p>
      <w:pPr>
        <w:spacing w:after="0" w:line="191" w:lineRule="auto"/>
        <w:tabs>
          <w:tab w:leader="none" w:pos="440" w:val="left"/>
        </w:tabs>
        <w:rPr>
          <w:sz w:val="20"/>
          <w:szCs w:val="20"/>
          <w:color w:val="auto"/>
        </w:rPr>
      </w:pPr>
      <w:r>
        <w:rPr>
          <w:rFonts w:ascii="Arial" w:cs="Arial" w:eastAsia="Arial" w:hAnsi="Arial"/>
          <w:sz w:val="10"/>
          <w:szCs w:val="10"/>
          <w:color w:val="FFFFFF"/>
        </w:rPr>
        <w:t>0.0%</w:t>
      </w:r>
      <w:r>
        <w:rPr>
          <w:sz w:val="20"/>
          <w:szCs w:val="20"/>
          <w:color w:val="auto"/>
        </w:rPr>
        <w:tab/>
      </w:r>
      <w:r>
        <w:rPr>
          <w:rFonts w:ascii="Arial" w:cs="Arial" w:eastAsia="Arial" w:hAnsi="Arial"/>
          <w:sz w:val="10"/>
          <w:szCs w:val="10"/>
          <w:color w:val="FFFFFF"/>
        </w:rPr>
        <w:t>$0.0</w:t>
      </w:r>
    </w:p>
    <w:p>
      <w:pPr>
        <w:spacing w:after="0" w:line="206" w:lineRule="auto"/>
        <w:rPr>
          <w:sz w:val="20"/>
          <w:szCs w:val="20"/>
          <w:color w:val="auto"/>
        </w:rPr>
      </w:pPr>
      <w:r>
        <w:rPr>
          <w:rFonts w:ascii="Arial" w:cs="Arial" w:eastAsia="Arial" w:hAnsi="Arial"/>
          <w:sz w:val="4"/>
          <w:szCs w:val="4"/>
          <w:color w:val="FFFFFF"/>
        </w:rPr>
        <w:t>www.nninc.com201520162015 2016</w:t>
      </w:r>
    </w:p>
    <w:p>
      <w:pPr>
        <w:spacing w:after="0"/>
        <w:rPr>
          <w:sz w:val="20"/>
          <w:szCs w:val="20"/>
          <w:color w:val="auto"/>
        </w:rPr>
      </w:pPr>
      <w:r>
        <w:rPr>
          <w:rFonts w:ascii="Arial" w:cs="Arial" w:eastAsia="Arial" w:hAnsi="Arial"/>
          <w:sz w:val="13"/>
          <w:szCs w:val="13"/>
          <w:color w:val="FFFFFF"/>
        </w:rPr>
        <w:t>7</w:t>
      </w:r>
    </w:p>
    <w:p>
      <w:pPr>
        <w:sectPr>
          <w:pgSz w:w="11900" w:h="16838" w:orient="portrait"/>
          <w:cols w:equalWidth="0" w:num="1">
            <w:col w:w="10219"/>
          </w:cols>
          <w:pgMar w:left="2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gridSpan w:val="2"/>
          </w:tcPr>
          <w:p>
            <w:pPr>
              <w:spacing w:after="0"/>
              <w:rPr>
                <w:sz w:val="20"/>
                <w:szCs w:val="20"/>
                <w:color w:val="auto"/>
              </w:rPr>
            </w:pPr>
            <w:r>
              <w:rPr>
                <w:rFonts w:ascii="Arial" w:cs="Arial" w:eastAsia="Arial" w:hAnsi="Arial"/>
                <w:sz w:val="13"/>
                <w:szCs w:val="13"/>
                <w:color w:val="FFFFFF"/>
              </w:rPr>
              <w:t>Autocam Precision Components Group</w:t>
            </w:r>
          </w:p>
        </w:tc>
        <w:tc>
          <w:tcPr>
            <w:tcW w:w="0" w:type="dxa"/>
            <w:vAlign w:val="bottom"/>
          </w:tcPr>
          <w:p>
            <w:pPr>
              <w:spacing w:after="0"/>
              <w:rPr>
                <w:sz w:val="1"/>
                <w:szCs w:val="1"/>
                <w:color w:val="auto"/>
              </w:rPr>
            </w:pPr>
          </w:p>
        </w:tc>
      </w:tr>
      <w:tr>
        <w:trPr>
          <w:trHeight w:val="39"/>
        </w:trPr>
        <w:tc>
          <w:tcPr>
            <w:tcW w:w="2320" w:type="dxa"/>
            <w:vAlign w:val="bottom"/>
            <w:gridSpan w:val="2"/>
          </w:tcPr>
          <w:p>
            <w:pPr>
              <w:spacing w:after="0" w:line="40" w:lineRule="exact"/>
              <w:rPr>
                <w:sz w:val="20"/>
                <w:szCs w:val="20"/>
                <w:color w:val="auto"/>
              </w:rPr>
            </w:pPr>
            <w:r>
              <w:rPr>
                <w:rFonts w:ascii="Arial" w:cs="Arial" w:eastAsia="Arial" w:hAnsi="Arial"/>
                <w:sz w:val="4"/>
                <w:szCs w:val="4"/>
                <w:color w:val="FFFFFF"/>
              </w:rPr>
              <w:t>Net Sales Adjusted Operating Margin</w:t>
            </w:r>
          </w:p>
        </w:tc>
        <w:tc>
          <w:tcPr>
            <w:tcW w:w="0" w:type="dxa"/>
            <w:vAlign w:val="bottom"/>
          </w:tcPr>
          <w:p>
            <w:pPr>
              <w:spacing w:after="0" w:line="20" w:lineRule="exact"/>
              <w:rPr>
                <w:sz w:val="1"/>
                <w:szCs w:val="1"/>
                <w:color w:val="auto"/>
              </w:rPr>
            </w:pPr>
          </w:p>
        </w:tc>
      </w:tr>
      <w:tr>
        <w:trPr>
          <w:trHeight w:val="39"/>
        </w:trPr>
        <w:tc>
          <w:tcPr>
            <w:tcW w:w="2320" w:type="dxa"/>
            <w:vAlign w:val="bottom"/>
            <w:gridSpan w:val="2"/>
          </w:tcPr>
          <w:p>
            <w:pPr>
              <w:spacing w:after="0" w:line="40" w:lineRule="exact"/>
              <w:rPr>
                <w:sz w:val="20"/>
                <w:szCs w:val="20"/>
                <w:color w:val="auto"/>
              </w:rPr>
            </w:pPr>
            <w:r>
              <w:rPr>
                <w:rFonts w:ascii="Arial" w:cs="Arial" w:eastAsia="Arial" w:hAnsi="Arial"/>
                <w:sz w:val="4"/>
                <w:szCs w:val="4"/>
                <w:color w:val="FFFFFF"/>
              </w:rPr>
              <w:t>CAFE adoption continues to drive increased</w:t>
            </w:r>
          </w:p>
        </w:tc>
        <w:tc>
          <w:tcPr>
            <w:tcW w:w="0" w:type="dxa"/>
            <w:vAlign w:val="bottom"/>
          </w:tcPr>
          <w:p>
            <w:pPr>
              <w:spacing w:after="0" w:line="20" w:lineRule="exact"/>
              <w:rPr>
                <w:sz w:val="1"/>
                <w:szCs w:val="1"/>
                <w:color w:val="auto"/>
              </w:rPr>
            </w:pPr>
          </w:p>
        </w:tc>
      </w:tr>
      <w:tr>
        <w:trPr>
          <w:trHeight w:val="39"/>
        </w:trPr>
        <w:tc>
          <w:tcPr>
            <w:tcW w:w="2320" w:type="dxa"/>
            <w:vAlign w:val="bottom"/>
            <w:gridSpan w:val="2"/>
          </w:tcPr>
          <w:p>
            <w:pPr>
              <w:spacing w:after="0" w:line="40" w:lineRule="exact"/>
              <w:rPr>
                <w:sz w:val="20"/>
                <w:szCs w:val="20"/>
                <w:color w:val="auto"/>
              </w:rPr>
            </w:pPr>
            <w:r>
              <w:rPr>
                <w:rFonts w:ascii="Arial" w:cs="Arial" w:eastAsia="Arial" w:hAnsi="Arial"/>
                <w:sz w:val="4"/>
                <w:szCs w:val="4"/>
                <w:color w:val="FFFFFF"/>
              </w:rPr>
              <w:t>content &amp; margin expansion</w:t>
            </w:r>
          </w:p>
        </w:tc>
        <w:tc>
          <w:tcPr>
            <w:tcW w:w="0" w:type="dxa"/>
            <w:vAlign w:val="bottom"/>
          </w:tcPr>
          <w:p>
            <w:pPr>
              <w:spacing w:after="0" w:line="20" w:lineRule="exact"/>
              <w:rPr>
                <w:sz w:val="1"/>
                <w:szCs w:val="1"/>
                <w:color w:val="auto"/>
              </w:rPr>
            </w:pPr>
          </w:p>
        </w:tc>
      </w:tr>
      <w:tr>
        <w:trPr>
          <w:trHeight w:val="39"/>
        </w:trPr>
        <w:tc>
          <w:tcPr>
            <w:tcW w:w="2320" w:type="dxa"/>
            <w:vAlign w:val="bottom"/>
            <w:gridSpan w:val="2"/>
          </w:tcPr>
          <w:p>
            <w:pPr>
              <w:spacing w:after="0" w:line="40" w:lineRule="exact"/>
              <w:rPr>
                <w:sz w:val="20"/>
                <w:szCs w:val="20"/>
                <w:color w:val="auto"/>
              </w:rPr>
            </w:pPr>
            <w:r>
              <w:rPr>
                <w:rFonts w:ascii="Arial" w:cs="Arial" w:eastAsia="Arial" w:hAnsi="Arial"/>
                <w:sz w:val="4"/>
                <w:szCs w:val="4"/>
                <w:color w:val="FFFFFF"/>
              </w:rPr>
              <w:t>In Millions</w:t>
            </w: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$90.0</w:t>
            </w:r>
          </w:p>
        </w:tc>
        <w:tc>
          <w:tcPr>
            <w:tcW w:w="1920" w:type="dxa"/>
            <w:vAlign w:val="bottom"/>
          </w:tcPr>
          <w:p>
            <w:pPr>
              <w:ind w:left="60"/>
              <w:spacing w:after="0" w:line="40" w:lineRule="exact"/>
              <w:rPr>
                <w:sz w:val="20"/>
                <w:szCs w:val="20"/>
                <w:color w:val="auto"/>
              </w:rPr>
            </w:pPr>
            <w:r>
              <w:rPr>
                <w:rFonts w:ascii="Arial" w:cs="Arial" w:eastAsia="Arial" w:hAnsi="Arial"/>
                <w:sz w:val="4"/>
                <w:szCs w:val="4"/>
                <w:color w:val="FFFFFF"/>
              </w:rPr>
              <w:t>14.0%</w:t>
            </w:r>
          </w:p>
        </w:tc>
        <w:tc>
          <w:tcPr>
            <w:tcW w:w="0" w:type="dxa"/>
            <w:vAlign w:val="bottom"/>
          </w:tcPr>
          <w:p>
            <w:pPr>
              <w:spacing w:after="0" w:line="20" w:lineRule="exact"/>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13.</w:t>
            </w:r>
          </w:p>
        </w:tc>
        <w:tc>
          <w:tcPr>
            <w:tcW w:w="1920" w:type="dxa"/>
            <w:vAlign w:val="bottom"/>
            <w:vMerge w:val="restart"/>
          </w:tcPr>
          <w:p>
            <w:pPr>
              <w:ind w:left="60"/>
              <w:spacing w:after="0" w:line="92" w:lineRule="exact"/>
              <w:rPr>
                <w:sz w:val="20"/>
                <w:szCs w:val="20"/>
                <w:color w:val="auto"/>
              </w:rPr>
            </w:pPr>
            <w:r>
              <w:rPr>
                <w:rFonts w:ascii="Arial" w:cs="Arial" w:eastAsia="Arial" w:hAnsi="Arial"/>
                <w:sz w:val="10"/>
                <w:szCs w:val="10"/>
                <w:color w:val="FFFFFF"/>
              </w:rPr>
              <w:t>$82.6 $84.0 13.2%</w:t>
            </w:r>
          </w:p>
        </w:tc>
        <w:tc>
          <w:tcPr>
            <w:tcW w:w="0" w:type="dxa"/>
            <w:vAlign w:val="bottom"/>
          </w:tcPr>
          <w:p>
            <w:pPr>
              <w:spacing w:after="0"/>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$80.0%</w:t>
            </w:r>
          </w:p>
        </w:tc>
        <w:tc>
          <w:tcPr>
            <w:tcW w:w="1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12.</w:t>
            </w:r>
          </w:p>
        </w:tc>
        <w:tc>
          <w:tcPr>
            <w:tcW w:w="1920" w:type="dxa"/>
            <w:vAlign w:val="bottom"/>
            <w:vMerge w:val="restart"/>
          </w:tcPr>
          <w:p>
            <w:pPr>
              <w:ind w:left="60"/>
              <w:spacing w:after="0" w:line="92" w:lineRule="exact"/>
              <w:rPr>
                <w:sz w:val="20"/>
                <w:szCs w:val="20"/>
                <w:color w:val="auto"/>
              </w:rPr>
            </w:pPr>
            <w:r>
              <w:rPr>
                <w:rFonts w:ascii="Arial" w:cs="Arial" w:eastAsia="Arial" w:hAnsi="Arial"/>
                <w:sz w:val="10"/>
                <w:szCs w:val="10"/>
                <w:color w:val="FFFFFF"/>
              </w:rPr>
              <w:t>11.0% 11.5%</w:t>
            </w:r>
          </w:p>
        </w:tc>
        <w:tc>
          <w:tcPr>
            <w:tcW w:w="0" w:type="dxa"/>
            <w:vAlign w:val="bottom"/>
          </w:tcPr>
          <w:p>
            <w:pPr>
              <w:spacing w:after="0"/>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$70.0%</w:t>
            </w:r>
          </w:p>
        </w:tc>
        <w:tc>
          <w:tcPr>
            <w:tcW w:w="1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$60.0</w:t>
            </w:r>
          </w:p>
        </w:tc>
        <w:tc>
          <w:tcPr>
            <w:tcW w:w="1920" w:type="dxa"/>
            <w:vAlign w:val="bottom"/>
          </w:tcPr>
          <w:p>
            <w:pPr>
              <w:ind w:left="60"/>
              <w:spacing w:after="0" w:line="53" w:lineRule="exact"/>
              <w:rPr>
                <w:sz w:val="20"/>
                <w:szCs w:val="20"/>
                <w:color w:val="auto"/>
              </w:rPr>
            </w:pPr>
            <w:r>
              <w:rPr>
                <w:rFonts w:ascii="Arial" w:cs="Arial" w:eastAsia="Arial" w:hAnsi="Arial"/>
                <w:sz w:val="5"/>
                <w:szCs w:val="5"/>
                <w:color w:val="FFFFFF"/>
              </w:rPr>
              <w:t>10.0%</w:t>
            </w:r>
          </w:p>
        </w:tc>
        <w:tc>
          <w:tcPr>
            <w:tcW w:w="0" w:type="dxa"/>
            <w:vAlign w:val="bottom"/>
          </w:tcPr>
          <w:p>
            <w:pPr>
              <w:spacing w:after="0"/>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9.0%</w:t>
            </w:r>
          </w:p>
        </w:tc>
        <w:tc>
          <w:tcPr>
            <w:tcW w:w="1920" w:type="dxa"/>
            <w:vAlign w:val="bottom"/>
            <w:vMerge w:val="restart"/>
          </w:tcPr>
          <w:p>
            <w:pPr>
              <w:ind w:left="60"/>
              <w:spacing w:after="0" w:line="92" w:lineRule="exact"/>
              <w:rPr>
                <w:sz w:val="20"/>
                <w:szCs w:val="20"/>
                <w:color w:val="auto"/>
              </w:rPr>
            </w:pPr>
            <w:r>
              <w:rPr>
                <w:rFonts w:ascii="Arial" w:cs="Arial" w:eastAsia="Arial" w:hAnsi="Arial"/>
                <w:sz w:val="10"/>
                <w:szCs w:val="10"/>
                <w:color w:val="FFFFFF"/>
              </w:rPr>
              <w:t>8.0%</w:t>
            </w:r>
          </w:p>
        </w:tc>
        <w:tc>
          <w:tcPr>
            <w:tcW w:w="0" w:type="dxa"/>
            <w:vAlign w:val="bottom"/>
          </w:tcPr>
          <w:p>
            <w:pPr>
              <w:spacing w:after="0"/>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$50.0</w:t>
            </w:r>
          </w:p>
        </w:tc>
        <w:tc>
          <w:tcPr>
            <w:tcW w:w="1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$40.0</w:t>
            </w:r>
          </w:p>
        </w:tc>
        <w:tc>
          <w:tcPr>
            <w:tcW w:w="1920" w:type="dxa"/>
            <w:vAlign w:val="bottom"/>
          </w:tcPr>
          <w:p>
            <w:pPr>
              <w:ind w:left="60"/>
              <w:spacing w:after="0" w:line="53" w:lineRule="exact"/>
              <w:rPr>
                <w:sz w:val="20"/>
                <w:szCs w:val="20"/>
                <w:color w:val="auto"/>
              </w:rPr>
            </w:pPr>
            <w:r>
              <w:rPr>
                <w:rFonts w:ascii="Arial" w:cs="Arial" w:eastAsia="Arial" w:hAnsi="Arial"/>
                <w:sz w:val="5"/>
                <w:szCs w:val="5"/>
                <w:color w:val="FFFFFF"/>
              </w:rPr>
              <w:t>7.0%</w:t>
            </w:r>
          </w:p>
        </w:tc>
        <w:tc>
          <w:tcPr>
            <w:tcW w:w="0" w:type="dxa"/>
            <w:vAlign w:val="bottom"/>
          </w:tcPr>
          <w:p>
            <w:pPr>
              <w:spacing w:after="0"/>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6.0%</w:t>
            </w: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$30.0</w:t>
            </w: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5.0%</w:t>
            </w:r>
          </w:p>
        </w:tc>
        <w:tc>
          <w:tcPr>
            <w:tcW w:w="1920" w:type="dxa"/>
            <w:vAlign w:val="bottom"/>
            <w:vMerge w:val="restart"/>
          </w:tcPr>
          <w:p>
            <w:pPr>
              <w:ind w:left="60"/>
              <w:spacing w:after="0" w:line="79" w:lineRule="exact"/>
              <w:rPr>
                <w:sz w:val="20"/>
                <w:szCs w:val="20"/>
                <w:color w:val="auto"/>
              </w:rPr>
            </w:pPr>
            <w:r>
              <w:rPr>
                <w:rFonts w:ascii="Arial" w:cs="Arial" w:eastAsia="Arial" w:hAnsi="Arial"/>
                <w:sz w:val="9"/>
                <w:szCs w:val="9"/>
                <w:color w:val="FFFFFF"/>
              </w:rPr>
              <w:t>4.0%</w:t>
            </w: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$20.0</w:t>
            </w:r>
          </w:p>
        </w:tc>
        <w:tc>
          <w:tcPr>
            <w:tcW w:w="1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3.0%</w:t>
            </w: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$10.0</w:t>
            </w: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2.</w:t>
            </w:r>
          </w:p>
        </w:tc>
        <w:tc>
          <w:tcPr>
            <w:tcW w:w="1920" w:type="dxa"/>
            <w:vAlign w:val="bottom"/>
            <w:vMerge w:val="restart"/>
          </w:tcPr>
          <w:p>
            <w:pPr>
              <w:ind w:left="60"/>
              <w:spacing w:after="0"/>
              <w:rPr>
                <w:sz w:val="20"/>
                <w:szCs w:val="20"/>
                <w:color w:val="auto"/>
              </w:rPr>
            </w:pPr>
            <w:r>
              <w:rPr>
                <w:rFonts w:ascii="Arial" w:cs="Arial" w:eastAsia="Arial" w:hAnsi="Arial"/>
                <w:sz w:val="1"/>
                <w:szCs w:val="1"/>
                <w:color w:val="FFFFFF"/>
              </w:rPr>
              <w:t>1.0%</w:t>
            </w:r>
          </w:p>
        </w:tc>
        <w:tc>
          <w:tcPr>
            <w:tcW w:w="0" w:type="dxa"/>
            <w:vAlign w:val="bottom"/>
          </w:tcPr>
          <w:p>
            <w:pPr>
              <w:spacing w:after="0" w:line="20" w:lineRule="exact"/>
              <w:rPr>
                <w:sz w:val="1"/>
                <w:szCs w:val="1"/>
                <w:color w:val="auto"/>
              </w:rPr>
            </w:pPr>
          </w:p>
        </w:tc>
      </w:tr>
      <w:tr>
        <w:trPr>
          <w:trHeight w:val="0"/>
        </w:trPr>
        <w:tc>
          <w:tcPr>
            <w:tcW w:w="400" w:type="dxa"/>
            <w:vAlign w:val="bottom"/>
          </w:tcPr>
          <w:p>
            <w:pPr>
              <w:spacing w:after="0"/>
              <w:rPr>
                <w:sz w:val="20"/>
                <w:szCs w:val="20"/>
                <w:color w:val="auto"/>
              </w:rPr>
            </w:pPr>
            <w:r>
              <w:rPr>
                <w:rFonts w:ascii="Arial" w:cs="Arial" w:eastAsia="Arial" w:hAnsi="Arial"/>
                <w:sz w:val="2"/>
                <w:szCs w:val="2"/>
                <w:color w:val="FFFFFF"/>
              </w:rPr>
              <w:t>$0.0%</w:t>
            </w:r>
          </w:p>
        </w:tc>
        <w:tc>
          <w:tcPr>
            <w:tcW w:w="1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auto"/>
        <w:rPr>
          <w:sz w:val="20"/>
          <w:szCs w:val="20"/>
          <w:color w:val="auto"/>
        </w:rPr>
      </w:pPr>
      <w:r>
        <w:rPr>
          <w:rFonts w:ascii="Arial" w:cs="Arial" w:eastAsia="Arial" w:hAnsi="Arial"/>
          <w:sz w:val="5"/>
          <w:szCs w:val="5"/>
          <w:color w:val="FFFFFF"/>
        </w:rPr>
        <w:t>2015 2016 2015 2016</w:t>
      </w:r>
    </w:p>
    <w:p>
      <w:pPr>
        <w:spacing w:after="0" w:line="205" w:lineRule="auto"/>
        <w:rPr>
          <w:sz w:val="20"/>
          <w:szCs w:val="20"/>
          <w:color w:val="auto"/>
        </w:rPr>
      </w:pPr>
      <w:r>
        <w:rPr>
          <w:rFonts w:ascii="Arial" w:cs="Arial" w:eastAsia="Arial" w:hAnsi="Arial"/>
          <w:sz w:val="4"/>
          <w:szCs w:val="4"/>
          <w:color w:val="FFFFFF"/>
        </w:rPr>
        <w:t>www.nninc.comJVContribution</w:t>
      </w:r>
    </w:p>
    <w:p>
      <w:pPr>
        <w:spacing w:after="0"/>
        <w:rPr>
          <w:sz w:val="20"/>
          <w:szCs w:val="20"/>
          <w:color w:val="auto"/>
        </w:rPr>
      </w:pPr>
      <w:r>
        <w:rPr>
          <w:rFonts w:ascii="Arial" w:cs="Arial" w:eastAsia="Arial" w:hAnsi="Arial"/>
          <w:sz w:val="13"/>
          <w:szCs w:val="13"/>
          <w:color w:val="FFFFFF"/>
        </w:rPr>
        <w:t>8</w:t>
      </w:r>
    </w:p>
    <w:p>
      <w:pPr>
        <w:sectPr>
          <w:pgSz w:w="11900" w:h="16838" w:orient="portrait"/>
          <w:cols w:equalWidth="0" w:num="1">
            <w:col w:w="10219"/>
          </w:cols>
          <w:pgMar w:left="2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gridSpan w:val="2"/>
          </w:tcPr>
          <w:p>
            <w:pPr>
              <w:spacing w:after="0"/>
              <w:rPr>
                <w:sz w:val="20"/>
                <w:szCs w:val="20"/>
                <w:color w:val="auto"/>
              </w:rPr>
            </w:pPr>
            <w:r>
              <w:rPr>
                <w:rFonts w:ascii="Arial" w:cs="Arial" w:eastAsia="Arial" w:hAnsi="Arial"/>
                <w:sz w:val="13"/>
                <w:szCs w:val="13"/>
                <w:color w:val="FFFFFF"/>
              </w:rPr>
              <w:t>Precision Bearing Components Group</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500" w:type="dxa"/>
            <w:vAlign w:val="bottom"/>
            <w:gridSpan w:val="2"/>
          </w:tcPr>
          <w:p>
            <w:pPr>
              <w:ind w:left="220"/>
              <w:spacing w:after="0" w:line="40" w:lineRule="exact"/>
              <w:rPr>
                <w:sz w:val="20"/>
                <w:szCs w:val="20"/>
                <w:color w:val="auto"/>
              </w:rPr>
            </w:pPr>
            <w:r>
              <w:rPr>
                <w:rFonts w:ascii="Arial" w:cs="Arial" w:eastAsia="Arial" w:hAnsi="Arial"/>
                <w:sz w:val="4"/>
                <w:szCs w:val="4"/>
                <w:color w:val="FFFFFF"/>
              </w:rPr>
              <w:t>Sales Adjusted Operating Margin</w:t>
            </w:r>
          </w:p>
        </w:tc>
        <w:tc>
          <w:tcPr>
            <w:tcW w:w="3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500" w:type="dxa"/>
            <w:vAlign w:val="bottom"/>
            <w:gridSpan w:val="3"/>
          </w:tcPr>
          <w:p>
            <w:pPr>
              <w:spacing w:after="0" w:line="40" w:lineRule="exact"/>
              <w:rPr>
                <w:sz w:val="20"/>
                <w:szCs w:val="20"/>
                <w:color w:val="auto"/>
              </w:rPr>
            </w:pPr>
            <w:r>
              <w:rPr>
                <w:rFonts w:ascii="Arial" w:cs="Arial" w:eastAsia="Arial" w:hAnsi="Arial"/>
                <w:sz w:val="4"/>
                <w:szCs w:val="4"/>
                <w:color w:val="FFFFFF"/>
              </w:rPr>
              <w:t>Negative impact of currency translation and indu  rial end Margins were in line with expectations for the</w:t>
            </w:r>
          </w:p>
        </w:tc>
        <w:tc>
          <w:tcPr>
            <w:tcW w:w="0" w:type="dxa"/>
            <w:vAlign w:val="bottom"/>
          </w:tcPr>
          <w:p>
            <w:pPr>
              <w:spacing w:after="0" w:line="20" w:lineRule="exact"/>
              <w:rPr>
                <w:sz w:val="1"/>
                <w:szCs w:val="1"/>
                <w:color w:val="auto"/>
              </w:rPr>
            </w:pPr>
          </w:p>
        </w:tc>
      </w:tr>
      <w:tr>
        <w:trPr>
          <w:trHeight w:val="39"/>
        </w:trPr>
        <w:tc>
          <w:tcPr>
            <w:tcW w:w="2500" w:type="dxa"/>
            <w:vAlign w:val="bottom"/>
            <w:gridSpan w:val="2"/>
          </w:tcPr>
          <w:p>
            <w:pPr>
              <w:spacing w:after="0" w:line="40" w:lineRule="exact"/>
              <w:rPr>
                <w:sz w:val="20"/>
                <w:szCs w:val="20"/>
                <w:color w:val="auto"/>
              </w:rPr>
            </w:pPr>
            <w:r>
              <w:rPr>
                <w:rFonts w:ascii="Arial" w:cs="Arial" w:eastAsia="Arial" w:hAnsi="Arial"/>
                <w:sz w:val="4"/>
                <w:szCs w:val="4"/>
                <w:color w:val="FFFFFF"/>
              </w:rPr>
              <w:t>market softness impacted the quarter by $8.5M</w:t>
            </w:r>
          </w:p>
        </w:tc>
        <w:tc>
          <w:tcPr>
            <w:tcW w:w="3000" w:type="dxa"/>
            <w:vAlign w:val="bottom"/>
          </w:tcPr>
          <w:p>
            <w:pPr>
              <w:spacing w:after="0" w:line="40" w:lineRule="exact"/>
              <w:rPr>
                <w:sz w:val="20"/>
                <w:szCs w:val="20"/>
                <w:color w:val="auto"/>
              </w:rPr>
            </w:pPr>
            <w:r>
              <w:rPr>
                <w:rFonts w:ascii="Arial" w:cs="Arial" w:eastAsia="Arial" w:hAnsi="Arial"/>
                <w:sz w:val="4"/>
                <w:szCs w:val="4"/>
                <w:color w:val="FFFFFF"/>
              </w:rPr>
              <w:t>1st quarter, rebounding from Q4</w:t>
            </w:r>
          </w:p>
        </w:tc>
        <w:tc>
          <w:tcPr>
            <w:tcW w:w="0" w:type="dxa"/>
            <w:vAlign w:val="bottom"/>
          </w:tcPr>
          <w:p>
            <w:pPr>
              <w:spacing w:after="0" w:line="20" w:lineRule="exact"/>
              <w:rPr>
                <w:sz w:val="1"/>
                <w:szCs w:val="1"/>
                <w:color w:val="auto"/>
              </w:rPr>
            </w:pPr>
          </w:p>
        </w:tc>
      </w:tr>
      <w:tr>
        <w:trPr>
          <w:trHeight w:val="39"/>
        </w:trPr>
        <w:tc>
          <w:tcPr>
            <w:tcW w:w="2500" w:type="dxa"/>
            <w:vAlign w:val="bottom"/>
            <w:gridSpan w:val="2"/>
          </w:tcPr>
          <w:p>
            <w:pPr>
              <w:spacing w:after="0" w:line="40" w:lineRule="exact"/>
              <w:rPr>
                <w:sz w:val="20"/>
                <w:szCs w:val="20"/>
                <w:color w:val="auto"/>
              </w:rPr>
            </w:pPr>
            <w:r>
              <w:rPr>
                <w:rFonts w:ascii="Arial" w:cs="Arial" w:eastAsia="Arial" w:hAnsi="Arial"/>
                <w:sz w:val="4"/>
                <w:szCs w:val="4"/>
                <w:color w:val="FFFFFF"/>
              </w:rPr>
              <w:t>In Millions</w:t>
            </w:r>
          </w:p>
        </w:tc>
        <w:tc>
          <w:tcPr>
            <w:tcW w:w="3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$80.0</w:t>
            </w:r>
          </w:p>
        </w:tc>
        <w:tc>
          <w:tcPr>
            <w:tcW w:w="2100" w:type="dxa"/>
            <w:vAlign w:val="bottom"/>
          </w:tcPr>
          <w:p>
            <w:pPr>
              <w:ind w:left="60"/>
              <w:spacing w:after="0" w:line="40" w:lineRule="exact"/>
              <w:rPr>
                <w:sz w:val="20"/>
                <w:szCs w:val="20"/>
                <w:color w:val="auto"/>
              </w:rPr>
            </w:pPr>
            <w:r>
              <w:rPr>
                <w:rFonts w:ascii="Arial" w:cs="Arial" w:eastAsia="Arial" w:hAnsi="Arial"/>
                <w:sz w:val="4"/>
                <w:szCs w:val="4"/>
                <w:color w:val="FFFFFF"/>
              </w:rPr>
              <w:t>14.0%</w:t>
            </w:r>
          </w:p>
        </w:tc>
        <w:tc>
          <w:tcPr>
            <w:tcW w:w="3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13.</w:t>
            </w:r>
          </w:p>
        </w:tc>
        <w:tc>
          <w:tcPr>
            <w:tcW w:w="2100" w:type="dxa"/>
            <w:vAlign w:val="bottom"/>
            <w:vMerge w:val="restart"/>
          </w:tcPr>
          <w:p>
            <w:pPr>
              <w:ind w:left="60"/>
              <w:spacing w:after="0" w:line="92" w:lineRule="exact"/>
              <w:rPr>
                <w:sz w:val="20"/>
                <w:szCs w:val="20"/>
                <w:color w:val="auto"/>
              </w:rPr>
            </w:pPr>
            <w:r>
              <w:rPr>
                <w:rFonts w:ascii="Arial" w:cs="Arial" w:eastAsia="Arial" w:hAnsi="Arial"/>
                <w:sz w:val="10"/>
                <w:szCs w:val="10"/>
                <w:color w:val="FFFFFF"/>
              </w:rPr>
              <w:t>$73.2 12.0% 12.5%</w:t>
            </w: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$70.0%</w:t>
            </w:r>
          </w:p>
        </w:tc>
        <w:tc>
          <w:tcPr>
            <w:tcW w:w="2100" w:type="dxa"/>
            <w:vAlign w:val="bottom"/>
            <w:vMerge w:val="continue"/>
          </w:tcPr>
          <w:p>
            <w:pPr>
              <w:spacing w:after="0"/>
              <w:rPr>
                <w:sz w:val="3"/>
                <w:szCs w:val="3"/>
                <w:color w:val="auto"/>
              </w:rPr>
            </w:pPr>
          </w:p>
        </w:tc>
        <w:tc>
          <w:tcPr>
            <w:tcW w:w="3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$60.0</w:t>
            </w:r>
          </w:p>
        </w:tc>
        <w:tc>
          <w:tcPr>
            <w:tcW w:w="2100" w:type="dxa"/>
            <w:vAlign w:val="bottom"/>
          </w:tcPr>
          <w:p>
            <w:pPr>
              <w:ind w:left="60"/>
              <w:spacing w:after="0" w:line="53" w:lineRule="exact"/>
              <w:rPr>
                <w:sz w:val="20"/>
                <w:szCs w:val="20"/>
                <w:color w:val="auto"/>
              </w:rPr>
            </w:pPr>
            <w:r>
              <w:rPr>
                <w:rFonts w:ascii="Arial" w:cs="Arial" w:eastAsia="Arial" w:hAnsi="Arial"/>
                <w:sz w:val="5"/>
                <w:szCs w:val="5"/>
                <w:color w:val="FFFFFF"/>
              </w:rPr>
              <w:t>$64.7 11.0%</w:t>
            </w: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10.0%</w:t>
            </w:r>
          </w:p>
        </w:tc>
        <w:tc>
          <w:tcPr>
            <w:tcW w:w="2100" w:type="dxa"/>
            <w:vAlign w:val="bottom"/>
          </w:tcPr>
          <w:p>
            <w:pPr>
              <w:ind w:left="60"/>
              <w:spacing w:after="0" w:line="53" w:lineRule="exact"/>
              <w:rPr>
                <w:sz w:val="20"/>
                <w:szCs w:val="20"/>
                <w:color w:val="auto"/>
              </w:rPr>
            </w:pPr>
            <w:r>
              <w:rPr>
                <w:rFonts w:ascii="Arial" w:cs="Arial" w:eastAsia="Arial" w:hAnsi="Arial"/>
                <w:sz w:val="5"/>
                <w:szCs w:val="5"/>
                <w:color w:val="FFFFFF"/>
              </w:rPr>
              <w:t>10.9%</w:t>
            </w: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$50.0</w:t>
            </w:r>
          </w:p>
        </w:tc>
        <w:tc>
          <w:tcPr>
            <w:tcW w:w="2100" w:type="dxa"/>
            <w:vAlign w:val="bottom"/>
          </w:tcPr>
          <w:p>
            <w:pPr>
              <w:ind w:left="60"/>
              <w:spacing w:after="0" w:line="53" w:lineRule="exact"/>
              <w:rPr>
                <w:sz w:val="20"/>
                <w:szCs w:val="20"/>
                <w:color w:val="auto"/>
              </w:rPr>
            </w:pPr>
            <w:r>
              <w:rPr>
                <w:rFonts w:ascii="Arial" w:cs="Arial" w:eastAsia="Arial" w:hAnsi="Arial"/>
                <w:sz w:val="5"/>
                <w:szCs w:val="5"/>
                <w:color w:val="FFFFFF"/>
              </w:rPr>
              <w:t>9.0%</w:t>
            </w: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8.0%</w:t>
            </w:r>
          </w:p>
        </w:tc>
        <w:tc>
          <w:tcPr>
            <w:tcW w:w="21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$40.0</w:t>
            </w:r>
          </w:p>
        </w:tc>
        <w:tc>
          <w:tcPr>
            <w:tcW w:w="2100" w:type="dxa"/>
            <w:vAlign w:val="bottom"/>
          </w:tcPr>
          <w:p>
            <w:pPr>
              <w:spacing w:after="0"/>
              <w:rPr>
                <w:sz w:val="3"/>
                <w:szCs w:val="3"/>
                <w:color w:val="auto"/>
              </w:rPr>
            </w:pPr>
          </w:p>
        </w:tc>
        <w:tc>
          <w:tcPr>
            <w:tcW w:w="3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7.0%</w:t>
            </w:r>
          </w:p>
        </w:tc>
        <w:tc>
          <w:tcPr>
            <w:tcW w:w="2100" w:type="dxa"/>
            <w:vAlign w:val="bottom"/>
            <w:vMerge w:val="restart"/>
          </w:tcPr>
          <w:p>
            <w:pPr>
              <w:ind w:left="60"/>
              <w:spacing w:after="0" w:line="79" w:lineRule="exact"/>
              <w:rPr>
                <w:sz w:val="20"/>
                <w:szCs w:val="20"/>
                <w:color w:val="auto"/>
              </w:rPr>
            </w:pPr>
            <w:r>
              <w:rPr>
                <w:rFonts w:ascii="Arial" w:cs="Arial" w:eastAsia="Arial" w:hAnsi="Arial"/>
                <w:sz w:val="9"/>
                <w:szCs w:val="9"/>
                <w:color w:val="FFFFFF"/>
              </w:rPr>
              <w:t>6.0%</w:t>
            </w:r>
          </w:p>
        </w:tc>
        <w:tc>
          <w:tcPr>
            <w:tcW w:w="3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$30.0</w:t>
            </w:r>
          </w:p>
        </w:tc>
        <w:tc>
          <w:tcPr>
            <w:tcW w:w="2100" w:type="dxa"/>
            <w:vAlign w:val="bottom"/>
            <w:vMerge w:val="continue"/>
          </w:tcPr>
          <w:p>
            <w:pPr>
              <w:spacing w:after="0"/>
              <w:rPr>
                <w:sz w:val="3"/>
                <w:szCs w:val="3"/>
                <w:color w:val="auto"/>
              </w:rPr>
            </w:pPr>
          </w:p>
        </w:tc>
        <w:tc>
          <w:tcPr>
            <w:tcW w:w="3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5.0%</w:t>
            </w:r>
          </w:p>
        </w:tc>
        <w:tc>
          <w:tcPr>
            <w:tcW w:w="2100" w:type="dxa"/>
            <w:vAlign w:val="bottom"/>
            <w:vMerge w:val="restart"/>
          </w:tcPr>
          <w:p>
            <w:pPr>
              <w:ind w:left="60"/>
              <w:spacing w:after="0" w:line="92" w:lineRule="exact"/>
              <w:rPr>
                <w:sz w:val="20"/>
                <w:szCs w:val="20"/>
                <w:color w:val="auto"/>
              </w:rPr>
            </w:pPr>
            <w:r>
              <w:rPr>
                <w:rFonts w:ascii="Arial" w:cs="Arial" w:eastAsia="Arial" w:hAnsi="Arial"/>
                <w:sz w:val="10"/>
                <w:szCs w:val="10"/>
                <w:color w:val="FFFFFF"/>
              </w:rPr>
              <w:t>4.0%</w:t>
            </w: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$20.0</w:t>
            </w:r>
          </w:p>
        </w:tc>
        <w:tc>
          <w:tcPr>
            <w:tcW w:w="2100" w:type="dxa"/>
            <w:vAlign w:val="bottom"/>
            <w:vMerge w:val="continue"/>
          </w:tcPr>
          <w:p>
            <w:pPr>
              <w:spacing w:after="0"/>
              <w:rPr>
                <w:sz w:val="3"/>
                <w:szCs w:val="3"/>
                <w:color w:val="auto"/>
              </w:rPr>
            </w:pPr>
          </w:p>
        </w:tc>
        <w:tc>
          <w:tcPr>
            <w:tcW w:w="3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3.0%</w:t>
            </w:r>
          </w:p>
        </w:tc>
        <w:tc>
          <w:tcPr>
            <w:tcW w:w="21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$10.0</w:t>
            </w:r>
          </w:p>
        </w:tc>
        <w:tc>
          <w:tcPr>
            <w:tcW w:w="2100" w:type="dxa"/>
            <w:vAlign w:val="bottom"/>
          </w:tcPr>
          <w:p>
            <w:pPr>
              <w:spacing w:after="0"/>
              <w:rPr>
                <w:sz w:val="3"/>
                <w:szCs w:val="3"/>
                <w:color w:val="auto"/>
              </w:rPr>
            </w:pPr>
          </w:p>
        </w:tc>
        <w:tc>
          <w:tcPr>
            <w:tcW w:w="3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2.</w:t>
            </w:r>
          </w:p>
        </w:tc>
        <w:tc>
          <w:tcPr>
            <w:tcW w:w="2100" w:type="dxa"/>
            <w:vAlign w:val="bottom"/>
            <w:vMerge w:val="restart"/>
          </w:tcPr>
          <w:p>
            <w:pPr>
              <w:ind w:left="60"/>
              <w:spacing w:after="0" w:line="79" w:lineRule="exact"/>
              <w:rPr>
                <w:sz w:val="20"/>
                <w:szCs w:val="20"/>
                <w:color w:val="auto"/>
              </w:rPr>
            </w:pPr>
            <w:r>
              <w:rPr>
                <w:rFonts w:ascii="Arial" w:cs="Arial" w:eastAsia="Arial" w:hAnsi="Arial"/>
                <w:sz w:val="9"/>
                <w:szCs w:val="9"/>
                <w:color w:val="FFFFFF"/>
              </w:rPr>
              <w:t>1.0%</w:t>
            </w:r>
          </w:p>
        </w:tc>
        <w:tc>
          <w:tcPr>
            <w:tcW w:w="3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$0.0%</w:t>
            </w:r>
          </w:p>
        </w:tc>
        <w:tc>
          <w:tcPr>
            <w:tcW w:w="2100" w:type="dxa"/>
            <w:vAlign w:val="bottom"/>
            <w:vMerge w:val="continue"/>
          </w:tcPr>
          <w:p>
            <w:pPr>
              <w:spacing w:after="0"/>
              <w:rPr>
                <w:sz w:val="3"/>
                <w:szCs w:val="3"/>
                <w:color w:val="auto"/>
              </w:rPr>
            </w:pPr>
          </w:p>
        </w:tc>
        <w:tc>
          <w:tcPr>
            <w:tcW w:w="3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2500" w:type="dxa"/>
            <w:vAlign w:val="bottom"/>
            <w:gridSpan w:val="2"/>
          </w:tcPr>
          <w:p>
            <w:pPr>
              <w:spacing w:after="0" w:line="53" w:lineRule="exact"/>
              <w:rPr>
                <w:sz w:val="20"/>
                <w:szCs w:val="20"/>
                <w:color w:val="auto"/>
              </w:rPr>
            </w:pPr>
            <w:r>
              <w:rPr>
                <w:rFonts w:ascii="Arial" w:cs="Arial" w:eastAsia="Arial" w:hAnsi="Arial"/>
                <w:sz w:val="5"/>
                <w:szCs w:val="5"/>
                <w:color w:val="FFFFFF"/>
              </w:rPr>
              <w:t>2015 2016 2015 2016</w:t>
            </w: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2500" w:type="dxa"/>
            <w:vAlign w:val="bottom"/>
            <w:gridSpan w:val="2"/>
          </w:tcPr>
          <w:p>
            <w:pPr>
              <w:spacing w:after="0" w:line="40" w:lineRule="exact"/>
              <w:rPr>
                <w:sz w:val="20"/>
                <w:szCs w:val="20"/>
                <w:color w:val="auto"/>
              </w:rPr>
            </w:pPr>
            <w:r>
              <w:rPr>
                <w:rFonts w:ascii="Arial" w:cs="Arial" w:eastAsia="Arial" w:hAnsi="Arial"/>
                <w:sz w:val="4"/>
                <w:szCs w:val="4"/>
                <w:color w:val="FFFFFF"/>
              </w:rPr>
              <w:t>www.nninc.com</w:t>
            </w:r>
          </w:p>
        </w:tc>
        <w:tc>
          <w:tcPr>
            <w:tcW w:w="3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400" w:type="dxa"/>
            <w:vAlign w:val="bottom"/>
          </w:tcPr>
          <w:p>
            <w:pPr>
              <w:spacing w:after="0"/>
              <w:rPr>
                <w:sz w:val="20"/>
                <w:szCs w:val="20"/>
                <w:color w:val="auto"/>
              </w:rPr>
            </w:pPr>
            <w:r>
              <w:rPr>
                <w:rFonts w:ascii="Arial" w:cs="Arial" w:eastAsia="Arial" w:hAnsi="Arial"/>
                <w:sz w:val="13"/>
                <w:szCs w:val="13"/>
                <w:color w:val="FFFFFF"/>
              </w:rPr>
              <w:t>9</w:t>
            </w:r>
          </w:p>
        </w:tc>
        <w:tc>
          <w:tcPr>
            <w:tcW w:w="2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gridSpan w:val="2"/>
          </w:tcPr>
          <w:p>
            <w:pPr>
              <w:spacing w:after="0"/>
              <w:rPr>
                <w:sz w:val="20"/>
                <w:szCs w:val="20"/>
                <w:color w:val="auto"/>
              </w:rPr>
            </w:pPr>
            <w:r>
              <w:rPr>
                <w:rFonts w:ascii="Arial" w:cs="Arial" w:eastAsia="Arial" w:hAnsi="Arial"/>
                <w:sz w:val="13"/>
                <w:szCs w:val="13"/>
                <w:color w:val="FFFFFF"/>
                <w:w w:val="89"/>
              </w:rPr>
              <w:t>Precision Engineered Products Group</w:t>
            </w:r>
          </w:p>
        </w:tc>
        <w:tc>
          <w:tcPr>
            <w:tcW w:w="0" w:type="dxa"/>
            <w:vAlign w:val="bottom"/>
          </w:tcPr>
          <w:p>
            <w:pPr>
              <w:spacing w:after="0"/>
              <w:rPr>
                <w:sz w:val="1"/>
                <w:szCs w:val="1"/>
                <w:color w:val="auto"/>
              </w:rPr>
            </w:pPr>
          </w:p>
        </w:tc>
      </w:tr>
      <w:tr>
        <w:trPr>
          <w:trHeight w:val="39"/>
        </w:trPr>
        <w:tc>
          <w:tcPr>
            <w:tcW w:w="1980" w:type="dxa"/>
            <w:vAlign w:val="bottom"/>
            <w:gridSpan w:val="2"/>
          </w:tcPr>
          <w:p>
            <w:pPr>
              <w:spacing w:after="0" w:line="40" w:lineRule="exact"/>
              <w:rPr>
                <w:sz w:val="20"/>
                <w:szCs w:val="20"/>
                <w:color w:val="auto"/>
              </w:rPr>
            </w:pPr>
            <w:r>
              <w:rPr>
                <w:rFonts w:ascii="Arial" w:cs="Arial" w:eastAsia="Arial" w:hAnsi="Arial"/>
                <w:sz w:val="4"/>
                <w:szCs w:val="4"/>
                <w:color w:val="FFFFFF"/>
              </w:rPr>
              <w:t>Net Sales Adjusted Operating  argin</w:t>
            </w:r>
          </w:p>
        </w:tc>
        <w:tc>
          <w:tcPr>
            <w:tcW w:w="0" w:type="dxa"/>
            <w:vAlign w:val="bottom"/>
          </w:tcPr>
          <w:p>
            <w:pPr>
              <w:spacing w:after="0" w:line="20" w:lineRule="exact"/>
              <w:rPr>
                <w:sz w:val="1"/>
                <w:szCs w:val="1"/>
                <w:color w:val="auto"/>
              </w:rPr>
            </w:pPr>
          </w:p>
        </w:tc>
      </w:tr>
      <w:tr>
        <w:trPr>
          <w:trHeight w:val="39"/>
        </w:trPr>
        <w:tc>
          <w:tcPr>
            <w:tcW w:w="1980" w:type="dxa"/>
            <w:vAlign w:val="bottom"/>
            <w:gridSpan w:val="2"/>
          </w:tcPr>
          <w:p>
            <w:pPr>
              <w:spacing w:after="0" w:line="40" w:lineRule="exact"/>
              <w:rPr>
                <w:sz w:val="20"/>
                <w:szCs w:val="20"/>
                <w:color w:val="auto"/>
              </w:rPr>
            </w:pPr>
            <w:r>
              <w:rPr>
                <w:rFonts w:ascii="Arial" w:cs="Arial" w:eastAsia="Arial" w:hAnsi="Arial"/>
                <w:sz w:val="4"/>
                <w:szCs w:val="4"/>
                <w:color w:val="FFFFFF"/>
              </w:rPr>
              <w:t>Acquisition of PEP added $56M</w:t>
            </w:r>
          </w:p>
        </w:tc>
        <w:tc>
          <w:tcPr>
            <w:tcW w:w="0" w:type="dxa"/>
            <w:vAlign w:val="bottom"/>
          </w:tcPr>
          <w:p>
            <w:pPr>
              <w:spacing w:after="0" w:line="20" w:lineRule="exact"/>
              <w:rPr>
                <w:sz w:val="1"/>
                <w:szCs w:val="1"/>
                <w:color w:val="auto"/>
              </w:rPr>
            </w:pPr>
          </w:p>
        </w:tc>
      </w:tr>
      <w:tr>
        <w:trPr>
          <w:trHeight w:val="39"/>
        </w:trPr>
        <w:tc>
          <w:tcPr>
            <w:tcW w:w="1980" w:type="dxa"/>
            <w:vAlign w:val="bottom"/>
            <w:gridSpan w:val="2"/>
          </w:tcPr>
          <w:p>
            <w:pPr>
              <w:spacing w:after="0" w:line="40" w:lineRule="exact"/>
              <w:rPr>
                <w:sz w:val="20"/>
                <w:szCs w:val="20"/>
                <w:color w:val="auto"/>
              </w:rPr>
            </w:pPr>
            <w:r>
              <w:rPr>
                <w:rFonts w:ascii="Arial" w:cs="Arial" w:eastAsia="Arial" w:hAnsi="Arial"/>
                <w:sz w:val="4"/>
                <w:szCs w:val="4"/>
                <w:color w:val="FFFFFF"/>
              </w:rPr>
              <w:t>In Millions</w:t>
            </w: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$70.0</w:t>
            </w:r>
          </w:p>
        </w:tc>
        <w:tc>
          <w:tcPr>
            <w:tcW w:w="1580" w:type="dxa"/>
            <w:vAlign w:val="bottom"/>
          </w:tcPr>
          <w:p>
            <w:pPr>
              <w:ind w:left="60"/>
              <w:spacing w:after="0" w:line="40" w:lineRule="exact"/>
              <w:rPr>
                <w:sz w:val="20"/>
                <w:szCs w:val="20"/>
                <w:color w:val="auto"/>
              </w:rPr>
            </w:pPr>
            <w:r>
              <w:rPr>
                <w:rFonts w:ascii="Arial" w:cs="Arial" w:eastAsia="Arial" w:hAnsi="Arial"/>
                <w:sz w:val="4"/>
                <w:szCs w:val="4"/>
                <w:color w:val="FFFFFF"/>
              </w:rPr>
              <w:t>24.0%</w:t>
            </w:r>
          </w:p>
        </w:tc>
        <w:tc>
          <w:tcPr>
            <w:tcW w:w="0" w:type="dxa"/>
            <w:vAlign w:val="bottom"/>
          </w:tcPr>
          <w:p>
            <w:pPr>
              <w:spacing w:after="0" w:line="20" w:lineRule="exact"/>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22.</w:t>
            </w:r>
          </w:p>
        </w:tc>
        <w:tc>
          <w:tcPr>
            <w:tcW w:w="1580" w:type="dxa"/>
            <w:vAlign w:val="bottom"/>
            <w:vMerge w:val="restart"/>
          </w:tcPr>
          <w:p>
            <w:pPr>
              <w:ind w:left="60"/>
              <w:spacing w:after="0" w:line="92" w:lineRule="exact"/>
              <w:rPr>
                <w:sz w:val="20"/>
                <w:szCs w:val="20"/>
                <w:color w:val="auto"/>
              </w:rPr>
            </w:pPr>
            <w:r>
              <w:rPr>
                <w:rFonts w:ascii="Arial" w:cs="Arial" w:eastAsia="Arial" w:hAnsi="Arial"/>
                <w:sz w:val="10"/>
                <w:szCs w:val="10"/>
                <w:color w:val="FFFFFF"/>
              </w:rPr>
              <w:t>$63.5</w:t>
            </w:r>
          </w:p>
        </w:tc>
        <w:tc>
          <w:tcPr>
            <w:tcW w:w="0" w:type="dxa"/>
            <w:vAlign w:val="bottom"/>
          </w:tcPr>
          <w:p>
            <w:pPr>
              <w:spacing w:after="0"/>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$60.0%</w:t>
            </w:r>
          </w:p>
        </w:tc>
        <w:tc>
          <w:tcPr>
            <w:tcW w:w="15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20.0%</w:t>
            </w:r>
          </w:p>
        </w:tc>
        <w:tc>
          <w:tcPr>
            <w:tcW w:w="1580" w:type="dxa"/>
            <w:vAlign w:val="bottom"/>
          </w:tcPr>
          <w:p>
            <w:pPr>
              <w:ind w:left="60"/>
              <w:spacing w:after="0" w:line="53" w:lineRule="exact"/>
              <w:rPr>
                <w:sz w:val="20"/>
                <w:szCs w:val="20"/>
                <w:color w:val="auto"/>
              </w:rPr>
            </w:pPr>
            <w:r>
              <w:rPr>
                <w:rFonts w:ascii="Arial" w:cs="Arial" w:eastAsia="Arial" w:hAnsi="Arial"/>
                <w:sz w:val="5"/>
                <w:szCs w:val="5"/>
                <w:color w:val="FFFFFF"/>
              </w:rPr>
              <w:t>20.8%</w:t>
            </w:r>
          </w:p>
        </w:tc>
        <w:tc>
          <w:tcPr>
            <w:tcW w:w="0" w:type="dxa"/>
            <w:vAlign w:val="bottom"/>
          </w:tcPr>
          <w:p>
            <w:pPr>
              <w:spacing w:after="0"/>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$50.0</w:t>
            </w:r>
          </w:p>
        </w:tc>
        <w:tc>
          <w:tcPr>
            <w:tcW w:w="1580" w:type="dxa"/>
            <w:vAlign w:val="bottom"/>
          </w:tcPr>
          <w:p>
            <w:pPr>
              <w:ind w:left="60"/>
              <w:spacing w:after="0" w:line="53" w:lineRule="exact"/>
              <w:rPr>
                <w:sz w:val="20"/>
                <w:szCs w:val="20"/>
                <w:color w:val="auto"/>
              </w:rPr>
            </w:pPr>
            <w:r>
              <w:rPr>
                <w:rFonts w:ascii="Arial" w:cs="Arial" w:eastAsia="Arial" w:hAnsi="Arial"/>
                <w:sz w:val="5"/>
                <w:szCs w:val="5"/>
                <w:color w:val="FFFFFF"/>
              </w:rPr>
              <w:t>18.0%</w:t>
            </w:r>
          </w:p>
        </w:tc>
        <w:tc>
          <w:tcPr>
            <w:tcW w:w="0" w:type="dxa"/>
            <w:vAlign w:val="bottom"/>
          </w:tcPr>
          <w:p>
            <w:pPr>
              <w:spacing w:after="0"/>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16.</w:t>
            </w:r>
          </w:p>
        </w:tc>
        <w:tc>
          <w:tcPr>
            <w:tcW w:w="1580" w:type="dxa"/>
            <w:vAlign w:val="bottom"/>
            <w:vMerge w:val="restart"/>
          </w:tcPr>
          <w:p>
            <w:pPr>
              <w:ind w:left="60"/>
              <w:spacing w:after="0" w:line="92" w:lineRule="exact"/>
              <w:rPr>
                <w:sz w:val="20"/>
                <w:szCs w:val="20"/>
                <w:color w:val="auto"/>
              </w:rPr>
            </w:pPr>
            <w:r>
              <w:rPr>
                <w:rFonts w:ascii="Arial" w:cs="Arial" w:eastAsia="Arial" w:hAnsi="Arial"/>
                <w:sz w:val="10"/>
                <w:szCs w:val="10"/>
                <w:color w:val="FFFFFF"/>
              </w:rPr>
              <w:t>14.0%</w:t>
            </w:r>
          </w:p>
        </w:tc>
        <w:tc>
          <w:tcPr>
            <w:tcW w:w="0" w:type="dxa"/>
            <w:vAlign w:val="bottom"/>
          </w:tcPr>
          <w:p>
            <w:pPr>
              <w:spacing w:after="0"/>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$40.0%</w:t>
            </w:r>
          </w:p>
        </w:tc>
        <w:tc>
          <w:tcPr>
            <w:tcW w:w="15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12.</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$30.</w:t>
            </w: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10.</w:t>
            </w:r>
          </w:p>
        </w:tc>
        <w:tc>
          <w:tcPr>
            <w:tcW w:w="1580" w:type="dxa"/>
            <w:vAlign w:val="bottom"/>
            <w:vMerge w:val="restart"/>
          </w:tcPr>
          <w:p>
            <w:pPr>
              <w:ind w:left="60"/>
              <w:spacing w:after="0" w:line="79" w:lineRule="exact"/>
              <w:rPr>
                <w:sz w:val="20"/>
                <w:szCs w:val="20"/>
                <w:color w:val="auto"/>
              </w:rPr>
            </w:pPr>
            <w:r>
              <w:rPr>
                <w:rFonts w:ascii="Arial" w:cs="Arial" w:eastAsia="Arial" w:hAnsi="Arial"/>
                <w:sz w:val="9"/>
                <w:szCs w:val="9"/>
                <w:color w:val="FFFFFF"/>
              </w:rPr>
              <w:t>8.0%</w:t>
            </w: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$20.0%</w:t>
            </w:r>
          </w:p>
        </w:tc>
        <w:tc>
          <w:tcPr>
            <w:tcW w:w="15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400" w:type="dxa"/>
            <w:vAlign w:val="bottom"/>
          </w:tcPr>
          <w:p>
            <w:pPr>
              <w:spacing w:after="0" w:line="53" w:lineRule="exact"/>
              <w:rPr>
                <w:sz w:val="20"/>
                <w:szCs w:val="20"/>
                <w:color w:val="auto"/>
              </w:rPr>
            </w:pPr>
            <w:r>
              <w:rPr>
                <w:rFonts w:ascii="Arial" w:cs="Arial" w:eastAsia="Arial" w:hAnsi="Arial"/>
                <w:sz w:val="5"/>
                <w:szCs w:val="5"/>
                <w:color w:val="FFFFFF"/>
              </w:rPr>
              <w:t>6.0%</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$10.0</w:t>
            </w: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4.0%</w:t>
            </w:r>
          </w:p>
        </w:tc>
        <w:tc>
          <w:tcPr>
            <w:tcW w:w="1580" w:type="dxa"/>
            <w:vAlign w:val="bottom"/>
            <w:vMerge w:val="restart"/>
          </w:tcPr>
          <w:p>
            <w:pPr>
              <w:ind w:left="60"/>
              <w:spacing w:after="0" w:line="79" w:lineRule="exact"/>
              <w:rPr>
                <w:sz w:val="20"/>
                <w:szCs w:val="20"/>
                <w:color w:val="auto"/>
              </w:rPr>
            </w:pPr>
            <w:r>
              <w:rPr>
                <w:rFonts w:ascii="Arial" w:cs="Arial" w:eastAsia="Arial" w:hAnsi="Arial"/>
                <w:sz w:val="9"/>
                <w:szCs w:val="9"/>
                <w:color w:val="FFFFFF"/>
              </w:rPr>
              <w:t>2.7%</w:t>
            </w:r>
          </w:p>
        </w:tc>
        <w:tc>
          <w:tcPr>
            <w:tcW w:w="0" w:type="dxa"/>
            <w:vAlign w:val="bottom"/>
          </w:tcPr>
          <w:p>
            <w:pPr>
              <w:spacing w:after="0" w:line="20" w:lineRule="exact"/>
              <w:rPr>
                <w:sz w:val="1"/>
                <w:szCs w:val="1"/>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$7.9</w:t>
            </w:r>
          </w:p>
        </w:tc>
        <w:tc>
          <w:tcPr>
            <w:tcW w:w="15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
        </w:trPr>
        <w:tc>
          <w:tcPr>
            <w:tcW w:w="400" w:type="dxa"/>
            <w:vAlign w:val="bottom"/>
          </w:tcPr>
          <w:p>
            <w:pPr>
              <w:spacing w:after="0" w:line="28" w:lineRule="exact"/>
              <w:rPr>
                <w:sz w:val="20"/>
                <w:szCs w:val="20"/>
                <w:color w:val="auto"/>
              </w:rPr>
            </w:pPr>
            <w:r>
              <w:rPr>
                <w:rFonts w:ascii="Arial" w:cs="Arial" w:eastAsia="Arial" w:hAnsi="Arial"/>
                <w:sz w:val="3"/>
                <w:szCs w:val="3"/>
                <w:color w:val="FFFFFF"/>
              </w:rPr>
              <w:t>$0.0</w:t>
            </w:r>
          </w:p>
        </w:tc>
        <w:tc>
          <w:tcPr>
            <w:tcW w:w="1580" w:type="dxa"/>
            <w:vAlign w:val="bottom"/>
          </w:tcPr>
          <w:p>
            <w:pPr>
              <w:ind w:left="60"/>
              <w:spacing w:after="0" w:line="28" w:lineRule="exact"/>
              <w:rPr>
                <w:sz w:val="20"/>
                <w:szCs w:val="20"/>
                <w:color w:val="auto"/>
              </w:rPr>
            </w:pPr>
            <w:r>
              <w:rPr>
                <w:rFonts w:ascii="Arial" w:cs="Arial" w:eastAsia="Arial" w:hAnsi="Arial"/>
                <w:sz w:val="3"/>
                <w:szCs w:val="3"/>
                <w:color w:val="FFFFFF"/>
              </w:rPr>
              <w:t>2.0%</w:t>
            </w:r>
          </w:p>
        </w:tc>
        <w:tc>
          <w:tcPr>
            <w:tcW w:w="0" w:type="dxa"/>
            <w:vAlign w:val="bottom"/>
          </w:tcPr>
          <w:p>
            <w:pPr>
              <w:spacing w:after="0" w:line="20" w:lineRule="exact"/>
              <w:rPr>
                <w:sz w:val="1"/>
                <w:szCs w:val="1"/>
                <w:color w:val="auto"/>
              </w:rPr>
            </w:pPr>
          </w:p>
        </w:tc>
      </w:tr>
    </w:tbl>
    <w:p>
      <w:pPr>
        <w:spacing w:after="0" w:line="204" w:lineRule="auto"/>
        <w:rPr>
          <w:sz w:val="20"/>
          <w:szCs w:val="20"/>
          <w:color w:val="auto"/>
        </w:rPr>
      </w:pPr>
      <w:r>
        <w:rPr>
          <w:rFonts w:ascii="Arial" w:cs="Arial" w:eastAsia="Arial" w:hAnsi="Arial"/>
          <w:sz w:val="4"/>
          <w:szCs w:val="4"/>
          <w:color w:val="FFFFFF"/>
        </w:rPr>
        <w:t>www.nninc.com201520162015 2016</w:t>
      </w:r>
    </w:p>
    <w:p>
      <w:pPr>
        <w:spacing w:after="0"/>
        <w:rPr>
          <w:sz w:val="20"/>
          <w:szCs w:val="20"/>
          <w:color w:val="auto"/>
        </w:rPr>
      </w:pPr>
      <w:r>
        <w:rPr>
          <w:rFonts w:ascii="Arial" w:cs="Arial" w:eastAsia="Arial" w:hAnsi="Arial"/>
          <w:sz w:val="13"/>
          <w:szCs w:val="13"/>
          <w:color w:val="FFFFFF"/>
        </w:rPr>
        <w:t>10</w:t>
      </w:r>
    </w:p>
    <w:p>
      <w:pPr>
        <w:sectPr>
          <w:pgSz w:w="11900" w:h="16838" w:orient="portrait"/>
          <w:cols w:equalWidth="0" w:num="1">
            <w:col w:w="10219"/>
          </w:cols>
          <w:pgMar w:left="2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1st Quarter Summary</w:t>
      </w:r>
    </w:p>
    <w:p>
      <w:pPr>
        <w:spacing w:after="0" w:line="204" w:lineRule="auto"/>
        <w:rPr>
          <w:sz w:val="20"/>
          <w:szCs w:val="20"/>
          <w:color w:val="auto"/>
        </w:rPr>
      </w:pPr>
      <w:r>
        <w:rPr>
          <w:rFonts w:ascii="Arial" w:cs="Arial" w:eastAsia="Arial" w:hAnsi="Arial"/>
          <w:sz w:val="4"/>
          <w:szCs w:val="4"/>
          <w:color w:val="FFFFFF"/>
        </w:rPr>
        <w:t>First quarter in line with expectations</w:t>
      </w:r>
    </w:p>
    <w:p>
      <w:pPr>
        <w:spacing w:after="0" w:line="182" w:lineRule="auto"/>
        <w:rPr>
          <w:sz w:val="20"/>
          <w:szCs w:val="20"/>
          <w:color w:val="auto"/>
        </w:rPr>
      </w:pPr>
      <w:r>
        <w:rPr>
          <w:rFonts w:ascii="Arial" w:cs="Arial" w:eastAsia="Arial" w:hAnsi="Arial"/>
          <w:sz w:val="9"/>
          <w:szCs w:val="9"/>
          <w:color w:val="FFFFFF"/>
        </w:rPr>
        <w:t>NN Operating System continues to drive margin expansion Free Cash Flow better than expected PBC group rebounded from difficult Q4 Integration of PEP is on track Reaffirm our 2016 guidance www.nninc.com</w:t>
      </w:r>
    </w:p>
    <w:p>
      <w:pPr>
        <w:spacing w:after="0"/>
        <w:rPr>
          <w:sz w:val="20"/>
          <w:szCs w:val="20"/>
          <w:color w:val="auto"/>
        </w:rPr>
      </w:pPr>
      <w:r>
        <w:rPr>
          <w:rFonts w:ascii="Arial" w:cs="Arial" w:eastAsia="Arial" w:hAnsi="Arial"/>
          <w:sz w:val="13"/>
          <w:szCs w:val="13"/>
          <w:color w:val="FFFFFF"/>
        </w:rPr>
        <w:t>11</w:t>
      </w:r>
    </w:p>
    <w:p>
      <w:pPr>
        <w:sectPr>
          <w:pgSz w:w="11900" w:h="16838" w:orient="portrait"/>
          <w:cols w:equalWidth="0" w:num="1">
            <w:col w:w="10280"/>
          </w:cols>
          <w:pgMar w:left="240" w:top="1440" w:right="137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1"/>
          <w:szCs w:val="11"/>
          <w:color w:val="FFFFFF"/>
        </w:rPr>
        <w:t>Guidance</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2nd Quarter 2016 Guidance</w:t>
      </w:r>
    </w:p>
    <w:p>
      <w:pPr>
        <w:spacing w:after="0" w:line="204" w:lineRule="auto"/>
        <w:rPr>
          <w:sz w:val="20"/>
          <w:szCs w:val="20"/>
          <w:color w:val="auto"/>
        </w:rPr>
      </w:pPr>
      <w:r>
        <w:rPr>
          <w:rFonts w:ascii="Arial" w:cs="Arial" w:eastAsia="Arial" w:hAnsi="Arial"/>
          <w:sz w:val="4"/>
          <w:szCs w:val="4"/>
          <w:color w:val="FFFFFF"/>
        </w:rPr>
        <w:t>CommentaryFirstQuarter Second Quarter</w:t>
      </w:r>
    </w:p>
    <w:p>
      <w:pPr>
        <w:spacing w:after="0" w:line="205" w:lineRule="auto"/>
        <w:rPr>
          <w:sz w:val="20"/>
          <w:szCs w:val="20"/>
          <w:color w:val="auto"/>
        </w:rPr>
      </w:pPr>
      <w:r>
        <w:rPr>
          <w:rFonts w:ascii="Arial" w:cs="Arial" w:eastAsia="Arial" w:hAnsi="Arial"/>
          <w:sz w:val="4"/>
          <w:szCs w:val="4"/>
          <w:color w:val="FFFFFF"/>
          <w:vertAlign w:val="superscript"/>
        </w:rPr>
        <w:t>Net</w:t>
      </w:r>
      <w:r>
        <w:rPr>
          <w:rFonts w:ascii="Arial" w:cs="Arial" w:eastAsia="Arial" w:hAnsi="Arial"/>
          <w:sz w:val="2"/>
          <w:szCs w:val="2"/>
          <w:color w:val="FFFFFF"/>
        </w:rPr>
        <w:t>Acual Guidance</w:t>
      </w:r>
    </w:p>
    <w:p>
      <w:pPr>
        <w:ind w:left="220"/>
        <w:spacing w:after="0" w:line="182" w:lineRule="auto"/>
        <w:rPr>
          <w:sz w:val="20"/>
          <w:szCs w:val="20"/>
          <w:color w:val="auto"/>
        </w:rPr>
      </w:pPr>
      <w:r>
        <w:rPr>
          <w:rFonts w:ascii="Arial" w:cs="Arial" w:eastAsia="Arial" w:hAnsi="Arial"/>
          <w:sz w:val="9"/>
          <w:szCs w:val="9"/>
          <w:color w:val="FFFFFF"/>
        </w:rPr>
        <w:t>Sales $212.2M $215M—$225M Sales continue to increase</w:t>
      </w:r>
    </w:p>
    <w:p>
      <w:pPr>
        <w:spacing w:after="0" w:line="206" w:lineRule="auto"/>
        <w:rPr>
          <w:sz w:val="20"/>
          <w:szCs w:val="20"/>
          <w:color w:val="auto"/>
        </w:rPr>
      </w:pPr>
      <w:r>
        <w:rPr>
          <w:rFonts w:ascii="Arial" w:cs="Arial" w:eastAsia="Arial" w:hAnsi="Arial"/>
          <w:sz w:val="4"/>
          <w:szCs w:val="4"/>
          <w:color w:val="FFFFFF"/>
        </w:rPr>
        <w:t>diversificationAdj.OpMargin 11.3% 13.2%—14.0% Margin expansion driven by end market</w:t>
      </w:r>
    </w:p>
    <w:p>
      <w:pPr>
        <w:spacing w:after="0" w:line="182" w:lineRule="auto"/>
        <w:rPr>
          <w:sz w:val="20"/>
          <w:szCs w:val="20"/>
          <w:color w:val="auto"/>
        </w:rPr>
      </w:pPr>
      <w:r>
        <w:rPr>
          <w:rFonts w:ascii="Arial" w:cs="Arial" w:eastAsia="Arial" w:hAnsi="Arial"/>
          <w:sz w:val="9"/>
          <w:szCs w:val="9"/>
          <w:color w:val="FFFFFF"/>
          <w:vertAlign w:val="subscript"/>
        </w:rPr>
        <w:t>Adj. EPS</w:t>
      </w:r>
      <w:r>
        <w:rPr>
          <w:rFonts w:ascii="Arial" w:cs="Arial" w:eastAsia="Arial" w:hAnsi="Arial"/>
          <w:sz w:val="7"/>
          <w:szCs w:val="7"/>
          <w:color w:val="FFFFFF"/>
        </w:rPr>
        <w:t>BITDA $35.6M $40.2M—$43M</w:t>
      </w:r>
    </w:p>
    <w:p>
      <w:pPr>
        <w:spacing w:after="0" w:line="205" w:lineRule="auto"/>
        <w:rPr>
          <w:sz w:val="20"/>
          <w:szCs w:val="20"/>
          <w:color w:val="auto"/>
        </w:rPr>
      </w:pPr>
      <w:r>
        <w:rPr>
          <w:rFonts w:ascii="Arial" w:cs="Arial" w:eastAsia="Arial" w:hAnsi="Arial"/>
          <w:sz w:val="4"/>
          <w:szCs w:val="4"/>
          <w:color w:val="FFFFFF"/>
        </w:rPr>
        <w:t>decremental$0.27target$0.41—$0.48 In line with strategic incremental /</w:t>
      </w:r>
    </w:p>
    <w:p>
      <w:pPr>
        <w:spacing w:after="0" w:line="205" w:lineRule="auto"/>
        <w:rPr>
          <w:sz w:val="20"/>
          <w:szCs w:val="20"/>
          <w:color w:val="auto"/>
        </w:rPr>
      </w:pPr>
      <w:r>
        <w:rPr>
          <w:rFonts w:ascii="Arial" w:cs="Arial" w:eastAsia="Arial" w:hAnsi="Arial"/>
          <w:sz w:val="4"/>
          <w:szCs w:val="4"/>
          <w:color w:val="FFFFFF"/>
        </w:rPr>
        <w:t>www.nninc.com</w:t>
      </w:r>
    </w:p>
    <w:p>
      <w:pPr>
        <w:spacing w:after="0"/>
        <w:rPr>
          <w:sz w:val="20"/>
          <w:szCs w:val="20"/>
          <w:color w:val="auto"/>
        </w:rPr>
      </w:pPr>
      <w:r>
        <w:rPr>
          <w:rFonts w:ascii="Arial" w:cs="Arial" w:eastAsia="Arial" w:hAnsi="Arial"/>
          <w:sz w:val="13"/>
          <w:szCs w:val="13"/>
          <w:color w:val="FFFFFF"/>
        </w:rPr>
        <w:t>13</w:t>
      </w:r>
    </w:p>
    <w:p>
      <w:pPr>
        <w:sectPr>
          <w:pgSz w:w="11900" w:h="16838" w:orient="portrait"/>
          <w:cols w:equalWidth="0" w:num="1">
            <w:col w:w="10219"/>
          </w:cols>
          <w:pgMar w:left="2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6"/>
          <w:szCs w:val="26"/>
          <w:color w:val="FFFFFF"/>
          <w:vertAlign w:val="superscript"/>
        </w:rPr>
        <w:t>2016</w:t>
      </w:r>
    </w:p>
    <w:p>
      <w:pPr>
        <w:ind w:left="300"/>
        <w:spacing w:after="0" w:line="204" w:lineRule="auto"/>
        <w:rPr>
          <w:sz w:val="20"/>
          <w:szCs w:val="20"/>
          <w:color w:val="auto"/>
        </w:rPr>
      </w:pPr>
      <w:r>
        <w:rPr>
          <w:rFonts w:ascii="Arial" w:cs="Arial" w:eastAsia="Arial" w:hAnsi="Arial"/>
          <w:sz w:val="4"/>
          <w:szCs w:val="4"/>
          <w:color w:val="FFFFFF"/>
        </w:rPr>
        <w:t>CommentaryGuidanceReaffirmed</w:t>
      </w:r>
    </w:p>
    <w:p>
      <w:pPr>
        <w:spacing w:after="0" w:line="182" w:lineRule="auto"/>
        <w:rPr>
          <w:sz w:val="20"/>
          <w:szCs w:val="20"/>
          <w:color w:val="auto"/>
        </w:rPr>
      </w:pPr>
      <w:r>
        <w:rPr>
          <w:rFonts w:ascii="Arial" w:cs="Arial" w:eastAsia="Arial" w:hAnsi="Arial"/>
          <w:sz w:val="9"/>
          <w:szCs w:val="9"/>
          <w:color w:val="FFFFFF"/>
        </w:rPr>
        <w:t>Sales growth of ~30% driven by PEP</w:t>
      </w:r>
    </w:p>
    <w:p>
      <w:pPr>
        <w:spacing w:after="0" w:line="182" w:lineRule="auto"/>
        <w:rPr>
          <w:sz w:val="20"/>
          <w:szCs w:val="20"/>
          <w:color w:val="auto"/>
        </w:rPr>
      </w:pPr>
      <w:r>
        <w:rPr>
          <w:rFonts w:ascii="Arial" w:cs="Arial" w:eastAsia="Arial" w:hAnsi="Arial"/>
          <w:sz w:val="9"/>
          <w:szCs w:val="9"/>
          <w:color w:val="FFFFFF"/>
        </w:rPr>
        <w:t>acquisitionNetSales$875M—$905M</w:t>
      </w:r>
    </w:p>
    <w:p>
      <w:pPr>
        <w:spacing w:after="0" w:line="206" w:lineRule="auto"/>
        <w:rPr>
          <w:sz w:val="20"/>
          <w:szCs w:val="20"/>
          <w:color w:val="auto"/>
        </w:rPr>
      </w:pPr>
      <w:r>
        <w:rPr>
          <w:rFonts w:ascii="Arial" w:cs="Arial" w:eastAsia="Arial" w:hAnsi="Arial"/>
          <w:sz w:val="4"/>
          <w:szCs w:val="4"/>
          <w:color w:val="FFFFFF"/>
        </w:rPr>
        <w:t>DrivenAdj.OperatingbyimprovementsMargin12.5%—13.2%intheNN</w:t>
      </w:r>
    </w:p>
    <w:p>
      <w:pPr>
        <w:spacing w:after="0" w:line="205" w:lineRule="auto"/>
        <w:rPr>
          <w:sz w:val="20"/>
          <w:szCs w:val="20"/>
          <w:color w:val="auto"/>
        </w:rPr>
      </w:pPr>
      <w:r>
        <w:rPr>
          <w:rFonts w:ascii="Arial" w:cs="Arial" w:eastAsia="Arial" w:hAnsi="Arial"/>
          <w:sz w:val="4"/>
          <w:szCs w:val="4"/>
          <w:color w:val="FFFFFF"/>
          <w:vertAlign w:val="superscript"/>
        </w:rPr>
        <w:t>Adj. EPS1</w:t>
      </w:r>
    </w:p>
    <w:p>
      <w:pPr>
        <w:ind w:left="340"/>
        <w:spacing w:after="0" w:line="182" w:lineRule="auto"/>
        <w:rPr>
          <w:sz w:val="20"/>
          <w:szCs w:val="20"/>
          <w:color w:val="auto"/>
        </w:rPr>
      </w:pPr>
      <w:r>
        <w:rPr>
          <w:rFonts w:ascii="Arial" w:cs="Arial" w:eastAsia="Arial" w:hAnsi="Arial"/>
          <w:sz w:val="9"/>
          <w:szCs w:val="9"/>
          <w:color w:val="FFFFFF"/>
        </w:rPr>
        <w:t>BITDA$1.60—$162.5M—$1.80$175M Operating System &amp; PEP acquisition</w:t>
      </w:r>
    </w:p>
    <w:p>
      <w:pPr>
        <w:spacing w:after="0" w:line="182" w:lineRule="auto"/>
        <w:rPr>
          <w:sz w:val="20"/>
          <w:szCs w:val="20"/>
          <w:color w:val="auto"/>
        </w:rPr>
      </w:pPr>
      <w:r>
        <w:rPr>
          <w:rFonts w:ascii="Arial" w:cs="Arial" w:eastAsia="Arial" w:hAnsi="Arial"/>
          <w:sz w:val="9"/>
          <w:szCs w:val="9"/>
          <w:color w:val="FFFFFF"/>
        </w:rPr>
        <w:t>Adj.CAPEXTax $Rate240M—22%—26%$50MWe continue to invest in growth</w:t>
      </w:r>
    </w:p>
    <w:p>
      <w:pPr>
        <w:spacing w:after="0" w:line="206" w:lineRule="auto"/>
        <w:rPr>
          <w:sz w:val="20"/>
          <w:szCs w:val="20"/>
          <w:color w:val="auto"/>
        </w:rPr>
      </w:pPr>
      <w:r>
        <w:rPr>
          <w:rFonts w:ascii="Arial" w:cs="Arial" w:eastAsia="Arial" w:hAnsi="Arial"/>
          <w:sz w:val="2"/>
          <w:szCs w:val="2"/>
          <w:color w:val="FFFFFF"/>
        </w:rPr>
        <w:t>usFree</w:t>
      </w:r>
      <w:r>
        <w:rPr>
          <w:rFonts w:ascii="Arial" w:cs="Arial" w:eastAsia="Arial" w:hAnsi="Arial"/>
          <w:sz w:val="4"/>
          <w:szCs w:val="4"/>
          <w:color w:val="FFFFFF"/>
          <w:vertAlign w:val="subscript"/>
        </w:rPr>
        <w:t>Excludes</w:t>
      </w:r>
      <w:r>
        <w:rPr>
          <w:rFonts w:ascii="Arial" w:cs="Arial" w:eastAsia="Arial" w:hAnsi="Arial"/>
          <w:sz w:val="2"/>
          <w:szCs w:val="2"/>
          <w:color w:val="FFFFFF"/>
        </w:rPr>
        <w:t>toCash-leverFlow3faster$50M—$60M Significant increase in free cash flow allows</w:t>
      </w:r>
    </w:p>
    <w:p>
      <w:pPr>
        <w:spacing w:after="0" w:line="205" w:lineRule="auto"/>
        <w:tabs>
          <w:tab w:leader="none" w:pos="640" w:val="left"/>
        </w:tabs>
        <w:rPr>
          <w:sz w:val="20"/>
          <w:szCs w:val="20"/>
          <w:color w:val="auto"/>
        </w:rPr>
      </w:pPr>
      <w:r>
        <w:rPr>
          <w:rFonts w:ascii="Arial" w:cs="Arial" w:eastAsia="Arial" w:hAnsi="Arial"/>
          <w:sz w:val="4"/>
          <w:szCs w:val="4"/>
          <w:color w:val="FFFFFF"/>
          <w:vertAlign w:val="superscript"/>
        </w:rPr>
        <w:t>2:</w:t>
      </w:r>
      <w:r>
        <w:rPr>
          <w:sz w:val="20"/>
          <w:szCs w:val="20"/>
          <w:color w:val="auto"/>
        </w:rPr>
        <w:tab/>
      </w:r>
      <w:r>
        <w:rPr>
          <w:rFonts w:ascii="Arial" w:cs="Arial" w:eastAsia="Arial" w:hAnsi="Arial"/>
          <w:sz w:val="4"/>
          <w:szCs w:val="4"/>
          <w:color w:val="FFFFFF"/>
          <w:vertAlign w:val="superscript"/>
        </w:rPr>
        <w:t>the</w:t>
      </w:r>
    </w:p>
    <w:p>
      <w:pPr>
        <w:spacing w:after="0" w:line="2" w:lineRule="auto"/>
        <w:tabs>
          <w:tab w:leader="none" w:pos="820" w:val="left"/>
        </w:tabs>
        <w:rPr>
          <w:sz w:val="20"/>
          <w:szCs w:val="20"/>
          <w:color w:val="auto"/>
        </w:rPr>
      </w:pPr>
      <w:r>
        <w:rPr>
          <w:rFonts w:ascii="Arial" w:cs="Arial" w:eastAsia="Arial" w:hAnsi="Arial"/>
          <w:sz w:val="1"/>
          <w:szCs w:val="1"/>
          <w:color w:val="FFFFFF"/>
        </w:rPr>
        <w:t>1:</w:t>
      </w:r>
      <w:r>
        <w:rPr>
          <w:sz w:val="20"/>
          <w:szCs w:val="20"/>
          <w:color w:val="auto"/>
        </w:rPr>
        <w:tab/>
      </w:r>
      <w:r>
        <w:rPr>
          <w:rFonts w:ascii="Arial" w:cs="Arial" w:eastAsia="Arial" w:hAnsi="Arial"/>
          <w:sz w:val="1"/>
          <w:szCs w:val="1"/>
          <w:color w:val="FFFFFF"/>
        </w:rPr>
        <w:t>effectsamortizationofM&amp;Aof intangiblesactivity and the amortization of financing charges</w:t>
      </w:r>
    </w:p>
    <w:p>
      <w:pPr>
        <w:spacing w:after="0" w:line="182" w:lineRule="auto"/>
        <w:rPr>
          <w:sz w:val="20"/>
          <w:szCs w:val="20"/>
          <w:color w:val="auto"/>
        </w:rPr>
      </w:pPr>
      <w:r>
        <w:rPr>
          <w:rFonts w:ascii="Arial" w:cs="Arial" w:eastAsia="Arial" w:hAnsi="Arial"/>
          <w:sz w:val="9"/>
          <w:szCs w:val="9"/>
          <w:color w:val="FFFFFF"/>
        </w:rPr>
        <w:t>3:</w:t>
      </w:r>
    </w:p>
    <w:p>
      <w:pPr>
        <w:spacing w:after="0" w:line="205" w:lineRule="auto"/>
        <w:rPr>
          <w:sz w:val="20"/>
          <w:szCs w:val="20"/>
          <w:color w:val="auto"/>
        </w:rPr>
      </w:pPr>
      <w:r>
        <w:rPr>
          <w:rFonts w:ascii="Arial" w:cs="Arial" w:eastAsia="Arial" w:hAnsi="Arial"/>
          <w:sz w:val="4"/>
          <w:szCs w:val="4"/>
          <w:color w:val="FFFFFF"/>
        </w:rPr>
        <w:t>www.nninc.comFreeCashFlow available for debt repayment</w:t>
      </w:r>
    </w:p>
    <w:p>
      <w:pPr>
        <w:spacing w:after="0"/>
        <w:rPr>
          <w:sz w:val="20"/>
          <w:szCs w:val="20"/>
          <w:color w:val="auto"/>
        </w:rPr>
      </w:pPr>
      <w:r>
        <w:rPr>
          <w:rFonts w:ascii="Arial" w:cs="Arial" w:eastAsia="Arial" w:hAnsi="Arial"/>
          <w:sz w:val="13"/>
          <w:szCs w:val="13"/>
          <w:color w:val="FFFFFF"/>
        </w:rPr>
        <w:t>14</w:t>
      </w:r>
    </w:p>
    <w:p>
      <w:pPr>
        <w:sectPr>
          <w:pgSz w:w="11900" w:h="16838" w:orient="portrait"/>
          <w:cols w:equalWidth="0" w:num="1">
            <w:col w:w="10219"/>
          </w:cols>
          <w:pgMar w:left="2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1"/>
          <w:szCs w:val="11"/>
          <w:color w:val="FFFFFF"/>
        </w:rPr>
        <w:t>Reconciliation Tables</w:t>
      </w:r>
    </w:p>
    <w:p>
      <w:pPr>
        <w:sectPr>
          <w:pgSz w:w="11900" w:h="16838" w:orient="portrait"/>
          <w:cols w:equalWidth="0" w:num="1">
            <w:col w:w="10219"/>
          </w:cols>
          <w:pgMar w:left="2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gridSpan w:val="4"/>
          </w:tcPr>
          <w:p>
            <w:pPr>
              <w:ind w:left="940"/>
              <w:spacing w:after="0"/>
              <w:rPr>
                <w:sz w:val="20"/>
                <w:szCs w:val="20"/>
                <w:color w:val="auto"/>
              </w:rPr>
            </w:pPr>
            <w:r>
              <w:rPr>
                <w:rFonts w:ascii="Arial" w:cs="Arial" w:eastAsia="Arial" w:hAnsi="Arial"/>
                <w:sz w:val="13"/>
                <w:szCs w:val="13"/>
                <w:color w:val="FFFFFF"/>
              </w:rPr>
              <w:t>Adjusted Income from Operations</w:t>
            </w:r>
          </w:p>
        </w:tc>
        <w:tc>
          <w:tcPr>
            <w:tcW w:w="0" w:type="dxa"/>
            <w:vAlign w:val="bottom"/>
          </w:tcPr>
          <w:p>
            <w:pPr>
              <w:spacing w:after="0"/>
              <w:rPr>
                <w:sz w:val="1"/>
                <w:szCs w:val="1"/>
                <w:color w:val="auto"/>
              </w:rPr>
            </w:pPr>
          </w:p>
        </w:tc>
      </w:tr>
      <w:tr>
        <w:trPr>
          <w:trHeight w:val="39"/>
        </w:trPr>
        <w:tc>
          <w:tcPr>
            <w:tcW w:w="4120" w:type="dxa"/>
            <w:vAlign w:val="bottom"/>
            <w:gridSpan w:val="4"/>
          </w:tcPr>
          <w:p>
            <w:pPr>
              <w:spacing w:after="0" w:line="40" w:lineRule="exact"/>
              <w:rPr>
                <w:sz w:val="20"/>
                <w:szCs w:val="20"/>
                <w:color w:val="auto"/>
              </w:rPr>
            </w:pPr>
            <w:r>
              <w:rPr>
                <w:rFonts w:ascii="Arial" w:cs="Arial" w:eastAsia="Arial" w:hAnsi="Arial"/>
                <w:sz w:val="4"/>
                <w:szCs w:val="4"/>
                <w:color w:val="FFFFFF"/>
              </w:rPr>
              <w:t>Reconciliation of income from operations to adjusted income from operations:</w:t>
            </w:r>
          </w:p>
        </w:tc>
        <w:tc>
          <w:tcPr>
            <w:tcW w:w="0" w:type="dxa"/>
            <w:vAlign w:val="bottom"/>
          </w:tcPr>
          <w:p>
            <w:pPr>
              <w:spacing w:after="0" w:line="20" w:lineRule="exact"/>
              <w:rPr>
                <w:sz w:val="1"/>
                <w:szCs w:val="1"/>
                <w:color w:val="auto"/>
              </w:rPr>
            </w:pPr>
          </w:p>
        </w:tc>
      </w:tr>
      <w:tr>
        <w:trPr>
          <w:trHeight w:val="39"/>
        </w:trPr>
        <w:tc>
          <w:tcPr>
            <w:tcW w:w="4120" w:type="dxa"/>
            <w:vAlign w:val="bottom"/>
            <w:gridSpan w:val="4"/>
          </w:tcPr>
          <w:p>
            <w:pPr>
              <w:spacing w:after="0" w:line="40" w:lineRule="exact"/>
              <w:rPr>
                <w:sz w:val="20"/>
                <w:szCs w:val="20"/>
                <w:color w:val="auto"/>
              </w:rPr>
            </w:pPr>
            <w:r>
              <w:rPr>
                <w:rFonts w:ascii="Arial" w:cs="Arial" w:eastAsia="Arial" w:hAnsi="Arial"/>
                <w:sz w:val="4"/>
                <w:szCs w:val="4"/>
                <w:color w:val="FFFFFF"/>
              </w:rPr>
              <w:t>NN, Inc—Total Company Three Months Ended March 31,</w:t>
            </w:r>
          </w:p>
        </w:tc>
        <w:tc>
          <w:tcPr>
            <w:tcW w:w="0" w:type="dxa"/>
            <w:vAlign w:val="bottom"/>
          </w:tcPr>
          <w:p>
            <w:pPr>
              <w:spacing w:after="0" w:line="20" w:lineRule="exact"/>
              <w:rPr>
                <w:sz w:val="1"/>
                <w:szCs w:val="1"/>
                <w:color w:val="auto"/>
              </w:rPr>
            </w:pPr>
          </w:p>
        </w:tc>
      </w:tr>
      <w:tr>
        <w:trPr>
          <w:trHeight w:val="39"/>
        </w:trPr>
        <w:tc>
          <w:tcPr>
            <w:tcW w:w="1040" w:type="dxa"/>
            <w:vAlign w:val="bottom"/>
          </w:tcPr>
          <w:p>
            <w:pPr>
              <w:spacing w:after="0" w:line="40" w:lineRule="exact"/>
              <w:rPr>
                <w:sz w:val="20"/>
                <w:szCs w:val="20"/>
                <w:color w:val="auto"/>
              </w:rPr>
            </w:pPr>
            <w:r>
              <w:rPr>
                <w:rFonts w:ascii="Arial" w:cs="Arial" w:eastAsia="Arial" w:hAnsi="Arial"/>
                <w:sz w:val="4"/>
                <w:szCs w:val="4"/>
                <w:color w:val="FFFFFF"/>
              </w:rPr>
              <w:t>2016 2015</w:t>
            </w: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780" w:type="dxa"/>
            <w:vAlign w:val="bottom"/>
            <w:gridSpan w:val="2"/>
          </w:tcPr>
          <w:p>
            <w:pPr>
              <w:spacing w:after="0" w:line="40" w:lineRule="exact"/>
              <w:rPr>
                <w:sz w:val="20"/>
                <w:szCs w:val="20"/>
                <w:color w:val="auto"/>
              </w:rPr>
            </w:pPr>
            <w:r>
              <w:rPr>
                <w:rFonts w:ascii="Arial" w:cs="Arial" w:eastAsia="Arial" w:hAnsi="Arial"/>
                <w:sz w:val="4"/>
                <w:szCs w:val="4"/>
                <w:color w:val="FFFFFF"/>
              </w:rPr>
              <w:t>$‘000% of Sales $‘000% of Sales</w:t>
            </w:r>
          </w:p>
        </w:tc>
        <w:tc>
          <w:tcPr>
            <w:tcW w:w="460" w:type="dxa"/>
            <w:vAlign w:val="bottom"/>
          </w:tcPr>
          <w:p>
            <w:pPr>
              <w:spacing w:after="0"/>
              <w:rPr>
                <w:sz w:val="3"/>
                <w:szCs w:val="3"/>
                <w:color w:val="auto"/>
              </w:rPr>
            </w:pPr>
          </w:p>
        </w:tc>
        <w:tc>
          <w:tcPr>
            <w:tcW w:w="1880" w:type="dxa"/>
            <w:vAlign w:val="bottom"/>
            <w:vMerge w:val="restart"/>
          </w:tcPr>
          <w:p>
            <w:pPr>
              <w:jc w:val="right"/>
              <w:ind w:right="1311"/>
              <w:spacing w:after="0" w:line="79" w:lineRule="exact"/>
              <w:rPr>
                <w:sz w:val="20"/>
                <w:szCs w:val="20"/>
                <w:color w:val="auto"/>
              </w:rPr>
            </w:pPr>
            <w:r>
              <w:rPr>
                <w:rFonts w:ascii="Arial" w:cs="Arial" w:eastAsia="Arial" w:hAnsi="Arial"/>
                <w:sz w:val="9"/>
                <w:szCs w:val="9"/>
                <w:color w:val="FFFFFF"/>
              </w:rPr>
              <w:t>8.5%</w:t>
            </w:r>
          </w:p>
        </w:tc>
        <w:tc>
          <w:tcPr>
            <w:tcW w:w="0" w:type="dxa"/>
            <w:vAlign w:val="bottom"/>
          </w:tcPr>
          <w:p>
            <w:pPr>
              <w:spacing w:after="0" w:line="20" w:lineRule="exact"/>
              <w:rPr>
                <w:sz w:val="1"/>
                <w:szCs w:val="1"/>
                <w:color w:val="auto"/>
              </w:rPr>
            </w:pPr>
          </w:p>
        </w:tc>
      </w:tr>
      <w:tr>
        <w:trPr>
          <w:trHeight w:val="39"/>
        </w:trPr>
        <w:tc>
          <w:tcPr>
            <w:tcW w:w="2240" w:type="dxa"/>
            <w:vAlign w:val="bottom"/>
            <w:gridSpan w:val="3"/>
          </w:tcPr>
          <w:p>
            <w:pPr>
              <w:spacing w:after="0" w:line="40" w:lineRule="exact"/>
              <w:rPr>
                <w:sz w:val="20"/>
                <w:szCs w:val="20"/>
                <w:color w:val="auto"/>
              </w:rPr>
            </w:pPr>
            <w:r>
              <w:rPr>
                <w:rFonts w:ascii="Arial" w:cs="Arial" w:eastAsia="Arial" w:hAnsi="Arial"/>
                <w:sz w:val="4"/>
                <w:szCs w:val="4"/>
                <w:color w:val="FFFFFF"/>
              </w:rPr>
              <w:t>Income from operations $11,874 5.6%</w:t>
            </w: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240" w:type="dxa"/>
            <w:vAlign w:val="bottom"/>
            <w:gridSpan w:val="3"/>
          </w:tcPr>
          <w:p>
            <w:pPr>
              <w:spacing w:after="0" w:line="40" w:lineRule="exact"/>
              <w:rPr>
                <w:sz w:val="20"/>
                <w:szCs w:val="20"/>
                <w:color w:val="auto"/>
              </w:rPr>
            </w:pPr>
            <w:r>
              <w:rPr>
                <w:rFonts w:ascii="Arial" w:cs="Arial" w:eastAsia="Arial" w:hAnsi="Arial"/>
                <w:sz w:val="4"/>
                <w:szCs w:val="4"/>
                <w:color w:val="FFFFFF"/>
              </w:rPr>
              <w:t>Restructuring &amp; imp irment charges 2,963</w:t>
            </w:r>
          </w:p>
        </w:tc>
        <w:tc>
          <w:tcPr>
            <w:tcW w:w="1880" w:type="dxa"/>
            <w:vAlign w:val="bottom"/>
          </w:tcPr>
          <w:p>
            <w:pPr>
              <w:jc w:val="center"/>
              <w:ind w:right="1031"/>
              <w:spacing w:after="0" w:line="40" w:lineRule="exact"/>
              <w:rPr>
                <w:sz w:val="20"/>
                <w:szCs w:val="20"/>
                <w:color w:val="auto"/>
              </w:rPr>
            </w:pPr>
            <w:r>
              <w:rPr>
                <w:rFonts w:ascii="Arial" w:cs="Arial" w:eastAsia="Arial" w:hAnsi="Arial"/>
                <w:sz w:val="4"/>
                <w:szCs w:val="4"/>
                <w:color w:val="FFFFFF"/>
              </w:rPr>
              <w:t>.4%—0.0%</w:t>
            </w:r>
          </w:p>
        </w:tc>
        <w:tc>
          <w:tcPr>
            <w:tcW w:w="0" w:type="dxa"/>
            <w:vAlign w:val="bottom"/>
          </w:tcPr>
          <w:p>
            <w:pPr>
              <w:spacing w:after="0" w:line="20" w:lineRule="exact"/>
              <w:rPr>
                <w:sz w:val="1"/>
                <w:szCs w:val="1"/>
                <w:color w:val="auto"/>
              </w:rPr>
            </w:pPr>
          </w:p>
        </w:tc>
      </w:tr>
      <w:tr>
        <w:trPr>
          <w:trHeight w:val="39"/>
        </w:trPr>
        <w:tc>
          <w:tcPr>
            <w:tcW w:w="4120" w:type="dxa"/>
            <w:vAlign w:val="bottom"/>
            <w:gridSpan w:val="4"/>
          </w:tcPr>
          <w:p>
            <w:pPr>
              <w:ind w:left="100"/>
              <w:spacing w:after="0" w:line="40" w:lineRule="exact"/>
              <w:rPr>
                <w:sz w:val="20"/>
                <w:szCs w:val="20"/>
                <w:color w:val="auto"/>
              </w:rPr>
            </w:pPr>
            <w:r>
              <w:rPr>
                <w:rFonts w:ascii="Arial" w:cs="Arial" w:eastAsia="Arial" w:hAnsi="Arial"/>
                <w:sz w:val="4"/>
                <w:szCs w:val="4"/>
                <w:color w:val="FFFFFF"/>
              </w:rPr>
              <w:t>cquisition &amp; integration expenses 3,263$13,934.5%—0.0%</w:t>
            </w:r>
          </w:p>
        </w:tc>
        <w:tc>
          <w:tcPr>
            <w:tcW w:w="0" w:type="dxa"/>
            <w:vAlign w:val="bottom"/>
          </w:tcPr>
          <w:p>
            <w:pPr>
              <w:spacing w:after="0" w:line="20" w:lineRule="exact"/>
              <w:rPr>
                <w:sz w:val="1"/>
                <w:szCs w:val="1"/>
                <w:color w:val="auto"/>
              </w:rPr>
            </w:pPr>
          </w:p>
        </w:tc>
      </w:tr>
      <w:tr>
        <w:trPr>
          <w:trHeight w:val="39"/>
        </w:trPr>
        <w:tc>
          <w:tcPr>
            <w:tcW w:w="1780" w:type="dxa"/>
            <w:vAlign w:val="bottom"/>
            <w:gridSpan w:val="2"/>
          </w:tcPr>
          <w:p>
            <w:pPr>
              <w:ind w:left="100"/>
              <w:spacing w:after="0" w:line="40" w:lineRule="exact"/>
              <w:rPr>
                <w:sz w:val="20"/>
                <w:szCs w:val="20"/>
                <w:color w:val="auto"/>
              </w:rPr>
            </w:pPr>
            <w:r>
              <w:rPr>
                <w:rFonts w:ascii="Arial" w:cs="Arial" w:eastAsia="Arial" w:hAnsi="Arial"/>
                <w:sz w:val="4"/>
                <w:szCs w:val="4"/>
                <w:color w:val="FFFFFF"/>
              </w:rPr>
              <w:t>mortization of intangibles 5,926</w:t>
            </w:r>
          </w:p>
        </w:tc>
        <w:tc>
          <w:tcPr>
            <w:tcW w:w="2340" w:type="dxa"/>
            <w:vAlign w:val="bottom"/>
            <w:gridSpan w:val="2"/>
          </w:tcPr>
          <w:p>
            <w:pPr>
              <w:jc w:val="right"/>
              <w:ind w:right="1471"/>
              <w:spacing w:after="0" w:line="40" w:lineRule="exact"/>
              <w:rPr>
                <w:sz w:val="20"/>
                <w:szCs w:val="20"/>
                <w:color w:val="auto"/>
              </w:rPr>
            </w:pPr>
            <w:r>
              <w:rPr>
                <w:rFonts w:ascii="Arial" w:cs="Arial" w:eastAsia="Arial" w:hAnsi="Arial"/>
                <w:sz w:val="4"/>
                <w:szCs w:val="4"/>
                <w:color w:val="FFFFFF"/>
              </w:rPr>
              <w:t>.8% 983 0.6%</w:t>
            </w:r>
          </w:p>
        </w:tc>
        <w:tc>
          <w:tcPr>
            <w:tcW w:w="0" w:type="dxa"/>
            <w:vAlign w:val="bottom"/>
          </w:tcPr>
          <w:p>
            <w:pPr>
              <w:spacing w:after="0" w:line="20" w:lineRule="exact"/>
              <w:rPr>
                <w:sz w:val="1"/>
                <w:szCs w:val="1"/>
                <w:color w:val="auto"/>
              </w:rPr>
            </w:pPr>
          </w:p>
        </w:tc>
      </w:tr>
      <w:tr>
        <w:trPr>
          <w:trHeight w:val="39"/>
        </w:trPr>
        <w:tc>
          <w:tcPr>
            <w:tcW w:w="1780" w:type="dxa"/>
            <w:vAlign w:val="bottom"/>
            <w:gridSpan w:val="2"/>
          </w:tcPr>
          <w:p>
            <w:pPr>
              <w:spacing w:after="0" w:line="40" w:lineRule="exact"/>
              <w:rPr>
                <w:sz w:val="20"/>
                <w:szCs w:val="20"/>
                <w:color w:val="auto"/>
              </w:rPr>
            </w:pPr>
            <w:r>
              <w:rPr>
                <w:rFonts w:ascii="Arial" w:cs="Arial" w:eastAsia="Arial" w:hAnsi="Arial"/>
                <w:sz w:val="4"/>
                <w:szCs w:val="4"/>
                <w:color w:val="FFFFFF"/>
              </w:rPr>
              <w:t>Adjusted income from operations</w:t>
            </w:r>
          </w:p>
        </w:tc>
        <w:tc>
          <w:tcPr>
            <w:tcW w:w="460" w:type="dxa"/>
            <w:vAlign w:val="bottom"/>
          </w:tcPr>
          <w:p>
            <w:pPr>
              <w:ind w:left="20"/>
              <w:spacing w:after="0" w:line="40" w:lineRule="exact"/>
              <w:rPr>
                <w:sz w:val="20"/>
                <w:szCs w:val="20"/>
                <w:color w:val="auto"/>
              </w:rPr>
            </w:pPr>
            <w:r>
              <w:rPr>
                <w:rFonts w:ascii="Arial" w:cs="Arial" w:eastAsia="Arial" w:hAnsi="Arial"/>
                <w:sz w:val="4"/>
                <w:szCs w:val="4"/>
                <w:color w:val="FFFFFF"/>
              </w:rPr>
              <w:t>$24,026</w:t>
            </w:r>
          </w:p>
        </w:tc>
        <w:tc>
          <w:tcPr>
            <w:tcW w:w="1880" w:type="dxa"/>
            <w:vAlign w:val="bottom"/>
          </w:tcPr>
          <w:p>
            <w:pPr>
              <w:jc w:val="right"/>
              <w:ind w:right="751"/>
              <w:spacing w:after="0" w:line="40" w:lineRule="exact"/>
              <w:rPr>
                <w:sz w:val="20"/>
                <w:szCs w:val="20"/>
                <w:color w:val="auto"/>
              </w:rPr>
            </w:pPr>
            <w:r>
              <w:rPr>
                <w:rFonts w:ascii="Arial" w:cs="Arial" w:eastAsia="Arial" w:hAnsi="Arial"/>
                <w:sz w:val="4"/>
                <w:szCs w:val="4"/>
                <w:color w:val="FFFFFF"/>
              </w:rPr>
              <w:t>11.3% $14,917 9.1%</w:t>
            </w:r>
          </w:p>
        </w:tc>
        <w:tc>
          <w:tcPr>
            <w:tcW w:w="0" w:type="dxa"/>
            <w:vAlign w:val="bottom"/>
          </w:tcPr>
          <w:p>
            <w:pPr>
              <w:spacing w:after="0" w:line="20" w:lineRule="exact"/>
              <w:rPr>
                <w:sz w:val="1"/>
                <w:szCs w:val="1"/>
                <w:color w:val="auto"/>
              </w:rPr>
            </w:pPr>
          </w:p>
        </w:tc>
      </w:tr>
      <w:tr>
        <w:trPr>
          <w:trHeight w:val="39"/>
        </w:trPr>
        <w:tc>
          <w:tcPr>
            <w:tcW w:w="1780" w:type="dxa"/>
            <w:vAlign w:val="bottom"/>
            <w:gridSpan w:val="2"/>
          </w:tcPr>
          <w:p>
            <w:pPr>
              <w:spacing w:after="0" w:line="40" w:lineRule="exact"/>
              <w:rPr>
                <w:sz w:val="20"/>
                <w:szCs w:val="20"/>
                <w:color w:val="auto"/>
              </w:rPr>
            </w:pPr>
            <w:r>
              <w:rPr>
                <w:rFonts w:ascii="Arial" w:cs="Arial" w:eastAsia="Arial" w:hAnsi="Arial"/>
                <w:sz w:val="4"/>
                <w:szCs w:val="4"/>
                <w:color w:val="FFFFFF"/>
              </w:rPr>
              <w:t>Total Sales $212,226 $163,746</w:t>
            </w:r>
          </w:p>
        </w:tc>
        <w:tc>
          <w:tcPr>
            <w:tcW w:w="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040" w:type="dxa"/>
            <w:vAlign w:val="bottom"/>
          </w:tcPr>
          <w:p>
            <w:pPr>
              <w:spacing w:after="0" w:line="40" w:lineRule="exact"/>
              <w:rPr>
                <w:sz w:val="20"/>
                <w:szCs w:val="20"/>
                <w:color w:val="auto"/>
              </w:rPr>
            </w:pPr>
            <w:r>
              <w:rPr>
                <w:rFonts w:ascii="Arial" w:cs="Arial" w:eastAsia="Arial" w:hAnsi="Arial"/>
                <w:sz w:val="4"/>
                <w:szCs w:val="4"/>
                <w:color w:val="FFFFFF"/>
              </w:rPr>
              <w:t>Reconciliation of</w:t>
            </w:r>
          </w:p>
        </w:tc>
        <w:tc>
          <w:tcPr>
            <w:tcW w:w="3080" w:type="dxa"/>
            <w:vAlign w:val="bottom"/>
            <w:gridSpan w:val="3"/>
          </w:tcPr>
          <w:p>
            <w:pPr>
              <w:spacing w:after="0" w:line="40" w:lineRule="exact"/>
              <w:rPr>
                <w:sz w:val="20"/>
                <w:szCs w:val="20"/>
                <w:color w:val="auto"/>
              </w:rPr>
            </w:pPr>
            <w:r>
              <w:rPr>
                <w:rFonts w:ascii="Arial" w:cs="Arial" w:eastAsia="Arial" w:hAnsi="Arial"/>
                <w:sz w:val="4"/>
                <w:szCs w:val="4"/>
                <w:color w:val="FFFFFF"/>
              </w:rPr>
              <w:t>come from operations to adjusted income from operations:</w:t>
            </w:r>
          </w:p>
        </w:tc>
        <w:tc>
          <w:tcPr>
            <w:tcW w:w="0" w:type="dxa"/>
            <w:vAlign w:val="bottom"/>
          </w:tcPr>
          <w:p>
            <w:pPr>
              <w:spacing w:after="0" w:line="20" w:lineRule="exact"/>
              <w:rPr>
                <w:sz w:val="1"/>
                <w:szCs w:val="1"/>
                <w:color w:val="auto"/>
              </w:rPr>
            </w:pPr>
          </w:p>
        </w:tc>
      </w:tr>
      <w:tr>
        <w:trPr>
          <w:trHeight w:val="39"/>
        </w:trPr>
        <w:tc>
          <w:tcPr>
            <w:tcW w:w="1780" w:type="dxa"/>
            <w:vAlign w:val="bottom"/>
            <w:gridSpan w:val="2"/>
          </w:tcPr>
          <w:p>
            <w:pPr>
              <w:spacing w:after="0" w:line="40" w:lineRule="exact"/>
              <w:rPr>
                <w:sz w:val="20"/>
                <w:szCs w:val="20"/>
                <w:color w:val="auto"/>
              </w:rPr>
            </w:pPr>
            <w:r>
              <w:rPr>
                <w:rFonts w:ascii="Arial" w:cs="Arial" w:eastAsia="Arial" w:hAnsi="Arial"/>
                <w:sz w:val="4"/>
                <w:szCs w:val="4"/>
                <w:color w:val="FFFFFF"/>
              </w:rPr>
              <w:t>NN, Inc—Precision Bearing</w:t>
            </w:r>
          </w:p>
        </w:tc>
        <w:tc>
          <w:tcPr>
            <w:tcW w:w="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120" w:type="dxa"/>
            <w:vAlign w:val="bottom"/>
            <w:gridSpan w:val="4"/>
          </w:tcPr>
          <w:p>
            <w:pPr>
              <w:spacing w:after="0" w:line="40" w:lineRule="exact"/>
              <w:rPr>
                <w:sz w:val="20"/>
                <w:szCs w:val="20"/>
                <w:color w:val="auto"/>
              </w:rPr>
            </w:pPr>
            <w:r>
              <w:rPr>
                <w:rFonts w:ascii="Arial" w:cs="Arial" w:eastAsia="Arial" w:hAnsi="Arial"/>
                <w:sz w:val="4"/>
                <w:szCs w:val="4"/>
                <w:color w:val="FFFFFF"/>
              </w:rPr>
              <w:t>Components Group Three Months Ended March 31,</w:t>
            </w:r>
          </w:p>
        </w:tc>
        <w:tc>
          <w:tcPr>
            <w:tcW w:w="0" w:type="dxa"/>
            <w:vAlign w:val="bottom"/>
          </w:tcPr>
          <w:p>
            <w:pPr>
              <w:spacing w:after="0" w:line="20" w:lineRule="exact"/>
              <w:rPr>
                <w:sz w:val="1"/>
                <w:szCs w:val="1"/>
                <w:color w:val="auto"/>
              </w:rPr>
            </w:pPr>
          </w:p>
        </w:tc>
      </w:tr>
      <w:tr>
        <w:trPr>
          <w:trHeight w:val="39"/>
        </w:trPr>
        <w:tc>
          <w:tcPr>
            <w:tcW w:w="1040" w:type="dxa"/>
            <w:vAlign w:val="bottom"/>
          </w:tcPr>
          <w:p>
            <w:pPr>
              <w:spacing w:after="0" w:line="40" w:lineRule="exact"/>
              <w:rPr>
                <w:sz w:val="20"/>
                <w:szCs w:val="20"/>
                <w:color w:val="auto"/>
              </w:rPr>
            </w:pPr>
            <w:r>
              <w:rPr>
                <w:rFonts w:ascii="Arial" w:cs="Arial" w:eastAsia="Arial" w:hAnsi="Arial"/>
                <w:sz w:val="4"/>
                <w:szCs w:val="4"/>
                <w:color w:val="FFFFFF"/>
              </w:rPr>
              <w:t>2016 2015</w:t>
            </w: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780" w:type="dxa"/>
            <w:vAlign w:val="bottom"/>
            <w:gridSpan w:val="2"/>
          </w:tcPr>
          <w:p>
            <w:pPr>
              <w:spacing w:after="0" w:line="40" w:lineRule="exact"/>
              <w:rPr>
                <w:sz w:val="20"/>
                <w:szCs w:val="20"/>
                <w:color w:val="auto"/>
              </w:rPr>
            </w:pPr>
            <w:r>
              <w:rPr>
                <w:rFonts w:ascii="Arial" w:cs="Arial" w:eastAsia="Arial" w:hAnsi="Arial"/>
                <w:sz w:val="4"/>
                <w:szCs w:val="4"/>
                <w:color w:val="FFFFFF"/>
              </w:rPr>
              <w:t>$‘000% of Sales $‘000% of Sales</w:t>
            </w:r>
          </w:p>
        </w:tc>
        <w:tc>
          <w:tcPr>
            <w:tcW w:w="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120" w:type="dxa"/>
            <w:vAlign w:val="bottom"/>
            <w:gridSpan w:val="4"/>
          </w:tcPr>
          <w:p>
            <w:pPr>
              <w:spacing w:after="0" w:line="40" w:lineRule="exact"/>
              <w:rPr>
                <w:sz w:val="20"/>
                <w:szCs w:val="20"/>
                <w:color w:val="auto"/>
              </w:rPr>
            </w:pPr>
            <w:r>
              <w:rPr>
                <w:rFonts w:ascii="Arial" w:cs="Arial" w:eastAsia="Arial" w:hAnsi="Arial"/>
                <w:sz w:val="4"/>
                <w:szCs w:val="4"/>
                <w:color w:val="FFFFFF"/>
              </w:rPr>
              <w:t>Income from operations $6,326 9.8% $9,089 12.4%</w:t>
            </w:r>
          </w:p>
        </w:tc>
        <w:tc>
          <w:tcPr>
            <w:tcW w:w="0" w:type="dxa"/>
            <w:vAlign w:val="bottom"/>
          </w:tcPr>
          <w:p>
            <w:pPr>
              <w:spacing w:after="0" w:line="20" w:lineRule="exact"/>
              <w:rPr>
                <w:sz w:val="1"/>
                <w:szCs w:val="1"/>
                <w:color w:val="auto"/>
              </w:rPr>
            </w:pPr>
          </w:p>
        </w:tc>
      </w:tr>
      <w:tr>
        <w:trPr>
          <w:trHeight w:val="39"/>
        </w:trPr>
        <w:tc>
          <w:tcPr>
            <w:tcW w:w="4120" w:type="dxa"/>
            <w:vAlign w:val="bottom"/>
            <w:gridSpan w:val="4"/>
          </w:tcPr>
          <w:p>
            <w:pPr>
              <w:spacing w:after="0" w:line="40" w:lineRule="exact"/>
              <w:rPr>
                <w:sz w:val="20"/>
                <w:szCs w:val="20"/>
                <w:color w:val="auto"/>
              </w:rPr>
            </w:pPr>
            <w:r>
              <w:rPr>
                <w:rFonts w:ascii="Arial" w:cs="Arial" w:eastAsia="Arial" w:hAnsi="Arial"/>
                <w:sz w:val="4"/>
                <w:szCs w:val="4"/>
                <w:color w:val="FFFFFF"/>
              </w:rPr>
              <w:t>Restructuring &amp; impairment Charges 689 1.1%—0.0%</w:t>
            </w:r>
          </w:p>
        </w:tc>
        <w:tc>
          <w:tcPr>
            <w:tcW w:w="0" w:type="dxa"/>
            <w:vAlign w:val="bottom"/>
          </w:tcPr>
          <w:p>
            <w:pPr>
              <w:spacing w:after="0" w:line="20" w:lineRule="exact"/>
              <w:rPr>
                <w:sz w:val="1"/>
                <w:szCs w:val="1"/>
                <w:color w:val="auto"/>
              </w:rPr>
            </w:pPr>
          </w:p>
        </w:tc>
      </w:tr>
      <w:tr>
        <w:trPr>
          <w:trHeight w:val="39"/>
        </w:trPr>
        <w:tc>
          <w:tcPr>
            <w:tcW w:w="4120" w:type="dxa"/>
            <w:vAlign w:val="bottom"/>
            <w:gridSpan w:val="4"/>
          </w:tcPr>
          <w:p>
            <w:pPr>
              <w:ind w:left="100"/>
              <w:spacing w:after="0" w:line="40" w:lineRule="exact"/>
              <w:rPr>
                <w:sz w:val="20"/>
                <w:szCs w:val="20"/>
                <w:color w:val="auto"/>
              </w:rPr>
            </w:pPr>
            <w:r>
              <w:rPr>
                <w:rFonts w:ascii="Arial" w:cs="Arial" w:eastAsia="Arial" w:hAnsi="Arial"/>
                <w:sz w:val="4"/>
                <w:szCs w:val="4"/>
                <w:color w:val="FFFFFF"/>
              </w:rPr>
              <w:t>mortization of intangibles 58 0.1%   0.1%</w:t>
            </w:r>
          </w:p>
        </w:tc>
        <w:tc>
          <w:tcPr>
            <w:tcW w:w="0" w:type="dxa"/>
            <w:vAlign w:val="bottom"/>
          </w:tcPr>
          <w:p>
            <w:pPr>
              <w:spacing w:after="0" w:line="20" w:lineRule="exact"/>
              <w:rPr>
                <w:sz w:val="1"/>
                <w:szCs w:val="1"/>
                <w:color w:val="auto"/>
              </w:rPr>
            </w:pPr>
          </w:p>
        </w:tc>
      </w:tr>
      <w:tr>
        <w:trPr>
          <w:trHeight w:val="39"/>
        </w:trPr>
        <w:tc>
          <w:tcPr>
            <w:tcW w:w="1780" w:type="dxa"/>
            <w:vAlign w:val="bottom"/>
            <w:gridSpan w:val="2"/>
          </w:tcPr>
          <w:p>
            <w:pPr>
              <w:spacing w:after="0" w:line="40" w:lineRule="exact"/>
              <w:rPr>
                <w:sz w:val="20"/>
                <w:szCs w:val="20"/>
                <w:color w:val="auto"/>
              </w:rPr>
            </w:pPr>
            <w:r>
              <w:rPr>
                <w:rFonts w:ascii="Arial" w:cs="Arial" w:eastAsia="Arial" w:hAnsi="Arial"/>
                <w:sz w:val="4"/>
                <w:szCs w:val="4"/>
                <w:color w:val="FFFFFF"/>
              </w:rPr>
              <w:t>Adjusted income from operations</w:t>
            </w:r>
          </w:p>
        </w:tc>
        <w:tc>
          <w:tcPr>
            <w:tcW w:w="2340" w:type="dxa"/>
            <w:vAlign w:val="bottom"/>
            <w:gridSpan w:val="2"/>
          </w:tcPr>
          <w:p>
            <w:pPr>
              <w:ind w:left="20"/>
              <w:spacing w:after="0" w:line="40" w:lineRule="exact"/>
              <w:rPr>
                <w:sz w:val="20"/>
                <w:szCs w:val="20"/>
                <w:color w:val="auto"/>
              </w:rPr>
            </w:pPr>
            <w:r>
              <w:rPr>
                <w:rFonts w:ascii="Arial" w:cs="Arial" w:eastAsia="Arial" w:hAnsi="Arial"/>
                <w:sz w:val="4"/>
                <w:szCs w:val="4"/>
                <w:color w:val="FFFFFF"/>
              </w:rPr>
              <w:t>$7,073 10.9% $9,162 12.5%</w:t>
            </w:r>
          </w:p>
        </w:tc>
        <w:tc>
          <w:tcPr>
            <w:tcW w:w="0" w:type="dxa"/>
            <w:vAlign w:val="bottom"/>
          </w:tcPr>
          <w:p>
            <w:pPr>
              <w:spacing w:after="0" w:line="20" w:lineRule="exact"/>
              <w:rPr>
                <w:sz w:val="1"/>
                <w:szCs w:val="1"/>
                <w:color w:val="auto"/>
              </w:rPr>
            </w:pPr>
          </w:p>
        </w:tc>
      </w:tr>
      <w:tr>
        <w:trPr>
          <w:trHeight w:val="39"/>
        </w:trPr>
        <w:tc>
          <w:tcPr>
            <w:tcW w:w="1040" w:type="dxa"/>
            <w:vAlign w:val="bottom"/>
          </w:tcPr>
          <w:p>
            <w:pPr>
              <w:spacing w:after="0" w:line="40" w:lineRule="exact"/>
              <w:rPr>
                <w:sz w:val="20"/>
                <w:szCs w:val="20"/>
                <w:color w:val="auto"/>
              </w:rPr>
            </w:pPr>
            <w:r>
              <w:rPr>
                <w:rFonts w:ascii="Arial" w:cs="Arial" w:eastAsia="Arial" w:hAnsi="Arial"/>
                <w:sz w:val="4"/>
                <w:szCs w:val="4"/>
                <w:color w:val="FFFFFF"/>
              </w:rPr>
              <w:t>Total Sales $64,745</w:t>
            </w:r>
          </w:p>
        </w:tc>
        <w:tc>
          <w:tcPr>
            <w:tcW w:w="740" w:type="dxa"/>
            <w:vAlign w:val="bottom"/>
          </w:tcPr>
          <w:p>
            <w:pPr>
              <w:ind w:left="40"/>
              <w:spacing w:after="0" w:line="40" w:lineRule="exact"/>
              <w:rPr>
                <w:sz w:val="20"/>
                <w:szCs w:val="20"/>
                <w:color w:val="auto"/>
              </w:rPr>
            </w:pPr>
            <w:r>
              <w:rPr>
                <w:rFonts w:ascii="Arial" w:cs="Arial" w:eastAsia="Arial" w:hAnsi="Arial"/>
                <w:sz w:val="4"/>
                <w:szCs w:val="4"/>
                <w:color w:val="FFFFFF"/>
              </w:rPr>
              <w:t>$73,236</w:t>
            </w:r>
          </w:p>
        </w:tc>
        <w:tc>
          <w:tcPr>
            <w:tcW w:w="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120" w:type="dxa"/>
            <w:vAlign w:val="bottom"/>
            <w:gridSpan w:val="4"/>
          </w:tcPr>
          <w:p>
            <w:pPr>
              <w:spacing w:after="0" w:line="40" w:lineRule="exact"/>
              <w:rPr>
                <w:sz w:val="20"/>
                <w:szCs w:val="20"/>
                <w:color w:val="auto"/>
              </w:rPr>
            </w:pPr>
            <w:r>
              <w:rPr>
                <w:rFonts w:ascii="Arial" w:cs="Arial" w:eastAsia="Arial" w:hAnsi="Arial"/>
                <w:sz w:val="4"/>
                <w:szCs w:val="4"/>
                <w:color w:val="FFFFFF"/>
              </w:rPr>
              <w:t>Reconciliation of income from operations to adjusted income from operations:</w:t>
            </w:r>
          </w:p>
        </w:tc>
        <w:tc>
          <w:tcPr>
            <w:tcW w:w="0" w:type="dxa"/>
            <w:vAlign w:val="bottom"/>
          </w:tcPr>
          <w:p>
            <w:pPr>
              <w:spacing w:after="0" w:line="20" w:lineRule="exact"/>
              <w:rPr>
                <w:sz w:val="1"/>
                <w:szCs w:val="1"/>
                <w:color w:val="auto"/>
              </w:rPr>
            </w:pPr>
          </w:p>
        </w:tc>
      </w:tr>
      <w:tr>
        <w:trPr>
          <w:trHeight w:val="39"/>
        </w:trPr>
        <w:tc>
          <w:tcPr>
            <w:tcW w:w="1780" w:type="dxa"/>
            <w:vAlign w:val="bottom"/>
            <w:gridSpan w:val="2"/>
          </w:tcPr>
          <w:p>
            <w:pPr>
              <w:spacing w:after="0" w:line="40" w:lineRule="exact"/>
              <w:rPr>
                <w:sz w:val="20"/>
                <w:szCs w:val="20"/>
                <w:color w:val="auto"/>
              </w:rPr>
            </w:pPr>
            <w:r>
              <w:rPr>
                <w:rFonts w:ascii="Arial" w:cs="Arial" w:eastAsia="Arial" w:hAnsi="Arial"/>
                <w:sz w:val="4"/>
                <w:szCs w:val="4"/>
                <w:color w:val="FFFFFF"/>
              </w:rPr>
              <w:t>NN, Inc—Autocam Precision</w:t>
            </w:r>
          </w:p>
        </w:tc>
        <w:tc>
          <w:tcPr>
            <w:tcW w:w="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120" w:type="dxa"/>
            <w:vAlign w:val="bottom"/>
            <w:gridSpan w:val="4"/>
          </w:tcPr>
          <w:p>
            <w:pPr>
              <w:spacing w:after="0" w:line="40" w:lineRule="exact"/>
              <w:rPr>
                <w:sz w:val="20"/>
                <w:szCs w:val="20"/>
                <w:color w:val="auto"/>
              </w:rPr>
            </w:pPr>
            <w:r>
              <w:rPr>
                <w:rFonts w:ascii="Arial" w:cs="Arial" w:eastAsia="Arial" w:hAnsi="Arial"/>
                <w:sz w:val="4"/>
                <w:szCs w:val="4"/>
                <w:color w:val="FFFFFF"/>
              </w:rPr>
              <w:t>Components Group Three Months Ended March 31,</w:t>
            </w:r>
          </w:p>
        </w:tc>
        <w:tc>
          <w:tcPr>
            <w:tcW w:w="0" w:type="dxa"/>
            <w:vAlign w:val="bottom"/>
          </w:tcPr>
          <w:p>
            <w:pPr>
              <w:spacing w:after="0" w:line="20" w:lineRule="exact"/>
              <w:rPr>
                <w:sz w:val="1"/>
                <w:szCs w:val="1"/>
                <w:color w:val="auto"/>
              </w:rPr>
            </w:pPr>
          </w:p>
        </w:tc>
      </w:tr>
      <w:tr>
        <w:trPr>
          <w:trHeight w:val="39"/>
        </w:trPr>
        <w:tc>
          <w:tcPr>
            <w:tcW w:w="1040" w:type="dxa"/>
            <w:vAlign w:val="bottom"/>
          </w:tcPr>
          <w:p>
            <w:pPr>
              <w:spacing w:after="0" w:line="40" w:lineRule="exact"/>
              <w:rPr>
                <w:sz w:val="20"/>
                <w:szCs w:val="20"/>
                <w:color w:val="auto"/>
              </w:rPr>
            </w:pPr>
            <w:r>
              <w:rPr>
                <w:rFonts w:ascii="Arial" w:cs="Arial" w:eastAsia="Arial" w:hAnsi="Arial"/>
                <w:sz w:val="4"/>
                <w:szCs w:val="4"/>
                <w:color w:val="FFFFFF"/>
              </w:rPr>
              <w:t>2016 2015</w:t>
            </w: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240" w:type="dxa"/>
            <w:vAlign w:val="bottom"/>
            <w:gridSpan w:val="3"/>
          </w:tcPr>
          <w:p>
            <w:pPr>
              <w:spacing w:after="0" w:line="40" w:lineRule="exact"/>
              <w:rPr>
                <w:sz w:val="20"/>
                <w:szCs w:val="20"/>
                <w:color w:val="auto"/>
              </w:rPr>
            </w:pPr>
            <w:r>
              <w:rPr>
                <w:rFonts w:ascii="Arial" w:cs="Arial" w:eastAsia="Arial" w:hAnsi="Arial"/>
                <w:sz w:val="4"/>
                <w:szCs w:val="4"/>
                <w:color w:val="FFFFFF"/>
              </w:rPr>
              <w:t>$‘000 % of Sales $‘000 % of Sales</w:t>
            </w:r>
          </w:p>
        </w:tc>
        <w:tc>
          <w:tcPr>
            <w:tcW w:w="1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120" w:type="dxa"/>
            <w:vAlign w:val="bottom"/>
            <w:gridSpan w:val="4"/>
          </w:tcPr>
          <w:p>
            <w:pPr>
              <w:spacing w:after="0" w:line="40" w:lineRule="exact"/>
              <w:rPr>
                <w:sz w:val="20"/>
                <w:szCs w:val="20"/>
                <w:color w:val="auto"/>
              </w:rPr>
            </w:pPr>
            <w:r>
              <w:rPr>
                <w:rFonts w:ascii="Arial" w:cs="Arial" w:eastAsia="Arial" w:hAnsi="Arial"/>
                <w:sz w:val="4"/>
                <w:szCs w:val="4"/>
                <w:color w:val="FFFFFF"/>
              </w:rPr>
              <w:t>Income from operations $6,527 7.8% $7,718 9.3%</w:t>
            </w:r>
          </w:p>
        </w:tc>
        <w:tc>
          <w:tcPr>
            <w:tcW w:w="0" w:type="dxa"/>
            <w:vAlign w:val="bottom"/>
          </w:tcPr>
          <w:p>
            <w:pPr>
              <w:spacing w:after="0" w:line="20" w:lineRule="exact"/>
              <w:rPr>
                <w:sz w:val="1"/>
                <w:szCs w:val="1"/>
                <w:color w:val="auto"/>
              </w:rPr>
            </w:pPr>
          </w:p>
        </w:tc>
      </w:tr>
      <w:tr>
        <w:trPr>
          <w:trHeight w:val="39"/>
        </w:trPr>
        <w:tc>
          <w:tcPr>
            <w:tcW w:w="1780" w:type="dxa"/>
            <w:vAlign w:val="bottom"/>
            <w:gridSpan w:val="2"/>
          </w:tcPr>
          <w:p>
            <w:pPr>
              <w:spacing w:after="0" w:line="40" w:lineRule="exact"/>
              <w:rPr>
                <w:sz w:val="20"/>
                <w:szCs w:val="20"/>
                <w:color w:val="auto"/>
              </w:rPr>
            </w:pPr>
            <w:r>
              <w:rPr>
                <w:rFonts w:ascii="Arial" w:cs="Arial" w:eastAsia="Arial" w:hAnsi="Arial"/>
                <w:sz w:val="4"/>
                <w:szCs w:val="4"/>
                <w:color w:val="FFFFFF"/>
              </w:rPr>
              <w:t>Restructuring &amp; impairment</w:t>
            </w:r>
          </w:p>
        </w:tc>
        <w:tc>
          <w:tcPr>
            <w:tcW w:w="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780" w:type="dxa"/>
            <w:vAlign w:val="bottom"/>
            <w:gridSpan w:val="2"/>
          </w:tcPr>
          <w:p>
            <w:pPr>
              <w:spacing w:after="0" w:line="40" w:lineRule="exact"/>
              <w:rPr>
                <w:sz w:val="20"/>
                <w:szCs w:val="20"/>
                <w:color w:val="auto"/>
              </w:rPr>
            </w:pPr>
            <w:r>
              <w:rPr>
                <w:rFonts w:ascii="Arial" w:cs="Arial" w:eastAsia="Arial" w:hAnsi="Arial"/>
                <w:sz w:val="4"/>
                <w:szCs w:val="4"/>
                <w:color w:val="FFFFFF"/>
              </w:rPr>
              <w:t>Charges 2,274 2.7%—0.0%</w:t>
            </w:r>
          </w:p>
        </w:tc>
        <w:tc>
          <w:tcPr>
            <w:tcW w:w="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120" w:type="dxa"/>
            <w:vAlign w:val="bottom"/>
            <w:gridSpan w:val="4"/>
          </w:tcPr>
          <w:p>
            <w:pPr>
              <w:ind w:left="100"/>
              <w:spacing w:after="0" w:line="40" w:lineRule="exact"/>
              <w:rPr>
                <w:sz w:val="20"/>
                <w:szCs w:val="20"/>
                <w:color w:val="auto"/>
              </w:rPr>
            </w:pPr>
            <w:r>
              <w:rPr>
                <w:rFonts w:ascii="Arial" w:cs="Arial" w:eastAsia="Arial" w:hAnsi="Arial"/>
                <w:sz w:val="4"/>
                <w:szCs w:val="4"/>
                <w:color w:val="FFFFFF"/>
              </w:rPr>
              <w:t>cquisition &amp; integration expenses—0.0%—0.0%</w:t>
            </w:r>
          </w:p>
        </w:tc>
        <w:tc>
          <w:tcPr>
            <w:tcW w:w="0" w:type="dxa"/>
            <w:vAlign w:val="bottom"/>
          </w:tcPr>
          <w:p>
            <w:pPr>
              <w:spacing w:after="0" w:line="20" w:lineRule="exact"/>
              <w:rPr>
                <w:sz w:val="1"/>
                <w:szCs w:val="1"/>
                <w:color w:val="auto"/>
              </w:rPr>
            </w:pPr>
          </w:p>
        </w:tc>
      </w:tr>
      <w:tr>
        <w:trPr>
          <w:trHeight w:val="39"/>
        </w:trPr>
        <w:tc>
          <w:tcPr>
            <w:tcW w:w="4120" w:type="dxa"/>
            <w:vAlign w:val="bottom"/>
            <w:gridSpan w:val="4"/>
          </w:tcPr>
          <w:p>
            <w:pPr>
              <w:ind w:left="100"/>
              <w:spacing w:after="0" w:line="40" w:lineRule="exact"/>
              <w:rPr>
                <w:sz w:val="20"/>
                <w:szCs w:val="20"/>
                <w:color w:val="auto"/>
              </w:rPr>
            </w:pPr>
            <w:r>
              <w:rPr>
                <w:rFonts w:ascii="Arial" w:cs="Arial" w:eastAsia="Arial" w:hAnsi="Arial"/>
                <w:sz w:val="4"/>
                <w:szCs w:val="4"/>
                <w:color w:val="FFFFFF"/>
              </w:rPr>
              <w:t>mortization of intangibles 885 1.1% 910 1.1%</w:t>
            </w:r>
          </w:p>
        </w:tc>
        <w:tc>
          <w:tcPr>
            <w:tcW w:w="0" w:type="dxa"/>
            <w:vAlign w:val="bottom"/>
          </w:tcPr>
          <w:p>
            <w:pPr>
              <w:spacing w:after="0" w:line="20" w:lineRule="exact"/>
              <w:rPr>
                <w:sz w:val="1"/>
                <w:szCs w:val="1"/>
                <w:color w:val="auto"/>
              </w:rPr>
            </w:pPr>
          </w:p>
        </w:tc>
      </w:tr>
      <w:tr>
        <w:trPr>
          <w:trHeight w:val="39"/>
        </w:trPr>
        <w:tc>
          <w:tcPr>
            <w:tcW w:w="4120" w:type="dxa"/>
            <w:vAlign w:val="bottom"/>
            <w:gridSpan w:val="4"/>
          </w:tcPr>
          <w:p>
            <w:pPr>
              <w:spacing w:after="0" w:line="40" w:lineRule="exact"/>
              <w:rPr>
                <w:sz w:val="20"/>
                <w:szCs w:val="20"/>
                <w:color w:val="auto"/>
              </w:rPr>
            </w:pPr>
            <w:r>
              <w:rPr>
                <w:rFonts w:ascii="Arial" w:cs="Arial" w:eastAsia="Arial" w:hAnsi="Arial"/>
                <w:sz w:val="4"/>
                <w:szCs w:val="4"/>
                <w:color w:val="FFFFFF"/>
              </w:rPr>
              <w:t>Adjusted income from operations $9,686 11.5% $8,628 10.4%</w:t>
            </w:r>
          </w:p>
        </w:tc>
        <w:tc>
          <w:tcPr>
            <w:tcW w:w="0" w:type="dxa"/>
            <w:vAlign w:val="bottom"/>
          </w:tcPr>
          <w:p>
            <w:pPr>
              <w:spacing w:after="0" w:line="20" w:lineRule="exact"/>
              <w:rPr>
                <w:sz w:val="1"/>
                <w:szCs w:val="1"/>
                <w:color w:val="auto"/>
              </w:rPr>
            </w:pPr>
          </w:p>
        </w:tc>
      </w:tr>
      <w:tr>
        <w:trPr>
          <w:trHeight w:val="39"/>
        </w:trPr>
        <w:tc>
          <w:tcPr>
            <w:tcW w:w="1780" w:type="dxa"/>
            <w:vAlign w:val="bottom"/>
            <w:gridSpan w:val="2"/>
          </w:tcPr>
          <w:p>
            <w:pPr>
              <w:spacing w:after="0" w:line="40" w:lineRule="exact"/>
              <w:rPr>
                <w:sz w:val="20"/>
                <w:szCs w:val="20"/>
                <w:color w:val="auto"/>
              </w:rPr>
            </w:pPr>
            <w:r>
              <w:rPr>
                <w:rFonts w:ascii="Arial" w:cs="Arial" w:eastAsia="Arial" w:hAnsi="Arial"/>
                <w:sz w:val="4"/>
                <w:szCs w:val="4"/>
                <w:color w:val="FFFFFF"/>
              </w:rPr>
              <w:t>China JV Contribution 1,400 861</w:t>
            </w:r>
          </w:p>
        </w:tc>
        <w:tc>
          <w:tcPr>
            <w:tcW w:w="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120" w:type="dxa"/>
            <w:vAlign w:val="bottom"/>
            <w:gridSpan w:val="4"/>
          </w:tcPr>
          <w:p>
            <w:pPr>
              <w:spacing w:after="0" w:line="40" w:lineRule="exact"/>
              <w:rPr>
                <w:sz w:val="20"/>
                <w:szCs w:val="20"/>
                <w:color w:val="auto"/>
              </w:rPr>
            </w:pPr>
            <w:r>
              <w:rPr>
                <w:rFonts w:ascii="Arial" w:cs="Arial" w:eastAsia="Arial" w:hAnsi="Arial"/>
                <w:sz w:val="4"/>
                <w:szCs w:val="4"/>
                <w:color w:val="FFFFFF"/>
              </w:rPr>
              <w:t>Adjusted income from operations $11,086 13.2% $9,489 11.5%</w:t>
            </w:r>
          </w:p>
        </w:tc>
        <w:tc>
          <w:tcPr>
            <w:tcW w:w="0" w:type="dxa"/>
            <w:vAlign w:val="bottom"/>
          </w:tcPr>
          <w:p>
            <w:pPr>
              <w:spacing w:after="0" w:line="20" w:lineRule="exact"/>
              <w:rPr>
                <w:sz w:val="1"/>
                <w:szCs w:val="1"/>
                <w:color w:val="auto"/>
              </w:rPr>
            </w:pPr>
          </w:p>
        </w:tc>
      </w:tr>
      <w:tr>
        <w:trPr>
          <w:trHeight w:val="39"/>
        </w:trPr>
        <w:tc>
          <w:tcPr>
            <w:tcW w:w="1040" w:type="dxa"/>
            <w:vAlign w:val="bottom"/>
          </w:tcPr>
          <w:p>
            <w:pPr>
              <w:spacing w:after="0" w:line="40" w:lineRule="exact"/>
              <w:rPr>
                <w:sz w:val="20"/>
                <w:szCs w:val="20"/>
                <w:color w:val="auto"/>
              </w:rPr>
            </w:pPr>
            <w:r>
              <w:rPr>
                <w:rFonts w:ascii="Arial" w:cs="Arial" w:eastAsia="Arial" w:hAnsi="Arial"/>
                <w:sz w:val="4"/>
                <w:szCs w:val="4"/>
                <w:color w:val="FFFFFF"/>
              </w:rPr>
              <w:t>Total Sales $83,990</w:t>
            </w:r>
          </w:p>
        </w:tc>
        <w:tc>
          <w:tcPr>
            <w:tcW w:w="740" w:type="dxa"/>
            <w:vAlign w:val="bottom"/>
          </w:tcPr>
          <w:p>
            <w:pPr>
              <w:ind w:left="40"/>
              <w:spacing w:after="0" w:line="40" w:lineRule="exact"/>
              <w:rPr>
                <w:sz w:val="20"/>
                <w:szCs w:val="20"/>
                <w:color w:val="auto"/>
              </w:rPr>
            </w:pPr>
            <w:r>
              <w:rPr>
                <w:rFonts w:ascii="Arial" w:cs="Arial" w:eastAsia="Arial" w:hAnsi="Arial"/>
                <w:sz w:val="4"/>
                <w:szCs w:val="4"/>
                <w:color w:val="FFFFFF"/>
              </w:rPr>
              <w:t>$82,622</w:t>
            </w:r>
          </w:p>
        </w:tc>
        <w:tc>
          <w:tcPr>
            <w:tcW w:w="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040" w:type="dxa"/>
            <w:vAlign w:val="bottom"/>
          </w:tcPr>
          <w:p>
            <w:pPr>
              <w:spacing w:after="0" w:line="40" w:lineRule="exact"/>
              <w:rPr>
                <w:sz w:val="20"/>
                <w:szCs w:val="20"/>
                <w:color w:val="auto"/>
              </w:rPr>
            </w:pPr>
            <w:r>
              <w:rPr>
                <w:rFonts w:ascii="Arial" w:cs="Arial" w:eastAsia="Arial" w:hAnsi="Arial"/>
                <w:sz w:val="4"/>
                <w:szCs w:val="4"/>
                <w:color w:val="FFFFFF"/>
              </w:rPr>
              <w:t>Reconciliation of</w:t>
            </w:r>
          </w:p>
        </w:tc>
        <w:tc>
          <w:tcPr>
            <w:tcW w:w="3080" w:type="dxa"/>
            <w:vAlign w:val="bottom"/>
            <w:gridSpan w:val="3"/>
          </w:tcPr>
          <w:p>
            <w:pPr>
              <w:spacing w:after="0" w:line="40" w:lineRule="exact"/>
              <w:rPr>
                <w:sz w:val="20"/>
                <w:szCs w:val="20"/>
                <w:color w:val="auto"/>
              </w:rPr>
            </w:pPr>
            <w:r>
              <w:rPr>
                <w:rFonts w:ascii="Arial" w:cs="Arial" w:eastAsia="Arial" w:hAnsi="Arial"/>
                <w:sz w:val="4"/>
                <w:szCs w:val="4"/>
                <w:color w:val="FFFFFF"/>
              </w:rPr>
              <w:t>come from operations to adjusted income from operations:</w:t>
            </w:r>
          </w:p>
        </w:tc>
        <w:tc>
          <w:tcPr>
            <w:tcW w:w="0" w:type="dxa"/>
            <w:vAlign w:val="bottom"/>
          </w:tcPr>
          <w:p>
            <w:pPr>
              <w:spacing w:after="0" w:line="20" w:lineRule="exact"/>
              <w:rPr>
                <w:sz w:val="1"/>
                <w:szCs w:val="1"/>
                <w:color w:val="auto"/>
              </w:rPr>
            </w:pPr>
          </w:p>
        </w:tc>
      </w:tr>
      <w:tr>
        <w:trPr>
          <w:trHeight w:val="39"/>
        </w:trPr>
        <w:tc>
          <w:tcPr>
            <w:tcW w:w="1780" w:type="dxa"/>
            <w:vAlign w:val="bottom"/>
            <w:gridSpan w:val="2"/>
          </w:tcPr>
          <w:p>
            <w:pPr>
              <w:spacing w:after="0" w:line="40" w:lineRule="exact"/>
              <w:rPr>
                <w:sz w:val="20"/>
                <w:szCs w:val="20"/>
                <w:color w:val="auto"/>
              </w:rPr>
            </w:pPr>
            <w:r>
              <w:rPr>
                <w:rFonts w:ascii="Arial" w:cs="Arial" w:eastAsia="Arial" w:hAnsi="Arial"/>
                <w:sz w:val="4"/>
                <w:szCs w:val="4"/>
                <w:color w:val="FFFFFF"/>
              </w:rPr>
              <w:t>NN, Inc—Precision Engineered</w:t>
            </w:r>
          </w:p>
        </w:tc>
        <w:tc>
          <w:tcPr>
            <w:tcW w:w="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120" w:type="dxa"/>
            <w:vAlign w:val="bottom"/>
            <w:gridSpan w:val="4"/>
          </w:tcPr>
          <w:p>
            <w:pPr>
              <w:spacing w:after="0" w:line="40" w:lineRule="exact"/>
              <w:rPr>
                <w:sz w:val="20"/>
                <w:szCs w:val="20"/>
                <w:color w:val="auto"/>
              </w:rPr>
            </w:pPr>
            <w:r>
              <w:rPr>
                <w:rFonts w:ascii="Arial" w:cs="Arial" w:eastAsia="Arial" w:hAnsi="Arial"/>
                <w:sz w:val="4"/>
                <w:szCs w:val="4"/>
                <w:color w:val="FFFFFF"/>
              </w:rPr>
              <w:t>Products Group Three Months Ended March 31,</w:t>
            </w:r>
          </w:p>
        </w:tc>
        <w:tc>
          <w:tcPr>
            <w:tcW w:w="0" w:type="dxa"/>
            <w:vAlign w:val="bottom"/>
          </w:tcPr>
          <w:p>
            <w:pPr>
              <w:spacing w:after="0" w:line="20" w:lineRule="exact"/>
              <w:rPr>
                <w:sz w:val="1"/>
                <w:szCs w:val="1"/>
                <w:color w:val="auto"/>
              </w:rPr>
            </w:pPr>
          </w:p>
        </w:tc>
      </w:tr>
      <w:tr>
        <w:trPr>
          <w:trHeight w:val="39"/>
        </w:trPr>
        <w:tc>
          <w:tcPr>
            <w:tcW w:w="1040" w:type="dxa"/>
            <w:vAlign w:val="bottom"/>
          </w:tcPr>
          <w:p>
            <w:pPr>
              <w:spacing w:after="0" w:line="40" w:lineRule="exact"/>
              <w:rPr>
                <w:sz w:val="20"/>
                <w:szCs w:val="20"/>
                <w:color w:val="auto"/>
              </w:rPr>
            </w:pPr>
            <w:r>
              <w:rPr>
                <w:rFonts w:ascii="Arial" w:cs="Arial" w:eastAsia="Arial" w:hAnsi="Arial"/>
                <w:sz w:val="4"/>
                <w:szCs w:val="4"/>
                <w:color w:val="FFFFFF"/>
              </w:rPr>
              <w:t>2016 2015</w:t>
            </w: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780" w:type="dxa"/>
            <w:vAlign w:val="bottom"/>
            <w:gridSpan w:val="2"/>
          </w:tcPr>
          <w:p>
            <w:pPr>
              <w:spacing w:after="0" w:line="40" w:lineRule="exact"/>
              <w:rPr>
                <w:sz w:val="20"/>
                <w:szCs w:val="20"/>
                <w:color w:val="auto"/>
              </w:rPr>
            </w:pPr>
            <w:r>
              <w:rPr>
                <w:rFonts w:ascii="Arial" w:cs="Arial" w:eastAsia="Arial" w:hAnsi="Arial"/>
                <w:sz w:val="4"/>
                <w:szCs w:val="4"/>
                <w:color w:val="FFFFFF"/>
              </w:rPr>
              <w:t>$‘000% of Sales $‘000% of Sales</w:t>
            </w:r>
          </w:p>
        </w:tc>
        <w:tc>
          <w:tcPr>
            <w:tcW w:w="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120" w:type="dxa"/>
            <w:vAlign w:val="bottom"/>
            <w:gridSpan w:val="4"/>
          </w:tcPr>
          <w:p>
            <w:pPr>
              <w:spacing w:after="0" w:line="40" w:lineRule="exact"/>
              <w:rPr>
                <w:sz w:val="20"/>
                <w:szCs w:val="20"/>
                <w:color w:val="auto"/>
              </w:rPr>
            </w:pPr>
            <w:r>
              <w:rPr>
                <w:rFonts w:ascii="Arial" w:cs="Arial" w:eastAsia="Arial" w:hAnsi="Arial"/>
                <w:sz w:val="4"/>
                <w:szCs w:val="4"/>
                <w:color w:val="FFFFFF"/>
              </w:rPr>
              <w:t>Income from operations $5,421 8.5% $213 2.7%</w:t>
            </w:r>
          </w:p>
        </w:tc>
        <w:tc>
          <w:tcPr>
            <w:tcW w:w="0" w:type="dxa"/>
            <w:vAlign w:val="bottom"/>
          </w:tcPr>
          <w:p>
            <w:pPr>
              <w:spacing w:after="0" w:line="20" w:lineRule="exact"/>
              <w:rPr>
                <w:sz w:val="1"/>
                <w:szCs w:val="1"/>
                <w:color w:val="auto"/>
              </w:rPr>
            </w:pPr>
          </w:p>
        </w:tc>
      </w:tr>
      <w:tr>
        <w:trPr>
          <w:trHeight w:val="39"/>
        </w:trPr>
        <w:tc>
          <w:tcPr>
            <w:tcW w:w="4120" w:type="dxa"/>
            <w:vAlign w:val="bottom"/>
            <w:gridSpan w:val="4"/>
          </w:tcPr>
          <w:p>
            <w:pPr>
              <w:spacing w:after="0" w:line="40" w:lineRule="exact"/>
              <w:rPr>
                <w:sz w:val="20"/>
                <w:szCs w:val="20"/>
                <w:color w:val="auto"/>
              </w:rPr>
            </w:pPr>
            <w:r>
              <w:rPr>
                <w:rFonts w:ascii="Arial" w:cs="Arial" w:eastAsia="Arial" w:hAnsi="Arial"/>
                <w:sz w:val="4"/>
                <w:szCs w:val="4"/>
                <w:color w:val="FFFFFF"/>
              </w:rPr>
              <w:t>Restructuring &amp; imp irment Charges—0.0%—0.</w:t>
            </w:r>
          </w:p>
        </w:tc>
        <w:tc>
          <w:tcPr>
            <w:tcW w:w="0" w:type="dxa"/>
            <w:vAlign w:val="bottom"/>
          </w:tcPr>
          <w:p>
            <w:pPr>
              <w:spacing w:after="0" w:line="20" w:lineRule="exact"/>
              <w:rPr>
                <w:sz w:val="1"/>
                <w:szCs w:val="1"/>
                <w:color w:val="auto"/>
              </w:rPr>
            </w:pPr>
          </w:p>
        </w:tc>
      </w:tr>
      <w:tr>
        <w:trPr>
          <w:trHeight w:val="39"/>
        </w:trPr>
        <w:tc>
          <w:tcPr>
            <w:tcW w:w="4120" w:type="dxa"/>
            <w:vAlign w:val="bottom"/>
            <w:gridSpan w:val="4"/>
          </w:tcPr>
          <w:p>
            <w:pPr>
              <w:ind w:left="100"/>
              <w:spacing w:after="0" w:line="40" w:lineRule="exact"/>
              <w:rPr>
                <w:sz w:val="20"/>
                <w:szCs w:val="20"/>
                <w:color w:val="auto"/>
              </w:rPr>
            </w:pPr>
            <w:r>
              <w:rPr>
                <w:rFonts w:ascii="Arial" w:cs="Arial" w:eastAsia="Arial" w:hAnsi="Arial"/>
                <w:sz w:val="4"/>
                <w:szCs w:val="4"/>
                <w:color w:val="FFFFFF"/>
              </w:rPr>
              <w:t>cquisition &amp; integration expenses 2,777 4 4%—0%.0%</w:t>
            </w:r>
          </w:p>
        </w:tc>
        <w:tc>
          <w:tcPr>
            <w:tcW w:w="0" w:type="dxa"/>
            <w:vAlign w:val="bottom"/>
          </w:tcPr>
          <w:p>
            <w:pPr>
              <w:spacing w:after="0" w:line="20" w:lineRule="exact"/>
              <w:rPr>
                <w:sz w:val="1"/>
                <w:szCs w:val="1"/>
                <w:color w:val="auto"/>
              </w:rPr>
            </w:pPr>
          </w:p>
        </w:tc>
      </w:tr>
      <w:tr>
        <w:trPr>
          <w:trHeight w:val="39"/>
        </w:trPr>
        <w:tc>
          <w:tcPr>
            <w:tcW w:w="4120" w:type="dxa"/>
            <w:vAlign w:val="bottom"/>
            <w:gridSpan w:val="4"/>
          </w:tcPr>
          <w:p>
            <w:pPr>
              <w:ind w:left="100"/>
              <w:spacing w:after="0" w:line="40" w:lineRule="exact"/>
              <w:rPr>
                <w:sz w:val="20"/>
                <w:szCs w:val="20"/>
                <w:color w:val="auto"/>
              </w:rPr>
            </w:pPr>
            <w:r>
              <w:rPr>
                <w:rFonts w:ascii="Arial" w:cs="Arial" w:eastAsia="Arial" w:hAnsi="Arial"/>
                <w:sz w:val="4"/>
                <w:szCs w:val="4"/>
                <w:color w:val="FFFFFF"/>
              </w:rPr>
              <w:t>mortization of intangibles 4,983 7.8%—0.0%</w:t>
            </w:r>
          </w:p>
        </w:tc>
        <w:tc>
          <w:tcPr>
            <w:tcW w:w="0" w:type="dxa"/>
            <w:vAlign w:val="bottom"/>
          </w:tcPr>
          <w:p>
            <w:pPr>
              <w:spacing w:after="0" w:line="20" w:lineRule="exact"/>
              <w:rPr>
                <w:sz w:val="1"/>
                <w:szCs w:val="1"/>
                <w:color w:val="auto"/>
              </w:rPr>
            </w:pPr>
          </w:p>
        </w:tc>
      </w:tr>
      <w:tr>
        <w:trPr>
          <w:trHeight w:val="39"/>
        </w:trPr>
        <w:tc>
          <w:tcPr>
            <w:tcW w:w="4120" w:type="dxa"/>
            <w:vAlign w:val="bottom"/>
            <w:gridSpan w:val="4"/>
          </w:tcPr>
          <w:p>
            <w:pPr>
              <w:spacing w:after="0" w:line="40" w:lineRule="exact"/>
              <w:rPr>
                <w:sz w:val="20"/>
                <w:szCs w:val="20"/>
                <w:color w:val="auto"/>
              </w:rPr>
            </w:pPr>
            <w:r>
              <w:rPr>
                <w:rFonts w:ascii="Arial" w:cs="Arial" w:eastAsia="Arial" w:hAnsi="Arial"/>
                <w:sz w:val="4"/>
                <w:szCs w:val="4"/>
                <w:color w:val="FFFFFF"/>
              </w:rPr>
              <w:t>Adjusted income from operations $13,181 20.8% $213 2.7%</w:t>
            </w:r>
          </w:p>
        </w:tc>
        <w:tc>
          <w:tcPr>
            <w:tcW w:w="0" w:type="dxa"/>
            <w:vAlign w:val="bottom"/>
          </w:tcPr>
          <w:p>
            <w:pPr>
              <w:spacing w:after="0" w:line="20" w:lineRule="exact"/>
              <w:rPr>
                <w:sz w:val="1"/>
                <w:szCs w:val="1"/>
                <w:color w:val="auto"/>
              </w:rPr>
            </w:pPr>
          </w:p>
        </w:tc>
      </w:tr>
      <w:tr>
        <w:trPr>
          <w:trHeight w:val="39"/>
        </w:trPr>
        <w:tc>
          <w:tcPr>
            <w:tcW w:w="1040" w:type="dxa"/>
            <w:vAlign w:val="bottom"/>
          </w:tcPr>
          <w:p>
            <w:pPr>
              <w:spacing w:after="0" w:line="40" w:lineRule="exact"/>
              <w:rPr>
                <w:sz w:val="20"/>
                <w:szCs w:val="20"/>
                <w:color w:val="auto"/>
              </w:rPr>
            </w:pPr>
            <w:r>
              <w:rPr>
                <w:rFonts w:ascii="Arial" w:cs="Arial" w:eastAsia="Arial" w:hAnsi="Arial"/>
                <w:sz w:val="4"/>
                <w:szCs w:val="4"/>
                <w:color w:val="FFFFFF"/>
              </w:rPr>
              <w:t>Total Sales $63,491</w:t>
            </w:r>
          </w:p>
        </w:tc>
        <w:tc>
          <w:tcPr>
            <w:tcW w:w="740" w:type="dxa"/>
            <w:vAlign w:val="bottom"/>
          </w:tcPr>
          <w:p>
            <w:pPr>
              <w:ind w:left="40"/>
              <w:spacing w:after="0" w:line="40" w:lineRule="exact"/>
              <w:rPr>
                <w:sz w:val="20"/>
                <w:szCs w:val="20"/>
                <w:color w:val="auto"/>
              </w:rPr>
            </w:pPr>
            <w:r>
              <w:rPr>
                <w:rFonts w:ascii="Arial" w:cs="Arial" w:eastAsia="Arial" w:hAnsi="Arial"/>
                <w:sz w:val="4"/>
                <w:szCs w:val="4"/>
                <w:color w:val="FFFFFF"/>
              </w:rPr>
              <w:t>$7,888</w:t>
            </w:r>
          </w:p>
        </w:tc>
        <w:tc>
          <w:tcPr>
            <w:tcW w:w="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040" w:type="dxa"/>
            <w:vAlign w:val="bottom"/>
          </w:tcPr>
          <w:p>
            <w:pPr>
              <w:spacing w:after="0" w:line="40" w:lineRule="exact"/>
              <w:rPr>
                <w:sz w:val="20"/>
                <w:szCs w:val="20"/>
                <w:color w:val="auto"/>
              </w:rPr>
            </w:pPr>
            <w:r>
              <w:rPr>
                <w:rFonts w:ascii="Arial" w:cs="Arial" w:eastAsia="Arial" w:hAnsi="Arial"/>
                <w:sz w:val="4"/>
                <w:szCs w:val="4"/>
                <w:color w:val="FFFFFF"/>
              </w:rPr>
              <w:t>www.nninc.com</w:t>
            </w: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3"/>
                <w:szCs w:val="13"/>
                <w:color w:val="FFFFFF"/>
              </w:rPr>
              <w:t>16</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FFFFFF"/>
        </w:rPr>
        <w:t xml:space="preserve">Reconciliation of </w:t>
      </w:r>
      <w:r>
        <w:rPr>
          <w:rFonts w:ascii="Arial" w:cs="Arial" w:eastAsia="Arial" w:hAnsi="Arial"/>
          <w:sz w:val="26"/>
          <w:szCs w:val="26"/>
          <w:color w:val="FFFFFF"/>
          <w:vertAlign w:val="superscript"/>
        </w:rPr>
        <w:t>Adjusted EBITDA</w:t>
      </w:r>
    </w:p>
    <w:p>
      <w:pPr>
        <w:ind w:left="940"/>
        <w:spacing w:after="0" w:line="182" w:lineRule="auto"/>
        <w:rPr>
          <w:sz w:val="20"/>
          <w:szCs w:val="20"/>
          <w:color w:val="auto"/>
        </w:rPr>
      </w:pPr>
      <w:r>
        <w:rPr>
          <w:rFonts w:ascii="Arial" w:cs="Arial" w:eastAsia="Arial" w:hAnsi="Arial"/>
          <w:sz w:val="9"/>
          <w:szCs w:val="9"/>
          <w:color w:val="FFFFFF"/>
        </w:rPr>
        <w:t>net income to adjusted EBITDA:</w:t>
      </w:r>
    </w:p>
    <w:p>
      <w:pPr>
        <w:spacing w:after="0" w:line="205" w:lineRule="auto"/>
        <w:rPr>
          <w:sz w:val="20"/>
          <w:szCs w:val="20"/>
          <w:color w:val="auto"/>
        </w:rPr>
      </w:pPr>
      <w:r>
        <w:rPr>
          <w:rFonts w:ascii="Arial" w:cs="Arial" w:eastAsia="Arial" w:hAnsi="Arial"/>
          <w:sz w:val="4"/>
          <w:szCs w:val="4"/>
          <w:color w:val="FFFFFF"/>
        </w:rPr>
        <w:t>ReconciliationNN,Inc—TotalofCompanynetincomeThreetoadjustedMonths EBITDA:EndedMarch 31,</w:t>
      </w:r>
    </w:p>
    <w:p>
      <w:pPr>
        <w:spacing w:after="0" w:line="205" w:lineRule="auto"/>
        <w:rPr>
          <w:sz w:val="20"/>
          <w:szCs w:val="20"/>
          <w:color w:val="auto"/>
        </w:rPr>
      </w:pPr>
      <w:r>
        <w:rPr>
          <w:rFonts w:ascii="Arial" w:cs="Arial" w:eastAsia="Arial" w:hAnsi="Arial"/>
          <w:sz w:val="4"/>
          <w:szCs w:val="4"/>
          <w:color w:val="FFFFFF"/>
          <w:vertAlign w:val="superscript"/>
        </w:rPr>
        <w:t>Net</w:t>
      </w:r>
    </w:p>
    <w:p>
      <w:pPr>
        <w:ind w:left="100"/>
        <w:spacing w:after="0" w:line="182" w:lineRule="auto"/>
        <w:rPr>
          <w:sz w:val="20"/>
          <w:szCs w:val="20"/>
          <w:color w:val="auto"/>
        </w:rPr>
      </w:pPr>
      <w:r>
        <w:rPr>
          <w:rFonts w:ascii="Arial" w:cs="Arial" w:eastAsia="Arial" w:hAnsi="Arial"/>
          <w:sz w:val="9"/>
          <w:szCs w:val="9"/>
          <w:color w:val="FFFFFF"/>
        </w:rPr>
        <w:t>N,income(Inc—Total$1,299)Company$6,0012016-$7,3002015 Change</w:t>
      </w:r>
    </w:p>
    <w:p>
      <w:pPr>
        <w:spacing w:after="0" w:line="205" w:lineRule="auto"/>
        <w:rPr>
          <w:sz w:val="20"/>
          <w:szCs w:val="20"/>
          <w:color w:val="auto"/>
        </w:rPr>
      </w:pPr>
      <w:r>
        <w:rPr>
          <w:rFonts w:ascii="Arial" w:cs="Arial" w:eastAsia="Arial" w:hAnsi="Arial"/>
          <w:sz w:val="8"/>
          <w:szCs w:val="8"/>
          <w:color w:val="FFFFFF"/>
        </w:rPr>
        <w:t>InterestProvisionExpenseforincome16,422taxes(720)5,93810,4841,456(2,174)</w:t>
      </w:r>
    </w:p>
    <w:p>
      <w:pPr>
        <w:spacing w:after="0" w:line="182" w:lineRule="auto"/>
        <w:rPr>
          <w:sz w:val="20"/>
          <w:szCs w:val="20"/>
          <w:color w:val="auto"/>
        </w:rPr>
      </w:pPr>
      <w:r>
        <w:rPr>
          <w:rFonts w:ascii="Arial" w:cs="Arial" w:eastAsia="Arial" w:hAnsi="Arial"/>
          <w:sz w:val="7"/>
          <w:szCs w:val="7"/>
          <w:color w:val="FFFFFF"/>
        </w:rPr>
        <w:t>DepreciationWriteoffofunamortized&amp;</w:t>
      </w:r>
      <w:r>
        <w:rPr>
          <w:rFonts w:ascii="Arial" w:cs="Arial" w:eastAsia="Arial" w:hAnsi="Arial"/>
          <w:sz w:val="9"/>
          <w:szCs w:val="9"/>
          <w:color w:val="FFFFFF"/>
          <w:vertAlign w:val="subscript"/>
        </w:rPr>
        <w:t>Integration</w:t>
      </w:r>
      <w:r>
        <w:rPr>
          <w:rFonts w:ascii="Arial" w:cs="Arial" w:eastAsia="Arial" w:hAnsi="Arial"/>
          <w:sz w:val="7"/>
          <w:szCs w:val="7"/>
          <w:color w:val="FFFFFF"/>
        </w:rPr>
        <w:t>Amorzationdebt 17,348issuance8,494cost 8,854—-</w:t>
      </w:r>
    </w:p>
    <w:p>
      <w:pPr>
        <w:spacing w:after="0" w:line="182" w:lineRule="auto"/>
        <w:rPr>
          <w:sz w:val="20"/>
          <w:szCs w:val="20"/>
          <w:color w:val="auto"/>
        </w:rPr>
      </w:pPr>
      <w:r>
        <w:rPr>
          <w:rFonts w:ascii="Arial" w:cs="Arial" w:eastAsia="Arial" w:hAnsi="Arial"/>
          <w:sz w:val="9"/>
          <w:szCs w:val="9"/>
          <w:color w:val="FFFFFF"/>
          <w:vertAlign w:val="superscript"/>
        </w:rPr>
        <w:t>Non</w:t>
      </w:r>
      <w:r>
        <w:rPr>
          <w:rFonts w:ascii="Arial" w:cs="Arial" w:eastAsia="Arial" w:hAnsi="Arial"/>
          <w:sz w:val="7"/>
          <w:szCs w:val="7"/>
          <w:color w:val="FFFFFF"/>
        </w:rPr>
        <w:t>Acquisition</w:t>
      </w:r>
      <w:r>
        <w:rPr>
          <w:rFonts w:ascii="Arial" w:cs="Arial" w:eastAsia="Arial" w:hAnsi="Arial"/>
          <w:sz w:val="9"/>
          <w:szCs w:val="9"/>
          <w:color w:val="FFFFFF"/>
          <w:vertAlign w:val="superscript"/>
        </w:rPr>
        <w:t>-cash</w:t>
      </w:r>
      <w:r>
        <w:rPr>
          <w:rFonts w:ascii="Arial" w:cs="Arial" w:eastAsia="Arial" w:hAnsi="Arial"/>
          <w:sz w:val="7"/>
          <w:szCs w:val="7"/>
          <w:color w:val="FFFFFF"/>
        </w:rPr>
        <w:t>stock&amp; compensationExpenses1,001 775—775783218</w:t>
      </w:r>
    </w:p>
    <w:p>
      <w:pPr>
        <w:ind w:left="540"/>
        <w:spacing w:after="0" w:line="206" w:lineRule="auto"/>
        <w:rPr>
          <w:sz w:val="20"/>
          <w:szCs w:val="20"/>
          <w:color w:val="auto"/>
        </w:rPr>
      </w:pPr>
      <w:r>
        <w:rPr>
          <w:rFonts w:ascii="Arial" w:cs="Arial" w:eastAsia="Arial" w:hAnsi="Arial"/>
          <w:sz w:val="4"/>
          <w:szCs w:val="4"/>
          <w:color w:val="FFFFFF"/>
        </w:rPr>
        <w:t>foreign exchange (gain) loss on</w:t>
      </w:r>
    </w:p>
    <w:p>
      <w:pPr>
        <w:spacing w:after="0" w:line="205" w:lineRule="auto"/>
        <w:rPr>
          <w:sz w:val="20"/>
          <w:szCs w:val="20"/>
          <w:color w:val="auto"/>
        </w:rPr>
      </w:pPr>
      <w:r>
        <w:rPr>
          <w:rFonts w:ascii="Arial" w:cs="Arial" w:eastAsia="Arial" w:hAnsi="Arial"/>
          <w:sz w:val="8"/>
          <w:szCs w:val="8"/>
          <w:color w:val="FFFFFF"/>
        </w:rPr>
        <w:t>Restructuringintercompany &amp;loans(882)impairment1,384(2,266)charges2,963—2,963</w:t>
      </w:r>
    </w:p>
    <w:p>
      <w:pPr>
        <w:spacing w:after="0" w:line="219" w:lineRule="auto"/>
        <w:rPr>
          <w:sz w:val="20"/>
          <w:szCs w:val="20"/>
          <w:color w:val="auto"/>
        </w:rPr>
      </w:pPr>
      <w:r>
        <w:rPr>
          <w:rFonts w:ascii="Arial" w:cs="Arial" w:eastAsia="Arial" w:hAnsi="Arial"/>
          <w:sz w:val="5"/>
          <w:szCs w:val="5"/>
          <w:color w:val="FFFFFF"/>
        </w:rPr>
        <w:t>16.Adjusted8%14.7%EBITDA2.1%$ 35,608 $ 24,056 $ 11,554</w:t>
      </w:r>
    </w:p>
    <w:p>
      <w:pPr>
        <w:spacing w:after="0" w:line="205" w:lineRule="auto"/>
        <w:rPr>
          <w:sz w:val="20"/>
          <w:szCs w:val="20"/>
          <w:color w:val="auto"/>
        </w:rPr>
      </w:pPr>
      <w:r>
        <w:rPr>
          <w:rFonts w:ascii="Arial" w:cs="Arial" w:eastAsia="Arial" w:hAnsi="Arial"/>
          <w:sz w:val="4"/>
          <w:szCs w:val="4"/>
          <w:color w:val="FFFFFF"/>
        </w:rPr>
        <w:t>www.nninc.com</w:t>
      </w:r>
    </w:p>
    <w:p>
      <w:pPr>
        <w:spacing w:after="0"/>
        <w:rPr>
          <w:sz w:val="20"/>
          <w:szCs w:val="20"/>
          <w:color w:val="auto"/>
        </w:rPr>
      </w:pPr>
      <w:r>
        <w:rPr>
          <w:rFonts w:ascii="Arial" w:cs="Arial" w:eastAsia="Arial" w:hAnsi="Arial"/>
          <w:sz w:val="13"/>
          <w:szCs w:val="13"/>
          <w:color w:val="FFFFFF"/>
        </w:rPr>
        <w:t>17</w:t>
      </w:r>
    </w:p>
    <w:p>
      <w:pPr>
        <w:sectPr>
          <w:pgSz w:w="11900" w:h="16838" w:orient="portrait"/>
          <w:cols w:equalWidth="0" w:num="1">
            <w:col w:w="10219"/>
          </w:cols>
          <w:pgMar w:left="2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6"/>
          <w:szCs w:val="26"/>
          <w:color w:val="FFFFFF"/>
          <w:vertAlign w:val="subscript"/>
        </w:rPr>
        <w:t>Reconciliation of</w:t>
      </w:r>
      <w:r>
        <w:rPr>
          <w:rFonts w:ascii="Arial" w:cs="Arial" w:eastAsia="Arial" w:hAnsi="Arial"/>
          <w:sz w:val="13"/>
          <w:szCs w:val="13"/>
          <w:color w:val="FFFFFF"/>
        </w:rPr>
        <w:t xml:space="preserve"> Adjusted Net Income</w:t>
      </w:r>
    </w:p>
    <w:p>
      <w:pPr>
        <w:spacing w:after="0" w:line="182" w:lineRule="auto"/>
        <w:rPr>
          <w:sz w:val="20"/>
          <w:szCs w:val="20"/>
          <w:color w:val="auto"/>
        </w:rPr>
      </w:pPr>
      <w:r>
        <w:rPr>
          <w:rFonts w:ascii="Arial" w:cs="Arial" w:eastAsia="Arial" w:hAnsi="Arial"/>
          <w:sz w:val="9"/>
          <w:szCs w:val="9"/>
          <w:color w:val="FFFFFF"/>
        </w:rPr>
        <w:t>NN, Inc—Total Companynetincome to adjusted net income:</w:t>
      </w:r>
    </w:p>
    <w:p>
      <w:pPr>
        <w:spacing w:after="0" w:line="205" w:lineRule="auto"/>
        <w:rPr>
          <w:sz w:val="20"/>
          <w:szCs w:val="20"/>
          <w:color w:val="auto"/>
        </w:rPr>
      </w:pPr>
      <w:r>
        <w:rPr>
          <w:rFonts w:ascii="Arial" w:cs="Arial" w:eastAsia="Arial" w:hAnsi="Arial"/>
          <w:sz w:val="8"/>
          <w:szCs w:val="8"/>
          <w:color w:val="FFFFFF"/>
        </w:rPr>
        <w:t>DilutedThreeMonthsEarningsEndedPer DilutedMarch31,Earnings2016ThreePer Months Ended March 31, 2015</w:t>
      </w:r>
    </w:p>
    <w:p>
      <w:pPr>
        <w:spacing w:after="0" w:line="182" w:lineRule="auto"/>
        <w:rPr>
          <w:sz w:val="20"/>
          <w:szCs w:val="20"/>
          <w:color w:val="auto"/>
        </w:rPr>
      </w:pPr>
      <w:r>
        <w:rPr>
          <w:rFonts w:ascii="Arial" w:cs="Arial" w:eastAsia="Arial" w:hAnsi="Arial"/>
          <w:sz w:val="9"/>
          <w:szCs w:val="9"/>
          <w:color w:val="FFFFFF"/>
        </w:rPr>
        <w:t>NetInThousandsincome($1,299)(0.05)ShareInThousands6,001$ Share0.31</w:t>
      </w:r>
    </w:p>
    <w:p>
      <w:pPr>
        <w:spacing w:after="0" w:line="205" w:lineRule="auto"/>
        <w:rPr>
          <w:sz w:val="20"/>
          <w:szCs w:val="20"/>
          <w:color w:val="auto"/>
        </w:rPr>
      </w:pPr>
      <w:r>
        <w:rPr>
          <w:rFonts w:ascii="Arial" w:cs="Arial" w:eastAsia="Arial" w:hAnsi="Arial"/>
          <w:sz w:val="4"/>
          <w:szCs w:val="4"/>
          <w:color w:val="FFFFFF"/>
          <w:vertAlign w:val="subscript"/>
        </w:rPr>
        <w:t>After-tax</w:t>
      </w:r>
      <w:r>
        <w:rPr>
          <w:rFonts w:ascii="Arial" w:cs="Arial" w:eastAsia="Arial" w:hAnsi="Arial"/>
          <w:sz w:val="2"/>
          <w:szCs w:val="2"/>
          <w:color w:val="FFFFFF"/>
        </w:rPr>
        <w:t xml:space="preserve"> foreignacquisitionexchangeand</w:t>
      </w:r>
      <w:r>
        <w:rPr>
          <w:rFonts w:ascii="Arial" w:cs="Arial" w:eastAsia="Arial" w:hAnsi="Arial"/>
          <w:sz w:val="4"/>
          <w:szCs w:val="4"/>
          <w:color w:val="FFFFFF"/>
          <w:vertAlign w:val="subscript"/>
        </w:rPr>
        <w:t>integration</w:t>
      </w:r>
      <w:r>
        <w:rPr>
          <w:rFonts w:ascii="Arial" w:cs="Arial" w:eastAsia="Arial" w:hAnsi="Arial"/>
          <w:sz w:val="2"/>
          <w:szCs w:val="2"/>
          <w:color w:val="FFFFFF"/>
        </w:rPr>
        <w:t>lossintercosts-company2,4220.09 —</w:t>
      </w:r>
    </w:p>
    <w:p>
      <w:pPr>
        <w:spacing w:after="0" w:line="205" w:lineRule="auto"/>
        <w:rPr>
          <w:sz w:val="20"/>
          <w:szCs w:val="20"/>
          <w:color w:val="auto"/>
        </w:rPr>
      </w:pPr>
      <w:r>
        <w:rPr>
          <w:rFonts w:ascii="Arial" w:cs="Arial" w:eastAsia="Arial" w:hAnsi="Arial"/>
          <w:sz w:val="4"/>
          <w:szCs w:val="4"/>
          <w:color w:val="FFFFFF"/>
        </w:rPr>
        <w:t>loans(654)(0.02) 886 0.04</w:t>
      </w:r>
    </w:p>
    <w:p>
      <w:pPr>
        <w:spacing w:after="0" w:line="182" w:lineRule="auto"/>
        <w:rPr>
          <w:sz w:val="20"/>
          <w:szCs w:val="20"/>
          <w:color w:val="auto"/>
        </w:rPr>
      </w:pPr>
      <w:r>
        <w:rPr>
          <w:rFonts w:ascii="Arial" w:cs="Arial" w:eastAsia="Arial" w:hAnsi="Arial"/>
          <w:sz w:val="9"/>
          <w:szCs w:val="9"/>
          <w:color w:val="FFFFFF"/>
        </w:rPr>
        <w:t>Restructuring &amp; impairment charges 2,198 0.08 —</w:t>
      </w:r>
    </w:p>
    <w:p>
      <w:pPr>
        <w:spacing w:after="0" w:line="182" w:lineRule="auto"/>
        <w:rPr>
          <w:sz w:val="20"/>
          <w:szCs w:val="20"/>
          <w:color w:val="auto"/>
        </w:rPr>
      </w:pPr>
      <w:r>
        <w:rPr>
          <w:rFonts w:ascii="Arial" w:cs="Arial" w:eastAsia="Arial" w:hAnsi="Arial"/>
          <w:sz w:val="9"/>
          <w:szCs w:val="9"/>
          <w:color w:val="FFFFFF"/>
        </w:rPr>
        <w:t>costsAmortization4,4590.17of intangibles1,1400.06 &amp; deferred financing</w:t>
      </w:r>
    </w:p>
    <w:p>
      <w:pPr>
        <w:spacing w:after="0" w:line="206" w:lineRule="auto"/>
        <w:rPr>
          <w:sz w:val="20"/>
          <w:szCs w:val="20"/>
          <w:color w:val="auto"/>
        </w:rPr>
      </w:pPr>
      <w:r>
        <w:rPr>
          <w:rFonts w:ascii="Arial" w:cs="Arial" w:eastAsia="Arial" w:hAnsi="Arial"/>
          <w:sz w:val="4"/>
          <w:szCs w:val="4"/>
          <w:color w:val="FFFFFF"/>
        </w:rPr>
        <w:t>www.nninc.comAdjustednetincome $ 7,126 $ 0.27 $ 8,027 $ 0.41</w:t>
      </w:r>
    </w:p>
    <w:p>
      <w:pPr>
        <w:spacing w:after="0"/>
        <w:rPr>
          <w:sz w:val="20"/>
          <w:szCs w:val="20"/>
          <w:color w:val="auto"/>
        </w:rPr>
      </w:pPr>
      <w:r>
        <w:rPr>
          <w:rFonts w:ascii="Arial" w:cs="Arial" w:eastAsia="Arial" w:hAnsi="Arial"/>
          <w:sz w:val="13"/>
          <w:szCs w:val="13"/>
          <w:color w:val="FFFFFF"/>
        </w:rPr>
        <w:t>18</w:t>
      </w:r>
    </w:p>
    <w:p>
      <w:pPr>
        <w:sectPr>
          <w:pgSz w:w="11900" w:h="16838" w:orient="portrait"/>
          <w:cols w:equalWidth="0" w:num="1">
            <w:col w:w="10219"/>
          </w:cols>
          <w:pgMar w:left="2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40" w:type="dxa"/>
            <w:vAlign w:val="bottom"/>
            <w:gridSpan w:val="3"/>
          </w:tcPr>
          <w:p>
            <w:pPr>
              <w:spacing w:after="0"/>
              <w:rPr>
                <w:sz w:val="20"/>
                <w:szCs w:val="20"/>
                <w:color w:val="auto"/>
              </w:rPr>
            </w:pPr>
            <w:r>
              <w:rPr>
                <w:rFonts w:ascii="Arial" w:cs="Arial" w:eastAsia="Arial" w:hAnsi="Arial"/>
                <w:sz w:val="13"/>
                <w:szCs w:val="13"/>
                <w:color w:val="FFFFFF"/>
              </w:rPr>
              <w:t>2nd Quarter Guidance – Adjusted Operating Margin</w:t>
            </w:r>
          </w:p>
        </w:tc>
        <w:tc>
          <w:tcPr>
            <w:tcW w:w="0" w:type="dxa"/>
            <w:vAlign w:val="bottom"/>
          </w:tcPr>
          <w:p>
            <w:pPr>
              <w:spacing w:after="0"/>
              <w:rPr>
                <w:sz w:val="1"/>
                <w:szCs w:val="1"/>
                <w:color w:val="auto"/>
              </w:rPr>
            </w:pPr>
          </w:p>
        </w:tc>
      </w:tr>
      <w:tr>
        <w:trPr>
          <w:trHeight w:val="39"/>
        </w:trPr>
        <w:tc>
          <w:tcPr>
            <w:tcW w:w="5640" w:type="dxa"/>
            <w:vAlign w:val="bottom"/>
            <w:gridSpan w:val="3"/>
          </w:tcPr>
          <w:p>
            <w:pPr>
              <w:spacing w:after="0" w:line="40" w:lineRule="exact"/>
              <w:rPr>
                <w:sz w:val="20"/>
                <w:szCs w:val="20"/>
                <w:color w:val="auto"/>
              </w:rPr>
            </w:pPr>
            <w:r>
              <w:rPr>
                <w:rFonts w:ascii="Arial" w:cs="Arial" w:eastAsia="Arial" w:hAnsi="Arial"/>
                <w:sz w:val="4"/>
                <w:szCs w:val="4"/>
                <w:color w:val="FFFFFF"/>
              </w:rPr>
              <w:t>Reconciliation of income from operations to adjusted income from operations:</w:t>
            </w:r>
          </w:p>
        </w:tc>
        <w:tc>
          <w:tcPr>
            <w:tcW w:w="0" w:type="dxa"/>
            <w:vAlign w:val="bottom"/>
          </w:tcPr>
          <w:p>
            <w:pPr>
              <w:spacing w:after="0" w:line="20" w:lineRule="exact"/>
              <w:rPr>
                <w:sz w:val="1"/>
                <w:szCs w:val="1"/>
                <w:color w:val="auto"/>
              </w:rPr>
            </w:pPr>
          </w:p>
        </w:tc>
      </w:tr>
      <w:tr>
        <w:trPr>
          <w:trHeight w:val="39"/>
        </w:trPr>
        <w:tc>
          <w:tcPr>
            <w:tcW w:w="5640" w:type="dxa"/>
            <w:vAlign w:val="bottom"/>
            <w:gridSpan w:val="3"/>
          </w:tcPr>
          <w:p>
            <w:pPr>
              <w:spacing w:after="0" w:line="40" w:lineRule="exact"/>
              <w:rPr>
                <w:sz w:val="20"/>
                <w:szCs w:val="20"/>
                <w:color w:val="auto"/>
              </w:rPr>
            </w:pPr>
            <w:r>
              <w:rPr>
                <w:rFonts w:ascii="Arial" w:cs="Arial" w:eastAsia="Arial" w:hAnsi="Arial"/>
                <w:sz w:val="4"/>
                <w:szCs w:val="4"/>
                <w:color w:val="FFFFFF"/>
              </w:rPr>
              <w:t>NN, Inc—Total Company Three Months Ending June 30, 2016 Twelve Months Ending December 31, 2016</w:t>
            </w:r>
          </w:p>
        </w:tc>
        <w:tc>
          <w:tcPr>
            <w:tcW w:w="0" w:type="dxa"/>
            <w:vAlign w:val="bottom"/>
          </w:tcPr>
          <w:p>
            <w:pPr>
              <w:spacing w:after="0" w:line="20" w:lineRule="exact"/>
              <w:rPr>
                <w:sz w:val="1"/>
                <w:szCs w:val="1"/>
                <w:color w:val="auto"/>
              </w:rPr>
            </w:pPr>
          </w:p>
        </w:tc>
      </w:tr>
      <w:tr>
        <w:trPr>
          <w:trHeight w:val="39"/>
        </w:trPr>
        <w:tc>
          <w:tcPr>
            <w:tcW w:w="1780" w:type="dxa"/>
            <w:vAlign w:val="bottom"/>
          </w:tcPr>
          <w:p>
            <w:pPr>
              <w:spacing w:after="0" w:line="40" w:lineRule="exact"/>
              <w:rPr>
                <w:sz w:val="20"/>
                <w:szCs w:val="20"/>
                <w:color w:val="auto"/>
              </w:rPr>
            </w:pPr>
            <w:r>
              <w:rPr>
                <w:rFonts w:ascii="Arial" w:cs="Arial" w:eastAsia="Arial" w:hAnsi="Arial"/>
                <w:sz w:val="4"/>
                <w:szCs w:val="4"/>
                <w:color w:val="FFFFFF"/>
              </w:rPr>
              <w:t>Low High Low High</w:t>
            </w:r>
          </w:p>
        </w:tc>
        <w:tc>
          <w:tcPr>
            <w:tcW w:w="380" w:type="dxa"/>
            <w:vAlign w:val="bottom"/>
          </w:tcPr>
          <w:p>
            <w:pPr>
              <w:spacing w:after="0"/>
              <w:rPr>
                <w:sz w:val="3"/>
                <w:szCs w:val="3"/>
                <w:color w:val="auto"/>
              </w:rPr>
            </w:pPr>
          </w:p>
        </w:tc>
        <w:tc>
          <w:tcPr>
            <w:tcW w:w="3480" w:type="dxa"/>
            <w:vAlign w:val="bottom"/>
            <w:vMerge w:val="restart"/>
          </w:tcPr>
          <w:p>
            <w:pPr>
              <w:jc w:val="right"/>
              <w:ind w:right="2051"/>
              <w:spacing w:after="0" w:line="79" w:lineRule="exact"/>
              <w:rPr>
                <w:sz w:val="20"/>
                <w:szCs w:val="20"/>
                <w:color w:val="auto"/>
              </w:rPr>
            </w:pPr>
            <w:r>
              <w:rPr>
                <w:rFonts w:ascii="Arial" w:cs="Arial" w:eastAsia="Arial" w:hAnsi="Arial"/>
                <w:sz w:val="9"/>
                <w:szCs w:val="9"/>
                <w:color w:val="FFFFFF"/>
              </w:rPr>
              <w:t>of Sales $‘000% of Sales</w:t>
            </w:r>
          </w:p>
        </w:tc>
        <w:tc>
          <w:tcPr>
            <w:tcW w:w="0" w:type="dxa"/>
            <w:vAlign w:val="bottom"/>
          </w:tcPr>
          <w:p>
            <w:pPr>
              <w:spacing w:after="0" w:line="20" w:lineRule="exact"/>
              <w:rPr>
                <w:sz w:val="1"/>
                <w:szCs w:val="1"/>
                <w:color w:val="auto"/>
              </w:rPr>
            </w:pPr>
          </w:p>
        </w:tc>
      </w:tr>
      <w:tr>
        <w:trPr>
          <w:trHeight w:val="39"/>
        </w:trPr>
        <w:tc>
          <w:tcPr>
            <w:tcW w:w="1780" w:type="dxa"/>
            <w:vAlign w:val="bottom"/>
          </w:tcPr>
          <w:p>
            <w:pPr>
              <w:spacing w:after="0" w:line="40" w:lineRule="exact"/>
              <w:rPr>
                <w:sz w:val="20"/>
                <w:szCs w:val="20"/>
                <w:color w:val="auto"/>
              </w:rPr>
            </w:pPr>
            <w:r>
              <w:rPr>
                <w:rFonts w:ascii="Arial" w:cs="Arial" w:eastAsia="Arial" w:hAnsi="Arial"/>
                <w:sz w:val="4"/>
                <w:szCs w:val="4"/>
                <w:color w:val="FFFFFF"/>
              </w:rPr>
              <w:t>$‘000% of Sales $‘000% of Sales</w:t>
            </w:r>
          </w:p>
        </w:tc>
        <w:tc>
          <w:tcPr>
            <w:tcW w:w="380" w:type="dxa"/>
            <w:vAlign w:val="bottom"/>
          </w:tcPr>
          <w:p>
            <w:pPr>
              <w:spacing w:after="0"/>
              <w:rPr>
                <w:sz w:val="3"/>
                <w:szCs w:val="3"/>
                <w:color w:val="auto"/>
              </w:rPr>
            </w:pPr>
          </w:p>
        </w:tc>
        <w:tc>
          <w:tcPr>
            <w:tcW w:w="34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640" w:type="dxa"/>
            <w:vAlign w:val="bottom"/>
            <w:gridSpan w:val="3"/>
          </w:tcPr>
          <w:p>
            <w:pPr>
              <w:spacing w:after="0" w:line="40" w:lineRule="exact"/>
              <w:rPr>
                <w:sz w:val="20"/>
                <w:szCs w:val="20"/>
                <w:color w:val="auto"/>
              </w:rPr>
            </w:pPr>
            <w:r>
              <w:rPr>
                <w:rFonts w:ascii="Arial" w:cs="Arial" w:eastAsia="Arial" w:hAnsi="Arial"/>
                <w:sz w:val="4"/>
                <w:szCs w:val="4"/>
                <w:color w:val="FFFFFF"/>
              </w:rPr>
              <w:t>Income from operations $19,397 9.$‘000%$22,597 10.0% $80,070 9.2% $90,600 10.0%</w:t>
            </w:r>
          </w:p>
        </w:tc>
        <w:tc>
          <w:tcPr>
            <w:tcW w:w="0" w:type="dxa"/>
            <w:vAlign w:val="bottom"/>
          </w:tcPr>
          <w:p>
            <w:pPr>
              <w:spacing w:after="0" w:line="20" w:lineRule="exact"/>
              <w:rPr>
                <w:sz w:val="1"/>
                <w:szCs w:val="1"/>
                <w:color w:val="auto"/>
              </w:rPr>
            </w:pPr>
          </w:p>
        </w:tc>
      </w:tr>
      <w:tr>
        <w:trPr>
          <w:trHeight w:val="39"/>
        </w:trPr>
        <w:tc>
          <w:tcPr>
            <w:tcW w:w="2160" w:type="dxa"/>
            <w:vAlign w:val="bottom"/>
            <w:gridSpan w:val="2"/>
          </w:tcPr>
          <w:p>
            <w:pPr>
              <w:spacing w:after="0" w:line="40" w:lineRule="exact"/>
              <w:rPr>
                <w:sz w:val="20"/>
                <w:szCs w:val="20"/>
                <w:color w:val="auto"/>
              </w:rPr>
            </w:pPr>
            <w:r>
              <w:rPr>
                <w:rFonts w:ascii="Arial" w:cs="Arial" w:eastAsia="Arial" w:hAnsi="Arial"/>
                <w:sz w:val="4"/>
                <w:szCs w:val="4"/>
                <w:color w:val="FFFFFF"/>
              </w:rPr>
              <w:t>Restructuring &amp; imp irment charges</w:t>
            </w:r>
          </w:p>
        </w:tc>
        <w:tc>
          <w:tcPr>
            <w:tcW w:w="3480" w:type="dxa"/>
            <w:vAlign w:val="bottom"/>
          </w:tcPr>
          <w:p>
            <w:pPr>
              <w:jc w:val="right"/>
              <w:ind w:right="1151"/>
              <w:spacing w:after="0" w:line="40" w:lineRule="exact"/>
              <w:rPr>
                <w:sz w:val="20"/>
                <w:szCs w:val="20"/>
                <w:color w:val="auto"/>
              </w:rPr>
            </w:pPr>
            <w:r>
              <w:rPr>
                <w:rFonts w:ascii="Arial" w:cs="Arial" w:eastAsia="Arial" w:hAnsi="Arial"/>
                <w:sz w:val="4"/>
                <w:szCs w:val="4"/>
                <w:color w:val="FFFFFF"/>
              </w:rPr>
              <w:t>1.4% 3,000  .3% 4,000  .5% 4,000 0.4%</w:t>
            </w:r>
          </w:p>
        </w:tc>
        <w:tc>
          <w:tcPr>
            <w:tcW w:w="0" w:type="dxa"/>
            <w:vAlign w:val="bottom"/>
          </w:tcPr>
          <w:p>
            <w:pPr>
              <w:spacing w:after="0" w:line="20" w:lineRule="exact"/>
              <w:rPr>
                <w:sz w:val="1"/>
                <w:szCs w:val="1"/>
                <w:color w:val="auto"/>
              </w:rPr>
            </w:pPr>
          </w:p>
        </w:tc>
      </w:tr>
      <w:tr>
        <w:trPr>
          <w:trHeight w:val="39"/>
        </w:trPr>
        <w:tc>
          <w:tcPr>
            <w:tcW w:w="5640" w:type="dxa"/>
            <w:vAlign w:val="bottom"/>
            <w:gridSpan w:val="3"/>
          </w:tcPr>
          <w:p>
            <w:pPr>
              <w:ind w:left="100"/>
              <w:spacing w:after="0" w:line="40" w:lineRule="exact"/>
              <w:rPr>
                <w:sz w:val="20"/>
                <w:szCs w:val="20"/>
                <w:color w:val="auto"/>
              </w:rPr>
            </w:pPr>
            <w:r>
              <w:rPr>
                <w:rFonts w:ascii="Arial" w:cs="Arial" w:eastAsia="Arial" w:hAnsi="Arial"/>
                <w:sz w:val="4"/>
                <w:szCs w:val="4"/>
                <w:color w:val="FFFFFF"/>
              </w:rPr>
              <w:t>cquisition &amp; integration expenses—3,000.0%—0.0% 1,000  .1% 1,000  .1%</w:t>
            </w:r>
          </w:p>
        </w:tc>
        <w:tc>
          <w:tcPr>
            <w:tcW w:w="0" w:type="dxa"/>
            <w:vAlign w:val="bottom"/>
          </w:tcPr>
          <w:p>
            <w:pPr>
              <w:spacing w:after="0" w:line="20" w:lineRule="exact"/>
              <w:rPr>
                <w:sz w:val="1"/>
                <w:szCs w:val="1"/>
                <w:color w:val="auto"/>
              </w:rPr>
            </w:pPr>
          </w:p>
        </w:tc>
      </w:tr>
      <w:tr>
        <w:trPr>
          <w:trHeight w:val="39"/>
        </w:trPr>
        <w:tc>
          <w:tcPr>
            <w:tcW w:w="1780" w:type="dxa"/>
            <w:vAlign w:val="bottom"/>
          </w:tcPr>
          <w:p>
            <w:pPr>
              <w:ind w:left="100"/>
              <w:spacing w:after="0" w:line="40" w:lineRule="exact"/>
              <w:rPr>
                <w:sz w:val="20"/>
                <w:szCs w:val="20"/>
                <w:color w:val="auto"/>
              </w:rPr>
            </w:pPr>
            <w:r>
              <w:rPr>
                <w:rFonts w:ascii="Arial" w:cs="Arial" w:eastAsia="Arial" w:hAnsi="Arial"/>
                <w:sz w:val="4"/>
                <w:szCs w:val="4"/>
                <w:color w:val="FFFFFF"/>
              </w:rPr>
              <w:t>mortization of intangibles 5,926</w:t>
            </w:r>
          </w:p>
        </w:tc>
        <w:tc>
          <w:tcPr>
            <w:tcW w:w="3860" w:type="dxa"/>
            <w:vAlign w:val="bottom"/>
            <w:gridSpan w:val="2"/>
          </w:tcPr>
          <w:p>
            <w:pPr>
              <w:jc w:val="right"/>
              <w:ind w:right="1491"/>
              <w:spacing w:after="0" w:line="40" w:lineRule="exact"/>
              <w:rPr>
                <w:sz w:val="20"/>
                <w:szCs w:val="20"/>
                <w:color w:val="auto"/>
              </w:rPr>
            </w:pPr>
            <w:r>
              <w:rPr>
                <w:rFonts w:ascii="Arial" w:cs="Arial" w:eastAsia="Arial" w:hAnsi="Arial"/>
                <w:sz w:val="4"/>
                <w:szCs w:val="4"/>
                <w:color w:val="FFFFFF"/>
              </w:rPr>
              <w:t>.8% 5,926  .6% 24,000 2.7% 24,000 2.7%</w:t>
            </w:r>
          </w:p>
        </w:tc>
        <w:tc>
          <w:tcPr>
            <w:tcW w:w="0" w:type="dxa"/>
            <w:vAlign w:val="bottom"/>
          </w:tcPr>
          <w:p>
            <w:pPr>
              <w:spacing w:after="0" w:line="20" w:lineRule="exact"/>
              <w:rPr>
                <w:sz w:val="1"/>
                <w:szCs w:val="1"/>
                <w:color w:val="auto"/>
              </w:rPr>
            </w:pPr>
          </w:p>
        </w:tc>
      </w:tr>
      <w:tr>
        <w:trPr>
          <w:trHeight w:val="39"/>
        </w:trPr>
        <w:tc>
          <w:tcPr>
            <w:tcW w:w="1780" w:type="dxa"/>
            <w:vAlign w:val="bottom"/>
          </w:tcPr>
          <w:p>
            <w:pPr>
              <w:spacing w:after="0" w:line="40" w:lineRule="exact"/>
              <w:rPr>
                <w:sz w:val="20"/>
                <w:szCs w:val="20"/>
                <w:color w:val="auto"/>
              </w:rPr>
            </w:pPr>
            <w:r>
              <w:rPr>
                <w:rFonts w:ascii="Arial" w:cs="Arial" w:eastAsia="Arial" w:hAnsi="Arial"/>
                <w:sz w:val="4"/>
                <w:szCs w:val="4"/>
                <w:color w:val="FFFFFF"/>
              </w:rPr>
              <w:t>Adjusted income from operations</w:t>
            </w:r>
          </w:p>
        </w:tc>
        <w:tc>
          <w:tcPr>
            <w:tcW w:w="3860" w:type="dxa"/>
            <w:vAlign w:val="bottom"/>
            <w:gridSpan w:val="2"/>
          </w:tcPr>
          <w:p>
            <w:pPr>
              <w:jc w:val="right"/>
              <w:ind w:right="411"/>
              <w:spacing w:after="0" w:line="40" w:lineRule="exact"/>
              <w:rPr>
                <w:sz w:val="20"/>
                <w:szCs w:val="20"/>
                <w:color w:val="auto"/>
              </w:rPr>
            </w:pPr>
            <w:r>
              <w:rPr>
                <w:rFonts w:ascii="Arial" w:cs="Arial" w:eastAsia="Arial" w:hAnsi="Arial"/>
                <w:sz w:val="4"/>
                <w:szCs w:val="4"/>
                <w:color w:val="FFFFFF"/>
              </w:rPr>
              <w:t>$28,323 13.2% $31,523 14.0% $109,070 12.5% $119,600 13.2%</w:t>
            </w:r>
          </w:p>
        </w:tc>
        <w:tc>
          <w:tcPr>
            <w:tcW w:w="0" w:type="dxa"/>
            <w:vAlign w:val="bottom"/>
          </w:tcPr>
          <w:p>
            <w:pPr>
              <w:spacing w:after="0" w:line="20" w:lineRule="exact"/>
              <w:rPr>
                <w:sz w:val="1"/>
                <w:szCs w:val="1"/>
                <w:color w:val="auto"/>
              </w:rPr>
            </w:pPr>
          </w:p>
        </w:tc>
      </w:tr>
      <w:tr>
        <w:trPr>
          <w:trHeight w:val="39"/>
        </w:trPr>
        <w:tc>
          <w:tcPr>
            <w:tcW w:w="2160" w:type="dxa"/>
            <w:vAlign w:val="bottom"/>
            <w:gridSpan w:val="2"/>
          </w:tcPr>
          <w:p>
            <w:pPr>
              <w:spacing w:after="0" w:line="40" w:lineRule="exact"/>
              <w:rPr>
                <w:sz w:val="20"/>
                <w:szCs w:val="20"/>
                <w:color w:val="auto"/>
              </w:rPr>
            </w:pPr>
            <w:r>
              <w:rPr>
                <w:rFonts w:ascii="Arial" w:cs="Arial" w:eastAsia="Arial" w:hAnsi="Arial"/>
                <w:sz w:val="4"/>
                <w:szCs w:val="4"/>
                <w:color w:val="FFFFFF"/>
              </w:rPr>
              <w:t>Total Sales $215,000 $225,000 $875,000</w:t>
            </w:r>
          </w:p>
        </w:tc>
        <w:tc>
          <w:tcPr>
            <w:tcW w:w="3480" w:type="dxa"/>
            <w:vAlign w:val="bottom"/>
          </w:tcPr>
          <w:p>
            <w:pPr>
              <w:jc w:val="right"/>
              <w:ind w:right="2931"/>
              <w:spacing w:after="0" w:line="40" w:lineRule="exact"/>
              <w:rPr>
                <w:sz w:val="20"/>
                <w:szCs w:val="20"/>
                <w:color w:val="auto"/>
              </w:rPr>
            </w:pPr>
            <w:r>
              <w:rPr>
                <w:rFonts w:ascii="Arial" w:cs="Arial" w:eastAsia="Arial" w:hAnsi="Arial"/>
                <w:sz w:val="4"/>
                <w:szCs w:val="4"/>
                <w:color w:val="FFFFFF"/>
              </w:rPr>
              <w:t>$905,000</w:t>
            </w:r>
          </w:p>
        </w:tc>
        <w:tc>
          <w:tcPr>
            <w:tcW w:w="0" w:type="dxa"/>
            <w:vAlign w:val="bottom"/>
          </w:tcPr>
          <w:p>
            <w:pPr>
              <w:spacing w:after="0" w:line="20" w:lineRule="exact"/>
              <w:rPr>
                <w:sz w:val="1"/>
                <w:szCs w:val="1"/>
                <w:color w:val="auto"/>
              </w:rPr>
            </w:pPr>
          </w:p>
        </w:tc>
      </w:tr>
      <w:tr>
        <w:trPr>
          <w:trHeight w:val="39"/>
        </w:trPr>
        <w:tc>
          <w:tcPr>
            <w:tcW w:w="1780" w:type="dxa"/>
            <w:vAlign w:val="bottom"/>
          </w:tcPr>
          <w:p>
            <w:pPr>
              <w:spacing w:after="0" w:line="40" w:lineRule="exact"/>
              <w:rPr>
                <w:sz w:val="20"/>
                <w:szCs w:val="20"/>
                <w:color w:val="auto"/>
              </w:rPr>
            </w:pPr>
            <w:r>
              <w:rPr>
                <w:rFonts w:ascii="Arial" w:cs="Arial" w:eastAsia="Arial" w:hAnsi="Arial"/>
                <w:sz w:val="4"/>
                <w:szCs w:val="4"/>
                <w:color w:val="FFFFFF"/>
              </w:rPr>
              <w:t>www.nninc.com</w:t>
            </w:r>
          </w:p>
        </w:tc>
        <w:tc>
          <w:tcPr>
            <w:tcW w:w="380" w:type="dxa"/>
            <w:vAlign w:val="bottom"/>
          </w:tcPr>
          <w:p>
            <w:pPr>
              <w:spacing w:after="0"/>
              <w:rPr>
                <w:sz w:val="3"/>
                <w:szCs w:val="3"/>
                <w:color w:val="auto"/>
              </w:rPr>
            </w:pPr>
          </w:p>
        </w:tc>
        <w:tc>
          <w:tcPr>
            <w:tcW w:w="3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1780" w:type="dxa"/>
            <w:vAlign w:val="bottom"/>
          </w:tcPr>
          <w:p>
            <w:pPr>
              <w:spacing w:after="0"/>
              <w:rPr>
                <w:sz w:val="20"/>
                <w:szCs w:val="20"/>
                <w:color w:val="auto"/>
              </w:rPr>
            </w:pPr>
            <w:r>
              <w:rPr>
                <w:rFonts w:ascii="Arial" w:cs="Arial" w:eastAsia="Arial" w:hAnsi="Arial"/>
                <w:sz w:val="13"/>
                <w:szCs w:val="13"/>
                <w:color w:val="FFFFFF"/>
              </w:rPr>
              <w:t>19</w:t>
            </w:r>
          </w:p>
        </w:tc>
        <w:tc>
          <w:tcPr>
            <w:tcW w:w="3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7"/>
          <w:szCs w:val="7"/>
          <w:color w:val="FFFFFF"/>
        </w:rPr>
        <w:t>Reconciliation2ndQuarterGuidanceofnetincome–AdjustedtoadjustedEBITDA</w:t>
      </w:r>
    </w:p>
    <w:p>
      <w:pPr>
        <w:spacing w:after="0" w:line="182" w:lineRule="auto"/>
        <w:rPr>
          <w:sz w:val="20"/>
          <w:szCs w:val="20"/>
          <w:color w:val="auto"/>
        </w:rPr>
      </w:pPr>
      <w:r>
        <w:rPr>
          <w:rFonts w:ascii="Arial" w:cs="Arial" w:eastAsia="Arial" w:hAnsi="Arial"/>
          <w:sz w:val="9"/>
          <w:szCs w:val="9"/>
          <w:color w:val="FFFFFF"/>
        </w:rPr>
        <w:t>EBITDA:</w:t>
      </w:r>
    </w:p>
    <w:p>
      <w:pPr>
        <w:spacing w:after="0" w:line="205" w:lineRule="auto"/>
        <w:rPr>
          <w:sz w:val="20"/>
          <w:szCs w:val="20"/>
          <w:color w:val="auto"/>
        </w:rPr>
      </w:pPr>
      <w:r>
        <w:rPr>
          <w:rFonts w:ascii="Arial" w:cs="Arial" w:eastAsia="Arial" w:hAnsi="Arial"/>
          <w:sz w:val="4"/>
          <w:szCs w:val="4"/>
          <w:color w:val="FFFFFF"/>
        </w:rPr>
        <w:t>JuneNN, Inc—Total30,2016 Company Three Months Ending</w:t>
      </w:r>
    </w:p>
    <w:p>
      <w:pPr>
        <w:spacing w:after="0" w:line="205" w:lineRule="auto"/>
        <w:rPr>
          <w:sz w:val="20"/>
          <w:szCs w:val="20"/>
          <w:color w:val="auto"/>
        </w:rPr>
      </w:pPr>
      <w:r>
        <w:rPr>
          <w:rFonts w:ascii="Arial" w:cs="Arial" w:eastAsia="Arial" w:hAnsi="Arial"/>
          <w:sz w:val="4"/>
          <w:szCs w:val="4"/>
          <w:color w:val="FFFFFF"/>
        </w:rPr>
        <w:t>Low High</w:t>
      </w:r>
    </w:p>
    <w:p>
      <w:pPr>
        <w:spacing w:after="0" w:line="182" w:lineRule="auto"/>
        <w:rPr>
          <w:sz w:val="20"/>
          <w:szCs w:val="20"/>
          <w:color w:val="auto"/>
        </w:rPr>
      </w:pPr>
      <w:r>
        <w:rPr>
          <w:rFonts w:ascii="Arial" w:cs="Arial" w:eastAsia="Arial" w:hAnsi="Arial"/>
          <w:sz w:val="9"/>
          <w:szCs w:val="9"/>
          <w:color w:val="FFFFFF"/>
        </w:rPr>
        <w:t>Net income $4,267 $6,129</w:t>
      </w:r>
    </w:p>
    <w:p>
      <w:pPr>
        <w:spacing w:after="0" w:line="205" w:lineRule="auto"/>
        <w:rPr>
          <w:sz w:val="20"/>
          <w:szCs w:val="20"/>
          <w:color w:val="auto"/>
        </w:rPr>
      </w:pPr>
      <w:r>
        <w:rPr>
          <w:rFonts w:ascii="Arial" w:cs="Arial" w:eastAsia="Arial" w:hAnsi="Arial"/>
          <w:sz w:val="4"/>
          <w:szCs w:val="4"/>
          <w:color w:val="FFFFFF"/>
        </w:rPr>
        <w:t>Provision for income taxes 247 1,104</w:t>
      </w:r>
    </w:p>
    <w:p>
      <w:pPr>
        <w:spacing w:after="0" w:line="205" w:lineRule="auto"/>
        <w:rPr>
          <w:sz w:val="20"/>
          <w:szCs w:val="20"/>
          <w:color w:val="auto"/>
        </w:rPr>
      </w:pPr>
      <w:r>
        <w:rPr>
          <w:rFonts w:ascii="Arial" w:cs="Arial" w:eastAsia="Arial" w:hAnsi="Arial"/>
          <w:sz w:val="8"/>
          <w:szCs w:val="8"/>
          <w:color w:val="FFFFFF"/>
        </w:rPr>
        <w:t>DepreciationInterestExpense&amp;Amortization16,59816,59815,286 15,286</w:t>
      </w:r>
    </w:p>
    <w:p>
      <w:pPr>
        <w:spacing w:after="0" w:line="205" w:lineRule="auto"/>
        <w:rPr>
          <w:sz w:val="20"/>
          <w:szCs w:val="20"/>
          <w:color w:val="auto"/>
        </w:rPr>
      </w:pPr>
      <w:r>
        <w:rPr>
          <w:rFonts w:ascii="Arial" w:cs="Arial" w:eastAsia="Arial" w:hAnsi="Arial"/>
          <w:sz w:val="4"/>
          <w:szCs w:val="4"/>
          <w:color w:val="FFFFFF"/>
        </w:rPr>
        <w:t>Acquisition &amp; integration expenses —</w:t>
      </w:r>
    </w:p>
    <w:p>
      <w:pPr>
        <w:spacing w:after="0" w:line="234" w:lineRule="auto"/>
        <w:rPr>
          <w:sz w:val="20"/>
          <w:szCs w:val="20"/>
          <w:color w:val="auto"/>
        </w:rPr>
      </w:pPr>
      <w:r>
        <w:rPr>
          <w:rFonts w:ascii="Arial" w:cs="Arial" w:eastAsia="Arial" w:hAnsi="Arial"/>
          <w:sz w:val="7"/>
          <w:szCs w:val="7"/>
          <w:color w:val="FFFFFF"/>
        </w:rPr>
        <w:t>RestructuringNon-cashstock&amp;compensationImpairmentCharges8758753,000 3,000</w:t>
      </w:r>
    </w:p>
    <w:p>
      <w:pPr>
        <w:spacing w:after="0" w:line="206" w:lineRule="auto"/>
        <w:rPr>
          <w:sz w:val="20"/>
          <w:szCs w:val="20"/>
          <w:color w:val="auto"/>
        </w:rPr>
      </w:pPr>
      <w:r>
        <w:rPr>
          <w:rFonts w:ascii="Arial" w:cs="Arial" w:eastAsia="Arial" w:hAnsi="Arial"/>
          <w:sz w:val="4"/>
          <w:szCs w:val="4"/>
          <w:color w:val="FFFFFF"/>
        </w:rPr>
        <w:t>ReconciliationAdjustedEBITDAofnet$ 40,273income$to42,992adjusted</w:t>
      </w:r>
    </w:p>
    <w:p>
      <w:pPr>
        <w:spacing w:after="0" w:line="182" w:lineRule="auto"/>
        <w:rPr>
          <w:sz w:val="20"/>
          <w:szCs w:val="20"/>
          <w:color w:val="auto"/>
        </w:rPr>
      </w:pPr>
      <w:r>
        <w:rPr>
          <w:rFonts w:ascii="Arial" w:cs="Arial" w:eastAsia="Arial" w:hAnsi="Arial"/>
          <w:sz w:val="9"/>
          <w:szCs w:val="9"/>
          <w:color w:val="FFFFFF"/>
        </w:rPr>
        <w:t>EBITDA:</w:t>
      </w:r>
    </w:p>
    <w:p>
      <w:pPr>
        <w:spacing w:after="0" w:line="205" w:lineRule="auto"/>
        <w:rPr>
          <w:sz w:val="20"/>
          <w:szCs w:val="20"/>
          <w:color w:val="auto"/>
        </w:rPr>
      </w:pPr>
      <w:r>
        <w:rPr>
          <w:rFonts w:ascii="Arial" w:cs="Arial" w:eastAsia="Arial" w:hAnsi="Arial"/>
          <w:sz w:val="4"/>
          <w:szCs w:val="4"/>
          <w:color w:val="FFFFFF"/>
        </w:rPr>
        <w:t>DecemberNN,Inc—Total31,2016Company Year Ending</w:t>
      </w:r>
    </w:p>
    <w:p>
      <w:pPr>
        <w:spacing w:after="0" w:line="182" w:lineRule="auto"/>
        <w:rPr>
          <w:sz w:val="20"/>
          <w:szCs w:val="20"/>
          <w:color w:val="auto"/>
        </w:rPr>
      </w:pPr>
      <w:r>
        <w:rPr>
          <w:rFonts w:ascii="Arial" w:cs="Arial" w:eastAsia="Arial" w:hAnsi="Arial"/>
          <w:sz w:val="9"/>
          <w:szCs w:val="9"/>
          <w:color w:val="FFFFFF"/>
        </w:rPr>
        <w:t>Low High</w:t>
      </w:r>
    </w:p>
    <w:p>
      <w:pPr>
        <w:spacing w:after="0" w:line="206" w:lineRule="auto"/>
        <w:rPr>
          <w:sz w:val="20"/>
          <w:szCs w:val="20"/>
          <w:color w:val="auto"/>
        </w:rPr>
      </w:pPr>
      <w:r>
        <w:rPr>
          <w:rFonts w:ascii="Arial" w:cs="Arial" w:eastAsia="Arial" w:hAnsi="Arial"/>
          <w:sz w:val="4"/>
          <w:szCs w:val="4"/>
          <w:color w:val="FFFFFF"/>
        </w:rPr>
        <w:t>Net income $ 20,000 $ 26,965</w:t>
      </w:r>
    </w:p>
    <w:p>
      <w:pPr>
        <w:spacing w:after="0" w:line="204" w:lineRule="auto"/>
        <w:rPr>
          <w:sz w:val="20"/>
          <w:szCs w:val="20"/>
          <w:color w:val="auto"/>
        </w:rPr>
      </w:pPr>
      <w:r>
        <w:rPr>
          <w:rFonts w:ascii="Arial" w:cs="Arial" w:eastAsia="Arial" w:hAnsi="Arial"/>
          <w:sz w:val="8"/>
          <w:szCs w:val="8"/>
          <w:color w:val="FFFFFF"/>
        </w:rPr>
        <w:t>InterestProvisionExpenseforincome67,000taxes64,4006,930 10,500</w:t>
      </w:r>
    </w:p>
    <w:p>
      <w:pPr>
        <w:spacing w:after="0" w:line="206" w:lineRule="auto"/>
        <w:rPr>
          <w:sz w:val="20"/>
          <w:szCs w:val="20"/>
          <w:color w:val="auto"/>
        </w:rPr>
      </w:pPr>
      <w:r>
        <w:rPr>
          <w:rFonts w:ascii="Arial" w:cs="Arial" w:eastAsia="Arial" w:hAnsi="Arial"/>
          <w:sz w:val="4"/>
          <w:szCs w:val="4"/>
          <w:color w:val="FFFFFF"/>
        </w:rPr>
        <w:t>Depreciation &amp; Amortization 60,070 63,635</w:t>
      </w:r>
    </w:p>
    <w:p>
      <w:pPr>
        <w:spacing w:after="0" w:line="234" w:lineRule="auto"/>
        <w:rPr>
          <w:sz w:val="20"/>
          <w:szCs w:val="20"/>
          <w:color w:val="auto"/>
        </w:rPr>
      </w:pPr>
      <w:r>
        <w:rPr>
          <w:rFonts w:ascii="Arial" w:cs="Arial" w:eastAsia="Arial" w:hAnsi="Arial"/>
          <w:sz w:val="7"/>
          <w:szCs w:val="7"/>
          <w:color w:val="FFFFFF"/>
        </w:rPr>
        <w:t>NonAcquisition-cashstock&amp;integrationcompensationexpenses—1,0003,5004,500</w:t>
      </w:r>
    </w:p>
    <w:p>
      <w:pPr>
        <w:spacing w:after="0" w:line="182" w:lineRule="auto"/>
        <w:rPr>
          <w:sz w:val="20"/>
          <w:szCs w:val="20"/>
          <w:color w:val="auto"/>
        </w:rPr>
      </w:pPr>
      <w:r>
        <w:rPr>
          <w:rFonts w:ascii="Arial" w:cs="Arial" w:eastAsia="Arial" w:hAnsi="Arial"/>
          <w:sz w:val="9"/>
          <w:szCs w:val="9"/>
          <w:color w:val="FFFFFF"/>
        </w:rPr>
        <w:t>3,000Restructuring4,000 &amp; Impairment Charges</w:t>
      </w:r>
    </w:p>
    <w:p>
      <w:pPr>
        <w:spacing w:after="0" w:line="206" w:lineRule="auto"/>
        <w:rPr>
          <w:sz w:val="20"/>
          <w:szCs w:val="20"/>
          <w:color w:val="auto"/>
        </w:rPr>
      </w:pPr>
      <w:r>
        <w:rPr>
          <w:rFonts w:ascii="Arial" w:cs="Arial" w:eastAsia="Arial" w:hAnsi="Arial"/>
          <w:sz w:val="4"/>
          <w:szCs w:val="4"/>
          <w:color w:val="FFFFFF"/>
        </w:rPr>
        <w:t>www.nninc.comAdjustedEBITDA $ 160,500 $ 175,000</w:t>
      </w:r>
    </w:p>
    <w:p>
      <w:pPr>
        <w:spacing w:after="0"/>
        <w:rPr>
          <w:sz w:val="20"/>
          <w:szCs w:val="20"/>
          <w:color w:val="auto"/>
        </w:rPr>
      </w:pPr>
      <w:r>
        <w:rPr>
          <w:rFonts w:ascii="Arial" w:cs="Arial" w:eastAsia="Arial" w:hAnsi="Arial"/>
          <w:sz w:val="13"/>
          <w:szCs w:val="13"/>
          <w:color w:val="FFFFFF"/>
        </w:rPr>
        <w:t>20</w:t>
      </w:r>
    </w:p>
    <w:p>
      <w:pPr>
        <w:sectPr>
          <w:pgSz w:w="11900" w:h="16838" w:orient="portrait"/>
          <w:cols w:equalWidth="0" w:num="1">
            <w:col w:w="10219"/>
          </w:cols>
          <w:pgMar w:left="2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gridSpan w:val="5"/>
          </w:tcPr>
          <w:p>
            <w:pPr>
              <w:spacing w:after="0"/>
              <w:rPr>
                <w:sz w:val="20"/>
                <w:szCs w:val="20"/>
                <w:color w:val="auto"/>
              </w:rPr>
            </w:pPr>
            <w:r>
              <w:rPr>
                <w:rFonts w:ascii="Arial" w:cs="Arial" w:eastAsia="Arial" w:hAnsi="Arial"/>
                <w:sz w:val="13"/>
                <w:szCs w:val="13"/>
                <w:color w:val="FFFFFF"/>
              </w:rPr>
              <w:t>2nd Quarter Guidance – Adjusted Net Income &amp; EPS</w:t>
            </w:r>
          </w:p>
        </w:tc>
        <w:tc>
          <w:tcPr>
            <w:tcW w:w="0" w:type="dxa"/>
            <w:vAlign w:val="bottom"/>
          </w:tcPr>
          <w:p>
            <w:pPr>
              <w:spacing w:after="0"/>
              <w:rPr>
                <w:sz w:val="1"/>
                <w:szCs w:val="1"/>
                <w:color w:val="auto"/>
              </w:rPr>
            </w:pPr>
          </w:p>
        </w:tc>
      </w:tr>
      <w:tr>
        <w:trPr>
          <w:trHeight w:val="39"/>
        </w:trPr>
        <w:tc>
          <w:tcPr>
            <w:tcW w:w="2420" w:type="dxa"/>
            <w:vAlign w:val="bottom"/>
            <w:gridSpan w:val="4"/>
          </w:tcPr>
          <w:p>
            <w:pPr>
              <w:spacing w:after="0" w:line="40" w:lineRule="exact"/>
              <w:rPr>
                <w:sz w:val="20"/>
                <w:szCs w:val="20"/>
                <w:color w:val="auto"/>
              </w:rPr>
            </w:pPr>
            <w:r>
              <w:rPr>
                <w:rFonts w:ascii="Arial" w:cs="Arial" w:eastAsia="Arial" w:hAnsi="Arial"/>
                <w:sz w:val="4"/>
                <w:szCs w:val="4"/>
                <w:color w:val="FFFFFF"/>
              </w:rPr>
              <w:t>Reconciliation of EPS to adjusted EPS:</w:t>
            </w: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320" w:type="dxa"/>
            <w:vAlign w:val="bottom"/>
            <w:gridSpan w:val="5"/>
          </w:tcPr>
          <w:p>
            <w:pPr>
              <w:spacing w:after="0" w:line="40" w:lineRule="exact"/>
              <w:rPr>
                <w:sz w:val="20"/>
                <w:szCs w:val="20"/>
                <w:color w:val="auto"/>
              </w:rPr>
            </w:pPr>
            <w:r>
              <w:rPr>
                <w:rFonts w:ascii="Arial" w:cs="Arial" w:eastAsia="Arial" w:hAnsi="Arial"/>
                <w:sz w:val="4"/>
                <w:szCs w:val="4"/>
                <w:color w:val="FFFFFF"/>
              </w:rPr>
              <w:t>NN, Inc—Total Company Three Months Ending June 30, 2016</w:t>
            </w:r>
          </w:p>
        </w:tc>
        <w:tc>
          <w:tcPr>
            <w:tcW w:w="0" w:type="dxa"/>
            <w:vAlign w:val="bottom"/>
          </w:tcPr>
          <w:p>
            <w:pPr>
              <w:spacing w:after="0" w:line="20" w:lineRule="exact"/>
              <w:rPr>
                <w:sz w:val="1"/>
                <w:szCs w:val="1"/>
                <w:color w:val="auto"/>
              </w:rPr>
            </w:pPr>
          </w:p>
        </w:tc>
      </w:tr>
      <w:tr>
        <w:trPr>
          <w:trHeight w:val="39"/>
        </w:trPr>
        <w:tc>
          <w:tcPr>
            <w:tcW w:w="540" w:type="dxa"/>
            <w:vAlign w:val="bottom"/>
            <w:gridSpan w:val="2"/>
          </w:tcPr>
          <w:p>
            <w:pPr>
              <w:spacing w:after="0" w:line="40" w:lineRule="exact"/>
              <w:rPr>
                <w:sz w:val="20"/>
                <w:szCs w:val="20"/>
                <w:color w:val="auto"/>
              </w:rPr>
            </w:pPr>
            <w:r>
              <w:rPr>
                <w:rFonts w:ascii="Arial" w:cs="Arial" w:eastAsia="Arial" w:hAnsi="Arial"/>
                <w:sz w:val="4"/>
                <w:szCs w:val="4"/>
                <w:color w:val="FFFFFF"/>
              </w:rPr>
              <w:t>Low High</w:t>
            </w:r>
          </w:p>
        </w:tc>
        <w:tc>
          <w:tcPr>
            <w:tcW w:w="1880" w:type="dxa"/>
            <w:vAlign w:val="bottom"/>
            <w:gridSpan w:val="2"/>
            <w:vMerge w:val="restart"/>
          </w:tcPr>
          <w:p>
            <w:pPr>
              <w:jc w:val="right"/>
              <w:ind w:right="611"/>
              <w:spacing w:after="0" w:line="118" w:lineRule="exact"/>
              <w:rPr>
                <w:sz w:val="20"/>
                <w:szCs w:val="20"/>
                <w:color w:val="auto"/>
              </w:rPr>
            </w:pPr>
            <w:r>
              <w:rPr>
                <w:rFonts w:ascii="Arial" w:cs="Arial" w:eastAsia="Arial" w:hAnsi="Arial"/>
                <w:sz w:val="13"/>
                <w:szCs w:val="13"/>
                <w:color w:val="FFFFFF"/>
                <w:w w:val="89"/>
              </w:rPr>
              <w:t>Earnings Per Thousand</w:t>
            </w: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480" w:type="dxa"/>
            <w:vAlign w:val="bottom"/>
          </w:tcPr>
          <w:p>
            <w:pPr>
              <w:spacing w:after="0" w:line="79" w:lineRule="exact"/>
              <w:rPr>
                <w:sz w:val="20"/>
                <w:szCs w:val="20"/>
                <w:color w:val="auto"/>
              </w:rPr>
            </w:pPr>
            <w:r>
              <w:rPr>
                <w:rFonts w:ascii="Arial" w:cs="Arial" w:eastAsia="Arial" w:hAnsi="Arial"/>
                <w:sz w:val="9"/>
                <w:szCs w:val="9"/>
                <w:color w:val="FFFFFF"/>
              </w:rPr>
              <w:t>In In</w:t>
            </w:r>
          </w:p>
        </w:tc>
        <w:tc>
          <w:tcPr>
            <w:tcW w:w="60" w:type="dxa"/>
            <w:vAlign w:val="bottom"/>
          </w:tcPr>
          <w:p>
            <w:pPr>
              <w:spacing w:after="0"/>
              <w:rPr>
                <w:sz w:val="6"/>
                <w:szCs w:val="6"/>
                <w:color w:val="auto"/>
              </w:rPr>
            </w:pPr>
          </w:p>
        </w:tc>
        <w:tc>
          <w:tcPr>
            <w:tcW w:w="188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600" w:type="dxa"/>
            <w:vAlign w:val="bottom"/>
            <w:gridSpan w:val="3"/>
          </w:tcPr>
          <w:p>
            <w:pPr>
              <w:spacing w:after="0" w:line="40" w:lineRule="exact"/>
              <w:rPr>
                <w:sz w:val="20"/>
                <w:szCs w:val="20"/>
                <w:color w:val="auto"/>
              </w:rPr>
            </w:pPr>
            <w:r>
              <w:rPr>
                <w:rFonts w:ascii="Arial" w:cs="Arial" w:eastAsia="Arial" w:hAnsi="Arial"/>
                <w:sz w:val="4"/>
                <w:szCs w:val="4"/>
                <w:color w:val="FFFFFF"/>
              </w:rPr>
              <w:t>ThousandShareEarnings Per Share</w:t>
            </w: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420" w:type="dxa"/>
            <w:vAlign w:val="bottom"/>
            <w:gridSpan w:val="4"/>
          </w:tcPr>
          <w:p>
            <w:pPr>
              <w:spacing w:after="0" w:line="40" w:lineRule="exact"/>
              <w:rPr>
                <w:sz w:val="20"/>
                <w:szCs w:val="20"/>
                <w:color w:val="auto"/>
              </w:rPr>
            </w:pPr>
            <w:r>
              <w:rPr>
                <w:rFonts w:ascii="Arial" w:cs="Arial" w:eastAsia="Arial" w:hAnsi="Arial"/>
                <w:sz w:val="4"/>
                <w:szCs w:val="4"/>
                <w:color w:val="FFFFFF"/>
              </w:rPr>
              <w:t>Net income $4,267 $0.16 $6,129 $0.23</w:t>
            </w: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420" w:type="dxa"/>
            <w:vAlign w:val="bottom"/>
            <w:gridSpan w:val="4"/>
          </w:tcPr>
          <w:p>
            <w:pPr>
              <w:spacing w:after="0" w:line="40" w:lineRule="exact"/>
              <w:rPr>
                <w:sz w:val="20"/>
                <w:szCs w:val="20"/>
                <w:color w:val="auto"/>
              </w:rPr>
            </w:pPr>
            <w:r>
              <w:rPr>
                <w:rFonts w:ascii="Arial" w:cs="Arial" w:eastAsia="Arial" w:hAnsi="Arial"/>
                <w:sz w:val="4"/>
                <w:szCs w:val="4"/>
                <w:color w:val="FFFFFF"/>
              </w:rPr>
              <w:t>After-tax acquisition and integration</w:t>
            </w: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600" w:type="dxa"/>
            <w:vAlign w:val="bottom"/>
            <w:gridSpan w:val="3"/>
          </w:tcPr>
          <w:p>
            <w:pPr>
              <w:spacing w:after="0" w:line="40" w:lineRule="exact"/>
              <w:rPr>
                <w:sz w:val="20"/>
                <w:szCs w:val="20"/>
                <w:color w:val="auto"/>
              </w:rPr>
            </w:pPr>
            <w:r>
              <w:rPr>
                <w:rFonts w:ascii="Arial" w:cs="Arial" w:eastAsia="Arial" w:hAnsi="Arial"/>
                <w:sz w:val="4"/>
                <w:szCs w:val="4"/>
                <w:color w:val="FFFFFF"/>
              </w:rPr>
              <w:t>costs — —</w:t>
            </w: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420" w:type="dxa"/>
            <w:vAlign w:val="bottom"/>
            <w:gridSpan w:val="4"/>
          </w:tcPr>
          <w:p>
            <w:pPr>
              <w:spacing w:after="0" w:line="40" w:lineRule="exact"/>
              <w:rPr>
                <w:sz w:val="20"/>
                <w:szCs w:val="20"/>
                <w:color w:val="auto"/>
              </w:rPr>
            </w:pPr>
            <w:r>
              <w:rPr>
                <w:rFonts w:ascii="Arial" w:cs="Arial" w:eastAsia="Arial" w:hAnsi="Arial"/>
                <w:sz w:val="4"/>
                <w:szCs w:val="4"/>
                <w:color w:val="FFFFFF"/>
              </w:rPr>
              <w:t>Restructuring &amp; Impairment Charges</w:t>
            </w: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600" w:type="dxa"/>
            <w:vAlign w:val="bottom"/>
            <w:gridSpan w:val="3"/>
          </w:tcPr>
          <w:p>
            <w:pPr>
              <w:spacing w:after="0" w:line="40" w:lineRule="exact"/>
              <w:rPr>
                <w:sz w:val="20"/>
                <w:szCs w:val="20"/>
                <w:color w:val="auto"/>
              </w:rPr>
            </w:pPr>
            <w:r>
              <w:rPr>
                <w:rFonts w:ascii="Arial" w:cs="Arial" w:eastAsia="Arial" w:hAnsi="Arial"/>
                <w:sz w:val="4"/>
                <w:szCs w:val="4"/>
                <w:color w:val="FFFFFF"/>
              </w:rPr>
              <w:t>2,400 0.09 2,400 0.09</w:t>
            </w: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600" w:type="dxa"/>
            <w:vAlign w:val="bottom"/>
            <w:gridSpan w:val="3"/>
          </w:tcPr>
          <w:p>
            <w:pPr>
              <w:spacing w:after="0" w:line="40" w:lineRule="exact"/>
              <w:rPr>
                <w:sz w:val="20"/>
                <w:szCs w:val="20"/>
                <w:color w:val="auto"/>
              </w:rPr>
            </w:pPr>
            <w:r>
              <w:rPr>
                <w:rFonts w:ascii="Arial" w:cs="Arial" w:eastAsia="Arial" w:hAnsi="Arial"/>
                <w:sz w:val="4"/>
                <w:szCs w:val="4"/>
                <w:color w:val="FFFFFF"/>
              </w:rPr>
              <w:t>Amortization of intangibles &amp;</w:t>
            </w:r>
          </w:p>
        </w:tc>
        <w:tc>
          <w:tcPr>
            <w:tcW w:w="1720" w:type="dxa"/>
            <w:vAlign w:val="bottom"/>
            <w:gridSpan w:val="2"/>
            <w:vMerge w:val="restart"/>
          </w:tcPr>
          <w:p>
            <w:pPr>
              <w:jc w:val="right"/>
              <w:ind w:right="847"/>
              <w:spacing w:after="0" w:line="79" w:lineRule="exact"/>
              <w:rPr>
                <w:sz w:val="20"/>
                <w:szCs w:val="20"/>
                <w:color w:val="auto"/>
              </w:rPr>
            </w:pPr>
            <w:r>
              <w:rPr>
                <w:rFonts w:ascii="Arial" w:cs="Arial" w:eastAsia="Arial" w:hAnsi="Arial"/>
                <w:sz w:val="9"/>
                <w:szCs w:val="9"/>
                <w:color w:val="FFFFFF"/>
              </w:rPr>
              <w:t>.16 4,460 0.16</w:t>
            </w:r>
          </w:p>
        </w:tc>
        <w:tc>
          <w:tcPr>
            <w:tcW w:w="0" w:type="dxa"/>
            <w:vAlign w:val="bottom"/>
          </w:tcPr>
          <w:p>
            <w:pPr>
              <w:spacing w:after="0" w:line="20" w:lineRule="exact"/>
              <w:rPr>
                <w:sz w:val="1"/>
                <w:szCs w:val="1"/>
                <w:color w:val="auto"/>
              </w:rPr>
            </w:pPr>
          </w:p>
        </w:tc>
      </w:tr>
      <w:tr>
        <w:trPr>
          <w:trHeight w:val="39"/>
        </w:trPr>
        <w:tc>
          <w:tcPr>
            <w:tcW w:w="1600" w:type="dxa"/>
            <w:vAlign w:val="bottom"/>
            <w:gridSpan w:val="3"/>
          </w:tcPr>
          <w:p>
            <w:pPr>
              <w:spacing w:after="0" w:line="40" w:lineRule="exact"/>
              <w:rPr>
                <w:sz w:val="20"/>
                <w:szCs w:val="20"/>
                <w:color w:val="auto"/>
              </w:rPr>
            </w:pPr>
            <w:r>
              <w:rPr>
                <w:rFonts w:ascii="Arial" w:cs="Arial" w:eastAsia="Arial" w:hAnsi="Arial"/>
                <w:sz w:val="4"/>
                <w:szCs w:val="4"/>
                <w:color w:val="FFFFFF"/>
              </w:rPr>
              <w:t>deferred financing costs 4,460</w:t>
            </w:r>
          </w:p>
        </w:tc>
        <w:tc>
          <w:tcPr>
            <w:tcW w:w="17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600" w:type="dxa"/>
            <w:vAlign w:val="bottom"/>
            <w:gridSpan w:val="3"/>
          </w:tcPr>
          <w:p>
            <w:pPr>
              <w:spacing w:after="0" w:line="40" w:lineRule="exact"/>
              <w:rPr>
                <w:sz w:val="20"/>
                <w:szCs w:val="20"/>
                <w:color w:val="auto"/>
              </w:rPr>
            </w:pPr>
            <w:r>
              <w:rPr>
                <w:rFonts w:ascii="Arial" w:cs="Arial" w:eastAsia="Arial" w:hAnsi="Arial"/>
                <w:sz w:val="4"/>
                <w:szCs w:val="4"/>
                <w:color w:val="FFFFFF"/>
              </w:rPr>
              <w:t>Adjusted net income $ 11,127</w:t>
            </w:r>
          </w:p>
        </w:tc>
        <w:tc>
          <w:tcPr>
            <w:tcW w:w="820" w:type="dxa"/>
            <w:vAlign w:val="bottom"/>
          </w:tcPr>
          <w:p>
            <w:pPr>
              <w:jc w:val="right"/>
              <w:spacing w:after="0" w:line="40" w:lineRule="exact"/>
              <w:rPr>
                <w:sz w:val="20"/>
                <w:szCs w:val="20"/>
                <w:color w:val="auto"/>
              </w:rPr>
            </w:pPr>
            <w:r>
              <w:rPr>
                <w:rFonts w:ascii="Arial" w:cs="Arial" w:eastAsia="Arial" w:hAnsi="Arial"/>
                <w:sz w:val="4"/>
                <w:szCs w:val="4"/>
                <w:color w:val="FFFFFF"/>
              </w:rPr>
              <w:t>$0.41 $ 12,989</w:t>
            </w:r>
          </w:p>
        </w:tc>
        <w:tc>
          <w:tcPr>
            <w:tcW w:w="900" w:type="dxa"/>
            <w:vAlign w:val="bottom"/>
          </w:tcPr>
          <w:p>
            <w:pPr>
              <w:jc w:val="right"/>
              <w:ind w:right="567"/>
              <w:spacing w:after="0" w:line="40" w:lineRule="exact"/>
              <w:rPr>
                <w:sz w:val="20"/>
                <w:szCs w:val="20"/>
                <w:color w:val="auto"/>
              </w:rPr>
            </w:pPr>
            <w:r>
              <w:rPr>
                <w:rFonts w:ascii="Arial" w:cs="Arial" w:eastAsia="Arial" w:hAnsi="Arial"/>
                <w:sz w:val="4"/>
                <w:szCs w:val="4"/>
                <w:color w:val="FFFFFF"/>
              </w:rPr>
              <w:t>$0.48</w:t>
            </w:r>
          </w:p>
        </w:tc>
        <w:tc>
          <w:tcPr>
            <w:tcW w:w="0" w:type="dxa"/>
            <w:vAlign w:val="bottom"/>
          </w:tcPr>
          <w:p>
            <w:pPr>
              <w:spacing w:after="0" w:line="20" w:lineRule="exact"/>
              <w:rPr>
                <w:sz w:val="1"/>
                <w:szCs w:val="1"/>
                <w:color w:val="auto"/>
              </w:rPr>
            </w:pPr>
          </w:p>
        </w:tc>
      </w:tr>
      <w:tr>
        <w:trPr>
          <w:trHeight w:val="39"/>
        </w:trPr>
        <w:tc>
          <w:tcPr>
            <w:tcW w:w="2420" w:type="dxa"/>
            <w:vAlign w:val="bottom"/>
            <w:gridSpan w:val="4"/>
          </w:tcPr>
          <w:p>
            <w:pPr>
              <w:spacing w:after="0" w:line="40" w:lineRule="exact"/>
              <w:rPr>
                <w:sz w:val="20"/>
                <w:szCs w:val="20"/>
                <w:color w:val="auto"/>
              </w:rPr>
            </w:pPr>
            <w:r>
              <w:rPr>
                <w:rFonts w:ascii="Arial" w:cs="Arial" w:eastAsia="Arial" w:hAnsi="Arial"/>
                <w:sz w:val="4"/>
                <w:szCs w:val="4"/>
                <w:color w:val="FFFFFF"/>
              </w:rPr>
              <w:t>Weighted average diluted shares</w:t>
            </w: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600" w:type="dxa"/>
            <w:vAlign w:val="bottom"/>
            <w:gridSpan w:val="3"/>
          </w:tcPr>
          <w:p>
            <w:pPr>
              <w:spacing w:after="0" w:line="40" w:lineRule="exact"/>
              <w:rPr>
                <w:sz w:val="20"/>
                <w:szCs w:val="20"/>
                <w:color w:val="auto"/>
              </w:rPr>
            </w:pPr>
            <w:r>
              <w:rPr>
                <w:rFonts w:ascii="Arial" w:cs="Arial" w:eastAsia="Arial" w:hAnsi="Arial"/>
                <w:sz w:val="4"/>
                <w:szCs w:val="4"/>
                <w:color w:val="FFFFFF"/>
              </w:rPr>
              <w:t>outstanding 27,170 27,170</w:t>
            </w: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420" w:type="dxa"/>
            <w:vAlign w:val="bottom"/>
            <w:gridSpan w:val="4"/>
          </w:tcPr>
          <w:p>
            <w:pPr>
              <w:spacing w:after="0" w:line="40" w:lineRule="exact"/>
              <w:rPr>
                <w:sz w:val="20"/>
                <w:szCs w:val="20"/>
                <w:color w:val="auto"/>
              </w:rPr>
            </w:pPr>
            <w:r>
              <w:rPr>
                <w:rFonts w:ascii="Arial" w:cs="Arial" w:eastAsia="Arial" w:hAnsi="Arial"/>
                <w:sz w:val="4"/>
                <w:szCs w:val="4"/>
                <w:color w:val="FFFFFF"/>
              </w:rPr>
              <w:t>Reconciliation of EPS to adjusted EPS:</w:t>
            </w: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320" w:type="dxa"/>
            <w:vAlign w:val="bottom"/>
            <w:gridSpan w:val="5"/>
          </w:tcPr>
          <w:p>
            <w:pPr>
              <w:spacing w:after="0" w:line="40" w:lineRule="exact"/>
              <w:rPr>
                <w:sz w:val="20"/>
                <w:szCs w:val="20"/>
                <w:color w:val="auto"/>
              </w:rPr>
            </w:pPr>
            <w:r>
              <w:rPr>
                <w:rFonts w:ascii="Arial" w:cs="Arial" w:eastAsia="Arial" w:hAnsi="Arial"/>
                <w:sz w:val="4"/>
                <w:szCs w:val="4"/>
                <w:color w:val="FFFFFF"/>
              </w:rPr>
              <w:t>NN, Inc—Total Company Year Ending December 31, 2016</w:t>
            </w:r>
          </w:p>
        </w:tc>
        <w:tc>
          <w:tcPr>
            <w:tcW w:w="0" w:type="dxa"/>
            <w:vAlign w:val="bottom"/>
          </w:tcPr>
          <w:p>
            <w:pPr>
              <w:spacing w:after="0" w:line="20" w:lineRule="exact"/>
              <w:rPr>
                <w:sz w:val="1"/>
                <w:szCs w:val="1"/>
                <w:color w:val="auto"/>
              </w:rPr>
            </w:pPr>
          </w:p>
        </w:tc>
      </w:tr>
      <w:tr>
        <w:trPr>
          <w:trHeight w:val="39"/>
        </w:trPr>
        <w:tc>
          <w:tcPr>
            <w:tcW w:w="540" w:type="dxa"/>
            <w:vAlign w:val="bottom"/>
            <w:gridSpan w:val="2"/>
          </w:tcPr>
          <w:p>
            <w:pPr>
              <w:spacing w:after="0" w:line="40" w:lineRule="exact"/>
              <w:rPr>
                <w:sz w:val="20"/>
                <w:szCs w:val="20"/>
                <w:color w:val="auto"/>
              </w:rPr>
            </w:pPr>
            <w:r>
              <w:rPr>
                <w:rFonts w:ascii="Arial" w:cs="Arial" w:eastAsia="Arial" w:hAnsi="Arial"/>
                <w:sz w:val="4"/>
                <w:szCs w:val="4"/>
                <w:color w:val="FFFFFF"/>
              </w:rPr>
              <w:t>Low High</w:t>
            </w: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600" w:type="dxa"/>
            <w:vAlign w:val="bottom"/>
            <w:gridSpan w:val="3"/>
          </w:tcPr>
          <w:p>
            <w:pPr>
              <w:spacing w:after="0" w:line="40" w:lineRule="exact"/>
              <w:rPr>
                <w:sz w:val="20"/>
                <w:szCs w:val="20"/>
                <w:color w:val="auto"/>
              </w:rPr>
            </w:pPr>
            <w:r>
              <w:rPr>
                <w:rFonts w:ascii="Arial" w:cs="Arial" w:eastAsia="Arial" w:hAnsi="Arial"/>
                <w:sz w:val="4"/>
                <w:szCs w:val="4"/>
                <w:color w:val="FFFFFF"/>
              </w:rPr>
              <w:t>In Earnings Per In</w:t>
            </w: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320" w:type="dxa"/>
            <w:vAlign w:val="bottom"/>
            <w:gridSpan w:val="5"/>
          </w:tcPr>
          <w:p>
            <w:pPr>
              <w:spacing w:after="0" w:line="40" w:lineRule="exact"/>
              <w:rPr>
                <w:sz w:val="20"/>
                <w:szCs w:val="20"/>
                <w:color w:val="auto"/>
              </w:rPr>
            </w:pPr>
            <w:r>
              <w:rPr>
                <w:rFonts w:ascii="Arial" w:cs="Arial" w:eastAsia="Arial" w:hAnsi="Arial"/>
                <w:sz w:val="4"/>
                <w:szCs w:val="4"/>
                <w:color w:val="FFFFFF"/>
              </w:rPr>
              <w:t>Thousands Share Thousands Earnings Per Share</w:t>
            </w:r>
          </w:p>
        </w:tc>
        <w:tc>
          <w:tcPr>
            <w:tcW w:w="0" w:type="dxa"/>
            <w:vAlign w:val="bottom"/>
          </w:tcPr>
          <w:p>
            <w:pPr>
              <w:spacing w:after="0" w:line="20" w:lineRule="exact"/>
              <w:rPr>
                <w:sz w:val="1"/>
                <w:szCs w:val="1"/>
                <w:color w:val="auto"/>
              </w:rPr>
            </w:pPr>
          </w:p>
        </w:tc>
      </w:tr>
      <w:tr>
        <w:trPr>
          <w:trHeight w:val="39"/>
        </w:trPr>
        <w:tc>
          <w:tcPr>
            <w:tcW w:w="1600" w:type="dxa"/>
            <w:vAlign w:val="bottom"/>
            <w:gridSpan w:val="3"/>
          </w:tcPr>
          <w:p>
            <w:pPr>
              <w:spacing w:after="0" w:line="40" w:lineRule="exact"/>
              <w:rPr>
                <w:sz w:val="20"/>
                <w:szCs w:val="20"/>
                <w:color w:val="auto"/>
              </w:rPr>
            </w:pPr>
            <w:r>
              <w:rPr>
                <w:rFonts w:ascii="Arial" w:cs="Arial" w:eastAsia="Arial" w:hAnsi="Arial"/>
                <w:sz w:val="4"/>
                <w:szCs w:val="4"/>
                <w:color w:val="FFFFFF"/>
              </w:rPr>
              <w:t>Net income</w:t>
            </w: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80" w:type="dxa"/>
            <w:vAlign w:val="bottom"/>
          </w:tcPr>
          <w:p>
            <w:pPr>
              <w:spacing w:after="0" w:line="40" w:lineRule="exact"/>
              <w:rPr>
                <w:sz w:val="20"/>
                <w:szCs w:val="20"/>
                <w:color w:val="auto"/>
              </w:rPr>
            </w:pPr>
            <w:r>
              <w:rPr>
                <w:rFonts w:ascii="Arial" w:cs="Arial" w:eastAsia="Arial" w:hAnsi="Arial"/>
                <w:sz w:val="4"/>
                <w:szCs w:val="4"/>
                <w:color w:val="FFFFFF"/>
              </w:rPr>
              <w:t>$ 20,000</w:t>
            </w:r>
          </w:p>
        </w:tc>
        <w:tc>
          <w:tcPr>
            <w:tcW w:w="112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$0.74 $ 26,965 $0.99</w:t>
            </w: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420" w:type="dxa"/>
            <w:vAlign w:val="bottom"/>
            <w:gridSpan w:val="4"/>
          </w:tcPr>
          <w:p>
            <w:pPr>
              <w:spacing w:after="0" w:line="40" w:lineRule="exact"/>
              <w:rPr>
                <w:sz w:val="20"/>
                <w:szCs w:val="20"/>
                <w:color w:val="auto"/>
              </w:rPr>
            </w:pPr>
            <w:r>
              <w:rPr>
                <w:rFonts w:ascii="Arial" w:cs="Arial" w:eastAsia="Arial" w:hAnsi="Arial"/>
                <w:sz w:val="4"/>
                <w:szCs w:val="4"/>
                <w:color w:val="FFFFFF"/>
              </w:rPr>
              <w:t>After-tax acquisition and integration</w:t>
            </w: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600" w:type="dxa"/>
            <w:vAlign w:val="bottom"/>
            <w:gridSpan w:val="3"/>
          </w:tcPr>
          <w:p>
            <w:pPr>
              <w:spacing w:after="0" w:line="40" w:lineRule="exact"/>
              <w:rPr>
                <w:sz w:val="20"/>
                <w:szCs w:val="20"/>
                <w:color w:val="auto"/>
              </w:rPr>
            </w:pPr>
            <w:r>
              <w:rPr>
                <w:rFonts w:ascii="Arial" w:cs="Arial" w:eastAsia="Arial" w:hAnsi="Arial"/>
                <w:sz w:val="4"/>
                <w:szCs w:val="4"/>
                <w:color w:val="FFFFFF"/>
              </w:rPr>
              <w:t>costs 1,000 0.04 640 0.0236</w:t>
            </w: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420" w:type="dxa"/>
            <w:vAlign w:val="bottom"/>
            <w:gridSpan w:val="4"/>
          </w:tcPr>
          <w:p>
            <w:pPr>
              <w:spacing w:after="0" w:line="40" w:lineRule="exact"/>
              <w:rPr>
                <w:sz w:val="20"/>
                <w:szCs w:val="20"/>
                <w:color w:val="auto"/>
              </w:rPr>
            </w:pPr>
            <w:r>
              <w:rPr>
                <w:rFonts w:ascii="Arial" w:cs="Arial" w:eastAsia="Arial" w:hAnsi="Arial"/>
                <w:sz w:val="4"/>
                <w:szCs w:val="4"/>
                <w:color w:val="FFFFFF"/>
              </w:rPr>
              <w:t>Restructuring &amp; Impairment Charges</w:t>
            </w: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600" w:type="dxa"/>
            <w:vAlign w:val="bottom"/>
            <w:gridSpan w:val="3"/>
          </w:tcPr>
          <w:p>
            <w:pPr>
              <w:spacing w:after="0" w:line="40" w:lineRule="exact"/>
              <w:rPr>
                <w:sz w:val="20"/>
                <w:szCs w:val="20"/>
                <w:color w:val="auto"/>
              </w:rPr>
            </w:pPr>
            <w:r>
              <w:rPr>
                <w:rFonts w:ascii="Arial" w:cs="Arial" w:eastAsia="Arial" w:hAnsi="Arial"/>
                <w:sz w:val="4"/>
                <w:szCs w:val="4"/>
                <w:color w:val="FFFFFF"/>
              </w:rPr>
              <w:t>4,000 0.15 2,560 0.0942</w:t>
            </w: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420" w:type="dxa"/>
            <w:vAlign w:val="bottom"/>
            <w:gridSpan w:val="4"/>
          </w:tcPr>
          <w:p>
            <w:pPr>
              <w:spacing w:after="0" w:line="40" w:lineRule="exact"/>
              <w:rPr>
                <w:sz w:val="20"/>
                <w:szCs w:val="20"/>
                <w:color w:val="auto"/>
              </w:rPr>
            </w:pPr>
            <w:r>
              <w:rPr>
                <w:rFonts w:ascii="Arial" w:cs="Arial" w:eastAsia="Arial" w:hAnsi="Arial"/>
                <w:sz w:val="4"/>
                <w:szCs w:val="4"/>
                <w:color w:val="FFFFFF"/>
              </w:rPr>
              <w:t>Amortization of intangibles &amp; deferred</w:t>
            </w: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420" w:type="dxa"/>
            <w:vAlign w:val="bottom"/>
            <w:gridSpan w:val="4"/>
          </w:tcPr>
          <w:p>
            <w:pPr>
              <w:spacing w:after="0" w:line="40" w:lineRule="exact"/>
              <w:rPr>
                <w:sz w:val="20"/>
                <w:szCs w:val="20"/>
                <w:color w:val="auto"/>
              </w:rPr>
            </w:pPr>
            <w:r>
              <w:rPr>
                <w:rFonts w:ascii="Arial" w:cs="Arial" w:eastAsia="Arial" w:hAnsi="Arial"/>
                <w:sz w:val="4"/>
                <w:szCs w:val="4"/>
                <w:color w:val="FFFFFF"/>
              </w:rPr>
              <w:t>financing costs 18,441 0.68 18,741 0.6898</w:t>
            </w:r>
          </w:p>
        </w:tc>
        <w:tc>
          <w:tcPr>
            <w:tcW w:w="900" w:type="dxa"/>
            <w:vAlign w:val="bottom"/>
            <w:vMerge w:val="restart"/>
          </w:tcPr>
          <w:p>
            <w:pPr>
              <w:jc w:val="right"/>
              <w:ind w:right="567"/>
              <w:spacing w:after="0" w:line="79" w:lineRule="exact"/>
              <w:rPr>
                <w:sz w:val="20"/>
                <w:szCs w:val="20"/>
                <w:color w:val="auto"/>
              </w:rPr>
            </w:pPr>
            <w:r>
              <w:rPr>
                <w:rFonts w:ascii="Arial" w:cs="Arial" w:eastAsia="Arial" w:hAnsi="Arial"/>
                <w:sz w:val="9"/>
                <w:szCs w:val="9"/>
                <w:color w:val="FFFFFF"/>
              </w:rPr>
              <w:t>$1.80</w:t>
            </w:r>
          </w:p>
        </w:tc>
        <w:tc>
          <w:tcPr>
            <w:tcW w:w="0" w:type="dxa"/>
            <w:vAlign w:val="bottom"/>
          </w:tcPr>
          <w:p>
            <w:pPr>
              <w:spacing w:after="0" w:line="20" w:lineRule="exact"/>
              <w:rPr>
                <w:sz w:val="1"/>
                <w:szCs w:val="1"/>
                <w:color w:val="auto"/>
              </w:rPr>
            </w:pPr>
          </w:p>
        </w:tc>
      </w:tr>
      <w:tr>
        <w:trPr>
          <w:trHeight w:val="39"/>
        </w:trPr>
        <w:tc>
          <w:tcPr>
            <w:tcW w:w="1600" w:type="dxa"/>
            <w:vAlign w:val="bottom"/>
            <w:gridSpan w:val="3"/>
          </w:tcPr>
          <w:p>
            <w:pPr>
              <w:spacing w:after="0" w:line="40" w:lineRule="exact"/>
              <w:rPr>
                <w:sz w:val="20"/>
                <w:szCs w:val="20"/>
                <w:color w:val="auto"/>
              </w:rPr>
            </w:pPr>
            <w:r>
              <w:rPr>
                <w:rFonts w:ascii="Arial" w:cs="Arial" w:eastAsia="Arial" w:hAnsi="Arial"/>
                <w:sz w:val="4"/>
                <w:szCs w:val="4"/>
                <w:color w:val="FFFFFF"/>
              </w:rPr>
              <w:t>Adjusted net income $ 43,441</w:t>
            </w:r>
          </w:p>
        </w:tc>
        <w:tc>
          <w:tcPr>
            <w:tcW w:w="820" w:type="dxa"/>
            <w:vAlign w:val="bottom"/>
          </w:tcPr>
          <w:p>
            <w:pPr>
              <w:jc w:val="right"/>
              <w:spacing w:after="0" w:line="40" w:lineRule="exact"/>
              <w:rPr>
                <w:sz w:val="20"/>
                <w:szCs w:val="20"/>
                <w:color w:val="auto"/>
              </w:rPr>
            </w:pPr>
            <w:r>
              <w:rPr>
                <w:rFonts w:ascii="Arial" w:cs="Arial" w:eastAsia="Arial" w:hAnsi="Arial"/>
                <w:sz w:val="4"/>
                <w:szCs w:val="4"/>
                <w:color w:val="FFFFFF"/>
              </w:rPr>
              <w:t>$1.60 $ 48,906</w:t>
            </w: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420" w:type="dxa"/>
            <w:vAlign w:val="bottom"/>
            <w:gridSpan w:val="4"/>
          </w:tcPr>
          <w:p>
            <w:pPr>
              <w:spacing w:after="0" w:line="40" w:lineRule="exact"/>
              <w:rPr>
                <w:sz w:val="20"/>
                <w:szCs w:val="20"/>
                <w:color w:val="auto"/>
              </w:rPr>
            </w:pPr>
            <w:r>
              <w:rPr>
                <w:rFonts w:ascii="Arial" w:cs="Arial" w:eastAsia="Arial" w:hAnsi="Arial"/>
                <w:sz w:val="4"/>
                <w:szCs w:val="4"/>
                <w:color w:val="FFFFFF"/>
              </w:rPr>
              <w:t>Weighted average diluted shares</w:t>
            </w: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600" w:type="dxa"/>
            <w:vAlign w:val="bottom"/>
            <w:gridSpan w:val="3"/>
          </w:tcPr>
          <w:p>
            <w:pPr>
              <w:spacing w:after="0" w:line="40" w:lineRule="exact"/>
              <w:rPr>
                <w:sz w:val="20"/>
                <w:szCs w:val="20"/>
                <w:color w:val="auto"/>
              </w:rPr>
            </w:pPr>
            <w:r>
              <w:rPr>
                <w:rFonts w:ascii="Arial" w:cs="Arial" w:eastAsia="Arial" w:hAnsi="Arial"/>
                <w:sz w:val="4"/>
                <w:szCs w:val="4"/>
                <w:color w:val="FFFFFF"/>
              </w:rPr>
              <w:t>outstanding 27,170 27,170</w:t>
            </w: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600" w:type="dxa"/>
            <w:vAlign w:val="bottom"/>
            <w:gridSpan w:val="3"/>
          </w:tcPr>
          <w:p>
            <w:pPr>
              <w:spacing w:after="0" w:line="40" w:lineRule="exact"/>
              <w:rPr>
                <w:sz w:val="20"/>
                <w:szCs w:val="20"/>
                <w:color w:val="auto"/>
              </w:rPr>
            </w:pPr>
            <w:r>
              <w:rPr>
                <w:rFonts w:ascii="Arial" w:cs="Arial" w:eastAsia="Arial" w:hAnsi="Arial"/>
                <w:sz w:val="4"/>
                <w:szCs w:val="4"/>
                <w:color w:val="FFFFFF"/>
              </w:rPr>
              <w:t>www.nninc.com</w:t>
            </w: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FFFFFF"/>
              </w:rPr>
              <w:t>21</w:t>
            </w: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FFFFFF"/>
        </w:rPr>
        <w:t>FreeGuidanceCash –FlowFree Cash Flow</w:t>
      </w:r>
    </w:p>
    <w:p>
      <w:pPr>
        <w:spacing w:after="0" w:line="204" w:lineRule="auto"/>
        <w:rPr>
          <w:sz w:val="20"/>
          <w:szCs w:val="20"/>
          <w:color w:val="auto"/>
        </w:rPr>
      </w:pPr>
      <w:r>
        <w:rPr>
          <w:rFonts w:ascii="Arial" w:cs="Arial" w:eastAsia="Arial" w:hAnsi="Arial"/>
          <w:sz w:val="4"/>
          <w:szCs w:val="4"/>
          <w:color w:val="FFFFFF"/>
        </w:rPr>
        <w:t>2016NN,Inc—Total Company Year Ending December 31,</w:t>
      </w:r>
    </w:p>
    <w:p>
      <w:pPr>
        <w:spacing w:after="0" w:line="182" w:lineRule="auto"/>
        <w:rPr>
          <w:sz w:val="20"/>
          <w:szCs w:val="20"/>
          <w:color w:val="auto"/>
        </w:rPr>
      </w:pPr>
      <w:r>
        <w:rPr>
          <w:rFonts w:ascii="Arial" w:cs="Arial" w:eastAsia="Arial" w:hAnsi="Arial"/>
          <w:sz w:val="9"/>
          <w:szCs w:val="9"/>
          <w:color w:val="FFFFFF"/>
        </w:rPr>
        <w:t>Low High</w:t>
      </w:r>
    </w:p>
    <w:p>
      <w:pPr>
        <w:spacing w:after="0" w:line="182" w:lineRule="auto"/>
        <w:rPr>
          <w:sz w:val="20"/>
          <w:szCs w:val="20"/>
          <w:color w:val="auto"/>
        </w:rPr>
      </w:pPr>
      <w:r>
        <w:rPr>
          <w:rFonts w:ascii="Arial" w:cs="Arial" w:eastAsia="Arial" w:hAnsi="Arial"/>
          <w:sz w:val="9"/>
          <w:szCs w:val="9"/>
          <w:color w:val="FFFFFF"/>
        </w:rPr>
        <w:t>CAPEX(40,000)(50,000)EBITDA$162,500$175,000</w:t>
      </w:r>
    </w:p>
    <w:p>
      <w:pPr>
        <w:spacing w:after="0" w:line="206" w:lineRule="auto"/>
        <w:rPr>
          <w:sz w:val="20"/>
          <w:szCs w:val="20"/>
          <w:color w:val="auto"/>
        </w:rPr>
      </w:pPr>
      <w:r>
        <w:rPr>
          <w:rFonts w:ascii="Arial" w:cs="Arial" w:eastAsia="Arial" w:hAnsi="Arial"/>
          <w:sz w:val="4"/>
          <w:szCs w:val="4"/>
          <w:color w:val="FFFFFF"/>
        </w:rPr>
        <w:t>Dividends(6,072)(6,072)InterestExpense*(62,000)(60,000)</w:t>
      </w:r>
    </w:p>
    <w:p>
      <w:pPr>
        <w:spacing w:after="0"/>
        <w:rPr>
          <w:sz w:val="20"/>
          <w:szCs w:val="20"/>
          <w:color w:val="auto"/>
        </w:rPr>
      </w:pPr>
      <w:r>
        <w:rPr>
          <w:rFonts w:ascii="Arial" w:cs="Arial" w:eastAsia="Arial" w:hAnsi="Arial"/>
          <w:sz w:val="10"/>
          <w:szCs w:val="10"/>
          <w:color w:val="FFFFFF"/>
        </w:rPr>
        <w:t>IncomeWorkingTaxCapitalExpense(6,000)(6,444)1,5727,516</w:t>
      </w:r>
    </w:p>
    <w:p>
      <w:pPr>
        <w:spacing w:after="0" w:line="188" w:lineRule="auto"/>
        <w:rPr>
          <w:sz w:val="20"/>
          <w:szCs w:val="20"/>
          <w:color w:val="auto"/>
        </w:rPr>
      </w:pPr>
      <w:r>
        <w:rPr>
          <w:rFonts w:ascii="Arial" w:cs="Arial" w:eastAsia="Arial" w:hAnsi="Arial"/>
          <w:sz w:val="9"/>
          <w:szCs w:val="9"/>
          <w:color w:val="FFFFFF"/>
        </w:rPr>
        <w:t>*ExcludesFreeCash Flow+deferred$50,000financing$60,000cost</w:t>
      </w:r>
    </w:p>
    <w:p>
      <w:pPr>
        <w:spacing w:after="0" w:line="206" w:lineRule="auto"/>
        <w:rPr>
          <w:sz w:val="20"/>
          <w:szCs w:val="20"/>
          <w:color w:val="auto"/>
        </w:rPr>
      </w:pPr>
      <w:r>
        <w:rPr>
          <w:rFonts w:ascii="Arial" w:cs="Arial" w:eastAsia="Arial" w:hAnsi="Arial"/>
          <w:sz w:val="4"/>
          <w:szCs w:val="4"/>
          <w:color w:val="FFFFFF"/>
        </w:rPr>
        <w:t>www.nninc.com+Freecashflow available for debt repayment</w:t>
      </w:r>
    </w:p>
    <w:p>
      <w:pPr>
        <w:spacing w:after="0"/>
        <w:rPr>
          <w:sz w:val="20"/>
          <w:szCs w:val="20"/>
          <w:color w:val="auto"/>
        </w:rPr>
      </w:pPr>
      <w:r>
        <w:rPr>
          <w:rFonts w:ascii="Arial" w:cs="Arial" w:eastAsia="Arial" w:hAnsi="Arial"/>
          <w:sz w:val="13"/>
          <w:szCs w:val="13"/>
          <w:color w:val="FFFFFF"/>
        </w:rPr>
        <w:t>22</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4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2019-12-06T04:23:17Z</dcterms:created>
  <dcterms:modified xsi:type="dcterms:W3CDTF">2019-12-06T04:23:17Z</dcterms:modified>
</cp:coreProperties>
</file>