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August 23, 2017 (August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444500</wp:posOffset>
            </wp:positionV>
            <wp:extent cx="840740"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074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98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194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7680" w:space="720"/>
            <w:col w:w="2960"/>
          </w:cols>
          <w:pgMar w:left="240" w:top="368" w:right="29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580" w:space="720"/>
            <w:col w:w="3060"/>
          </w:cols>
          <w:pgMar w:left="240" w:top="368" w:right="299" w:bottom="1440" w:gutter="0" w:footer="0" w:header="0"/>
          <w:type w:val="continuous"/>
        </w:sectPr>
      </w:pP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 Completion of Acquisition or Disposition of Assets.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August 17, 2017, pursuant to the previously disclosed Purchase Agreement, dated as of July 10, 2017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between NN,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T</w:t>
      </w:r>
      <w:r>
        <w:rPr>
          <w:rFonts w:ascii="Arial" w:cs="Arial" w:eastAsia="Arial" w:hAnsi="Arial"/>
          <w:sz w:val="13"/>
          <w:szCs w:val="13"/>
          <w:color w:val="auto"/>
        </w:rPr>
        <w:t>SUBAKI</w:t>
      </w:r>
      <w:r>
        <w:rPr>
          <w:rFonts w:ascii="Arial" w:cs="Arial" w:eastAsia="Arial" w:hAnsi="Arial"/>
          <w:sz w:val="16"/>
          <w:szCs w:val="16"/>
          <w:color w:val="auto"/>
        </w:rPr>
        <w:t xml:space="preserve"> N</w:t>
      </w:r>
      <w:r>
        <w:rPr>
          <w:rFonts w:ascii="Arial" w:cs="Arial" w:eastAsia="Arial" w:hAnsi="Arial"/>
          <w:sz w:val="13"/>
          <w:szCs w:val="13"/>
          <w:color w:val="auto"/>
        </w:rPr>
        <w:t>AKASHIMA</w:t>
      </w:r>
      <w:r>
        <w:rPr>
          <w:rFonts w:ascii="Arial" w:cs="Arial" w:eastAsia="Arial" w:hAnsi="Arial"/>
          <w:sz w:val="16"/>
          <w:szCs w:val="16"/>
          <w:color w:val="auto"/>
        </w:rPr>
        <w:t xml:space="preserve"> Co., Ltd., a Japanese joint stock company (the “</w:t>
      </w:r>
      <w:r>
        <w:rPr>
          <w:rFonts w:ascii="Arial" w:cs="Arial" w:eastAsia="Arial" w:hAnsi="Arial"/>
          <w:sz w:val="16"/>
          <w:szCs w:val="16"/>
          <w:u w:val="single" w:color="auto"/>
          <w:color w:val="auto"/>
        </w:rPr>
        <w:t>Purchaser</w:t>
      </w:r>
      <w:r>
        <w:rPr>
          <w:rFonts w:ascii="Arial" w:cs="Arial" w:eastAsia="Arial" w:hAnsi="Arial"/>
          <w:sz w:val="16"/>
          <w:szCs w:val="16"/>
          <w:color w:val="auto"/>
        </w:rPr>
        <w:t>”), the Company completed its sale of the Company’s global precision bearing components business (the “</w:t>
      </w:r>
      <w:r>
        <w:rPr>
          <w:rFonts w:ascii="Arial" w:cs="Arial" w:eastAsia="Arial" w:hAnsi="Arial"/>
          <w:sz w:val="16"/>
          <w:szCs w:val="16"/>
          <w:u w:val="single" w:color="auto"/>
          <w:color w:val="auto"/>
        </w:rPr>
        <w:t>PBC Business</w:t>
      </w:r>
      <w:r>
        <w:rPr>
          <w:rFonts w:ascii="Arial" w:cs="Arial" w:eastAsia="Arial" w:hAnsi="Arial"/>
          <w:sz w:val="16"/>
          <w:szCs w:val="16"/>
          <w:color w:val="auto"/>
        </w:rPr>
        <w:t>”). Pursuant to the terms of the Purchase Agreement, the Purchase Price (as defined in the Purchase Agreement) for the PBC Business was approximately $387.6 million, which was paid by the Purchaser in cash.</w:t>
      </w:r>
    </w:p>
    <w:p>
      <w:pPr>
        <w:spacing w:after="0" w:line="15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foregoing description of the Purchase Agreement and the transactions contemplated thereby are subject to, and qualified in their entirety by, the Purchase Agreement, which was attached as Exhibit 2.1 to the Current Report on Form 8-K filed by the Company on July 10, 2017 with the Securities and Exchange Commission and is incorporated herein by reference.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unaudited pro forma condensed consolidated financial information of the Company giving effect to the sale of the PBC Business is attached as Exhibit 99.1 to this Current Report on Form 8-K and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August 17, 2017, the Company issued a press release announcing the completion of the transaction contemplated by the Purchase Agreement. A copy of the press release is furnished as Exhibit 99.2 to this Current Report on Form 8-K.</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including the press release attached hereto, furnished under this Item 7.01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unaudited pro forma condensed consolidated financial statements of the Company giving effect to the sale of the PBC Business are attached as Exhibit 99.1 to this Current Report on Form 8-K and incorporated herein by reference. The attachments include an unaudited pro forma condensed consolidated balance sheet of the Company as of June 30, 2017, an unaudited pro forma condensed consolidated statement of operations of the Company for the six months ended June 30, 2017 and unaudited pro forma condensed consolidated statements of operations of the Company for each of the fiscal years ended December 31, 2016, 2015 and 2014, and present the Company’s financial condition and results of operations as if the sale of the PBC Business had occurred on June 30, 2017 for the unaudited pro forma condensed consolidated balance sheet and on January 1, 2014 for the unaudited pro forma condensed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5720" w:type="dxa"/>
            <w:vAlign w:val="bottom"/>
            <w:gridSpan w:val="2"/>
          </w:tcPr>
          <w:p>
            <w:pPr>
              <w:ind w:left="400"/>
              <w:spacing w:after="0"/>
              <w:rPr>
                <w:sz w:val="20"/>
                <w:szCs w:val="20"/>
                <w:color w:val="auto"/>
              </w:rPr>
            </w:pPr>
            <w:r>
              <w:rPr>
                <w:rFonts w:ascii="Arial" w:cs="Arial" w:eastAsia="Arial" w:hAnsi="Arial"/>
                <w:sz w:val="18"/>
                <w:szCs w:val="18"/>
                <w:color w:val="auto"/>
                <w:w w:val="96"/>
              </w:rPr>
              <w:t>Unaudited Pro Forma Condensed Consolidated Financial Information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5720" w:type="dxa"/>
            <w:vAlign w:val="bottom"/>
            <w:gridSpan w:val="2"/>
          </w:tcPr>
          <w:p>
            <w:pPr>
              <w:ind w:left="400"/>
              <w:spacing w:after="0"/>
              <w:rPr>
                <w:sz w:val="20"/>
                <w:szCs w:val="20"/>
                <w:color w:val="auto"/>
              </w:rPr>
            </w:pPr>
            <w:r>
              <w:rPr>
                <w:rFonts w:ascii="Arial" w:cs="Arial" w:eastAsia="Arial" w:hAnsi="Arial"/>
                <w:sz w:val="18"/>
                <w:szCs w:val="18"/>
                <w:color w:val="auto"/>
              </w:rPr>
              <w:t>Press Release issued by NN, Inc., dated August 17, 2017</w:t>
            </w:r>
          </w:p>
        </w:tc>
      </w:tr>
      <w:tr>
        <w:trPr>
          <w:trHeight w:val="365"/>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4"/>
                <w:szCs w:val="24"/>
                <w:color w:val="auto"/>
              </w:rPr>
            </w:pPr>
          </w:p>
        </w:tc>
      </w:tr>
    </w:tbl>
    <w:p>
      <w:pPr>
        <w:sectPr>
          <w:pgSz w:w="11900" w:h="16838" w:orient="portrait"/>
          <w:cols w:equalWidth="0" w:num="1">
            <w:col w:w="11280"/>
          </w:cols>
          <w:pgMar w:left="240" w:top="27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12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August 23, 2017</w:t>
            </w:r>
          </w:p>
        </w:tc>
        <w:tc>
          <w:tcPr>
            <w:tcW w:w="7640" w:type="dxa"/>
            <w:vAlign w:val="bottom"/>
            <w:gridSpan w:val="2"/>
          </w:tcPr>
          <w:p>
            <w:pPr>
              <w:ind w:left="2120"/>
              <w:spacing w:after="0"/>
              <w:rPr>
                <w:sz w:val="20"/>
                <w:szCs w:val="20"/>
                <w:color w:val="auto"/>
              </w:rPr>
            </w:pPr>
            <w:r>
              <w:rPr>
                <w:rFonts w:ascii="Arial" w:cs="Arial" w:eastAsia="Arial" w:hAnsi="Arial"/>
                <w:sz w:val="18"/>
                <w:szCs w:val="18"/>
                <w:color w:val="auto"/>
              </w:rPr>
              <w:t>By: /s/ Matthew S. Heiter</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2"/>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5720" w:type="dxa"/>
            <w:vAlign w:val="bottom"/>
            <w:gridSpan w:val="2"/>
          </w:tcPr>
          <w:p>
            <w:pPr>
              <w:ind w:left="400"/>
              <w:spacing w:after="0"/>
              <w:rPr>
                <w:sz w:val="20"/>
                <w:szCs w:val="20"/>
                <w:color w:val="auto"/>
              </w:rPr>
            </w:pPr>
            <w:r>
              <w:rPr>
                <w:rFonts w:ascii="Arial" w:cs="Arial" w:eastAsia="Arial" w:hAnsi="Arial"/>
                <w:sz w:val="18"/>
                <w:szCs w:val="18"/>
                <w:color w:val="auto"/>
                <w:w w:val="96"/>
              </w:rPr>
              <w:t>Unaudited Pro Forma Condensed Consolidated Financial Information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5720" w:type="dxa"/>
            <w:vAlign w:val="bottom"/>
            <w:gridSpan w:val="2"/>
          </w:tcPr>
          <w:p>
            <w:pPr>
              <w:ind w:left="400"/>
              <w:spacing w:after="0"/>
              <w:rPr>
                <w:sz w:val="20"/>
                <w:szCs w:val="20"/>
                <w:color w:val="auto"/>
              </w:rPr>
            </w:pPr>
            <w:r>
              <w:rPr>
                <w:rFonts w:ascii="Arial" w:cs="Arial" w:eastAsia="Arial" w:hAnsi="Arial"/>
                <w:sz w:val="18"/>
                <w:szCs w:val="18"/>
                <w:color w:val="auto"/>
              </w:rPr>
              <w:t>Press Release issued by NN, Inc., dated August 17, 2017</w:t>
            </w: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10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 August 17, 2017, NN, Inc. (the “Company”) completed the sale of its global precision bearing components business (the “PBC Business”) to T</w:t>
      </w:r>
      <w:r>
        <w:rPr>
          <w:rFonts w:ascii="Arial" w:cs="Arial" w:eastAsia="Arial" w:hAnsi="Arial"/>
          <w:sz w:val="15"/>
          <w:szCs w:val="15"/>
          <w:color w:val="auto"/>
        </w:rPr>
        <w:t>SUBAKI</w:t>
      </w:r>
      <w:r>
        <w:rPr>
          <w:rFonts w:ascii="Arial" w:cs="Arial" w:eastAsia="Arial" w:hAnsi="Arial"/>
          <w:sz w:val="18"/>
          <w:szCs w:val="18"/>
          <w:color w:val="auto"/>
        </w:rPr>
        <w:t xml:space="preserve"> N</w:t>
      </w:r>
      <w:r>
        <w:rPr>
          <w:rFonts w:ascii="Arial" w:cs="Arial" w:eastAsia="Arial" w:hAnsi="Arial"/>
          <w:sz w:val="15"/>
          <w:szCs w:val="15"/>
          <w:color w:val="auto"/>
        </w:rPr>
        <w:t>AKASHIMA</w:t>
      </w:r>
      <w:r>
        <w:rPr>
          <w:rFonts w:ascii="Arial" w:cs="Arial" w:eastAsia="Arial" w:hAnsi="Arial"/>
          <w:sz w:val="18"/>
          <w:szCs w:val="18"/>
          <w:color w:val="auto"/>
        </w:rPr>
        <w:t xml:space="preserve"> Co., Ltd. for total cash consideration of approximately $387.6 million.</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unaudited pro forma condensed consolidated balance sheet and the unaudited pro forma condensed consolidated statements of operations are derived from, and should be read in conjunction with, the historical financial statements and notes thereto of the Company, as presented in its Annual Report on Form 10-K for the year ended December 31, 2016 filed with the Securities and Exchange Commission (“SEC”) on March 16, 2017, and its Quarterly Report on Form 10-Q for the quarter ended June 30, 2017 filed with the SEC on August 14, 2017.</w:t>
      </w:r>
    </w:p>
    <w:p>
      <w:pPr>
        <w:spacing w:after="0" w:line="1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In connection with the preparation of Condensed Consolidated Financial Statements as of and for the three and six months ended June 30, 2017, the Company identified misstatements in its previously issued financial statements related to the foreign currency translation of its investment in a China joint venture. In addition, the Company previously corrected as out of period adjustments certain immaterial misstatements and reflected them in the prior period financial statements, where applicable. The Company assessed the materiality of the misstatements on prior periods’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ASC Topic 250,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(“ASC 250”) and concluded that the misstatements were not material to any prior annual or interim periods. In accordance with ASC 250 (SAB Topic 1.N, </w:t>
      </w:r>
      <w:r>
        <w:rPr>
          <w:rFonts w:ascii="Arial" w:cs="Arial" w:eastAsia="Arial" w:hAnsi="Arial"/>
          <w:sz w:val="17"/>
          <w:szCs w:val="17"/>
          <w:i w:val="1"/>
          <w:iCs w:val="1"/>
          <w:color w:val="auto"/>
        </w:rPr>
        <w:t>Considering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Prior Year Misstatements when Quantifying Misstatements in Current Year Financial Statements</w:t>
      </w:r>
      <w:r>
        <w:rPr>
          <w:rFonts w:ascii="Arial" w:cs="Arial" w:eastAsia="Arial" w:hAnsi="Arial"/>
          <w:sz w:val="17"/>
          <w:szCs w:val="17"/>
          <w:color w:val="auto"/>
        </w:rPr>
        <w:t>), the Company has corrected these misstatements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revising the consolidated historical columns in the Unaudited Pro Forma Condensed Consolidated Statements of Operations for the years ended December 31, 2016 and 2015, included herein. See Note 14 as presented in the Quarterly Report on Form 10-Q for the quarter ended June 30, 2017 filed with the SEC on August 14, 2017 for additional information.</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unaudited pro forma condensed consolidated financial statements have been prepared giving effect to the sale of the Company’s PBC Business (the “Transaction”) as if the Transaction had occurred on June 30, 2017 for the unaudited pro forma condensed consolidated balance sheet and on January 1, 2014 for the unaudited pro forma condensed consolidated statements of operations. The unaudited pro forma condensed consolidated financial statements have been prepared giving effect to the pro forma assumption that the Company would have repaid a portion of its credit facilities with proceeds from the Transaction as if the repayment of credit facilities had occurred on June 30, 2017 for the unaudited pro forma condensed consolidated balance sheet and on January 1, 2016 for the unaudited pro forma condensed consolidated statements of operations.</w:t>
      </w:r>
    </w:p>
    <w:p>
      <w:pPr>
        <w:spacing w:after="0" w:line="200" w:lineRule="exact"/>
        <w:rPr>
          <w:sz w:val="20"/>
          <w:szCs w:val="20"/>
          <w:color w:val="auto"/>
        </w:rPr>
      </w:pPr>
    </w:p>
    <w:p>
      <w:pPr>
        <w:spacing w:after="0" w:line="222"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unaudited pro forma condensed consolidated financial statements are prepared in accordance with Article 11 of Regulation S-X. The pro forma adjustments are described in the accompanying notes and are based upon information and assumptions available at the time of the filing of this Current Report on Form 8-K.</w:t>
      </w:r>
    </w:p>
    <w:p>
      <w:pPr>
        <w:spacing w:after="0" w:line="18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unaudited pro forma condensed consolidated financial statements do not purport to represent, and are not necessarily indicative of, what the Company’s actual financial position and results of operations would have been had the transaction occurred on the dates indicated. In addition, these unaudited pro forma condensed consolidated financial statements should not be considered to be indicative of the Company’s future financial performance.</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unaudited pro forma condensed consolidated financial information includes information, statements, and assumptions that are or may be considered “forward-looking” within the meaning of the Private Securities Litigation Reform Act of 1995. These forward-looking statements generally can be identified by the use of words such as “may,” “should,” “will,” “expect,” “anticipate,” “continue,” “estimate,” “project,” “believe,” “plan” or similar expressions. Statements that describe objectives, plans, or goals also are forward-looking statements. These forward-looking statements involve risks and uncertainties, and actual results may differ materially from those contemplated by the forward-looking statements due to, among others, the risks and uncertainties described under the heading “Risk Factors” in the Company’s Annual Report on Form 10-K for the fiscal year ended December 31, 2016. For any forward-looking statements contained herein, the Company claims the protection of the safe harbor for forward-looking statements contained in the Private Securities Litigation Reform Act of 1995, and the Company undertakes no obligation to update publicly or revise any forward-looking statements in light of new information or future events, except as required by law.</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PBC</w:t>
            </w:r>
          </w:p>
        </w:tc>
        <w:tc>
          <w:tcPr>
            <w:tcW w:w="12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4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NN, Inc.</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3"/>
              </w:rPr>
              <w:t>Business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72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(12,091)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162,363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(53,369)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108,994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(51,559)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72,143</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23"/>
        </w:trPr>
        <w:tc>
          <w:tcPr>
            <w:tcW w:w="628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(121,312)</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238,524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452,282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443,200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242,581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39,853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23"/>
        </w:trPr>
        <w:tc>
          <w:tcPr>
            <w:tcW w:w="628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1,405,816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(226,858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1,178,958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45,506</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23,941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(9,129)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14,812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70,755</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70,755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24,748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obligation under capital lease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(44,276)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70,755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173,542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99,333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(5,490)</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93,843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(367,676)</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459,714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Accrued post-employment benefits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1,094,003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(302,411)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738,880</w:t>
            </w:r>
          </w:p>
        </w:tc>
        <w:tc>
          <w:tcPr>
            <w:tcW w:w="0" w:type="dxa"/>
            <w:vAlign w:val="bottom"/>
          </w:tcPr>
          <w:p>
            <w:pPr>
              <w:spacing w:after="0"/>
              <w:rPr>
                <w:sz w:val="1"/>
                <w:szCs w:val="1"/>
                <w:color w:val="auto"/>
              </w:rPr>
            </w:pPr>
          </w:p>
        </w:tc>
      </w:tr>
      <w:tr>
        <w:trPr>
          <w:trHeight w:val="230"/>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(174,146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302,411</w:t>
            </w:r>
          </w:p>
        </w:tc>
        <w:tc>
          <w:tcPr>
            <w:tcW w:w="40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(d)</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1,405,816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(226,858)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1,178,958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Consolidated Financial Information.</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4"/>
                <w:szCs w:val="1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PBC</w:t>
            </w:r>
          </w:p>
        </w:tc>
        <w:tc>
          <w:tcPr>
            <w:tcW w:w="120" w:type="dxa"/>
            <w:vAlign w:val="bottom"/>
          </w:tcPr>
          <w:p>
            <w:pPr>
              <w:spacing w:after="0"/>
              <w:rPr>
                <w:sz w:val="14"/>
                <w:szCs w:val="14"/>
                <w:color w:val="auto"/>
              </w:rPr>
            </w:pP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Notes   Pro Forma</w:t>
            </w:r>
          </w:p>
        </w:tc>
        <w:tc>
          <w:tcPr>
            <w:tcW w:w="0" w:type="dxa"/>
            <w:vAlign w:val="bottom"/>
          </w:tcPr>
          <w:p>
            <w:pPr>
              <w:spacing w:after="0"/>
              <w:rPr>
                <w:sz w:val="1"/>
                <w:szCs w:val="1"/>
                <w:color w:val="auto"/>
              </w:rPr>
            </w:pPr>
          </w:p>
        </w:tc>
      </w:tr>
      <w:tr>
        <w:trPr>
          <w:trHeight w:val="178"/>
        </w:trPr>
        <w:tc>
          <w:tcPr>
            <w:tcW w:w="6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NN, Inc.</w:t>
            </w:r>
          </w:p>
        </w:tc>
        <w:tc>
          <w:tcPr>
            <w:tcW w:w="100" w:type="dxa"/>
            <w:vAlign w:val="bottom"/>
          </w:tcPr>
          <w:p>
            <w:pPr>
              <w:spacing w:after="0"/>
              <w:rPr>
                <w:sz w:val="15"/>
                <w:szCs w:val="15"/>
                <w:color w:val="auto"/>
              </w:rPr>
            </w:pPr>
          </w:p>
        </w:tc>
        <w:tc>
          <w:tcPr>
            <w:tcW w:w="84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5"/>
                <w:szCs w:val="15"/>
                <w:color w:val="auto"/>
              </w:rPr>
            </w:pPr>
          </w:p>
        </w:tc>
        <w:tc>
          <w:tcPr>
            <w:tcW w:w="11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3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4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452,189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(136,687)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315,502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w w:val="92"/>
              </w:rPr>
              <w:t>Cost of products sold (exclusive of depreciation and amortization shown separately below)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332,994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(104,484)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(16,752)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(12,880)</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39,639</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(39,639)</w:t>
            </w: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(g)</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6660" w:type="dxa"/>
            <w:vAlign w:val="bottom"/>
            <w:gridSpan w:val="3"/>
          </w:tcPr>
          <w:p>
            <w:pPr>
              <w:spacing w:after="0"/>
              <w:rPr>
                <w:sz w:val="20"/>
                <w:szCs w:val="20"/>
                <w:color w:val="auto"/>
              </w:rPr>
            </w:pPr>
            <w:r>
              <w:rPr>
                <w:rFonts w:ascii="Arial" w:cs="Arial" w:eastAsia="Arial" w:hAnsi="Arial"/>
                <w:sz w:val="18"/>
                <w:szCs w:val="18"/>
                <w:color w:val="auto"/>
                <w:w w:val="96"/>
              </w:rPr>
              <w:t>Income (loss) before provision (benefit) for income taxes and share of net income from</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tcPr>
          <w:p>
            <w:pPr>
              <w:ind w:left="160"/>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(24,187)</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52,812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17,956</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34,856</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Net income (loss) per share</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27,358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Consolidated Financial Information.</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PBC</w:t>
            </w: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NN, Inc.</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6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As Revised</w:t>
            </w:r>
          </w:p>
        </w:tc>
        <w:tc>
          <w:tcPr>
            <w:tcW w:w="80" w:type="dxa"/>
            <w:vAlign w:val="bottom"/>
          </w:tcPr>
          <w:p>
            <w:pPr>
              <w:spacing w:after="0"/>
              <w:rPr>
                <w:sz w:val="15"/>
                <w:szCs w:val="15"/>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6"/>
              </w:rPr>
              <w:t>Business</w:t>
            </w: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60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4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833,488</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(248,534)</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584,954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gridSpan w:val="2"/>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621,022</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(193,022)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80,231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(16,485)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59,435</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(22,985)</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63,154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(30,999)</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62,498</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09"/>
        </w:trPr>
        <w:tc>
          <w:tcPr>
            <w:tcW w:w="6520" w:type="dxa"/>
            <w:vAlign w:val="bottom"/>
            <w:gridSpan w:val="3"/>
          </w:tcPr>
          <w:p>
            <w:pPr>
              <w:spacing w:after="0"/>
              <w:rPr>
                <w:sz w:val="20"/>
                <w:szCs w:val="20"/>
                <w:color w:val="auto"/>
              </w:rPr>
            </w:pPr>
            <w:r>
              <w:rPr>
                <w:rFonts w:ascii="Arial" w:cs="Arial" w:eastAsia="Arial" w:hAnsi="Arial"/>
                <w:sz w:val="18"/>
                <w:szCs w:val="18"/>
                <w:color w:val="auto"/>
                <w:w w:val="94"/>
              </w:rPr>
              <w:t>Income (loss) before provision (benefit) for income taxes and share of net income from</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(6,774)</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(23,177)</w:t>
            </w: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(31,499)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(10,709)</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5,938</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(20,790)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(28,790)</w:t>
            </w: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Net income (loss) per share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27,154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Consolidated Financial Information.</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PBC</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NN, Inc.</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62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90"/>
              </w:rPr>
              <w:t>As Revised</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5"/>
                <w:szCs w:val="15"/>
                <w:color w:val="auto"/>
              </w:rPr>
            </w:pPr>
          </w:p>
        </w:tc>
        <w:tc>
          <w:tcPr>
            <w:tcW w:w="8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3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4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667,280</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(261,837)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405,443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spacing w:after="0" w:line="201" w:lineRule="exact"/>
              <w:rPr>
                <w:sz w:val="20"/>
                <w:szCs w:val="20"/>
                <w:color w:val="auto"/>
              </w:rPr>
            </w:pPr>
            <w:r>
              <w:rPr>
                <w:rFonts w:ascii="Arial" w:cs="Arial" w:eastAsia="Arial" w:hAnsi="Arial"/>
                <w:sz w:val="18"/>
                <w:szCs w:val="18"/>
                <w:color w:val="auto"/>
                <w:w w:val="93"/>
              </w:rPr>
              <w:t>Cost of products sold (exclusive of depreciation and amortization shown separately</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525,993</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(205,362)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51,780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11,682</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44,482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(11,496)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26,762</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(26,310)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29,899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w w:val="96"/>
              </w:rPr>
              <w:t>Loss on extinguishment of debt and write-off of unamortized debt issuance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19,173</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9"/>
        </w:trPr>
        <w:tc>
          <w:tcPr>
            <w:tcW w:w="6220" w:type="dxa"/>
            <w:vAlign w:val="bottom"/>
            <w:gridSpan w:val="3"/>
          </w:tcPr>
          <w:p>
            <w:pPr>
              <w:spacing w:after="0"/>
              <w:rPr>
                <w:sz w:val="20"/>
                <w:szCs w:val="20"/>
                <w:color w:val="auto"/>
              </w:rPr>
            </w:pPr>
            <w:r>
              <w:rPr>
                <w:rFonts w:ascii="Arial" w:cs="Arial" w:eastAsia="Arial" w:hAnsi="Arial"/>
                <w:sz w:val="18"/>
                <w:szCs w:val="18"/>
                <w:color w:val="auto"/>
                <w:w w:val="95"/>
              </w:rPr>
              <w:t>Income (loss) before provision (benefit) for income taxes and share of net income</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from joint venture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(23,485)</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(25,339)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(23,510)</w:t>
            </w: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Net income (loss)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21,181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Consolidated Financial Information.</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10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PBC</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64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NN, Inc.</w:t>
            </w:r>
          </w:p>
        </w:tc>
        <w:tc>
          <w:tcPr>
            <w:tcW w:w="80" w:type="dxa"/>
            <w:vAlign w:val="bottom"/>
          </w:tcPr>
          <w:p>
            <w:pPr>
              <w:spacing w:after="0"/>
              <w:rPr>
                <w:sz w:val="15"/>
                <w:szCs w:val="15"/>
                <w:color w:val="auto"/>
              </w:rPr>
            </w:pPr>
          </w:p>
        </w:tc>
        <w:tc>
          <w:tcPr>
            <w:tcW w:w="10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3"/>
              </w:rPr>
              <w:t>Business</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0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4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488,601</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(278,026)</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210,575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w w:val="96"/>
              </w:rPr>
              <w:t>Cost of products sold (exclusive of depreciation and amortization shown separately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384,889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(215,875)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43,756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9,248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22,146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(31,872)</w:t>
            </w: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10,895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w w:val="99"/>
              </w:rPr>
              <w:t>Loss on extinguishment of debt and write-off of unamortized debt issuance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9"/>
        </w:trPr>
        <w:tc>
          <w:tcPr>
            <w:tcW w:w="6400" w:type="dxa"/>
            <w:vAlign w:val="bottom"/>
            <w:gridSpan w:val="3"/>
          </w:tcPr>
          <w:p>
            <w:pPr>
              <w:spacing w:after="0"/>
              <w:rPr>
                <w:sz w:val="20"/>
                <w:szCs w:val="20"/>
                <w:color w:val="auto"/>
              </w:rPr>
            </w:pPr>
            <w:r>
              <w:rPr>
                <w:rFonts w:ascii="Arial" w:cs="Arial" w:eastAsia="Arial" w:hAnsi="Arial"/>
                <w:sz w:val="18"/>
                <w:szCs w:val="18"/>
                <w:color w:val="auto"/>
                <w:w w:val="98"/>
              </w:rPr>
              <w:t>Income (loss) before provision (benefit) for income taxes and share of net income</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from joint venture</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13,172</w:t>
            </w: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(30,978)</w:t>
            </w:r>
          </w:p>
        </w:tc>
        <w:tc>
          <w:tcPr>
            <w:tcW w:w="280" w:type="dxa"/>
            <w:vAlign w:val="bottom"/>
          </w:tcPr>
          <w:p>
            <w:pPr>
              <w:spacing w:after="0"/>
              <w:rPr>
                <w:sz w:val="20"/>
                <w:szCs w:val="20"/>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(20,445)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(12,228)</w:t>
            </w:r>
          </w:p>
        </w:tc>
        <w:tc>
          <w:tcPr>
            <w:tcW w:w="0" w:type="dxa"/>
            <w:vAlign w:val="bottom"/>
          </w:tcPr>
          <w:p>
            <w:pPr>
              <w:spacing w:after="0"/>
              <w:rPr>
                <w:sz w:val="1"/>
                <w:szCs w:val="1"/>
                <w:color w:val="auto"/>
              </w:rPr>
            </w:pPr>
          </w:p>
        </w:tc>
      </w:tr>
      <w:tr>
        <w:trPr>
          <w:trHeight w:val="223"/>
        </w:trPr>
        <w:tc>
          <w:tcPr>
            <w:tcW w:w="640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Net income (loss)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18,253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(366)</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Unaudited Pro Forma Condensed Consolidated Financial Information.</w:t>
      </w:r>
    </w:p>
    <w:p>
      <w:pPr>
        <w:sectPr>
          <w:pgSz w:w="11900" w:h="16838" w:orient="portrait"/>
          <w:cols w:equalWidth="0" w:num="1">
            <w:col w:w="11420"/>
          </w:cols>
          <w:pgMar w:left="240" w:top="270"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CONSOLIDATED FINANCIAL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historical consolidated financial statements have been adjusted in the pro forma condensed consolidated financial statements to give effect to pro forma events that are (1) directly attributable to the Transaction, (2) factually supportable and (3) with respect to the pro forma condensed consolidated statements of operations, expected to have a continuing impact on the Company.</w:t>
      </w:r>
    </w:p>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pro forma condensed consolidated financial statements do not necessarily reflect what the consolidated Company’s financial condition or results of operations would have been had the Transaction occurred on the dates indicated. They also may not be useful in predicting the future financial condition and results of operations of the Company. The actual financial position and results of operations may differ significantly from the pro forma amounts reflected herein due to a variety of factors.</w:t>
      </w:r>
    </w:p>
    <w:p>
      <w:pPr>
        <w:spacing w:after="0" w:line="7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The condensed consolidated pro forma financial information does not reflect the realization of any expected cost savings from the sale of the PBC Business.</w:t>
      </w:r>
    </w:p>
    <w:p>
      <w:pPr>
        <w:spacing w:after="0" w:line="62"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disclosed in the Company’s Quarterly Report on Form 10-Q for the quarter ended June 30, 2017 (the “10-Q”), the Company corrected misstatements for prior periods by revising the condensed consolidated financial statements and other financial information included in the 10-Q. The accompanying pro forma condensed consolidated financial statements reflect the effect of the revision.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Disposition of Precision Bearing Components Business</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estimated net proceeds and gain on the sale of the PBC Business, based on the historical book balances of the PBC Business as of June 30, 2017, are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$ 387,630</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assets sold</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(174,146)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(5,675)</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Pre-tax estimated gain on sale</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207,809</w:t>
            </w:r>
          </w:p>
        </w:tc>
        <w:tc>
          <w:tcPr>
            <w:tcW w:w="12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71,469</w:t>
            </w:r>
          </w:p>
        </w:tc>
        <w:tc>
          <w:tcPr>
            <w:tcW w:w="12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Estimated gain on sale</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$ 136,340</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80" w:right="640" w:hanging="567"/>
        <w:spacing w:after="0" w:line="274" w:lineRule="auto"/>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Transaction costs include accounting, tax, valuation, consulting, legal and investment banking fees related to the sale of the PBC Business, including approximately $0.3 million of Transaction costs expensed prior to June 30, 2017.</w:t>
      </w:r>
    </w:p>
    <w:p>
      <w:pPr>
        <w:ind w:left="1480" w:hanging="56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Provision for income taxes was estimated using facts and circumstances available as of the date of this Current Report on Form 8-K.</w:t>
      </w:r>
    </w:p>
    <w:p>
      <w:pPr>
        <w:sectPr>
          <w:pgSz w:w="11900" w:h="16838" w:orient="portrait"/>
          <w:cols w:equalWidth="0" w:num="1">
            <w:col w:w="11380"/>
          </w:cols>
          <w:pgMar w:left="240" w:top="27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 Pro Forma Adjustments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descriptions of the pro forma adjustments related to the Transaction:</w:t>
      </w:r>
    </w:p>
    <w:p>
      <w:pPr>
        <w:spacing w:after="0" w:line="131" w:lineRule="exact"/>
        <w:rPr>
          <w:sz w:val="20"/>
          <w:szCs w:val="20"/>
          <w:color w:val="auto"/>
        </w:rPr>
      </w:pPr>
    </w:p>
    <w:p>
      <w:pPr>
        <w:ind w:left="900" w:right="5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the allocation of net proceeds from the Transaction to pay down the Company’s credit facilities. The pro forma adjustment to debt includes the following amounts: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80" w:type="dxa"/>
            <w:vAlign w:val="bottom"/>
            <w:gridSpan w:val="4"/>
          </w:tcPr>
          <w:p>
            <w:pPr>
              <w:ind w:left="1580"/>
              <w:spacing w:after="0"/>
              <w:rPr>
                <w:sz w:val="20"/>
                <w:szCs w:val="20"/>
                <w:color w:val="auto"/>
              </w:rPr>
            </w:pPr>
            <w:r>
              <w:rPr>
                <w:rFonts w:ascii="Arial" w:cs="Arial" w:eastAsia="Arial" w:hAnsi="Arial"/>
                <w:sz w:val="14"/>
                <w:szCs w:val="14"/>
                <w:b w:val="1"/>
                <w:bCs w:val="1"/>
                <w:color w:val="auto"/>
                <w:w w:val="98"/>
              </w:rPr>
              <w:t>As of June 30, 2017</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w:t>
            </w: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Transaction costs incurred after June 30, 2017</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used to pay down credit facilities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(382,248)</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Write-off of unamortized debt issuance costs</w:t>
            </w:r>
          </w:p>
        </w:tc>
        <w:tc>
          <w:tcPr>
            <w:tcW w:w="1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debt</w:t>
            </w:r>
          </w:p>
        </w:tc>
        <w:tc>
          <w:tcPr>
            <w:tcW w:w="19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(367,676)</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2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estimated accrued income taxes payable, using a federal statutory rate of 34%, related to the estimated gain on sale of the PBC Business, net of the $0.1 million tax effect of $0.3 million of Transaction costs expensed prior to June 30, 2017.</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removal of transaction costs that were incurred prior to June 30, 2017 because they will not have a continuing impact on the Company.</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unaudited pro forma condensed consolidated statements of operations exclude the estimated gain resulting from the sale of the PBC Business. This estimated gain will not have a continuing impact on the Company and is therefore reflected as a pro forma adjustment to stockholders’ equity in the unaudited pro forma condensed consolidated balance sheet. The pro forma adjustment to stockholders’ equity includes the following amounts: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8"/>
              </w:rPr>
              <w:t>As of June 30, 2017</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Transaction costs incurred after June 30, 2017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(5,382)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(70,755)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(14,572)</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Pro forma adjustment to stockholders’ equity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302,411</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80" w:hanging="449"/>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Provision for income taxes was estimated using the Company’s federal statutory rate of 34%.</w:t>
      </w:r>
    </w:p>
    <w:p>
      <w:pPr>
        <w:spacing w:after="0" w:line="130"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a reduction of estimated interest expense and amortization of debt issuance costs incurred from the Company’s senior notes and credit facilities as a result of the pro forma assumptions that the Company 1) would have used proceeds from the Transaction to redeem its senior notes for approximately $304.8 million and to pay down approximately $77.4 million on its credit facilities and 2) would not have established a new incremental term loan in the credit facility amendment on April 3, 2017. The pro forma adjustment to interest expense gives effect to these assumptions as if the Transaction and repayment of debt had occurred on January 1, 2016. The pro forma adjustment to interest expense includes the following amounts:</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40" w:type="dxa"/>
            <w:vAlign w:val="bottom"/>
            <w:gridSpan w:val="4"/>
          </w:tcPr>
          <w:p>
            <w:pPr>
              <w:ind w:left="1220"/>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June 30, 2017</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2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Interest expense:</w:t>
            </w:r>
          </w:p>
        </w:tc>
        <w:tc>
          <w:tcPr>
            <w:tcW w:w="29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Senior Notes</w:t>
            </w:r>
          </w:p>
        </w:tc>
        <w:tc>
          <w:tcPr>
            <w:tcW w:w="1340" w:type="dxa"/>
            <w:vAlign w:val="bottom"/>
            <w:gridSpan w:val="2"/>
          </w:tcPr>
          <w:p>
            <w:pPr>
              <w:ind w:left="12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(6,529)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Credit Facility</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adjustment to interest expense</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(12,880)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2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estimated income tax effect, using a federal statutory rate of 34%, related to the sale of the PBC Business, losses on the extinguishment of debt and write-off of unamortized debt issuance costs, and a reduction in interest expense. The effective tax rate of the Company after the Transaction may differ from what is presented in the unaudited pro forma condensed consolidated financial statements as a result of different tax jurisdictions.</w:t>
      </w:r>
    </w:p>
    <w:p>
      <w:pPr>
        <w:sectPr>
          <w:pgSz w:w="11900" w:h="16838" w:orient="portrait"/>
          <w:cols w:equalWidth="0" w:num="1">
            <w:col w:w="11400"/>
          </w:cols>
          <w:pgMar w:left="240" w:top="270" w:right="259" w:bottom="1440" w:gutter="0" w:footer="0" w:header="0"/>
        </w:sectPr>
      </w:pPr>
    </w:p>
    <w:bookmarkStart w:id="13" w:name="page14"/>
    <w:bookmarkEnd w:id="13"/>
    <w:p>
      <w:pPr>
        <w:ind w:left="446" w:hanging="446"/>
        <w:spacing w:after="0" w:line="291" w:lineRule="auto"/>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loss on extinguishment of debt and write-off of unamortized debt issuance costs as if the proceeds of the Transaction had been used to pay down the Company’s senior notes and credit facilities as of January 1, 2016. The senior notes were redeemed on April 3, 2017 for $281.6 million, resulting in a loss on debt extinguishment that included a $31.6 million call premium and a $4.7 million write-off of unamortized debt issuance costs. The pro forma adjustments reflect the effect as if the redemption of the senior notes using proceeds from the Transaction had occurred on January 1, 2106 rather than April 3, 2017, consistent with the Company’s prioritization to pay down debt bearing the highest interest rate first. In connection with the senior notes redemption on April 3, 2017, the credit facility was amended, resulting in an additional loss on extinguishment of approximately $3.4 million. The pro forma adjustments consist of the following amounts:</w:t>
      </w:r>
    </w:p>
    <w:p>
      <w:pPr>
        <w:spacing w:after="0" w:line="173"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2017</w:t>
            </w: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Senior Notes:</w:t>
            </w: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Call premium</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(31,585)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gridSpan w:val="3"/>
          </w:tcPr>
          <w:p>
            <w:pPr>
              <w:spacing w:after="0" w:line="176" w:lineRule="exact"/>
              <w:rPr>
                <w:sz w:val="20"/>
                <w:szCs w:val="20"/>
                <w:color w:val="auto"/>
              </w:rPr>
            </w:pPr>
            <w:r>
              <w:rPr>
                <w:rFonts w:ascii="Arial" w:cs="Arial" w:eastAsia="Arial" w:hAnsi="Arial"/>
                <w:sz w:val="18"/>
                <w:szCs w:val="18"/>
                <w:color w:val="auto"/>
              </w:rPr>
              <w:t>Credit Facility:</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gridSpan w:val="4"/>
          </w:tcPr>
          <w:p>
            <w:pPr>
              <w:spacing w:after="0"/>
              <w:rPr>
                <w:sz w:val="20"/>
                <w:szCs w:val="20"/>
                <w:color w:val="auto"/>
              </w:rPr>
            </w:pPr>
            <w:r>
              <w:rPr>
                <w:rFonts w:ascii="Arial" w:cs="Arial" w:eastAsia="Arial" w:hAnsi="Arial"/>
                <w:sz w:val="18"/>
                <w:szCs w:val="18"/>
                <w:color w:val="auto"/>
              </w:rPr>
              <w:t>Pro forma adjustment to loss on extinguishment of debt and write-off of</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3"/>
          </w:tcPr>
          <w:p>
            <w:pPr>
              <w:ind w:left="160"/>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(39,639)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6" w:right="680" w:hanging="446"/>
        <w:spacing w:after="0" w:line="277"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impact on diluted shares outstanding after giving effect to the operating results of the PBC Business and other pro forma adjustments. The following table presents a reconciliation of pro forma net income (loss) per share.</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 forma basic weighted average shares outstanding</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27,016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17,887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effect of dilutive stock options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Pro forma diluted shares outstanding</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net income (loss)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 forma diluted net income (loss)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r>
    </w:tbl>
    <w:p>
      <w:pPr>
        <w:spacing w:after="0" w:line="187" w:lineRule="exact"/>
        <w:rPr>
          <w:sz w:val="20"/>
          <w:szCs w:val="20"/>
          <w:color w:val="auto"/>
        </w:rPr>
      </w:pPr>
    </w:p>
    <w:p>
      <w:pPr>
        <w:jc w:val="both"/>
        <w:ind w:left="6" w:right="300"/>
        <w:spacing w:after="0" w:line="286" w:lineRule="auto"/>
        <w:rPr>
          <w:sz w:val="20"/>
          <w:szCs w:val="20"/>
          <w:color w:val="auto"/>
        </w:rPr>
      </w:pPr>
      <w:r>
        <w:rPr>
          <w:rFonts w:ascii="Arial" w:cs="Arial" w:eastAsia="Arial" w:hAnsi="Arial"/>
          <w:sz w:val="17"/>
          <w:szCs w:val="17"/>
          <w:color w:val="auto"/>
        </w:rPr>
        <w:t>For the six months ended June 30, 2017, approximately 0.4 million potentially dilutive stock options had the effect of being anti-dilutive and were excluded from the calculation of pro forma net income per share. Given the pro forma net losses for the years ended December 31, 2016, 2015 and 2014, all options are considered anti-dilutive and were excluded from the calculation of pro forma diluted net loss per share.</w:t>
      </w:r>
    </w:p>
    <w:p>
      <w:pPr>
        <w:spacing w:after="0" w:line="193"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net deferred income tax liability related to the PBC Business.</w:t>
      </w:r>
    </w:p>
    <w:p>
      <w:pPr>
        <w:sectPr>
          <w:pgSz w:w="11900" w:h="16838" w:orient="portrait"/>
          <w:cols w:equalWidth="0" w:num="1">
            <w:col w:w="10886"/>
          </w:cols>
          <w:pgMar w:left="694" w:top="274"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172085</wp:posOffset>
            </wp:positionV>
            <wp:extent cx="1749425"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9425"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840740" cy="823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74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Strategy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6420" w:space="720"/>
            <w:col w:w="4280"/>
          </w:cols>
          <w:pgMar w:left="240" w:top="12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17,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COMPLETES DIVESTITURE OF PRECISION BEARING COMPONENTS GROUP</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Johnson City, TN, August 17, 2017 – </w:t>
      </w:r>
      <w:r>
        <w:rPr>
          <w:rFonts w:ascii="Arial" w:cs="Arial" w:eastAsia="Arial" w:hAnsi="Arial"/>
          <w:sz w:val="16"/>
          <w:szCs w:val="16"/>
          <w:color w:val="auto"/>
        </w:rPr>
        <w:t>NN, Inc., (NASDAQ: NNBR) a diversified industrial company, today announced that the Company has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its previously announced divestiture of the Precision Bearing Components Group (PBC) to Tsubaki Nakashima, Co., Ltd., for $375 million in cash.</w:t>
      </w:r>
    </w:p>
    <w:p>
      <w:pPr>
        <w:spacing w:after="0" w:line="12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Richard Holder, President and CEO commented, “The sale of PBC furthers NN’s long-term strategy to build a diversified industrial business. We now estimate the net proceeds from the transaction to be $300 million which further enhances our ability to continue to balance our portfolio, expand our margin and earnings profile, strengthen our balance sheet and strategically acquire businesses in higher growth and higher margin end markets.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33 manufacturing plants in North America, Western Europe, Eastern Europe, South America and China.</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lvl w:ilvl="1">
      <w:lvlJc w:val="left"/>
      <w:lvlText w:val="(%2)"/>
      <w:numFmt w:val="decimal"/>
      <w:start w:val="1"/>
    </w:lvl>
  </w:abstractNum>
  <w:abstractNum w:abstractNumId="5">
    <w:nsid w:val="7545E146"/>
    <w:multiLevelType w:val="hybridMultilevel"/>
    <w:lvl w:ilvl="0">
      <w:lvlJc w:val="left"/>
      <w:lvlText w:val="(%1)"/>
      <w:numFmt w:val="lowerLetter"/>
      <w:start w:val="5"/>
    </w:lvl>
    <w:lvl w:ilvl="1">
      <w:lvlJc w:val="left"/>
      <w:lvlText w:val="%2"/>
      <w:numFmt w:val="decimal"/>
      <w:start w:val="1"/>
    </w:lvl>
  </w:abstractNum>
  <w:abstractNum w:abstractNumId="6">
    <w:nsid w:val="515F007C"/>
    <w:multiLevelType w:val="hybridMultilevel"/>
    <w:lvl w:ilvl="0">
      <w:lvlJc w:val="left"/>
      <w:lvlText w:val="(%1)"/>
      <w:numFmt w:val="lowerLetter"/>
      <w:start w:val="6"/>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8"/>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2019-12-05T23:13:30Z</dcterms:created>
  <dcterms:modified xsi:type="dcterms:W3CDTF">2019-12-05T23:13:30Z</dcterms:modified>
</cp:coreProperties>
</file>