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429895</wp:posOffset>
            </wp:positionV>
            <wp:extent cx="788670"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6" w:lineRule="exact"/>
        <w:rPr>
          <w:sz w:val="24"/>
          <w:szCs w:val="24"/>
          <w:color w:val="auto"/>
        </w:rPr>
      </w:pPr>
    </w:p>
    <w:p>
      <w:pPr>
        <w:ind w:left="296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8660" w:space="720"/>
            <w:col w:w="2040"/>
          </w:cols>
          <w:pgMar w:left="240" w:top="368" w:right="23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16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420"/>
          </w:cols>
          <w:pgMar w:left="240" w:top="368" w:right="239" w:bottom="1440"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November 24, 2017, NN, Inc., a Delaware corporation (the “Company”), certain Company subsidiaries named therein, SunTrust Bank, as administrative agent (“SunTrust”), and certain lenders named therein entered into that certain Amendment No. 3 to the Amended and Restated Credit Agreement (the “Amendment”), which amended the Company’s existing amended and restated credit agreement, dated as of September 30, 2016, by and among the Company, SunTrust, as administrative agent, and certain lenders from time to time party thereto (as amended, the “Amended and Restated Credit Agreement”).</w:t>
      </w:r>
    </w:p>
    <w:p>
      <w:pPr>
        <w:spacing w:after="0" w:line="18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Amendment lowers the applicable interest rate (i) with respect to the Tranche B Term Facility, by lowering the applicable margin by 0.50% per annum, from 3.25% to 2.75% on Base Rate loans and from 4.25% to 3.75% on Eurodollar Rate Loans, and (ii) with respect to the 2017 Incremental Term Loans, by lowering the applicable margin by 0.50% per annum, from 2.75% to 2.25% on Base Rate loans and from 3.75% to 3.25% on Eurodollar Rate Loans.</w:t>
      </w:r>
    </w:p>
    <w:p>
      <w:pPr>
        <w:spacing w:after="0" w:line="18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included as Exhibit 10.1 hereto and incorporated herein by reference.</w:t>
      </w:r>
    </w:p>
    <w:p>
      <w:pPr>
        <w:spacing w:after="0" w:line="315" w:lineRule="exact"/>
        <w:rPr>
          <w:sz w:val="20"/>
          <w:szCs w:val="20"/>
          <w:color w:val="auto"/>
        </w:rPr>
      </w:pPr>
    </w:p>
    <w:p>
      <w:pPr>
        <w:ind w:left="1140" w:right="10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2.03.</w:t>
        <w:tab/>
        <w:t>CREATION OF A DIRECT FINANCIAL OBLIGATION OR AN OBLIGATION UNDER AN OFF-BALANCE SHEET ARRANGEMENT OF A REGISTRANT.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auto"/>
            </w:tcBorders>
            <w:gridSpan w:val="3"/>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No. 3 to Amended and Restated Credit Agreement, dated as of November 24, 2017, by and among NN, Inc., certain NN,</w:t>
              </w:r>
            </w:hyperlink>
          </w:p>
        </w:tc>
        <w:tc>
          <w:tcPr>
            <w:tcW w:w="240" w:type="dxa"/>
            <w:vAlign w:val="bottom"/>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Inc. subsidiaries named therein, SunTrust Bank, as administrative agent, and certain lenders named therein</w:t>
              </w:r>
            </w:hyperlink>
          </w:p>
        </w:tc>
      </w:tr>
      <w:tr>
        <w:trPr>
          <w:trHeight w:val="385"/>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7640" w:type="dxa"/>
            <w:vAlign w:val="bottom"/>
            <w:tcBorders>
              <w:top w:val="single" w:sz="8" w:color="0000EE"/>
            </w:tcBorders>
          </w:tcPr>
          <w:p>
            <w:pPr>
              <w:jc w:val="right"/>
              <w:ind w:right="3319"/>
              <w:spacing w:after="0"/>
              <w:rPr>
                <w:sz w:val="20"/>
                <w:szCs w:val="20"/>
                <w:color w:val="auto"/>
              </w:rPr>
            </w:pPr>
            <w:r>
              <w:rPr>
                <w:rFonts w:ascii="Arial" w:cs="Arial" w:eastAsia="Arial" w:hAnsi="Arial"/>
                <w:sz w:val="18"/>
                <w:szCs w:val="18"/>
                <w:color w:val="auto"/>
              </w:rPr>
              <w:t>2</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gridSpan w:val="2"/>
          </w:tcPr>
          <w:p>
            <w:pPr>
              <w:ind w:left="2000"/>
              <w:spacing w:after="0"/>
              <w:rPr>
                <w:sz w:val="20"/>
                <w:szCs w:val="20"/>
                <w:color w:val="auto"/>
              </w:rPr>
            </w:pPr>
            <w:r>
              <w:rPr>
                <w:rFonts w:ascii="Arial" w:cs="Arial" w:eastAsia="Arial" w:hAnsi="Arial"/>
                <w:sz w:val="18"/>
                <w:szCs w:val="18"/>
                <w:b w:val="1"/>
                <w:bCs w:val="1"/>
                <w:color w:val="auto"/>
              </w:rPr>
              <w:t>NN, INC.</w:t>
            </w:r>
          </w:p>
        </w:tc>
      </w:tr>
      <w:tr>
        <w:trPr>
          <w:trHeight w:val="432"/>
        </w:trPr>
        <w:tc>
          <w:tcPr>
            <w:tcW w:w="3900" w:type="dxa"/>
            <w:vAlign w:val="bottom"/>
          </w:tcPr>
          <w:p>
            <w:pPr>
              <w:spacing w:after="0"/>
              <w:rPr>
                <w:sz w:val="20"/>
                <w:szCs w:val="20"/>
                <w:color w:val="auto"/>
              </w:rPr>
            </w:pPr>
            <w:r>
              <w:rPr>
                <w:rFonts w:ascii="Arial" w:cs="Arial" w:eastAsia="Arial" w:hAnsi="Arial"/>
                <w:sz w:val="18"/>
                <w:szCs w:val="18"/>
                <w:color w:val="auto"/>
              </w:rPr>
              <w:t>Date: November 24, 2017</w:t>
            </w:r>
          </w:p>
        </w:tc>
        <w:tc>
          <w:tcPr>
            <w:tcW w:w="7520" w:type="dxa"/>
            <w:vAlign w:val="bottom"/>
            <w:gridSpan w:val="2"/>
          </w:tcPr>
          <w:p>
            <w:pPr>
              <w:ind w:left="2000"/>
              <w:spacing w:after="0"/>
              <w:rPr>
                <w:sz w:val="20"/>
                <w:szCs w:val="20"/>
                <w:color w:val="auto"/>
              </w:rPr>
            </w:pPr>
            <w:r>
              <w:rPr>
                <w:rFonts w:ascii="Arial" w:cs="Arial" w:eastAsia="Arial" w:hAnsi="Arial"/>
                <w:sz w:val="18"/>
                <w:szCs w:val="18"/>
                <w:color w:val="auto"/>
              </w:rPr>
              <w:t>By:  /s/ Matthew S. Heiter</w:t>
            </w:r>
          </w:p>
        </w:tc>
      </w:tr>
      <w:tr>
        <w:trPr>
          <w:trHeight w:val="195"/>
        </w:trPr>
        <w:tc>
          <w:tcPr>
            <w:tcW w:w="39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3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3 TO AMENDED AND RESTATED CREDIT AGREEMENT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AMENDMENT NO. 3 TO AMENDED AND RESTATED CREDIT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among the following: (i) NN,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(ii) the Guarantors; (iii) the Lenders signatory hereto that are party to the Credit Agreement referred to below; and</w:t>
      </w:r>
    </w:p>
    <w:p>
      <w:pPr>
        <w:ind w:right="20" w:firstLine="8"/>
        <w:spacing w:after="0" w:line="255"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SunTrust Bank,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SunTrust Robinson Humphrey Inc., Keybanc Capital Markets Inc. and Regions Capital Markets, a division of Regions Bank, are acting as joint lead arrangers (collectively, the “</w:t>
      </w:r>
      <w:r>
        <w:rPr>
          <w:rFonts w:ascii="Arial" w:cs="Arial" w:eastAsia="Arial" w:hAnsi="Arial"/>
          <w:sz w:val="18"/>
          <w:szCs w:val="18"/>
          <w:u w:val="single" w:color="auto"/>
          <w:color w:val="auto"/>
        </w:rPr>
        <w:t>Arrangers</w:t>
      </w:r>
      <w:r>
        <w:rPr>
          <w:rFonts w:ascii="Arial" w:cs="Arial" w:eastAsia="Arial" w:hAnsi="Arial"/>
          <w:sz w:val="18"/>
          <w:szCs w:val="18"/>
          <w:color w:val="auto"/>
        </w:rPr>
        <w:t>”) in connection with the Amendment.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WHEREAS, reference is hereby made to the Amended and Restated Credit Agreement, dated as of September 30, 2016 (as amended by the Incremental Amendment to Amended and Restated Credit Agreement, dated as of October 31, 2016, Amendment No. 1 (as defined below) and Amendment No. 2 to Amended and Restated Credit Agreement, dated as of August 15, 2017 and as the same may be further amended, restated, amended and restated, supplemented, extended, refinanced 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the Lenders party thereto, the Administrative Agent and the other parties from time to time party thereto. Capitalized terms used in this Amendment but not defined herein shall have the meaning assigned to such terms in the Credit Agreement, as amended by this Amendment (as so amended,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spacing w:after="0" w:line="165"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WHEREAS, on April 3, 2017, the Borrower, the Administrative Agent, the 2017 Incremental Term Lenders (as defined in Amendment No. 1), the Required Lenders and the Required Revolving Lenders entered into Amendment No. 1 to the Amended and Restated Credit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1</w:t>
      </w:r>
      <w:r>
        <w:rPr>
          <w:rFonts w:ascii="Arial" w:cs="Arial" w:eastAsia="Arial" w:hAnsi="Arial"/>
          <w:sz w:val="18"/>
          <w:szCs w:val="18"/>
          <w:color w:val="auto"/>
        </w:rPr>
        <w:t>”), pursuant to which the 2017 Incremental Term Lenders made Incremental Term Loans to the Borrower in the aggregate principal amount of $300,000,000 (the “</w:t>
      </w:r>
      <w:r>
        <w:rPr>
          <w:rFonts w:ascii="Arial" w:cs="Arial" w:eastAsia="Arial" w:hAnsi="Arial"/>
          <w:sz w:val="18"/>
          <w:szCs w:val="18"/>
          <w:u w:val="single" w:color="auto"/>
          <w:color w:val="auto"/>
        </w:rPr>
        <w:t>2017 Incremental Term Loans</w:t>
      </w:r>
      <w:r>
        <w:rPr>
          <w:rFonts w:ascii="Arial" w:cs="Arial" w:eastAsia="Arial" w:hAnsi="Arial"/>
          <w:sz w:val="18"/>
          <w:szCs w:val="18"/>
          <w:color w:val="auto"/>
        </w:rPr>
        <w:t>,” and, together with the Tranche B Term Loans, the “</w:t>
      </w:r>
      <w:r>
        <w:rPr>
          <w:rFonts w:ascii="Arial" w:cs="Arial" w:eastAsia="Arial" w:hAnsi="Arial"/>
          <w:sz w:val="18"/>
          <w:szCs w:val="18"/>
          <w:u w:val="single" w:color="auto"/>
          <w:color w:val="auto"/>
        </w:rPr>
        <w:t>Existing Term Loans</w:t>
      </w:r>
      <w:r>
        <w:rPr>
          <w:rFonts w:ascii="Arial" w:cs="Arial" w:eastAsia="Arial" w:hAnsi="Arial"/>
          <w:sz w:val="18"/>
          <w:szCs w:val="18"/>
          <w:color w:val="auto"/>
        </w:rPr>
        <w:t>”) in accordance with Section 2.14 of the Credit Agreement;</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WHEREAS, the Borrower, certain of the Lenders and the Administrative Agent desire to amend the Credit Agreement to modify certain provisions thereof pursuant to the terms of the Credit Agreement;</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Sections 10.01 and 10.13</w:t>
      </w:r>
      <w:r>
        <w:rPr>
          <w:rFonts w:ascii="Arial" w:cs="Arial" w:eastAsia="Arial" w:hAnsi="Arial"/>
          <w:sz w:val="18"/>
          <w:szCs w:val="18"/>
          <w:color w:val="auto"/>
        </w:rPr>
        <w:t xml:space="preserve"> of the Credit Agreement, the consent of the Required Lenders is required for the effectiveness of the amendments to the Credit Agreement set forth herein, and each of the Lenders whose consent is required has agreed to the foregoing as evidenced by its signature to this Amendment.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agreements, provisions and covenants herein contained, the parties hereto agree as follows: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460" w:right="1100" w:firstLine="4"/>
        <w:spacing w:after="0" w:line="501" w:lineRule="auto"/>
        <w:tabs>
          <w:tab w:leader="none" w:pos="705" w:val="left"/>
        </w:tabs>
        <w:numPr>
          <w:ilvl w:val="1"/>
          <w:numId w:val="3"/>
        </w:numPr>
        <w:rPr>
          <w:rFonts w:ascii="Arial" w:cs="Arial" w:eastAsia="Arial" w:hAnsi="Arial"/>
          <w:sz w:val="18"/>
          <w:szCs w:val="18"/>
          <w:color w:val="auto"/>
        </w:rPr>
      </w:pPr>
      <w:r>
        <w:rPr>
          <w:rFonts w:ascii="Arial" w:cs="Arial" w:eastAsia="Arial" w:hAnsi="Arial"/>
          <w:sz w:val="18"/>
          <w:szCs w:val="18"/>
          <w:color w:val="auto"/>
        </w:rPr>
        <w:t>Section 1.01 of the Credit Agreement is hereby amended by inserting in appropriate alphabetical order the following new definitions: “</w:t>
      </w:r>
      <w:r>
        <w:rPr>
          <w:rFonts w:ascii="Arial" w:cs="Arial" w:eastAsia="Arial" w:hAnsi="Arial"/>
          <w:sz w:val="18"/>
          <w:szCs w:val="18"/>
          <w:u w:val="single" w:color="auto"/>
          <w:color w:val="auto"/>
        </w:rPr>
        <w:t>Third Amendment</w:t>
      </w:r>
      <w:r>
        <w:rPr>
          <w:rFonts w:ascii="Arial" w:cs="Arial" w:eastAsia="Arial" w:hAnsi="Arial"/>
          <w:sz w:val="18"/>
          <w:szCs w:val="18"/>
          <w:color w:val="auto"/>
        </w:rPr>
        <w:t>” means the Third Amendment to the Amended and Restated Credit Agreement, dated as of November 24, 2017.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means November 24, 2017.</w:t>
      </w:r>
    </w:p>
    <w:p>
      <w:pPr>
        <w:ind w:right="180" w:firstLine="464"/>
        <w:spacing w:after="0" w:line="291" w:lineRule="auto"/>
        <w:tabs>
          <w:tab w:leader="none" w:pos="711"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definition of “Applicable Rate” set forth in Section 1.01 of the Credit Agreement is hereby amended by (i) replacing clause (x) thereof in its entirety with the following: “(x) the Tranche B Term Facility, 2.75% per annum for Base Rate Loans and 3.75% per annum for Eurodollar Rate Loans,” and</w:t>
      </w:r>
    </w:p>
    <w:p>
      <w:pPr>
        <w:ind w:right="240" w:firstLine="8"/>
        <w:spacing w:after="0" w:line="261"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replacing clause (y) thereof in its entirety with the following: “(y) the 2017 Incremental Term Loans, 2.25% per annum for Base Rate Loans and 3.25% per annum for Eurodollar Rate Loans,”.</w:t>
      </w:r>
    </w:p>
    <w:p>
      <w:pPr>
        <w:sectPr>
          <w:pgSz w:w="11900" w:h="16838" w:orient="portrait"/>
          <w:cols w:equalWidth="0" w:num="1">
            <w:col w:w="11420"/>
          </w:cols>
          <w:pgMar w:left="240" w:top="121" w:right="239" w:bottom="1440" w:gutter="0" w:footer="0" w:header="0"/>
        </w:sectPr>
      </w:pPr>
    </w:p>
    <w:bookmarkStart w:id="4" w:name="page5"/>
    <w:bookmarkEnd w:id="4"/>
    <w:p>
      <w:pPr>
        <w:ind w:right="20" w:firstLine="464"/>
        <w:spacing w:after="0" w:line="277" w:lineRule="auto"/>
        <w:tabs>
          <w:tab w:leader="none" w:pos="701"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2.05(c)(ii) of the Credit Agreement is hereby amended by replacing each reference therein to “Amendment and Restatement Effective Date” to “Third Amendment Effective Date.”</w:t>
      </w:r>
    </w:p>
    <w:p>
      <w:pPr>
        <w:spacing w:after="0" w:line="170" w:lineRule="exact"/>
        <w:rPr>
          <w:rFonts w:ascii="Arial" w:cs="Arial" w:eastAsia="Arial" w:hAnsi="Arial"/>
          <w:sz w:val="18"/>
          <w:szCs w:val="18"/>
          <w:color w:val="auto"/>
        </w:rPr>
      </w:pPr>
    </w:p>
    <w:p>
      <w:pPr>
        <w:ind w:right="500" w:firstLine="464"/>
        <w:spacing w:after="0" w:line="277"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2.7 of Amendment No. 1 (as incorporated into the Credit Agreement) is hereby amended by replacing each reference therein to “First Amendment Effective Date” to “Third Amendment Effective Date.”</w:t>
      </w:r>
    </w:p>
    <w:p>
      <w:pPr>
        <w:spacing w:after="0" w:line="170"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Replacement of Non-Consenting Lenders</w:t>
      </w:r>
      <w:r>
        <w:rPr>
          <w:rFonts w:ascii="Arial" w:cs="Arial" w:eastAsia="Arial" w:hAnsi="Arial"/>
          <w:sz w:val="18"/>
          <w:szCs w:val="18"/>
          <w:color w:val="auto"/>
        </w:rPr>
        <w:t>. Concurrently with the effectiveness of this Amendment, the Borrower shall be deemed to have exercised its rights, and to have provided notice to the Administrative Agent and each Lender of its exercise of rights, under Section 10.13 of the Credit Agreement to require each Lender to assign any portion of its Existing Term Loans as to which it has not approved this Amendment as of such time to SunTrust Bank. By its execution of this Amendment, SunTrust Bank agrees to accept such assignments and approves this Amendment in its capacity as the assignee of any such Existing Term Loans.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Amendment shall become effective on the first Business Day on which the following conditions are satisfied or waived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left="460" w:right="280" w:firstLine="443"/>
        <w:spacing w:after="0" w:line="277" w:lineRule="auto"/>
        <w:tabs>
          <w:tab w:leader="none" w:pos="11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Administrative Agent shall have received counterparts of this Amendment or Consents that, when taken together, bear the signatures of Lenders constituting the Required Lenders, as well as signatures of (A) the Borrower and (B) each other Loan Party;</w:t>
      </w:r>
    </w:p>
    <w:p>
      <w:pPr>
        <w:spacing w:after="0" w:line="170" w:lineRule="exact"/>
        <w:rPr>
          <w:rFonts w:ascii="Arial" w:cs="Arial" w:eastAsia="Arial" w:hAnsi="Arial"/>
          <w:sz w:val="18"/>
          <w:szCs w:val="18"/>
          <w:color w:val="auto"/>
        </w:rPr>
      </w:pPr>
    </w:p>
    <w:p>
      <w:pPr>
        <w:ind w:left="460" w:right="520" w:firstLine="443"/>
        <w:spacing w:after="0" w:line="277" w:lineRule="auto"/>
        <w:tabs>
          <w:tab w:leader="none" w:pos="116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Lender holding Existing Term Loans that has withheld its consent to this Amendment shall be replaced as a Lender as provided in Section 2 of this Amendment and Section 10.13 of the Credit Agreement on the Third Amendment Effective Date;</w:t>
      </w:r>
    </w:p>
    <w:p>
      <w:pPr>
        <w:spacing w:after="0" w:line="170" w:lineRule="exact"/>
        <w:rPr>
          <w:rFonts w:ascii="Arial" w:cs="Arial" w:eastAsia="Arial" w:hAnsi="Arial"/>
          <w:sz w:val="18"/>
          <w:szCs w:val="18"/>
          <w:color w:val="auto"/>
        </w:rPr>
      </w:pPr>
    </w:p>
    <w:p>
      <w:pPr>
        <w:ind w:left="460" w:right="40" w:firstLine="443"/>
        <w:spacing w:after="0" w:line="277" w:lineRule="auto"/>
        <w:tabs>
          <w:tab w:leader="none" w:pos="12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facsimiles or electronic copies (followed promptly by originals) unless otherwise specified:</w:t>
      </w:r>
    </w:p>
    <w:p>
      <w:pPr>
        <w:spacing w:after="0" w:line="170" w:lineRule="exact"/>
        <w:rPr>
          <w:rFonts w:ascii="Arial" w:cs="Arial" w:eastAsia="Arial" w:hAnsi="Arial"/>
          <w:sz w:val="18"/>
          <w:szCs w:val="18"/>
          <w:color w:val="auto"/>
        </w:rPr>
      </w:pPr>
    </w:p>
    <w:p>
      <w:pPr>
        <w:ind w:left="920" w:right="80" w:firstLine="421"/>
        <w:spacing w:after="0" w:line="277" w:lineRule="auto"/>
        <w:tabs>
          <w:tab w:leader="none" w:pos="16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 customary legal opinion of Bass, Berry &amp; Sims PLC, as counsel to the Loan Parties, in form and substance reasonably satisfactory to the Administrative Agent;</w:t>
      </w:r>
    </w:p>
    <w:p>
      <w:pPr>
        <w:spacing w:after="0" w:line="170" w:lineRule="exact"/>
        <w:rPr>
          <w:rFonts w:ascii="Arial" w:cs="Arial" w:eastAsia="Arial" w:hAnsi="Arial"/>
          <w:sz w:val="18"/>
          <w:szCs w:val="18"/>
          <w:color w:val="auto"/>
        </w:rPr>
      </w:pPr>
    </w:p>
    <w:p>
      <w:pPr>
        <w:ind w:left="920" w:right="20" w:firstLine="421"/>
        <w:spacing w:after="0" w:line="255" w:lineRule="auto"/>
        <w:tabs>
          <w:tab w:leader="none" w:pos="1625" w:val="left"/>
        </w:tabs>
        <w:numPr>
          <w:ilvl w:val="1"/>
          <w:numId w:val="6"/>
        </w:numPr>
        <w:rPr>
          <w:rFonts w:ascii="Arial" w:cs="Arial" w:eastAsia="Arial" w:hAnsi="Arial"/>
          <w:sz w:val="18"/>
          <w:szCs w:val="18"/>
          <w:color w:val="auto"/>
        </w:rPr>
      </w:pPr>
      <w:r>
        <w:rPr>
          <w:rFonts w:ascii="Arial" w:cs="Arial" w:eastAsia="Arial" w:hAnsi="Arial"/>
          <w:sz w:val="18"/>
          <w:szCs w:val="18"/>
          <w:color w:val="auto"/>
        </w:rPr>
        <w:t>certificates from a Responsible Officer of each Loan Party dated as of the Third Amendment Effective Date (1) certifying and attaching resolutions adopted by such Loan Party approving and authorizing the execution, delivery and performance of this Amendment, (2) certifying and attaching a good standing certificate as of a recent date from the applicable Governmental Authority of such Loan Party’s jurisdiction of incorporation, organization or formation, (3) certifying and attaching a true and complete copy of each Organization Document of the Borrower, and (D) certifying as to the incumbency and specimen signature of each officer or authorized person executing any Loan Document or any other document delivered in connection herewith on behalf of such Loan Party (together with a certificate of another officer or authorized person as to the incumbency and specimen); and</w:t>
      </w:r>
    </w:p>
    <w:p>
      <w:pPr>
        <w:spacing w:after="0" w:line="189" w:lineRule="exact"/>
        <w:rPr>
          <w:rFonts w:ascii="Arial" w:cs="Arial" w:eastAsia="Arial" w:hAnsi="Arial"/>
          <w:sz w:val="18"/>
          <w:szCs w:val="18"/>
          <w:color w:val="auto"/>
        </w:rPr>
      </w:pPr>
    </w:p>
    <w:p>
      <w:pPr>
        <w:ind w:left="920" w:firstLine="421"/>
        <w:spacing w:after="0" w:line="254" w:lineRule="auto"/>
        <w:tabs>
          <w:tab w:leader="none" w:pos="1625" w:val="left"/>
        </w:tabs>
        <w:numPr>
          <w:ilvl w:val="1"/>
          <w:numId w:val="6"/>
        </w:numPr>
        <w:rPr>
          <w:rFonts w:ascii="Arial" w:cs="Arial" w:eastAsia="Arial" w:hAnsi="Arial"/>
          <w:sz w:val="18"/>
          <w:szCs w:val="18"/>
          <w:color w:val="auto"/>
        </w:rPr>
      </w:pPr>
      <w:r>
        <w:rPr>
          <w:rFonts w:ascii="Arial" w:cs="Arial" w:eastAsia="Arial" w:hAnsi="Arial"/>
          <w:sz w:val="18"/>
          <w:szCs w:val="18"/>
          <w:color w:val="auto"/>
        </w:rPr>
        <w:t>a certificate from a Responsible Officer of the Borrower dated as of the Third Amendment Effective Date certifying that (a) both before and immediately after giving effect to this Amendment, as of the Third Amendment Effective Date, no Default or Event of Default shall exist and be continuing and (b) the representations and warranties of the Borrower and each other Loan Party contained in Section 4 hereof, Article V of the Amended Credit Agreement or in any other Loan Document are true and correct in all material respects (or, with respect to representations and warranties modified by a materiality or Material Adverse Effect standard, in all respects) on and as of the Third Amendment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left="460" w:right="180" w:firstLine="443"/>
        <w:spacing w:after="0" w:line="312" w:lineRule="auto"/>
        <w:tabs>
          <w:tab w:leader="none" w:pos="1203"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and each of the other Loan Parties shall have provided to the Administrative Agent and the Lenders the documentation and other information requested by the Administrative Agent or any Lender at least three (3) Business Days prior to the Third Amendment Effective Date in order to comply with requirements of the PATRIOT Act, applicable “know your customer” and anti-money laundering rules and regulations; and</w:t>
      </w:r>
    </w:p>
    <w:p>
      <w:pPr>
        <w:spacing w:after="0" w:line="146" w:lineRule="exact"/>
        <w:rPr>
          <w:rFonts w:ascii="Arial" w:cs="Arial" w:eastAsia="Arial" w:hAnsi="Arial"/>
          <w:sz w:val="16"/>
          <w:szCs w:val="16"/>
          <w:color w:val="auto"/>
        </w:rPr>
      </w:pPr>
    </w:p>
    <w:p>
      <w:pPr>
        <w:ind w:left="460" w:right="20" w:firstLine="443"/>
        <w:spacing w:after="0" w:line="257" w:lineRule="auto"/>
        <w:tabs>
          <w:tab w:leader="none" w:pos="115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fees in the amounts previously agreed in writing with the Administrative Agent or any Arranger to be received on the Third Amendment Effective Date and all reasonable and documented or invoiced out-of-pocket costs and expenses (including the reasonable fees, charges and disbursements of Cahill Gordon &amp; Reindel LLP, as counsel to the Administrative Agent and the Arrangers) incurred in connection with the transactions contemplated hereby for which invoices have been presented at least one (1) Business Day prior to the Third Amendment Effective Date shall, or will be substantially simultaneously with the effectiveness of this Amendment, paid in full.</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By its execution of this Amendment, each Loan Party hereby represents and warrants to the Administrative Agent, the Arrangers and the Lenders that the representations and warranties of each Loan Party set forth in Article V of the Credit Agreement and in the other Loan Documents are, after giving effect to this Amendment, true and correct in all material respects (or, with respect to representations and warranties modified by a materiality or Material Adverse Effect standard, in all respects) on and as of the Third Amendment Effective Date (unless stated to relate to a specific earlier date, in which case such representations and warranties shall be true and correct in all material respects as of such earlier date).</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Acknowledgments and Affirmations of the Loan Parties</w:t>
      </w:r>
      <w:r>
        <w:rPr>
          <w:rFonts w:ascii="Arial" w:cs="Arial" w:eastAsia="Arial" w:hAnsi="Arial"/>
          <w:sz w:val="16"/>
          <w:szCs w:val="16"/>
          <w:color w:val="auto"/>
        </w:rPr>
        <w:t>. Each Loan Party hereby expressly acknowledges the terms of this Amendment and the Amended Credit Agreement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 (ii) its guarantee of the Obligations under the Guaranty and (iii) its grant of Liens on the Collateral to secure the Obligations pursuant to the Collateral Documents; provided that, on and after the effectiveness of this Amendment, each reference in the Guaranty and in each of the other Loan Documents to “the Credit Agreement,” the “Amended and Restated Credit Agreement,” “thereunder,” “thereof” or words of like import shall mean and be a reference to the Amended Credit Agreement. Without limiting the generality of the foregoing, the Collateral Documents to which such Loan Party is a party and all of the Collateral described therein do, and shall continue to secure, payment of all of the Obligations.</w:t>
      </w:r>
    </w:p>
    <w:p>
      <w:pPr>
        <w:spacing w:after="0" w:line="16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Other</w:t>
      </w:r>
      <w:r>
        <w:rPr>
          <w:rFonts w:ascii="Arial" w:cs="Arial" w:eastAsia="Arial" w:hAnsi="Arial"/>
          <w:sz w:val="16"/>
          <w:szCs w:val="16"/>
          <w:color w:val="auto"/>
        </w:rPr>
        <w:t>. This Amendment, the Amended Credit Agreement and the other Loan Documents constitute the entire agreement among the parties hereto with respect to the subject matter hereof and thereof and supersede all other prior agreements and understandings, both written and verbal, among the parties hereto with respect to the subject matter hereof. Except as expressly set forth herein, this Amendment shall not by implication or otherwise limit, impair, constitute a waiver of, or otherwise affect the rights and remedies of any party under, the Amended Credit Agreement, nor alter, modify, amend or in any way affect any of the terms, conditions, obligations, covenants or agreements contained in the Amended Credit Agreement, all of which are ratified and affirmed in all respects and shall continue in full force and effect. It is understood and agreed that, on and after the Third Amendment Effective Date, each reference in the Credit Agreement to “this Agreement,” “hereunder,” “hereof” or words of like import referring to the Credit Agreement, and each reference in each Loan Document to the Credit Agreement, whether direct or indirect, shall hereafter be deemed to be a reference to the Amended Credit Agreement and that this Amendment is a Loan Document. This Amendment shall not constitute a novation of the Credit Agreement or any of the Loan Documents.</w:t>
      </w:r>
    </w:p>
    <w:p>
      <w:pPr>
        <w:spacing w:after="0" w:line="16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Governing Law; Submission to Jurisdiction; Venue; Waiver of Jury Trial</w:t>
      </w:r>
      <w:r>
        <w:rPr>
          <w:rFonts w:ascii="Arial" w:cs="Arial" w:eastAsia="Arial" w:hAnsi="Arial"/>
          <w:sz w:val="17"/>
          <w:szCs w:val="17"/>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SECTIONS 10.14 AND 10.15 OF THE CREDIT AGREEMENT ARE HEREBY INCORPORATED BY REFERENCE INTO THIS AMENDMENT AND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7" w:name="page8"/>
    <w:bookmarkEnd w:id="7"/>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undersigned has caused its duly authorized officer to execute and deliver this Amendment as of the date first written above.</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 as the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 Robert Atkinson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jc w:val="both"/>
        <w:ind w:left="7180"/>
        <w:spacing w:after="0"/>
        <w:tabs>
          <w:tab w:leader="none" w:pos="7760" w:val="left"/>
        </w:tabs>
        <w:rPr>
          <w:sz w:val="20"/>
          <w:szCs w:val="20"/>
          <w:color w:val="auto"/>
        </w:rPr>
      </w:pPr>
      <w:r>
        <w:rPr>
          <w:rFonts w:ascii="Arial" w:cs="Arial" w:eastAsia="Arial" w:hAnsi="Arial"/>
          <w:sz w:val="18"/>
          <w:szCs w:val="18"/>
          <w:color w:val="auto"/>
        </w:rPr>
        <w:t>Title:</w:t>
        <w:tab/>
        <w:t>Vice President – Strategy and Investor Relations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[Third Amendment Signature Page]</w:t>
      </w:r>
    </w:p>
    <w:p>
      <w:pPr>
        <w:sectPr>
          <w:pgSz w:w="11900" w:h="16838" w:orient="portrait"/>
          <w:cols w:equalWidth="0" w:num="1">
            <w:col w:w="11260"/>
          </w:cols>
          <w:pgMar w:left="240" w:top="274" w:right="399" w:bottom="1440" w:gutter="0" w:footer="0" w:header="0"/>
        </w:sectPr>
      </w:pPr>
    </w:p>
    <w:bookmarkStart w:id="8" w:name="page9"/>
    <w:bookmarkEnd w:id="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undersigned Guarantors:</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 CORPORATION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AUTOCAM-PAX,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INDUSTRIAL MOLDING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WHIRLAWAY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PNC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USA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ACQUISITION COMPANY, INC.</w:t>
      </w:r>
    </w:p>
    <w:p>
      <w:pPr>
        <w:spacing w:after="0" w:line="9" w:lineRule="exact"/>
        <w:rPr>
          <w:sz w:val="20"/>
          <w:szCs w:val="20"/>
          <w:color w:val="auto"/>
        </w:rPr>
      </w:pPr>
    </w:p>
    <w:p>
      <w:pPr>
        <w:ind w:left="5660" w:right="1600" w:hanging="5"/>
        <w:spacing w:after="0" w:line="265" w:lineRule="auto"/>
        <w:tabs>
          <w:tab w:leader="none" w:pos="5965"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PRECISION PLASTICS, INC. CAPROCK MANUFACTURING, INC. CAPROCK ENCLOSURES, LLC</w:t>
      </w:r>
    </w:p>
    <w:p>
      <w:pPr>
        <w:ind w:left="5660"/>
        <w:spacing w:after="0" w:line="250" w:lineRule="auto"/>
        <w:rPr>
          <w:rFonts w:ascii="Arial" w:cs="Arial" w:eastAsia="Arial" w:hAnsi="Arial"/>
          <w:sz w:val="17"/>
          <w:szCs w:val="17"/>
          <w:color w:val="auto"/>
        </w:rPr>
      </w:pPr>
      <w:r>
        <w:rPr>
          <w:rFonts w:ascii="Arial" w:cs="Arial" w:eastAsia="Arial" w:hAnsi="Arial"/>
          <w:sz w:val="18"/>
          <w:szCs w:val="18"/>
          <w:color w:val="auto"/>
        </w:rPr>
        <w:t>PRECISION ENGINEERED PRODUCTS HOLDINGS, INC. PRECISION ENGINEERED PRODUCTS LLC BRAININ-ADVANCE INDUSTRIES LLC WAUCONDA TOOL &amp; ENGINEERING LLC</w:t>
      </w:r>
    </w:p>
    <w:p>
      <w:pPr>
        <w:spacing w:after="0" w:line="1" w:lineRule="exact"/>
        <w:rPr>
          <w:rFonts w:ascii="Arial" w:cs="Arial" w:eastAsia="Arial" w:hAnsi="Arial"/>
          <w:sz w:val="17"/>
          <w:szCs w:val="17"/>
          <w:color w:val="auto"/>
        </w:rPr>
      </w:pPr>
    </w:p>
    <w:p>
      <w:pPr>
        <w:ind w:left="5660" w:right="960"/>
        <w:spacing w:after="0" w:line="250" w:lineRule="auto"/>
        <w:rPr>
          <w:rFonts w:ascii="Arial" w:cs="Arial" w:eastAsia="Arial" w:hAnsi="Arial"/>
          <w:sz w:val="17"/>
          <w:szCs w:val="17"/>
          <w:color w:val="auto"/>
        </w:rPr>
      </w:pPr>
      <w:r>
        <w:rPr>
          <w:rFonts w:ascii="Arial" w:cs="Arial" w:eastAsia="Arial" w:hAnsi="Arial"/>
          <w:sz w:val="18"/>
          <w:szCs w:val="18"/>
          <w:color w:val="auto"/>
        </w:rPr>
        <w:t>LACEY MANUFACTURING COMPANY, LLC GENERAL METAL FINISHING LLC POLYMETALLURGICAL LLC</w:t>
      </w:r>
    </w:p>
    <w:p>
      <w:pPr>
        <w:spacing w:after="0" w:line="1"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MATRIX I LLC</w:t>
      </w:r>
    </w:p>
    <w:p>
      <w:pPr>
        <w:spacing w:after="0" w:line="9" w:lineRule="exact"/>
        <w:rPr>
          <w:rFonts w:ascii="Arial" w:cs="Arial" w:eastAsia="Arial" w:hAnsi="Arial"/>
          <w:sz w:val="17"/>
          <w:szCs w:val="17"/>
          <w:color w:val="auto"/>
        </w:rPr>
      </w:pPr>
    </w:p>
    <w:p>
      <w:pPr>
        <w:ind w:left="5660" w:right="1120"/>
        <w:spacing w:after="0" w:line="250" w:lineRule="auto"/>
        <w:rPr>
          <w:rFonts w:ascii="Arial" w:cs="Arial" w:eastAsia="Arial" w:hAnsi="Arial"/>
          <w:sz w:val="17"/>
          <w:szCs w:val="17"/>
          <w:color w:val="auto"/>
        </w:rPr>
      </w:pPr>
      <w:r>
        <w:rPr>
          <w:rFonts w:ascii="Arial" w:cs="Arial" w:eastAsia="Arial" w:hAnsi="Arial"/>
          <w:sz w:val="18"/>
          <w:szCs w:val="18"/>
          <w:color w:val="auto"/>
        </w:rPr>
        <w:t>BOSTON ENDO-SURGICAL TECHNOLOGIES LLC CONNECTICUT PLASTICS. LLC ADVANCED PRECISION PRODUCTS, INC. HOWES TEMCO, LLC</w:t>
      </w:r>
    </w:p>
    <w:p>
      <w:pPr>
        <w:spacing w:after="0" w:line="2"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PREMCO, INC.</w:t>
      </w:r>
    </w:p>
    <w:p>
      <w:pPr>
        <w:spacing w:after="0" w:line="9" w:lineRule="exact"/>
        <w:rPr>
          <w:rFonts w:ascii="Arial" w:cs="Arial" w:eastAsia="Arial" w:hAnsi="Arial"/>
          <w:sz w:val="17"/>
          <w:szCs w:val="17"/>
          <w:color w:val="auto"/>
        </w:rPr>
      </w:pPr>
    </w:p>
    <w:p>
      <w:pPr>
        <w:ind w:left="5660" w:right="2260"/>
        <w:spacing w:after="0" w:line="281" w:lineRule="auto"/>
        <w:rPr>
          <w:rFonts w:ascii="Arial" w:cs="Arial" w:eastAsia="Arial" w:hAnsi="Arial"/>
          <w:sz w:val="17"/>
          <w:szCs w:val="17"/>
          <w:color w:val="auto"/>
        </w:rPr>
      </w:pPr>
      <w:r>
        <w:rPr>
          <w:rFonts w:ascii="Arial" w:cs="Arial" w:eastAsia="Arial" w:hAnsi="Arial"/>
          <w:sz w:val="16"/>
          <w:szCs w:val="16"/>
          <w:color w:val="auto"/>
        </w:rPr>
        <w:t>PROFILES INCORPORATED HOLMED, LLC</w:t>
      </w:r>
    </w:p>
    <w:p>
      <w:pPr>
        <w:spacing w:after="0" w:line="1" w:lineRule="exact"/>
        <w:rPr>
          <w:rFonts w:ascii="Arial" w:cs="Arial" w:eastAsia="Arial" w:hAnsi="Arial"/>
          <w:sz w:val="17"/>
          <w:szCs w:val="17"/>
          <w:color w:val="auto"/>
        </w:rPr>
      </w:pPr>
    </w:p>
    <w:p>
      <w:pPr>
        <w:ind w:left="5660" w:right="1960"/>
        <w:spacing w:after="0" w:line="261" w:lineRule="auto"/>
        <w:rPr>
          <w:rFonts w:ascii="Arial" w:cs="Arial" w:eastAsia="Arial" w:hAnsi="Arial"/>
          <w:sz w:val="17"/>
          <w:szCs w:val="17"/>
          <w:color w:val="auto"/>
        </w:rPr>
      </w:pPr>
      <w:r>
        <w:rPr>
          <w:rFonts w:ascii="Arial" w:cs="Arial" w:eastAsia="Arial" w:hAnsi="Arial"/>
          <w:sz w:val="18"/>
          <w:szCs w:val="18"/>
          <w:color w:val="auto"/>
        </w:rPr>
        <w:t>TRIGON INTERNATIONAL LLC DRT MEDICAL, LLC</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 Robert Atkinson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[Third Amendment Signature Page]</w:t>
      </w:r>
    </w:p>
    <w:p>
      <w:pPr>
        <w:sectPr>
          <w:pgSz w:w="11900" w:h="16838" w:orient="portrait"/>
          <w:cols w:equalWidth="0" w:num="1">
            <w:col w:w="10160"/>
          </w:cols>
          <w:pgMar w:left="14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 as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Anika Kirs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219"/>
        <w:spacing w:after="0"/>
        <w:rPr>
          <w:sz w:val="20"/>
          <w:szCs w:val="20"/>
          <w:color w:val="auto"/>
        </w:rPr>
      </w:pPr>
      <w:r>
        <w:rPr>
          <w:rFonts w:ascii="Arial" w:cs="Arial" w:eastAsia="Arial" w:hAnsi="Arial"/>
          <w:sz w:val="18"/>
          <w:szCs w:val="18"/>
          <w:color w:val="auto"/>
        </w:rPr>
        <w:t>[Third Amendment Signature Page]</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4"/>
    </w:lvl>
  </w:abstractNum>
  <w:abstractNum w:abstractNumId="2">
    <w:nsid w:val="3D1B58BA"/>
    <w:multiLevelType w:val="hybridMultilevel"/>
    <w:lvl w:ilvl="0">
      <w:lvlJc w:val="left"/>
      <w:lvlText w:val="%1"/>
      <w:numFmt w:val="lowerLetter"/>
      <w:start w:val="1"/>
    </w:lvl>
    <w:lvl w:ilvl="1">
      <w:lvlJc w:val="left"/>
      <w:lvlText w:val="(%2)"/>
      <w:numFmt w:val="lowerLetter"/>
      <w:start w:val="1"/>
    </w:lvl>
  </w:abstractNum>
  <w:abstractNum w:abstractNumId="3">
    <w:nsid w:val="507ED7AB"/>
    <w:multiLevelType w:val="hybridMultilevel"/>
    <w:lvl w:ilvl="0">
      <w:lvlJc w:val="left"/>
      <w:lvlText w:val="(%1)"/>
      <w:numFmt w:val="lowerLetter"/>
      <w:start w:val="35"/>
    </w:lvl>
    <w:lvl w:ilvl="1">
      <w:lvlJc w:val="left"/>
      <w:lvlText w:val="%2"/>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1"/>
    </w:lvl>
    <w:lvl w:ilvl="1">
      <w:lvlJc w:val="left"/>
      <w:lvlText w:val="(%2)"/>
      <w:numFmt w:val="upperLetter"/>
      <w:start w:val="1"/>
    </w:lvl>
  </w:abstractNum>
  <w:abstractNum w:abstractNumId="6">
    <w:nsid w:val="79E2A9E3"/>
    <w:multiLevelType w:val="hybridMultilevel"/>
    <w:lvl w:ilvl="0">
      <w:lvlJc w:val="left"/>
      <w:lvlText w:val="(%1)"/>
      <w:numFmt w:val="lowerRoman"/>
      <w:start w:val="4"/>
    </w:lvl>
  </w:abstractNum>
  <w:abstractNum w:abstractNumId="7">
    <w:nsid w:val="7545E146"/>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2019-12-29T02:52:34Z</dcterms:created>
  <dcterms:modified xsi:type="dcterms:W3CDTF">2019-12-29T02:52:34Z</dcterms:modified>
</cp:coreProperties>
</file>