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(Rule 13d-102)</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INFORMATION TO BE INCLUDED IN STATEMENTS FILED PURSUANT</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TO RULES 13d-1(b)(c), AND (d) AND AMENDMENTS THERETO FILED</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PURSUANT TO RULE 13d-2(b)</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(Amendment No. 1)</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NN Inc.</w:t>
      </w:r>
    </w:p>
    <w:p>
      <w:pPr>
        <w:spacing w:after="0" w:line="198" w:lineRule="exact"/>
        <w:rPr>
          <w:sz w:val="24"/>
          <w:szCs w:val="24"/>
          <w:color w:val="auto"/>
        </w:rPr>
      </w:pPr>
    </w:p>
    <w:p>
      <w:pPr>
        <w:ind w:left="3521"/>
        <w:spacing w:after="0"/>
        <w:rPr>
          <w:sz w:val="20"/>
          <w:szCs w:val="20"/>
          <w:color w:val="auto"/>
        </w:rPr>
      </w:pPr>
      <w:r>
        <w:rPr>
          <w:rFonts w:ascii="Arial" w:cs="Arial" w:eastAsia="Arial" w:hAnsi="Arial"/>
          <w:sz w:val="20"/>
          <w:szCs w:val="20"/>
          <w:color w:val="auto"/>
        </w:rPr>
        <w:t>____________________________________________</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 no par value</w:t>
      </w:r>
    </w:p>
    <w:p>
      <w:pPr>
        <w:spacing w:after="0" w:line="198" w:lineRule="exact"/>
        <w:rPr>
          <w:sz w:val="24"/>
          <w:szCs w:val="24"/>
          <w:color w:val="auto"/>
        </w:rPr>
      </w:pPr>
    </w:p>
    <w:p>
      <w:pPr>
        <w:ind w:left="3521"/>
        <w:spacing w:after="0"/>
        <w:rPr>
          <w:sz w:val="20"/>
          <w:szCs w:val="20"/>
          <w:color w:val="auto"/>
        </w:rPr>
      </w:pPr>
      <w:r>
        <w:rPr>
          <w:rFonts w:ascii="Arial" w:cs="Arial" w:eastAsia="Arial" w:hAnsi="Arial"/>
          <w:sz w:val="20"/>
          <w:szCs w:val="20"/>
          <w:color w:val="auto"/>
        </w:rPr>
        <w:t>____________________________________________</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629337106</w:t>
      </w:r>
    </w:p>
    <w:p>
      <w:pPr>
        <w:spacing w:after="0" w:line="198" w:lineRule="exact"/>
        <w:rPr>
          <w:sz w:val="24"/>
          <w:szCs w:val="24"/>
          <w:color w:val="auto"/>
        </w:rPr>
      </w:pPr>
    </w:p>
    <w:p>
      <w:pPr>
        <w:ind w:left="4481"/>
        <w:spacing w:after="0"/>
        <w:rPr>
          <w:sz w:val="20"/>
          <w:szCs w:val="20"/>
          <w:color w:val="auto"/>
        </w:rPr>
      </w:pPr>
      <w:r>
        <w:rPr>
          <w:rFonts w:ascii="Arial" w:cs="Arial" w:eastAsia="Arial" w:hAnsi="Arial"/>
          <w:sz w:val="20"/>
          <w:szCs w:val="20"/>
          <w:color w:val="auto"/>
        </w:rPr>
        <w:t>_________________________</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12/31/03</w:t>
      </w:r>
    </w:p>
    <w:p>
      <w:pPr>
        <w:spacing w:after="0" w:line="198" w:lineRule="exact"/>
        <w:rPr>
          <w:sz w:val="24"/>
          <w:szCs w:val="24"/>
          <w:color w:val="auto"/>
        </w:rPr>
      </w:pPr>
    </w:p>
    <w:p>
      <w:pPr>
        <w:ind w:left="4481"/>
        <w:spacing w:after="0"/>
        <w:rPr>
          <w:sz w:val="20"/>
          <w:szCs w:val="20"/>
          <w:color w:val="auto"/>
        </w:rPr>
      </w:pPr>
      <w:r>
        <w:rPr>
          <w:rFonts w:ascii="Arial" w:cs="Arial" w:eastAsia="Arial" w:hAnsi="Arial"/>
          <w:sz w:val="20"/>
          <w:szCs w:val="20"/>
          <w:color w:val="auto"/>
        </w:rPr>
        <w:t>_________________________</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1"/>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05" w:lineRule="exact"/>
        <w:rPr>
          <w:sz w:val="24"/>
          <w:szCs w:val="24"/>
          <w:color w:val="auto"/>
        </w:rPr>
      </w:pPr>
    </w:p>
    <w:p>
      <w:pPr>
        <w:ind w:left="221" w:hanging="221"/>
        <w:spacing w:after="0"/>
        <w:tabs>
          <w:tab w:leader="none" w:pos="221"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13d-1(b)</w:t>
      </w:r>
    </w:p>
    <w:p>
      <w:pPr>
        <w:spacing w:after="0" w:line="192" w:lineRule="exact"/>
        <w:rPr>
          <w:sz w:val="24"/>
          <w:szCs w:val="24"/>
          <w:color w:val="auto"/>
        </w:rPr>
      </w:pPr>
    </w:p>
    <w:p>
      <w:pPr>
        <w:ind w:left="501"/>
        <w:spacing w:after="0"/>
        <w:rPr>
          <w:sz w:val="20"/>
          <w:szCs w:val="20"/>
          <w:color w:val="auto"/>
        </w:rPr>
      </w:pPr>
      <w:r>
        <w:rPr>
          <w:rFonts w:ascii="Arial" w:cs="Arial" w:eastAsia="Arial" w:hAnsi="Arial"/>
          <w:sz w:val="20"/>
          <w:szCs w:val="20"/>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176530</wp:posOffset>
            </wp:positionH>
            <wp:positionV relativeFrom="paragraph">
              <wp:posOffset>-90805</wp:posOffset>
            </wp:positionV>
            <wp:extent cx="64770" cy="64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172" w:lineRule="exact"/>
        <w:rPr>
          <w:sz w:val="24"/>
          <w:szCs w:val="24"/>
          <w:color w:val="auto"/>
        </w:rPr>
      </w:pPr>
    </w:p>
    <w:p>
      <w:pPr>
        <w:ind w:left="1"/>
        <w:spacing w:after="0"/>
        <w:rPr>
          <w:sz w:val="20"/>
          <w:szCs w:val="20"/>
          <w:color w:val="auto"/>
        </w:rPr>
      </w:pPr>
      <w:r>
        <w:rPr>
          <w:rFonts w:ascii="Arial" w:cs="Arial" w:eastAsia="Arial" w:hAnsi="Arial"/>
          <w:sz w:val="20"/>
          <w:szCs w:val="20"/>
          <w:color w:val="auto"/>
        </w:rPr>
        <w:t>o 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328535" cy="37522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8535" cy="3752215"/>
                    </a:xfrm>
                    <a:prstGeom prst="rect">
                      <a:avLst/>
                    </a:prstGeom>
                    <a:noFill/>
                  </pic:spPr>
                </pic:pic>
              </a:graphicData>
            </a:graphic>
          </wp:anchor>
        </w:drawing>
      </w:r>
    </w:p>
    <w:p>
      <w:pPr>
        <w:spacing w:after="0" w:line="291" w:lineRule="exact"/>
        <w:rPr>
          <w:sz w:val="24"/>
          <w:szCs w:val="24"/>
          <w:color w:val="auto"/>
        </w:rPr>
      </w:pPr>
    </w:p>
    <w:p>
      <w:pPr>
        <w:ind w:left="761"/>
        <w:spacing w:after="0"/>
        <w:rPr>
          <w:sz w:val="20"/>
          <w:szCs w:val="20"/>
          <w:color w:val="auto"/>
        </w:rPr>
      </w:pPr>
      <w:r>
        <w:rPr>
          <w:rFonts w:ascii="Arial" w:cs="Arial" w:eastAsia="Arial" w:hAnsi="Arial"/>
          <w:sz w:val="20"/>
          <w:szCs w:val="20"/>
          <w:b w:val="1"/>
          <w:bCs w:val="1"/>
          <w:color w:val="auto"/>
        </w:rPr>
        <w:t>NAMES OF REPORTING PERSONS</w:t>
      </w:r>
    </w:p>
    <w:p>
      <w:pPr>
        <w:spacing w:after="0" w:line="255" w:lineRule="exact"/>
        <w:rPr>
          <w:sz w:val="24"/>
          <w:szCs w:val="24"/>
          <w:color w:val="auto"/>
        </w:rPr>
      </w:pPr>
    </w:p>
    <w:p>
      <w:pPr>
        <w:ind w:left="761" w:hanging="636"/>
        <w:spacing w:after="0"/>
        <w:tabs>
          <w:tab w:leader="none" w:pos="761"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I.R.S. IDENTIFICATION NO. OF ABOVE PERSONS (ENTITIES ONLY)</w:t>
      </w:r>
    </w:p>
    <w:p>
      <w:pPr>
        <w:spacing w:after="0" w:line="272" w:lineRule="exact"/>
        <w:rPr>
          <w:rFonts w:ascii="Arial" w:cs="Arial" w:eastAsia="Arial" w:hAnsi="Arial"/>
          <w:sz w:val="20"/>
          <w:szCs w:val="20"/>
          <w:b w:val="1"/>
          <w:bCs w:val="1"/>
          <w:color w:val="auto"/>
        </w:rPr>
      </w:pPr>
    </w:p>
    <w:p>
      <w:pPr>
        <w:ind w:left="761" w:right="6880"/>
        <w:spacing w:after="0" w:line="257" w:lineRule="auto"/>
        <w:rPr>
          <w:rFonts w:ascii="Arial" w:cs="Arial" w:eastAsia="Arial" w:hAnsi="Arial"/>
          <w:sz w:val="20"/>
          <w:szCs w:val="20"/>
          <w:b w:val="1"/>
          <w:bCs w:val="1"/>
          <w:color w:val="auto"/>
        </w:rPr>
      </w:pPr>
      <w:r>
        <w:rPr>
          <w:rFonts w:ascii="Arial" w:cs="Arial" w:eastAsia="Arial" w:hAnsi="Arial"/>
          <w:sz w:val="20"/>
          <w:szCs w:val="20"/>
          <w:i w:val="1"/>
          <w:iCs w:val="1"/>
          <w:color w:val="auto"/>
        </w:rPr>
        <w:t>State Street Research &amp; Management Company #13-31424135</w:t>
      </w:r>
    </w:p>
    <w:p>
      <w:pPr>
        <w:spacing w:after="0" w:line="159" w:lineRule="exact"/>
        <w:rPr>
          <w:rFonts w:ascii="Arial" w:cs="Arial" w:eastAsia="Arial" w:hAnsi="Arial"/>
          <w:sz w:val="20"/>
          <w:szCs w:val="20"/>
          <w:b w:val="1"/>
          <w:bCs w:val="1"/>
          <w:color w:val="auto"/>
        </w:rPr>
      </w:pPr>
    </w:p>
    <w:p>
      <w:pPr>
        <w:ind w:left="761" w:hanging="636"/>
        <w:spacing w:after="0"/>
        <w:tabs>
          <w:tab w:leader="none" w:pos="761"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CHECK THE APPROPRIATE BOX IF A MEMBER OF A GROUP*</w:t>
      </w:r>
    </w:p>
    <w:p>
      <w:pPr>
        <w:spacing w:after="0" w:line="261" w:lineRule="exact"/>
        <w:rPr>
          <w:sz w:val="24"/>
          <w:szCs w:val="24"/>
          <w:color w:val="auto"/>
        </w:rPr>
      </w:pPr>
    </w:p>
    <w:p>
      <w:pPr>
        <w:ind w:left="10521"/>
        <w:spacing w:after="0"/>
        <w:rPr>
          <w:sz w:val="20"/>
          <w:szCs w:val="20"/>
          <w:color w:val="auto"/>
        </w:rPr>
      </w:pPr>
      <w:r>
        <w:rPr>
          <w:rFonts w:ascii="Arial" w:cs="Arial" w:eastAsia="Arial" w:hAnsi="Arial"/>
          <w:sz w:val="20"/>
          <w:szCs w:val="20"/>
          <w:color w:val="auto"/>
        </w:rPr>
        <w:t>a. o</w:t>
      </w:r>
    </w:p>
    <w:p>
      <w:pPr>
        <w:spacing w:after="0" w:line="192" w:lineRule="exact"/>
        <w:rPr>
          <w:sz w:val="24"/>
          <w:szCs w:val="24"/>
          <w:color w:val="auto"/>
        </w:rPr>
      </w:pPr>
    </w:p>
    <w:p>
      <w:pPr>
        <w:ind w:left="11201"/>
        <w:spacing w:after="0"/>
        <w:rPr>
          <w:sz w:val="20"/>
          <w:szCs w:val="20"/>
          <w:color w:val="auto"/>
        </w:rPr>
      </w:pPr>
      <w:r>
        <w:rPr>
          <w:rFonts w:ascii="Arial" w:cs="Arial" w:eastAsia="Arial" w:hAnsi="Arial"/>
          <w:sz w:val="19"/>
          <w:szCs w:val="19"/>
          <w:color w:val="auto"/>
        </w:rPr>
        <w:t>(b)</w:t>
      </w:r>
    </w:p>
    <w:p>
      <w:pPr>
        <w:spacing w:after="0" w:line="21" w:lineRule="exact"/>
        <w:rPr>
          <w:sz w:val="24"/>
          <w:szCs w:val="24"/>
          <w:color w:val="auto"/>
        </w:rPr>
      </w:pPr>
    </w:p>
    <w:p>
      <w:pPr>
        <w:ind w:left="11201"/>
        <w:spacing w:after="0"/>
        <w:rPr>
          <w:sz w:val="20"/>
          <w:szCs w:val="20"/>
          <w:color w:val="auto"/>
        </w:rPr>
      </w:pPr>
      <w:r>
        <w:rPr>
          <w:rFonts w:ascii="Arial" w:cs="Arial" w:eastAsia="Arial" w:hAnsi="Arial"/>
          <w:sz w:val="20"/>
          <w:szCs w:val="20"/>
          <w:color w:val="auto"/>
        </w:rPr>
        <w:t>o</w:t>
      </w:r>
    </w:p>
    <w:p>
      <w:pPr>
        <w:spacing w:after="0" w:line="382" w:lineRule="exact"/>
        <w:rPr>
          <w:sz w:val="24"/>
          <w:szCs w:val="24"/>
          <w:color w:val="auto"/>
        </w:rPr>
      </w:pPr>
    </w:p>
    <w:p>
      <w:pPr>
        <w:ind w:left="761" w:hanging="636"/>
        <w:spacing w:after="0"/>
        <w:tabs>
          <w:tab w:leader="none" w:pos="761"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SEC USE ONLY</w:t>
      </w:r>
    </w:p>
    <w:p>
      <w:pPr>
        <w:spacing w:after="0" w:line="200" w:lineRule="exact"/>
        <w:rPr>
          <w:rFonts w:ascii="Arial" w:cs="Arial" w:eastAsia="Arial" w:hAnsi="Arial"/>
          <w:sz w:val="20"/>
          <w:szCs w:val="20"/>
          <w:b w:val="1"/>
          <w:bCs w:val="1"/>
          <w:color w:val="auto"/>
        </w:rPr>
      </w:pPr>
    </w:p>
    <w:p>
      <w:pPr>
        <w:spacing w:after="0" w:line="265" w:lineRule="exact"/>
        <w:rPr>
          <w:rFonts w:ascii="Arial" w:cs="Arial" w:eastAsia="Arial" w:hAnsi="Arial"/>
          <w:sz w:val="20"/>
          <w:szCs w:val="20"/>
          <w:b w:val="1"/>
          <w:bCs w:val="1"/>
          <w:color w:val="auto"/>
        </w:rPr>
      </w:pPr>
    </w:p>
    <w:p>
      <w:pPr>
        <w:ind w:left="761" w:right="6340" w:hanging="636"/>
        <w:spacing w:after="0" w:line="447" w:lineRule="auto"/>
        <w:tabs>
          <w:tab w:leader="none" w:pos="761"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CITIZENSHIP OR PLACE OF ORGANIZATION </w:t>
      </w:r>
      <w:r>
        <w:rPr>
          <w:rFonts w:ascii="Arial" w:cs="Arial" w:eastAsia="Arial" w:hAnsi="Arial"/>
          <w:sz w:val="20"/>
          <w:szCs w:val="20"/>
          <w:i w:val="1"/>
          <w:iCs w:val="1"/>
          <w:color w:val="auto"/>
        </w:rPr>
        <w:t>Delaware corporation</w:t>
      </w:r>
    </w:p>
    <w:tbl>
      <w:tblPr>
        <w:tblLayout w:type="fixed"/>
        <w:tblInd w:w="361" w:type="dxa"/>
        <w:tblCellMar>
          <w:top w:w="0" w:type="dxa"/>
          <w:left w:w="0" w:type="dxa"/>
          <w:bottom w:w="0" w:type="dxa"/>
          <w:right w:w="0" w:type="dxa"/>
        </w:tblCellMar>
      </w:tblPr>
      <w:tr>
        <w:trPr>
          <w:trHeight w:val="224"/>
        </w:trPr>
        <w:tc>
          <w:tcPr>
            <w:tcW w:w="1720" w:type="dxa"/>
            <w:vAlign w:val="bottom"/>
          </w:tcPr>
          <w:p>
            <w:pPr>
              <w:jc w:val="center"/>
              <w:ind w:right="121"/>
              <w:spacing w:after="0" w:line="224" w:lineRule="exact"/>
              <w:rPr>
                <w:sz w:val="20"/>
                <w:szCs w:val="20"/>
                <w:color w:val="auto"/>
              </w:rPr>
            </w:pPr>
            <w:r>
              <w:rPr>
                <w:rFonts w:ascii="Arial" w:cs="Arial" w:eastAsia="Arial" w:hAnsi="Arial"/>
                <w:sz w:val="20"/>
                <w:szCs w:val="20"/>
                <w:b w:val="1"/>
                <w:bCs w:val="1"/>
                <w:color w:val="auto"/>
              </w:rPr>
              <w:t>NUMBER OF</w:t>
            </w:r>
          </w:p>
        </w:tc>
        <w:tc>
          <w:tcPr>
            <w:tcW w:w="780" w:type="dxa"/>
            <w:vAlign w:val="bottom"/>
          </w:tcPr>
          <w:p>
            <w:pPr>
              <w:jc w:val="right"/>
              <w:ind w:right="301"/>
              <w:spacing w:after="0" w:line="224" w:lineRule="exact"/>
              <w:rPr>
                <w:sz w:val="20"/>
                <w:szCs w:val="20"/>
                <w:color w:val="auto"/>
              </w:rPr>
            </w:pPr>
            <w:r>
              <w:rPr>
                <w:rFonts w:ascii="Arial" w:cs="Arial" w:eastAsia="Arial" w:hAnsi="Arial"/>
                <w:sz w:val="20"/>
                <w:szCs w:val="20"/>
                <w:b w:val="1"/>
                <w:bCs w:val="1"/>
                <w:color w:val="auto"/>
              </w:rPr>
              <w:t>5.</w:t>
            </w:r>
          </w:p>
        </w:tc>
        <w:tc>
          <w:tcPr>
            <w:tcW w:w="2580" w:type="dxa"/>
            <w:vAlign w:val="bottom"/>
          </w:tcPr>
          <w:p>
            <w:pPr>
              <w:ind w:left="400"/>
              <w:spacing w:after="0" w:line="224" w:lineRule="exact"/>
              <w:rPr>
                <w:sz w:val="20"/>
                <w:szCs w:val="20"/>
                <w:color w:val="auto"/>
              </w:rPr>
            </w:pPr>
            <w:r>
              <w:rPr>
                <w:rFonts w:ascii="Arial" w:cs="Arial" w:eastAsia="Arial" w:hAnsi="Arial"/>
                <w:sz w:val="20"/>
                <w:szCs w:val="20"/>
                <w:b w:val="1"/>
                <w:bCs w:val="1"/>
                <w:color w:val="auto"/>
                <w:w w:val="99"/>
              </w:rPr>
              <w:t>SOLE VOTING POWER</w:t>
            </w:r>
          </w:p>
        </w:tc>
        <w:tc>
          <w:tcPr>
            <w:tcW w:w="0" w:type="dxa"/>
            <w:vAlign w:val="bottom"/>
          </w:tcPr>
          <w:p>
            <w:pPr>
              <w:spacing w:after="0"/>
              <w:rPr>
                <w:sz w:val="1"/>
                <w:szCs w:val="1"/>
                <w:color w:val="auto"/>
              </w:rPr>
            </w:pPr>
          </w:p>
        </w:tc>
      </w:tr>
      <w:tr>
        <w:trPr>
          <w:trHeight w:val="224"/>
        </w:trPr>
        <w:tc>
          <w:tcPr>
            <w:tcW w:w="1720" w:type="dxa"/>
            <w:vAlign w:val="bottom"/>
          </w:tcPr>
          <w:p>
            <w:pPr>
              <w:jc w:val="center"/>
              <w:ind w:right="121"/>
              <w:spacing w:after="0" w:line="224" w:lineRule="exact"/>
              <w:rPr>
                <w:sz w:val="20"/>
                <w:szCs w:val="20"/>
                <w:color w:val="auto"/>
              </w:rPr>
            </w:pPr>
            <w:r>
              <w:rPr>
                <w:rFonts w:ascii="Arial" w:cs="Arial" w:eastAsia="Arial" w:hAnsi="Arial"/>
                <w:sz w:val="20"/>
                <w:szCs w:val="20"/>
                <w:b w:val="1"/>
                <w:bCs w:val="1"/>
                <w:color w:val="auto"/>
                <w:w w:val="93"/>
              </w:rPr>
              <w:t>SHARES</w:t>
            </w:r>
          </w:p>
        </w:tc>
        <w:tc>
          <w:tcPr>
            <w:tcW w:w="780" w:type="dxa"/>
            <w:vAlign w:val="bottom"/>
          </w:tcPr>
          <w:p>
            <w:pPr>
              <w:spacing w:after="0"/>
              <w:rPr>
                <w:sz w:val="19"/>
                <w:szCs w:val="19"/>
                <w:color w:val="auto"/>
              </w:rPr>
            </w:pPr>
          </w:p>
        </w:tc>
        <w:tc>
          <w:tcPr>
            <w:tcW w:w="2580" w:type="dxa"/>
            <w:vAlign w:val="bottom"/>
            <w:vMerge w:val="restart"/>
          </w:tcPr>
          <w:p>
            <w:pPr>
              <w:ind w:left="400"/>
              <w:spacing w:after="0"/>
              <w:rPr>
                <w:sz w:val="20"/>
                <w:szCs w:val="20"/>
                <w:color w:val="auto"/>
              </w:rPr>
            </w:pPr>
            <w:r>
              <w:rPr>
                <w:rFonts w:ascii="Arial" w:cs="Arial" w:eastAsia="Arial" w:hAnsi="Arial"/>
                <w:sz w:val="20"/>
                <w:szCs w:val="20"/>
                <w:i w:val="1"/>
                <w:iCs w:val="1"/>
                <w:color w:val="auto"/>
              </w:rPr>
              <w:t>795,800</w:t>
            </w:r>
          </w:p>
        </w:tc>
        <w:tc>
          <w:tcPr>
            <w:tcW w:w="0" w:type="dxa"/>
            <w:vAlign w:val="bottom"/>
          </w:tcPr>
          <w:p>
            <w:pPr>
              <w:spacing w:after="0"/>
              <w:rPr>
                <w:sz w:val="1"/>
                <w:szCs w:val="1"/>
                <w:color w:val="auto"/>
              </w:rPr>
            </w:pPr>
          </w:p>
        </w:tc>
      </w:tr>
      <w:tr>
        <w:trPr>
          <w:trHeight w:val="259"/>
        </w:trPr>
        <w:tc>
          <w:tcPr>
            <w:tcW w:w="1720" w:type="dxa"/>
            <w:vAlign w:val="bottom"/>
          </w:tcPr>
          <w:p>
            <w:pPr>
              <w:jc w:val="center"/>
              <w:ind w:right="121"/>
              <w:spacing w:after="0"/>
              <w:rPr>
                <w:sz w:val="20"/>
                <w:szCs w:val="20"/>
                <w:color w:val="auto"/>
              </w:rPr>
            </w:pPr>
            <w:r>
              <w:rPr>
                <w:rFonts w:ascii="Arial" w:cs="Arial" w:eastAsia="Arial" w:hAnsi="Arial"/>
                <w:sz w:val="20"/>
                <w:szCs w:val="20"/>
                <w:b w:val="1"/>
                <w:bCs w:val="1"/>
                <w:color w:val="auto"/>
              </w:rPr>
              <w:t>BENEFICIALLY</w:t>
            </w:r>
          </w:p>
        </w:tc>
        <w:tc>
          <w:tcPr>
            <w:tcW w:w="780" w:type="dxa"/>
            <w:vAlign w:val="bottom"/>
          </w:tcPr>
          <w:p>
            <w:pPr>
              <w:spacing w:after="0"/>
              <w:rPr>
                <w:sz w:val="22"/>
                <w:szCs w:val="22"/>
                <w:color w:val="auto"/>
              </w:rPr>
            </w:pPr>
          </w:p>
        </w:tc>
        <w:tc>
          <w:tcPr>
            <w:tcW w:w="2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41"/>
          </w:cols>
          <w:pgMar w:left="239" w:top="214" w:right="219" w:bottom="0" w:gutter="0" w:footer="0" w:header="0"/>
        </w:sectPr>
      </w:pPr>
    </w:p>
    <w:bookmarkStart w:id="1" w:name="page2"/>
    <w:bookmarkEnd w:id="1"/>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119"/>
        </w:trPr>
        <w:tc>
          <w:tcPr>
            <w:tcW w:w="1980" w:type="dxa"/>
            <w:vAlign w:val="bottom"/>
            <w:vMerge w:val="restart"/>
          </w:tcPr>
          <w:p>
            <w:pPr>
              <w:jc w:val="center"/>
              <w:ind w:right="141"/>
              <w:spacing w:after="0"/>
              <w:rPr>
                <w:sz w:val="20"/>
                <w:szCs w:val="20"/>
                <w:color w:val="auto"/>
              </w:rPr>
            </w:pPr>
            <w:r>
              <w:rPr>
                <w:rFonts w:ascii="Arial" w:cs="Arial" w:eastAsia="Arial" w:hAnsi="Arial"/>
                <w:sz w:val="20"/>
                <w:szCs w:val="20"/>
                <w:b w:val="1"/>
                <w:bCs w:val="1"/>
                <w:color w:val="auto"/>
              </w:rPr>
              <w:t>OWNED BY EACH</w:t>
            </w: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8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80" w:type="dxa"/>
            <w:vAlign w:val="bottom"/>
            <w:vMerge w:val="continue"/>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1980" w:type="dxa"/>
            <w:vAlign w:val="bottom"/>
            <w:vMerge w:val="continue"/>
          </w:tcPr>
          <w:p>
            <w:pPr>
              <w:spacing w:after="0"/>
              <w:rPr>
                <w:sz w:val="4"/>
                <w:szCs w:val="4"/>
                <w:color w:val="auto"/>
              </w:rPr>
            </w:pPr>
          </w:p>
        </w:tc>
        <w:tc>
          <w:tcPr>
            <w:tcW w:w="920" w:type="dxa"/>
            <w:vAlign w:val="bottom"/>
            <w:vMerge w:val="restart"/>
          </w:tcPr>
          <w:p>
            <w:pPr>
              <w:jc w:val="right"/>
              <w:ind w:right="581"/>
              <w:spacing w:after="0"/>
              <w:rPr>
                <w:sz w:val="20"/>
                <w:szCs w:val="20"/>
                <w:color w:val="auto"/>
              </w:rPr>
            </w:pPr>
            <w:r>
              <w:rPr>
                <w:rFonts w:ascii="Arial" w:cs="Arial" w:eastAsia="Arial" w:hAnsi="Arial"/>
                <w:sz w:val="20"/>
                <w:szCs w:val="20"/>
                <w:b w:val="1"/>
                <w:bCs w:val="1"/>
                <w:color w:val="auto"/>
              </w:rPr>
              <w:t>6.</w:t>
            </w:r>
          </w:p>
        </w:tc>
        <w:tc>
          <w:tcPr>
            <w:tcW w:w="20" w:type="dxa"/>
            <w:vAlign w:val="bottom"/>
          </w:tcPr>
          <w:p>
            <w:pPr>
              <w:spacing w:after="0"/>
              <w:rPr>
                <w:sz w:val="4"/>
                <w:szCs w:val="4"/>
                <w:color w:val="auto"/>
              </w:rPr>
            </w:pPr>
          </w:p>
        </w:tc>
        <w:tc>
          <w:tcPr>
            <w:tcW w:w="834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SHARED VOTING POWER</w:t>
            </w:r>
          </w:p>
        </w:tc>
        <w:tc>
          <w:tcPr>
            <w:tcW w:w="0" w:type="dxa"/>
            <w:vAlign w:val="bottom"/>
          </w:tcPr>
          <w:p>
            <w:pPr>
              <w:spacing w:after="0"/>
              <w:rPr>
                <w:sz w:val="1"/>
                <w:szCs w:val="1"/>
                <w:color w:val="auto"/>
              </w:rPr>
            </w:pPr>
          </w:p>
        </w:tc>
      </w:tr>
      <w:tr>
        <w:trPr>
          <w:trHeight w:val="224"/>
        </w:trPr>
        <w:tc>
          <w:tcPr>
            <w:tcW w:w="1980" w:type="dxa"/>
            <w:vAlign w:val="bottom"/>
          </w:tcPr>
          <w:p>
            <w:pPr>
              <w:jc w:val="center"/>
              <w:ind w:right="141"/>
              <w:spacing w:after="0" w:line="224" w:lineRule="exact"/>
              <w:rPr>
                <w:sz w:val="20"/>
                <w:szCs w:val="20"/>
                <w:color w:val="auto"/>
              </w:rPr>
            </w:pPr>
            <w:r>
              <w:rPr>
                <w:rFonts w:ascii="Arial" w:cs="Arial" w:eastAsia="Arial" w:hAnsi="Arial"/>
                <w:sz w:val="20"/>
                <w:szCs w:val="20"/>
                <w:b w:val="1"/>
                <w:bCs w:val="1"/>
                <w:color w:val="auto"/>
                <w:w w:val="99"/>
              </w:rPr>
              <w:t>REPORTING</w:t>
            </w: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980" w:type="dxa"/>
            <w:vAlign w:val="bottom"/>
          </w:tcPr>
          <w:p>
            <w:pPr>
              <w:jc w:val="center"/>
              <w:ind w:right="141"/>
              <w:spacing w:after="0"/>
              <w:rPr>
                <w:sz w:val="20"/>
                <w:szCs w:val="20"/>
                <w:color w:val="auto"/>
              </w:rPr>
            </w:pPr>
            <w:r>
              <w:rPr>
                <w:rFonts w:ascii="Arial" w:cs="Arial" w:eastAsia="Arial" w:hAnsi="Arial"/>
                <w:sz w:val="20"/>
                <w:szCs w:val="20"/>
                <w:b w:val="1"/>
                <w:bCs w:val="1"/>
                <w:color w:val="auto"/>
              </w:rPr>
              <w:t>PERSON WITH</w:t>
            </w:r>
          </w:p>
        </w:tc>
        <w:tc>
          <w:tcPr>
            <w:tcW w:w="920" w:type="dxa"/>
            <w:vAlign w:val="bottom"/>
          </w:tcPr>
          <w:p>
            <w:pPr>
              <w:spacing w:after="0"/>
              <w:rPr>
                <w:sz w:val="22"/>
                <w:szCs w:val="22"/>
                <w:color w:val="auto"/>
              </w:rPr>
            </w:pPr>
          </w:p>
        </w:tc>
        <w:tc>
          <w:tcPr>
            <w:tcW w:w="8360" w:type="dxa"/>
            <w:vAlign w:val="bottom"/>
            <w:gridSpan w:val="2"/>
            <w:vMerge w:val="restart"/>
          </w:tcPr>
          <w:p>
            <w:pPr>
              <w:ind w:left="120"/>
              <w:spacing w:after="0"/>
              <w:rPr>
                <w:sz w:val="20"/>
                <w:szCs w:val="20"/>
                <w:color w:val="auto"/>
              </w:rPr>
            </w:pPr>
            <w:r>
              <w:rPr>
                <w:rFonts w:ascii="Arial" w:cs="Arial" w:eastAsia="Arial" w:hAnsi="Arial"/>
                <w:sz w:val="20"/>
                <w:szCs w:val="20"/>
                <w:i w:val="1"/>
                <w:iCs w:val="1"/>
                <w:color w:val="auto"/>
              </w:rPr>
              <w:t>0</w:t>
            </w:r>
          </w:p>
        </w:tc>
        <w:tc>
          <w:tcPr>
            <w:tcW w:w="0" w:type="dxa"/>
            <w:vAlign w:val="bottom"/>
          </w:tcPr>
          <w:p>
            <w:pPr>
              <w:spacing w:after="0"/>
              <w:rPr>
                <w:sz w:val="1"/>
                <w:szCs w:val="1"/>
                <w:color w:val="auto"/>
              </w:rPr>
            </w:pPr>
          </w:p>
        </w:tc>
      </w:tr>
      <w:tr>
        <w:trPr>
          <w:trHeight w:val="248"/>
        </w:trPr>
        <w:tc>
          <w:tcPr>
            <w:tcW w:w="1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3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-589915</wp:posOffset>
            </wp:positionV>
            <wp:extent cx="732853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28535" cy="10515600"/>
                    </a:xfrm>
                    <a:prstGeom prst="rect">
                      <a:avLst/>
                    </a:prstGeom>
                    <a:noFill/>
                  </pic:spPr>
                </pic:pic>
              </a:graphicData>
            </a:graphic>
          </wp:anchor>
        </w:drawing>
      </w:r>
    </w:p>
    <w:p>
      <w:pPr>
        <w:spacing w:after="0" w:line="354" w:lineRule="exact"/>
        <w:rPr>
          <w:sz w:val="20"/>
          <w:szCs w:val="20"/>
          <w:color w:val="auto"/>
        </w:rPr>
      </w:pPr>
    </w:p>
    <w:p>
      <w:pPr>
        <w:ind w:left="3260" w:right="5580" w:hanging="950"/>
        <w:spacing w:after="0" w:line="536" w:lineRule="auto"/>
        <w:tabs>
          <w:tab w:leader="none" w:pos="3260" w:val="left"/>
        </w:tabs>
        <w:numPr>
          <w:ilvl w:val="1"/>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SOLE DISPOSITIVE POWER </w:t>
      </w:r>
      <w:r>
        <w:rPr>
          <w:rFonts w:ascii="Arial" w:cs="Arial" w:eastAsia="Arial" w:hAnsi="Arial"/>
          <w:sz w:val="20"/>
          <w:szCs w:val="20"/>
          <w:b w:val="1"/>
          <w:bCs w:val="1"/>
          <w:i w:val="1"/>
          <w:iCs w:val="1"/>
          <w:color w:val="auto"/>
        </w:rPr>
        <w:t>795,800</w:t>
      </w:r>
    </w:p>
    <w:p>
      <w:pPr>
        <w:spacing w:after="0" w:line="165" w:lineRule="exact"/>
        <w:rPr>
          <w:rFonts w:ascii="Arial" w:cs="Arial" w:eastAsia="Arial" w:hAnsi="Arial"/>
          <w:sz w:val="20"/>
          <w:szCs w:val="20"/>
          <w:b w:val="1"/>
          <w:bCs w:val="1"/>
          <w:color w:val="auto"/>
        </w:rPr>
      </w:pPr>
    </w:p>
    <w:p>
      <w:pPr>
        <w:ind w:left="3260" w:right="5280" w:hanging="950"/>
        <w:spacing w:after="0" w:line="471" w:lineRule="auto"/>
        <w:tabs>
          <w:tab w:leader="none" w:pos="3260" w:val="left"/>
        </w:tabs>
        <w:numPr>
          <w:ilvl w:val="1"/>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SHARED DISPOSITIVE POWER </w:t>
      </w:r>
      <w:r>
        <w:rPr>
          <w:rFonts w:ascii="Arial" w:cs="Arial" w:eastAsia="Arial" w:hAnsi="Arial"/>
          <w:sz w:val="20"/>
          <w:szCs w:val="20"/>
          <w:i w:val="1"/>
          <w:iCs w:val="1"/>
          <w:color w:val="auto"/>
        </w:rPr>
        <w:t>0</w:t>
      </w:r>
    </w:p>
    <w:p>
      <w:pPr>
        <w:spacing w:after="0" w:line="153" w:lineRule="exact"/>
        <w:rPr>
          <w:rFonts w:ascii="Arial" w:cs="Arial" w:eastAsia="Arial" w:hAnsi="Arial"/>
          <w:sz w:val="20"/>
          <w:szCs w:val="20"/>
          <w:b w:val="1"/>
          <w:bCs w:val="1"/>
          <w:color w:val="auto"/>
        </w:rPr>
      </w:pPr>
    </w:p>
    <w:p>
      <w:pPr>
        <w:ind w:left="760" w:right="3080" w:hanging="636"/>
        <w:spacing w:after="0" w:line="534" w:lineRule="auto"/>
        <w:tabs>
          <w:tab w:leader="none" w:pos="76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AGGREGATE AMOUNT BENEFICIALLY OWNED BY EACH REPORTING PERSON </w:t>
      </w:r>
      <w:r>
        <w:rPr>
          <w:rFonts w:ascii="Arial" w:cs="Arial" w:eastAsia="Arial" w:hAnsi="Arial"/>
          <w:sz w:val="20"/>
          <w:szCs w:val="20"/>
          <w:i w:val="1"/>
          <w:iCs w:val="1"/>
          <w:color w:val="auto"/>
        </w:rPr>
        <w:t>795,800</w:t>
      </w:r>
    </w:p>
    <w:p>
      <w:pPr>
        <w:spacing w:after="0"/>
        <w:rPr>
          <w:sz w:val="20"/>
          <w:szCs w:val="20"/>
          <w:color w:val="auto"/>
        </w:rPr>
      </w:pPr>
      <w:r>
        <w:rPr>
          <w:sz w:val="1"/>
          <w:szCs w:val="1"/>
          <w:color w:val="auto"/>
        </w:rPr>
        <w:drawing>
          <wp:inline distT="0" distB="0" distL="0" distR="0">
            <wp:extent cx="33020" cy="266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266700"/>
                    </a:xfrm>
                    <a:prstGeom prst="rect">
                      <a:avLst/>
                    </a:prstGeom>
                    <a:noFill/>
                    <a:ln>
                      <a:noFill/>
                    </a:ln>
                  </pic:spPr>
                </pic:pic>
              </a:graphicData>
            </a:graphic>
          </wp:inline>
        </w:drawing>
      </w:r>
      <w:r>
        <w:rPr>
          <w:rFonts w:ascii="Arial" w:cs="Arial" w:eastAsia="Arial" w:hAnsi="Arial"/>
          <w:sz w:val="20"/>
          <w:szCs w:val="20"/>
          <w:b w:val="1"/>
          <w:bCs w:val="1"/>
          <w:color w:val="auto"/>
        </w:rPr>
        <w:t xml:space="preserve"> 10.   </w:t>
      </w:r>
      <w:r>
        <w:rPr>
          <w:sz w:val="1"/>
          <w:szCs w:val="1"/>
          <w:color w:val="auto"/>
        </w:rPr>
        <w:drawing>
          <wp:inline distT="0" distB="0" distL="0" distR="0">
            <wp:extent cx="48895" cy="266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895" cy="266700"/>
                    </a:xfrm>
                    <a:prstGeom prst="rect">
                      <a:avLst/>
                    </a:prstGeom>
                    <a:noFill/>
                    <a:ln>
                      <a:noFill/>
                    </a:ln>
                  </pic:spPr>
                </pic:pic>
              </a:graphicData>
            </a:graphic>
          </wp:inline>
        </w:drawing>
      </w:r>
      <w:r>
        <w:rPr>
          <w:rFonts w:ascii="Arial" w:cs="Arial" w:eastAsia="Arial" w:hAnsi="Arial"/>
          <w:sz w:val="20"/>
          <w:szCs w:val="20"/>
          <w:b w:val="1"/>
          <w:bCs w:val="1"/>
          <w:color w:val="auto"/>
        </w:rPr>
        <w:t xml:space="preserve"> CHECK BOX IF AGGREGATE AMOUNT IN ROW (9) EXCLUDES CERTAIN SHARES o</w:t>
      </w:r>
    </w:p>
    <w:p>
      <w:pPr>
        <w:spacing w:after="0" w:line="67" w:lineRule="exact"/>
        <w:rPr>
          <w:sz w:val="20"/>
          <w:szCs w:val="20"/>
          <w:color w:val="auto"/>
        </w:rPr>
      </w:pPr>
    </w:p>
    <w:p>
      <w:pPr>
        <w:ind w:left="760" w:right="4860" w:hanging="636"/>
        <w:spacing w:after="0" w:line="263" w:lineRule="auto"/>
        <w:tabs>
          <w:tab w:leader="none" w:pos="76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PERCENT OF CLASS REPRESENTED BY AMOUNT IN ROW (9) </w:t>
      </w:r>
      <w:r>
        <w:rPr>
          <w:rFonts w:ascii="Arial" w:cs="Arial" w:eastAsia="Arial" w:hAnsi="Arial"/>
          <w:sz w:val="20"/>
          <w:szCs w:val="20"/>
          <w:i w:val="1"/>
          <w:iCs w:val="1"/>
          <w:color w:val="auto"/>
        </w:rPr>
        <w:t>4.76%</w:t>
      </w:r>
    </w:p>
    <w:p>
      <w:pPr>
        <w:spacing w:after="0" w:line="353" w:lineRule="exact"/>
        <w:rPr>
          <w:rFonts w:ascii="Arial" w:cs="Arial" w:eastAsia="Arial" w:hAnsi="Arial"/>
          <w:sz w:val="20"/>
          <w:szCs w:val="20"/>
          <w:b w:val="1"/>
          <w:bCs w:val="1"/>
          <w:color w:val="auto"/>
        </w:rPr>
      </w:pPr>
    </w:p>
    <w:p>
      <w:pPr>
        <w:ind w:left="760" w:right="7780" w:hanging="636"/>
        <w:spacing w:after="0" w:line="447" w:lineRule="auto"/>
        <w:tabs>
          <w:tab w:leader="none" w:pos="76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TYPE OF REPORTING PERSON </w:t>
      </w:r>
      <w:r>
        <w:rPr>
          <w:rFonts w:ascii="Arial" w:cs="Arial" w:eastAsia="Arial" w:hAnsi="Arial"/>
          <w:sz w:val="20"/>
          <w:szCs w:val="20"/>
          <w:i w:val="1"/>
          <w:iCs w:val="1"/>
          <w:color w:val="auto"/>
        </w:rPr>
        <w:t>IA</w:t>
      </w:r>
    </w:p>
    <w:p>
      <w:pPr>
        <w:sectPr>
          <w:pgSz w:w="11900" w:h="16838" w:orient="portrait"/>
          <w:cols w:equalWidth="0" w:num="1">
            <w:col w:w="11500"/>
          </w:cols>
          <w:pgMar w:left="240" w:top="108" w:right="159" w:bottom="0" w:gutter="0" w:footer="0" w:header="0"/>
        </w:sectPr>
      </w:pP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1(a).</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Item 2(a).</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Item 2(e).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Name of Issuer: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NN Inc.</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Address of Issuers Principal Executive Offices: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2000 Waters Edge Dr.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Bldg. C Ste. 12</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37604</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 of Person Filing:</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State Street Research &amp; Management Company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Address of Principal Business Office, or if None, Residence: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One Financial Center, 31st Floor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Boston, MA 02111-2690</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Citizenship</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Delaware corporation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Title of Class of Securities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CUSIP Number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629337106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This Statement is Filed Pursuant to Rule 13d-1(b), or 13d-2(b) or (c), Check Whether the Person Filing is a:</w:t>
      </w:r>
    </w:p>
    <w:p>
      <w:pPr>
        <w:spacing w:after="0" w:line="284" w:lineRule="exact"/>
        <w:rPr>
          <w:sz w:val="20"/>
          <w:szCs w:val="20"/>
          <w:color w:val="auto"/>
        </w:rPr>
      </w:pPr>
    </w:p>
    <w:p>
      <w:pPr>
        <w:ind w:left="280" w:hanging="274"/>
        <w:spacing w:after="0"/>
        <w:tabs>
          <w:tab w:leader="none" w:pos="280" w:val="left"/>
        </w:tabs>
        <w:numPr>
          <w:ilvl w:val="0"/>
          <w:numId w:val="7"/>
        </w:numPr>
        <w:rPr>
          <w:rFonts w:ascii="Arial" w:cs="Arial" w:eastAsia="Arial" w:hAnsi="Arial"/>
          <w:sz w:val="20"/>
          <w:szCs w:val="20"/>
          <w:color w:val="auto"/>
        </w:rPr>
      </w:pPr>
      <w:r>
        <w:rPr>
          <w:rFonts w:ascii="Arial" w:cs="Arial" w:eastAsia="Arial" w:hAnsi="Arial"/>
          <w:sz w:val="20"/>
          <w:szCs w:val="20"/>
          <w:color w:val="auto"/>
        </w:rPr>
        <w:t>o Broker or dealer registered under Section 15 of the Exchange Act.</w:t>
      </w:r>
    </w:p>
    <w:p>
      <w:pPr>
        <w:spacing w:after="0" w:line="192" w:lineRule="exact"/>
        <w:rPr>
          <w:rFonts w:ascii="Arial" w:cs="Arial" w:eastAsia="Arial" w:hAnsi="Arial"/>
          <w:sz w:val="20"/>
          <w:szCs w:val="20"/>
          <w:color w:val="auto"/>
        </w:rPr>
      </w:pPr>
    </w:p>
    <w:p>
      <w:pPr>
        <w:ind w:left="280" w:hanging="274"/>
        <w:spacing w:after="0"/>
        <w:tabs>
          <w:tab w:leader="none" w:pos="280" w:val="left"/>
        </w:tabs>
        <w:numPr>
          <w:ilvl w:val="0"/>
          <w:numId w:val="7"/>
        </w:numPr>
        <w:rPr>
          <w:rFonts w:ascii="Arial" w:cs="Arial" w:eastAsia="Arial" w:hAnsi="Arial"/>
          <w:sz w:val="20"/>
          <w:szCs w:val="20"/>
          <w:color w:val="auto"/>
        </w:rPr>
      </w:pPr>
      <w:r>
        <w:rPr>
          <w:rFonts w:ascii="Arial" w:cs="Arial" w:eastAsia="Arial" w:hAnsi="Arial"/>
          <w:sz w:val="20"/>
          <w:szCs w:val="20"/>
          <w:color w:val="auto"/>
        </w:rPr>
        <w:t>o Bank as defined in Section 3(a)(6) of the Exchange Act.</w:t>
      </w:r>
    </w:p>
    <w:p>
      <w:pPr>
        <w:spacing w:after="0" w:line="192" w:lineRule="exact"/>
        <w:rPr>
          <w:rFonts w:ascii="Arial" w:cs="Arial" w:eastAsia="Arial" w:hAnsi="Arial"/>
          <w:sz w:val="20"/>
          <w:szCs w:val="20"/>
          <w:color w:val="auto"/>
        </w:rPr>
      </w:pPr>
    </w:p>
    <w:p>
      <w:pPr>
        <w:ind w:left="280" w:hanging="274"/>
        <w:spacing w:after="0"/>
        <w:tabs>
          <w:tab w:leader="none" w:pos="280" w:val="left"/>
        </w:tabs>
        <w:numPr>
          <w:ilvl w:val="0"/>
          <w:numId w:val="7"/>
        </w:numPr>
        <w:rPr>
          <w:rFonts w:ascii="Arial" w:cs="Arial" w:eastAsia="Arial" w:hAnsi="Arial"/>
          <w:sz w:val="20"/>
          <w:szCs w:val="20"/>
          <w:color w:val="auto"/>
        </w:rPr>
      </w:pPr>
      <w:r>
        <w:rPr>
          <w:rFonts w:ascii="Arial" w:cs="Arial" w:eastAsia="Arial" w:hAnsi="Arial"/>
          <w:sz w:val="20"/>
          <w:szCs w:val="20"/>
          <w:color w:val="auto"/>
        </w:rPr>
        <w:t>o Insurance Company registered under Section 3(a)(19) of the Exchange Act.</w:t>
      </w:r>
    </w:p>
    <w:p>
      <w:pPr>
        <w:spacing w:after="0" w:line="192" w:lineRule="exact"/>
        <w:rPr>
          <w:rFonts w:ascii="Arial" w:cs="Arial" w:eastAsia="Arial" w:hAnsi="Arial"/>
          <w:sz w:val="20"/>
          <w:szCs w:val="20"/>
          <w:color w:val="auto"/>
        </w:rPr>
      </w:pPr>
    </w:p>
    <w:p>
      <w:pPr>
        <w:ind w:left="280" w:hanging="274"/>
        <w:spacing w:after="0"/>
        <w:tabs>
          <w:tab w:leader="none" w:pos="280" w:val="left"/>
        </w:tabs>
        <w:numPr>
          <w:ilvl w:val="0"/>
          <w:numId w:val="7"/>
        </w:numPr>
        <w:rPr>
          <w:rFonts w:ascii="Arial" w:cs="Arial" w:eastAsia="Arial" w:hAnsi="Arial"/>
          <w:sz w:val="20"/>
          <w:szCs w:val="20"/>
          <w:color w:val="auto"/>
        </w:rPr>
      </w:pPr>
      <w:r>
        <w:rPr>
          <w:rFonts w:ascii="Arial" w:cs="Arial" w:eastAsia="Arial" w:hAnsi="Arial"/>
          <w:sz w:val="20"/>
          <w:szCs w:val="20"/>
          <w:color w:val="auto"/>
        </w:rPr>
        <w:t>o Investment company registered under Section 8 of the Investment Company Act.</w:t>
      </w:r>
    </w:p>
    <w:p>
      <w:pPr>
        <w:spacing w:after="0" w:line="167" w:lineRule="exact"/>
        <w:rPr>
          <w:rFonts w:ascii="Arial" w:cs="Arial" w:eastAsia="Arial" w:hAnsi="Arial"/>
          <w:sz w:val="20"/>
          <w:szCs w:val="20"/>
          <w:color w:val="auto"/>
        </w:rPr>
      </w:pPr>
    </w:p>
    <w:p>
      <w:pPr>
        <w:ind w:left="280" w:hanging="274"/>
        <w:spacing w:after="0" w:line="230" w:lineRule="exact"/>
        <w:tabs>
          <w:tab w:leader="none" w:pos="28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p>
      <w:pPr>
        <w:sectPr>
          <w:pgSz w:w="11900" w:h="16838" w:orient="portrait"/>
          <w:cols w:equalWidth="0" w:num="2">
            <w:col w:w="1000" w:space="360"/>
            <w:col w:w="10140"/>
          </w:cols>
          <w:pgMar w:left="240" w:top="108" w:right="159" w:bottom="0" w:gutter="0" w:footer="0" w:header="0"/>
          <w:type w:val="continuous"/>
        </w:sectPr>
      </w:pPr>
    </w:p>
    <w:bookmarkStart w:id="2" w:name="page3"/>
    <w:bookmarkEnd w:id="2"/>
    <w:p>
      <w:pPr>
        <w:ind w:left="2600" w:hanging="240"/>
        <w:spacing w:after="0"/>
        <w:tabs>
          <w:tab w:leader="none" w:pos="260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An employee benefit plan or endowment fund in accordance with Rule 13d-1(b)(1)(ii)(F);</w:t>
      </w:r>
    </w:p>
    <w:p>
      <w:pPr>
        <w:spacing w:after="0" w:line="193" w:lineRule="exact"/>
        <w:rPr>
          <w:rFonts w:ascii="Arial" w:cs="Arial" w:eastAsia="Arial" w:hAnsi="Arial"/>
          <w:sz w:val="20"/>
          <w:szCs w:val="20"/>
          <w:color w:val="auto"/>
        </w:rPr>
      </w:pPr>
    </w:p>
    <w:p>
      <w:pPr>
        <w:ind w:left="2640" w:hanging="280"/>
        <w:spacing w:after="0"/>
        <w:tabs>
          <w:tab w:leader="none" w:pos="2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A parent holding company or control person in accordance with Rule 13d-1(b)(1)(ii)(G);</w:t>
      </w:r>
    </w:p>
    <w:p>
      <w:pPr>
        <w:spacing w:after="0" w:line="192" w:lineRule="exact"/>
        <w:rPr>
          <w:rFonts w:ascii="Arial" w:cs="Arial" w:eastAsia="Arial" w:hAnsi="Arial"/>
          <w:sz w:val="20"/>
          <w:szCs w:val="20"/>
          <w:color w:val="auto"/>
        </w:rPr>
      </w:pPr>
    </w:p>
    <w:p>
      <w:pPr>
        <w:ind w:left="2640" w:hanging="280"/>
        <w:spacing w:after="0"/>
        <w:tabs>
          <w:tab w:leader="none" w:pos="2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A savings association as defined in Section 3(b) of the Federal Deposit Insurance Act;</w:t>
      </w:r>
    </w:p>
    <w:p>
      <w:pPr>
        <w:spacing w:after="0" w:line="192" w:lineRule="exact"/>
        <w:rPr>
          <w:rFonts w:ascii="Arial" w:cs="Arial" w:eastAsia="Arial" w:hAnsi="Arial"/>
          <w:sz w:val="20"/>
          <w:szCs w:val="20"/>
          <w:color w:val="auto"/>
        </w:rPr>
      </w:pPr>
    </w:p>
    <w:p>
      <w:pPr>
        <w:ind w:left="2360" w:right="180"/>
        <w:spacing w:after="0" w:line="257" w:lineRule="auto"/>
        <w:tabs>
          <w:tab w:leader="none" w:pos="2597" w:val="left"/>
        </w:tabs>
        <w:numPr>
          <w:ilvl w:val="0"/>
          <w:numId w:val="8"/>
        </w:numPr>
        <w:rPr>
          <w:rFonts w:ascii="Arial" w:cs="Arial" w:eastAsia="Arial" w:hAnsi="Arial"/>
          <w:sz w:val="20"/>
          <w:szCs w:val="20"/>
          <w:color w:val="auto"/>
        </w:rPr>
      </w:pPr>
      <w:r>
        <w:rPr>
          <w:rFonts w:ascii="Arial" w:cs="Arial" w:eastAsia="Arial" w:hAnsi="Arial"/>
          <w:sz w:val="20"/>
          <w:szCs w:val="20"/>
          <w:color w:val="auto"/>
        </w:rPr>
        <w:t>o A church plan that is excluded from the definition of an investment company under Section 3(c)(14) of the Investment Company Act;</w:t>
      </w:r>
    </w:p>
    <w:p>
      <w:pPr>
        <w:spacing w:after="0" w:line="153" w:lineRule="exact"/>
        <w:rPr>
          <w:rFonts w:ascii="Arial" w:cs="Arial" w:eastAsia="Arial" w:hAnsi="Arial"/>
          <w:sz w:val="20"/>
          <w:szCs w:val="20"/>
          <w:color w:val="auto"/>
        </w:rPr>
      </w:pPr>
    </w:p>
    <w:p>
      <w:pPr>
        <w:ind w:left="2600" w:hanging="240"/>
        <w:spacing w:after="0"/>
        <w:tabs>
          <w:tab w:leader="none" w:pos="260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-1348105</wp:posOffset>
            </wp:positionV>
            <wp:extent cx="7328535" cy="1574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8535" cy="15748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 xml:space="preserve">Item 4. </w:t>
      </w:r>
      <w:r>
        <w:rPr>
          <w:rFonts w:ascii="Arial" w:cs="Arial" w:eastAsia="Arial" w:hAnsi="Arial"/>
          <w:sz w:val="20"/>
          <w:szCs w:val="20"/>
          <w:color w:val="auto"/>
        </w:rPr>
        <w:t>Ownership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96" w:lineRule="exact"/>
        <w:rPr>
          <w:sz w:val="20"/>
          <w:szCs w:val="20"/>
          <w:color w:val="auto"/>
        </w:rPr>
      </w:pPr>
    </w:p>
    <w:p>
      <w:pPr>
        <w:ind w:left="360" w:hanging="274"/>
        <w:spacing w:after="0"/>
        <w:tabs>
          <w:tab w:leader="none" w:pos="3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Amount beneficially owned: </w:t>
      </w:r>
      <w:r>
        <w:rPr>
          <w:rFonts w:ascii="Arial" w:cs="Arial" w:eastAsia="Arial" w:hAnsi="Arial"/>
          <w:sz w:val="20"/>
          <w:szCs w:val="20"/>
          <w:i w:val="1"/>
          <w:iCs w:val="1"/>
          <w:color w:val="auto"/>
        </w:rPr>
        <w:t>795,800</w:t>
      </w:r>
    </w:p>
    <w:p>
      <w:pPr>
        <w:spacing w:after="0" w:line="167" w:lineRule="exact"/>
        <w:rPr>
          <w:rFonts w:ascii="Arial" w:cs="Arial" w:eastAsia="Arial" w:hAnsi="Arial"/>
          <w:sz w:val="20"/>
          <w:szCs w:val="20"/>
          <w:b w:val="1"/>
          <w:bCs w:val="1"/>
          <w:color w:val="auto"/>
        </w:rPr>
      </w:pPr>
    </w:p>
    <w:p>
      <w:pPr>
        <w:ind w:left="380" w:hanging="294"/>
        <w:spacing w:after="0"/>
        <w:tabs>
          <w:tab w:leader="none" w:pos="3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Percent of Class: </w:t>
      </w:r>
      <w:r>
        <w:rPr>
          <w:rFonts w:ascii="Arial" w:cs="Arial" w:eastAsia="Arial" w:hAnsi="Arial"/>
          <w:sz w:val="20"/>
          <w:szCs w:val="20"/>
          <w:i w:val="1"/>
          <w:iCs w:val="1"/>
          <w:color w:val="auto"/>
        </w:rPr>
        <w:t>4.76%</w:t>
      </w:r>
    </w:p>
    <w:p>
      <w:pPr>
        <w:spacing w:after="0" w:line="167" w:lineRule="exact"/>
        <w:rPr>
          <w:rFonts w:ascii="Arial" w:cs="Arial" w:eastAsia="Arial" w:hAnsi="Arial"/>
          <w:sz w:val="20"/>
          <w:szCs w:val="20"/>
          <w:b w:val="1"/>
          <w:bCs w:val="1"/>
          <w:color w:val="auto"/>
        </w:rPr>
      </w:pPr>
    </w:p>
    <w:p>
      <w:pPr>
        <w:ind w:left="360" w:hanging="274"/>
        <w:spacing w:after="0"/>
        <w:tabs>
          <w:tab w:leader="none" w:pos="3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Number of shares as to which such person has:</w:t>
      </w:r>
    </w:p>
    <w:p>
      <w:pPr>
        <w:spacing w:after="0" w:line="372" w:lineRule="exact"/>
        <w:rPr>
          <w:rFonts w:ascii="Arial" w:cs="Arial" w:eastAsia="Arial" w:hAnsi="Arial"/>
          <w:sz w:val="20"/>
          <w:szCs w:val="20"/>
          <w:b w:val="1"/>
          <w:bCs w:val="1"/>
          <w:color w:val="auto"/>
        </w:rPr>
      </w:pPr>
    </w:p>
    <w:p>
      <w:pPr>
        <w:ind w:left="820" w:hanging="237"/>
        <w:spacing w:after="0"/>
        <w:tabs>
          <w:tab w:leader="none" w:pos="820" w:val="left"/>
        </w:tabs>
        <w:numPr>
          <w:ilvl w:val="1"/>
          <w:numId w:val="9"/>
        </w:numPr>
        <w:rPr>
          <w:rFonts w:ascii="Arial" w:cs="Arial" w:eastAsia="Arial" w:hAnsi="Arial"/>
          <w:sz w:val="20"/>
          <w:szCs w:val="20"/>
          <w:color w:val="auto"/>
        </w:rPr>
      </w:pPr>
      <w:r>
        <w:rPr>
          <w:rFonts w:ascii="Arial" w:cs="Arial" w:eastAsia="Arial" w:hAnsi="Arial"/>
          <w:sz w:val="20"/>
          <w:szCs w:val="20"/>
          <w:color w:val="auto"/>
        </w:rPr>
        <w:t xml:space="preserve">sole power to vote or to direct the vote: </w:t>
      </w:r>
      <w:r>
        <w:rPr>
          <w:rFonts w:ascii="Arial" w:cs="Arial" w:eastAsia="Arial" w:hAnsi="Arial"/>
          <w:sz w:val="20"/>
          <w:szCs w:val="20"/>
          <w:i w:val="1"/>
          <w:iCs w:val="1"/>
          <w:color w:val="auto"/>
        </w:rPr>
        <w:t>795,800</w:t>
      </w:r>
    </w:p>
    <w:p>
      <w:pPr>
        <w:spacing w:after="0" w:line="366" w:lineRule="exact"/>
        <w:rPr>
          <w:rFonts w:ascii="Arial" w:cs="Arial" w:eastAsia="Arial" w:hAnsi="Arial"/>
          <w:sz w:val="20"/>
          <w:szCs w:val="20"/>
          <w:color w:val="auto"/>
        </w:rPr>
      </w:pPr>
    </w:p>
    <w:p>
      <w:pPr>
        <w:ind w:left="880" w:hanging="297"/>
        <w:spacing w:after="0"/>
        <w:tabs>
          <w:tab w:leader="none" w:pos="880" w:val="left"/>
        </w:tabs>
        <w:numPr>
          <w:ilvl w:val="1"/>
          <w:numId w:val="9"/>
        </w:numPr>
        <w:rPr>
          <w:rFonts w:ascii="Arial" w:cs="Arial" w:eastAsia="Arial" w:hAnsi="Arial"/>
          <w:sz w:val="20"/>
          <w:szCs w:val="20"/>
          <w:color w:val="auto"/>
        </w:rPr>
      </w:pPr>
      <w:r>
        <w:rPr>
          <w:rFonts w:ascii="Arial" w:cs="Arial" w:eastAsia="Arial" w:hAnsi="Arial"/>
          <w:sz w:val="20"/>
          <w:szCs w:val="20"/>
          <w:color w:val="auto"/>
        </w:rPr>
        <w:t xml:space="preserve">shared power to vote or to direct the vote: </w:t>
      </w:r>
      <w:r>
        <w:rPr>
          <w:rFonts w:ascii="Arial" w:cs="Arial" w:eastAsia="Arial" w:hAnsi="Arial"/>
          <w:sz w:val="20"/>
          <w:szCs w:val="20"/>
          <w:i w:val="1"/>
          <w:iCs w:val="1"/>
          <w:color w:val="auto"/>
        </w:rPr>
        <w:t>0</w:t>
      </w:r>
    </w:p>
    <w:p>
      <w:pPr>
        <w:spacing w:after="0" w:line="366" w:lineRule="exact"/>
        <w:rPr>
          <w:rFonts w:ascii="Arial" w:cs="Arial" w:eastAsia="Arial" w:hAnsi="Arial"/>
          <w:sz w:val="20"/>
          <w:szCs w:val="20"/>
          <w:color w:val="auto"/>
        </w:rPr>
      </w:pPr>
    </w:p>
    <w:p>
      <w:pPr>
        <w:ind w:left="940" w:hanging="357"/>
        <w:spacing w:after="0"/>
        <w:tabs>
          <w:tab w:leader="none" w:pos="940" w:val="left"/>
        </w:tabs>
        <w:numPr>
          <w:ilvl w:val="1"/>
          <w:numId w:val="9"/>
        </w:numPr>
        <w:rPr>
          <w:rFonts w:ascii="Arial" w:cs="Arial" w:eastAsia="Arial" w:hAnsi="Arial"/>
          <w:sz w:val="20"/>
          <w:szCs w:val="20"/>
          <w:color w:val="auto"/>
        </w:rPr>
      </w:pPr>
      <w:r>
        <w:rPr>
          <w:rFonts w:ascii="Arial" w:cs="Arial" w:eastAsia="Arial" w:hAnsi="Arial"/>
          <w:sz w:val="20"/>
          <w:szCs w:val="20"/>
          <w:color w:val="auto"/>
        </w:rPr>
        <w:t xml:space="preserve">sole power to dispose or to direct the disposition of: </w:t>
      </w:r>
      <w:r>
        <w:rPr>
          <w:rFonts w:ascii="Arial" w:cs="Arial" w:eastAsia="Arial" w:hAnsi="Arial"/>
          <w:sz w:val="20"/>
          <w:szCs w:val="20"/>
          <w:i w:val="1"/>
          <w:iCs w:val="1"/>
          <w:color w:val="auto"/>
        </w:rPr>
        <w:t>795,800</w:t>
      </w:r>
    </w:p>
    <w:p>
      <w:pPr>
        <w:spacing w:after="0" w:line="366" w:lineRule="exact"/>
        <w:rPr>
          <w:rFonts w:ascii="Arial" w:cs="Arial" w:eastAsia="Arial" w:hAnsi="Arial"/>
          <w:sz w:val="20"/>
          <w:szCs w:val="20"/>
          <w:color w:val="auto"/>
        </w:rPr>
      </w:pPr>
    </w:p>
    <w:p>
      <w:pPr>
        <w:ind w:left="920" w:hanging="337"/>
        <w:spacing w:after="0"/>
        <w:tabs>
          <w:tab w:leader="none" w:pos="920" w:val="left"/>
        </w:tabs>
        <w:numPr>
          <w:ilvl w:val="1"/>
          <w:numId w:val="9"/>
        </w:numPr>
        <w:rPr>
          <w:rFonts w:ascii="Arial" w:cs="Arial" w:eastAsia="Arial" w:hAnsi="Arial"/>
          <w:sz w:val="20"/>
          <w:szCs w:val="20"/>
          <w:color w:val="auto"/>
        </w:rPr>
      </w:pPr>
      <w:r>
        <w:rPr>
          <w:rFonts w:ascii="Arial" w:cs="Arial" w:eastAsia="Arial" w:hAnsi="Arial"/>
          <w:sz w:val="20"/>
          <w:szCs w:val="20"/>
          <w:color w:val="auto"/>
        </w:rPr>
        <w:t xml:space="preserve">shared power to dispose or direct the disposition of: </w:t>
      </w:r>
      <w:r>
        <w:rPr>
          <w:rFonts w:ascii="Arial" w:cs="Arial" w:eastAsia="Arial" w:hAnsi="Arial"/>
          <w:sz w:val="20"/>
          <w:szCs w:val="20"/>
          <w:i w:val="1"/>
          <w:iCs w:val="1"/>
          <w:color w:val="auto"/>
        </w:rPr>
        <w:t>0</w:t>
      </w:r>
    </w:p>
    <w:p>
      <w:pPr>
        <w:spacing w:after="0" w:line="279" w:lineRule="exact"/>
        <w:rPr>
          <w:sz w:val="20"/>
          <w:szCs w:val="20"/>
          <w:color w:val="auto"/>
        </w:rPr>
      </w:pPr>
    </w:p>
    <w:p>
      <w:pPr>
        <w:spacing w:after="0" w:line="245" w:lineRule="auto"/>
        <w:rPr>
          <w:sz w:val="20"/>
          <w:szCs w:val="20"/>
          <w:color w:val="auto"/>
        </w:rPr>
      </w:pPr>
      <w:r>
        <w:rPr>
          <w:rFonts w:ascii="Arial" w:cs="Arial" w:eastAsia="Arial" w:hAnsi="Arial"/>
          <w:sz w:val="20"/>
          <w:szCs w:val="20"/>
          <w:i w:val="1"/>
          <w:iCs w:val="1"/>
          <w:color w:val="auto"/>
        </w:rPr>
        <w:t>None of the shares listed above are owned of record by State Street Research &amp; Management Company ("State Street Research"). The shares listed above are owned of record by certain mutual funds and/or institutional accounts managed by State Street Research as investment advisor. State Street Research disclaims any beneficial interest in such shares.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Ownership of Five Percent or Less of a Class.</w:t>
      </w:r>
    </w:p>
    <w:p>
      <w:pPr>
        <w:spacing w:after="0" w:line="273" w:lineRule="exact"/>
        <w:rPr>
          <w:sz w:val="20"/>
          <w:szCs w:val="20"/>
          <w:color w:val="auto"/>
        </w:rPr>
      </w:pPr>
    </w:p>
    <w:p>
      <w:pPr>
        <w:ind w:right="340"/>
        <w:spacing w:after="0" w:line="257"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[X ].</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Ownership of More than Five Percent on Behalf of Another Person.</w:t>
      </w:r>
    </w:p>
    <w:p>
      <w:pPr>
        <w:spacing w:after="0" w:line="261"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an employee benefit plan, pension fund or endowment fund is not required.</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response to Item 5 above.</w:t>
      </w:r>
    </w:p>
    <w:p>
      <w:pPr>
        <w:spacing w:after="0" w:line="186" w:lineRule="exact"/>
        <w:rPr>
          <w:sz w:val="20"/>
          <w:szCs w:val="20"/>
          <w:color w:val="auto"/>
        </w:rPr>
      </w:pPr>
    </w:p>
    <w:p>
      <w:pPr>
        <w:ind w:left="1500" w:right="300"/>
        <w:spacing w:after="0" w:line="263" w:lineRule="auto"/>
        <w:rPr>
          <w:sz w:val="20"/>
          <w:szCs w:val="20"/>
          <w:color w:val="auto"/>
        </w:rPr>
      </w:pPr>
      <w:r>
        <w:rPr>
          <w:rFonts w:ascii="Arial" w:cs="Arial" w:eastAsia="Arial" w:hAnsi="Arial"/>
          <w:sz w:val="20"/>
          <w:szCs w:val="20"/>
          <w:b w:val="1"/>
          <w:bCs w:val="1"/>
          <w:color w:val="auto"/>
        </w:rPr>
        <w:t>Item 7. Identification and Classification of the Subsidiary Which Acquired the Security Being Reported on By the Parent Holding Company or Control Person.</w:t>
      </w:r>
    </w:p>
    <w:p>
      <w:pPr>
        <w:spacing w:after="0" w:line="148" w:lineRule="exact"/>
        <w:rPr>
          <w:sz w:val="20"/>
          <w:szCs w:val="20"/>
          <w:color w:val="auto"/>
        </w:rPr>
      </w:pPr>
    </w:p>
    <w:p>
      <w:pPr>
        <w:ind w:right="160"/>
        <w:spacing w:after="0" w:line="286" w:lineRule="auto"/>
        <w:rPr>
          <w:sz w:val="20"/>
          <w:szCs w:val="20"/>
          <w:color w:val="auto"/>
        </w:rPr>
      </w:pPr>
      <w:r>
        <w:rPr>
          <w:rFonts w:ascii="Arial" w:cs="Arial" w:eastAsia="Arial" w:hAnsi="Arial"/>
          <w:sz w:val="18"/>
          <w:szCs w:val="18"/>
          <w:color w:val="auto"/>
        </w:rPr>
        <w:t>If a parent holding company or control person has filed this schedule, pursuant to Rule 13d-1(b)(ii)(G), so indicate under Item 3(g) and attach an exhibit stating the identity and the Item 3 classification of the relevant subsidiary. If a parent holding company or control person has filed this schedule pursuant to Rule 13d-1(c) or 13d-1(d), attach an exhibit stating the identification of the relevant subsidiary.</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Not Applicable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Identification and Classification of Members of the Group.</w:t>
      </w:r>
    </w:p>
    <w:p>
      <w:pPr>
        <w:spacing w:after="0" w:line="273"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If a group has filed this schedule pursuant to Rule 13d-1(b)(ii)(J), so indicate under Item 3(b) and attach an exhibit stating the identity and Item 3 classification of each member of the group. If a group has filed this schedule pursuant to Rule 13d-1(c), attach an exhibit stating the identity of each member of the group.</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Not Applicable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Notice of Dissolution of Group</w:t>
      </w:r>
    </w:p>
    <w:p>
      <w:pPr>
        <w:spacing w:after="0" w:line="261" w:lineRule="exact"/>
        <w:rPr>
          <w:sz w:val="20"/>
          <w:szCs w:val="20"/>
          <w:color w:val="auto"/>
        </w:rPr>
      </w:pPr>
    </w:p>
    <w:p>
      <w:pPr>
        <w:ind w:right="420"/>
        <w:spacing w:after="0" w:line="283" w:lineRule="auto"/>
        <w:rPr>
          <w:sz w:val="20"/>
          <w:szCs w:val="20"/>
          <w:color w:val="auto"/>
        </w:rPr>
      </w:pPr>
      <w:r>
        <w:rPr>
          <w:rFonts w:ascii="Arial" w:cs="Arial" w:eastAsia="Arial" w:hAnsi="Arial"/>
          <w:sz w:val="19"/>
          <w:szCs w:val="19"/>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ectPr>
          <w:pgSz w:w="11900" w:h="16838" w:orient="portrait"/>
          <w:cols w:equalWidth="0" w:num="1">
            <w:col w:w="11420"/>
          </w:cols>
          <w:pgMar w:left="240" w:top="120" w:right="239" w:bottom="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Item 10. Certification</w:t>
      </w:r>
    </w:p>
    <w:p>
      <w:pPr>
        <w:spacing w:after="0" w:line="261" w:lineRule="exact"/>
        <w:rPr>
          <w:sz w:val="20"/>
          <w:szCs w:val="20"/>
          <w:color w:val="auto"/>
        </w:rPr>
      </w:pPr>
    </w:p>
    <w:p>
      <w:pPr>
        <w:jc w:val="both"/>
        <w:ind w:firstLine="99"/>
        <w:spacing w:after="0" w:line="28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such purposes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212725</wp:posOffset>
            </wp:positionV>
            <wp:extent cx="317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SIGNATURE</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After reasonable inquire and to the best of my knowledge and belief, I certify that the information set forth in this statement is true, complete and correct.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4/8/04</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Mary T. Lomasney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(Signature)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Mary T. Lomasney / Senior Vice President, Director of Compliance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(Name/Title)</w:t>
      </w:r>
    </w:p>
    <w:sectPr>
      <w:pgSz w:w="11900" w:h="16838" w:orient="portrait"/>
      <w:cols w:equalWidth="0" w:num="1">
        <w:col w:w="11240"/>
      </w:cols>
      <w:pgMar w:left="240" w:top="11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
    </w:lvl>
    <w:lvl w:ilvl="1">
      <w:lvlJc w:val="left"/>
      <w:lvlText w:val="%2."/>
      <w:numFmt w:val="decimal"/>
      <w:start w:val="7"/>
    </w:lvl>
  </w:abstractNum>
  <w:abstractNum w:abstractNumId="4">
    <w:nsid w:val="41B71EFB"/>
    <w:multiLevelType w:val="hybridMultilevel"/>
    <w:lvl w:ilvl="0">
      <w:lvlJc w:val="left"/>
      <w:lvlText w:val="%1."/>
      <w:numFmt w:val="decimal"/>
      <w:start w:val="9"/>
    </w:lvl>
    <w:lvl w:ilvl="1">
      <w:lvlJc w:val="left"/>
      <w:lvlText w:val="%2"/>
      <w:numFmt w:val="decimal"/>
      <w:start w:val="1"/>
    </w:lvl>
  </w:abstractNum>
  <w:abstractNum w:abstractNumId="5">
    <w:nsid w:val="79E2A9E3"/>
    <w:multiLevelType w:val="hybridMultilevel"/>
    <w:lvl w:ilvl="0">
      <w:lvlJc w:val="left"/>
      <w:lvlText w:val="%1."/>
      <w:numFmt w:val="decimal"/>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6"/>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2019-12-14T02:34:54Z</dcterms:created>
  <dcterms:modified xsi:type="dcterms:W3CDTF">2019-12-14T02:34:54Z</dcterms:modified>
</cp:coreProperties>
</file>