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143510</wp:posOffset>
            </wp:positionH>
            <wp:positionV relativeFrom="page">
              <wp:posOffset>236855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4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49"/>
        <w:spacing w:after="0"/>
        <w:rPr>
          <w:sz w:val="20"/>
          <w:szCs w:val="20"/>
          <w:color w:val="auto"/>
        </w:rPr>
      </w:pPr>
      <w:r>
        <w:rPr>
          <w:rFonts w:ascii="Arial" w:cs="Arial" w:eastAsia="Arial" w:hAnsi="Arial"/>
          <w:sz w:val="36"/>
          <w:szCs w:val="36"/>
          <w:b w:val="1"/>
          <w:bCs w:val="1"/>
          <w:color w:val="auto"/>
        </w:rPr>
        <w:t>FORM 10-Q</w:t>
      </w:r>
    </w:p>
    <w:p>
      <w:pPr>
        <w:spacing w:after="0" w:line="267" w:lineRule="exact"/>
        <w:rPr>
          <w:sz w:val="24"/>
          <w:szCs w:val="24"/>
          <w:color w:val="auto"/>
        </w:rPr>
      </w:pPr>
    </w:p>
    <w:p>
      <w:pPr>
        <w:ind w:left="10"/>
        <w:spacing w:after="0"/>
        <w:rPr>
          <w:sz w:val="20"/>
          <w:szCs w:val="20"/>
          <w:color w:val="auto"/>
        </w:rPr>
      </w:pPr>
      <w:r>
        <w:rPr>
          <w:rFonts w:ascii="Arial" w:cs="Arial" w:eastAsia="Arial" w:hAnsi="Arial"/>
          <w:sz w:val="15"/>
          <w:szCs w:val="15"/>
          <w:color w:val="auto"/>
        </w:rPr>
        <w:t>x QUARTERLY REPORT PURSUANT TO SECTION 13 OR 15(d) OF THE SECURITIES EXCHANGE ACT OF 1934</w:t>
      </w:r>
    </w:p>
    <w:p>
      <w:pPr>
        <w:spacing w:after="0" w:line="230" w:lineRule="exact"/>
        <w:rPr>
          <w:sz w:val="24"/>
          <w:szCs w:val="24"/>
          <w:color w:val="auto"/>
        </w:rPr>
      </w:pPr>
    </w:p>
    <w:p>
      <w:pPr>
        <w:jc w:val="center"/>
        <w:ind w:right="-49"/>
        <w:spacing w:after="0"/>
        <w:rPr>
          <w:sz w:val="20"/>
          <w:szCs w:val="20"/>
          <w:color w:val="auto"/>
        </w:rPr>
      </w:pPr>
      <w:r>
        <w:rPr>
          <w:rFonts w:ascii="Arial" w:cs="Arial" w:eastAsia="Arial" w:hAnsi="Arial"/>
          <w:sz w:val="15"/>
          <w:szCs w:val="15"/>
          <w:color w:val="auto"/>
        </w:rPr>
        <w:t xml:space="preserve">For the quarterly period ended </w:t>
      </w:r>
      <w:r>
        <w:rPr>
          <w:rFonts w:ascii="Arial" w:cs="Arial" w:eastAsia="Arial" w:hAnsi="Arial"/>
          <w:sz w:val="15"/>
          <w:szCs w:val="15"/>
          <w:b w:val="1"/>
          <w:bCs w:val="1"/>
          <w:u w:val="single" w:color="auto"/>
          <w:color w:val="auto"/>
        </w:rPr>
        <w:t>June 30, 2006</w:t>
      </w:r>
    </w:p>
    <w:p>
      <w:pPr>
        <w:spacing w:after="0" w:line="238" w:lineRule="exact"/>
        <w:rPr>
          <w:sz w:val="24"/>
          <w:szCs w:val="24"/>
          <w:color w:val="auto"/>
        </w:rPr>
      </w:pPr>
    </w:p>
    <w:p>
      <w:pPr>
        <w:jc w:val="center"/>
        <w:ind w:right="-49"/>
        <w:spacing w:after="0"/>
        <w:rPr>
          <w:sz w:val="20"/>
          <w:szCs w:val="20"/>
          <w:color w:val="auto"/>
        </w:rPr>
      </w:pPr>
      <w:r>
        <w:rPr>
          <w:rFonts w:ascii="Arial" w:cs="Arial" w:eastAsia="Arial" w:hAnsi="Arial"/>
          <w:sz w:val="15"/>
          <w:szCs w:val="15"/>
          <w:color w:val="auto"/>
        </w:rPr>
        <w:t>OR</w:t>
      </w:r>
    </w:p>
    <w:p>
      <w:pPr>
        <w:spacing w:after="0" w:line="234" w:lineRule="exact"/>
        <w:rPr>
          <w:sz w:val="24"/>
          <w:szCs w:val="24"/>
          <w:color w:val="auto"/>
        </w:rPr>
      </w:pPr>
    </w:p>
    <w:p>
      <w:pPr>
        <w:jc w:val="right"/>
        <w:ind w:left="4030" w:right="4000" w:hanging="4030"/>
        <w:spacing w:after="0" w:line="652"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TRANSITION REPORT PURSUANT TO SECTION 13 OR 15(d) OF THE SECURITIES EXCHANGE ACT OF 1934 For the transition period from _________ to _________</w:t>
      </w:r>
    </w:p>
    <w:p>
      <w:pPr>
        <w:ind w:left="4670"/>
        <w:spacing w:after="0"/>
        <w:rPr>
          <w:rFonts w:ascii="Arial" w:cs="Arial" w:eastAsia="Arial" w:hAnsi="Arial"/>
          <w:sz w:val="13"/>
          <w:szCs w:val="13"/>
          <w:color w:val="auto"/>
        </w:rPr>
      </w:pPr>
      <w:r>
        <w:rPr>
          <w:rFonts w:ascii="Arial" w:cs="Arial" w:eastAsia="Arial" w:hAnsi="Arial"/>
          <w:sz w:val="15"/>
          <w:szCs w:val="15"/>
          <w:color w:val="auto"/>
        </w:rPr>
        <w:t xml:space="preserve">Commission File Number </w:t>
      </w:r>
      <w:r>
        <w:rPr>
          <w:rFonts w:ascii="Arial" w:cs="Arial" w:eastAsia="Arial" w:hAnsi="Arial"/>
          <w:sz w:val="15"/>
          <w:szCs w:val="15"/>
          <w:u w:val="single" w:color="auto"/>
          <w:color w:val="auto"/>
        </w:rPr>
        <w:t>0-23486</w:t>
      </w:r>
    </w:p>
    <w:p>
      <w:pPr>
        <w:spacing w:after="0" w:line="200" w:lineRule="exact"/>
        <w:rPr>
          <w:sz w:val="24"/>
          <w:szCs w:val="24"/>
          <w:color w:val="auto"/>
        </w:rPr>
      </w:pPr>
    </w:p>
    <w:p>
      <w:pPr>
        <w:spacing w:after="0" w:line="256" w:lineRule="exact"/>
        <w:rPr>
          <w:sz w:val="24"/>
          <w:szCs w:val="24"/>
          <w:color w:val="auto"/>
        </w:rPr>
      </w:pPr>
    </w:p>
    <w:p>
      <w:pPr>
        <w:jc w:val="center"/>
        <w:ind w:right="-49"/>
        <w:spacing w:after="0"/>
        <w:rPr>
          <w:sz w:val="20"/>
          <w:szCs w:val="20"/>
          <w:color w:val="auto"/>
        </w:rPr>
      </w:pPr>
      <w:r>
        <w:rPr>
          <w:rFonts w:ascii="Arial" w:cs="Arial" w:eastAsia="Arial" w:hAnsi="Arial"/>
          <w:sz w:val="36"/>
          <w:szCs w:val="36"/>
          <w:b w:val="1"/>
          <w:bCs w:val="1"/>
          <w:color w:val="auto"/>
        </w:rPr>
        <w:t>NN, Inc.</w:t>
      </w:r>
    </w:p>
    <w:p>
      <w:pPr>
        <w:spacing w:after="0" w:line="53" w:lineRule="exact"/>
        <w:rPr>
          <w:sz w:val="24"/>
          <w:szCs w:val="24"/>
          <w:color w:val="auto"/>
        </w:rPr>
      </w:pPr>
    </w:p>
    <w:p>
      <w:pPr>
        <w:jc w:val="center"/>
        <w:ind w:right="-4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10"/>
          </w:cols>
          <w:pgMar w:left="230" w:top="695" w:right="259" w:bottom="1440" w:gutter="0" w:footer="0" w:header="0"/>
        </w:sectPr>
      </w:pPr>
    </w:p>
    <w:p>
      <w:pPr>
        <w:spacing w:after="0" w:line="244" w:lineRule="exact"/>
        <w:rPr>
          <w:sz w:val="24"/>
          <w:szCs w:val="24"/>
          <w:color w:val="auto"/>
        </w:rPr>
      </w:pPr>
    </w:p>
    <w:p>
      <w:pPr>
        <w:ind w:left="259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62-1096725</w:t>
      </w:r>
    </w:p>
    <w:p>
      <w:pPr>
        <w:spacing w:after="0" w:line="41" w:lineRule="exact"/>
        <w:rPr>
          <w:sz w:val="24"/>
          <w:szCs w:val="24"/>
          <w:color w:val="auto"/>
        </w:rPr>
      </w:pPr>
    </w:p>
    <w:p>
      <w:pPr>
        <w:sectPr>
          <w:pgSz w:w="11900" w:h="16838" w:orient="portrait"/>
          <w:cols w:equalWidth="0" w:num="2">
            <w:col w:w="7530" w:space="720"/>
            <w:col w:w="3160"/>
          </w:cols>
          <w:pgMar w:left="230" w:top="695" w:right="259" w:bottom="1440" w:gutter="0" w:footer="0" w:header="0"/>
          <w:type w:val="continuous"/>
        </w:sectPr>
      </w:pPr>
    </w:p>
    <w:p>
      <w:pPr>
        <w:ind w:left="111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w:t>
      </w:r>
      <w:r>
        <w:rPr>
          <w:rFonts w:ascii="Arial" w:cs="Arial" w:eastAsia="Arial" w:hAnsi="Arial"/>
          <w:sz w:val="13"/>
          <w:szCs w:val="13"/>
          <w:color w:val="auto"/>
        </w:rPr>
        <w:t>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21" w:lineRule="exact"/>
        <w:rPr>
          <w:sz w:val="24"/>
          <w:szCs w:val="24"/>
          <w:color w:val="auto"/>
        </w:rPr>
      </w:pPr>
    </w:p>
    <w:p>
      <w:pPr>
        <w:sectPr>
          <w:pgSz w:w="11900" w:h="16838" w:orient="portrait"/>
          <w:cols w:equalWidth="0" w:num="3">
            <w:col w:w="2810" w:space="80"/>
            <w:col w:w="3820" w:space="720"/>
            <w:col w:w="3980"/>
          </w:cols>
          <w:pgMar w:left="230" w:top="695" w:right="259" w:bottom="1440" w:gutter="0" w:footer="0" w:header="0"/>
          <w:type w:val="continuous"/>
        </w:sectPr>
      </w:pPr>
    </w:p>
    <w:p>
      <w:pPr>
        <w:spacing w:after="0" w:line="20" w:lineRule="exact"/>
        <w:rPr>
          <w:sz w:val="24"/>
          <w:szCs w:val="24"/>
          <w:color w:val="auto"/>
        </w:rPr>
      </w:pPr>
    </w:p>
    <w:p>
      <w:pPr>
        <w:jc w:val="center"/>
        <w:ind w:right="-49"/>
        <w:spacing w:after="0"/>
        <w:rPr>
          <w:sz w:val="20"/>
          <w:szCs w:val="20"/>
          <w:color w:val="auto"/>
        </w:rPr>
      </w:pPr>
      <w:r>
        <w:rPr>
          <w:rFonts w:ascii="Arial" w:cs="Arial" w:eastAsia="Arial" w:hAnsi="Arial"/>
          <w:sz w:val="15"/>
          <w:szCs w:val="15"/>
          <w:b w:val="1"/>
          <w:bCs w:val="1"/>
          <w:color w:val="auto"/>
        </w:rPr>
        <w:t>2000 Waters Edge Drive</w:t>
      </w:r>
    </w:p>
    <w:p>
      <w:pPr>
        <w:spacing w:after="0" w:line="22" w:lineRule="exact"/>
        <w:rPr>
          <w:sz w:val="24"/>
          <w:szCs w:val="24"/>
          <w:color w:val="auto"/>
        </w:rPr>
      </w:pPr>
    </w:p>
    <w:p>
      <w:pPr>
        <w:jc w:val="center"/>
        <w:ind w:right="-49"/>
        <w:spacing w:after="0"/>
        <w:rPr>
          <w:sz w:val="20"/>
          <w:szCs w:val="20"/>
          <w:color w:val="auto"/>
        </w:rPr>
      </w:pPr>
      <w:r>
        <w:rPr>
          <w:rFonts w:ascii="Arial" w:cs="Arial" w:eastAsia="Arial" w:hAnsi="Arial"/>
          <w:sz w:val="15"/>
          <w:szCs w:val="15"/>
          <w:b w:val="1"/>
          <w:bCs w:val="1"/>
          <w:color w:val="auto"/>
        </w:rPr>
        <w:t>Building C, Suite 12</w:t>
      </w:r>
    </w:p>
    <w:p>
      <w:pPr>
        <w:spacing w:after="0" w:line="8" w:lineRule="exact"/>
        <w:rPr>
          <w:sz w:val="24"/>
          <w:szCs w:val="24"/>
          <w:color w:val="auto"/>
        </w:rPr>
      </w:pPr>
    </w:p>
    <w:p>
      <w:pPr>
        <w:jc w:val="center"/>
        <w:ind w:right="-49"/>
        <w:spacing w:after="0"/>
        <w:rPr>
          <w:sz w:val="20"/>
          <w:szCs w:val="20"/>
          <w:color w:val="auto"/>
        </w:rPr>
      </w:pPr>
      <w:r>
        <w:rPr>
          <w:rFonts w:ascii="Arial" w:cs="Arial" w:eastAsia="Arial" w:hAnsi="Arial"/>
          <w:sz w:val="15"/>
          <w:szCs w:val="15"/>
          <w:b w:val="1"/>
          <w:bCs w:val="1"/>
          <w:color w:val="auto"/>
        </w:rPr>
        <w:t>Johnson City, Tennessee 37604</w:t>
      </w:r>
    </w:p>
    <w:p>
      <w:pPr>
        <w:spacing w:after="0" w:line="8" w:lineRule="exact"/>
        <w:rPr>
          <w:sz w:val="24"/>
          <w:szCs w:val="24"/>
          <w:color w:val="auto"/>
        </w:rPr>
      </w:pPr>
    </w:p>
    <w:p>
      <w:pPr>
        <w:jc w:val="center"/>
        <w:ind w:right="-4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20" w:lineRule="exact"/>
        <w:rPr>
          <w:sz w:val="24"/>
          <w:szCs w:val="24"/>
          <w:color w:val="auto"/>
        </w:rPr>
      </w:pPr>
    </w:p>
    <w:p>
      <w:pPr>
        <w:jc w:val="center"/>
        <w:ind w:right="-89"/>
        <w:spacing w:after="0"/>
        <w:rPr>
          <w:sz w:val="20"/>
          <w:szCs w:val="20"/>
          <w:color w:val="auto"/>
        </w:rPr>
      </w:pPr>
      <w:r>
        <w:rPr>
          <w:rFonts w:ascii="Arial" w:cs="Arial" w:eastAsia="Arial" w:hAnsi="Arial"/>
          <w:sz w:val="15"/>
          <w:szCs w:val="15"/>
          <w:b w:val="1"/>
          <w:bCs w:val="1"/>
          <w:color w:val="auto"/>
        </w:rPr>
        <w:t>(423) 743-9151</w:t>
      </w:r>
    </w:p>
    <w:p>
      <w:pPr>
        <w:spacing w:after="0" w:line="22" w:lineRule="exact"/>
        <w:rPr>
          <w:sz w:val="24"/>
          <w:szCs w:val="24"/>
          <w:color w:val="auto"/>
        </w:rPr>
      </w:pPr>
    </w:p>
    <w:p>
      <w:pPr>
        <w:jc w:val="center"/>
        <w:ind w:right="-49"/>
        <w:spacing w:after="0"/>
        <w:rPr>
          <w:sz w:val="20"/>
          <w:szCs w:val="20"/>
          <w:color w:val="auto"/>
        </w:rPr>
      </w:pPr>
      <w:r>
        <w:rPr>
          <w:rFonts w:ascii="Arial" w:cs="Arial" w:eastAsia="Arial" w:hAnsi="Arial"/>
          <w:sz w:val="15"/>
          <w:szCs w:val="15"/>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p>
      <w:pPr>
        <w:ind w:left="1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w:t>
      </w:r>
    </w:p>
    <w:p>
      <w:pPr>
        <w:spacing w:after="0" w:line="65" w:lineRule="exact"/>
        <w:rPr>
          <w:sz w:val="24"/>
          <w:szCs w:val="24"/>
          <w:color w:val="auto"/>
        </w:rPr>
      </w:pPr>
    </w:p>
    <w:p>
      <w:pPr>
        <w:ind w:left="10"/>
        <w:spacing w:after="0"/>
        <w:tabs>
          <w:tab w:leader="none" w:pos="9089" w:val="left"/>
          <w:tab w:leader="none" w:pos="10309" w:val="left"/>
        </w:tabs>
        <w:rPr>
          <w:sz w:val="20"/>
          <w:szCs w:val="20"/>
          <w:color w:val="auto"/>
        </w:rPr>
      </w:pPr>
      <w:r>
        <w:rPr>
          <w:rFonts w:ascii="Arial" w:cs="Arial" w:eastAsia="Arial" w:hAnsi="Arial"/>
          <w:sz w:val="14"/>
          <w:szCs w:val="14"/>
          <w:color w:val="auto"/>
        </w:rPr>
        <w:t>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5"/>
          <w:szCs w:val="15"/>
          <w:color w:val="auto"/>
        </w:rPr>
        <w:t>Yes x</w:t>
      </w:r>
      <w:r>
        <w:rPr>
          <w:sz w:val="20"/>
          <w:szCs w:val="20"/>
          <w:color w:val="auto"/>
        </w:rPr>
        <w:tab/>
      </w:r>
      <w:r>
        <w:rPr>
          <w:rFonts w:ascii="Arial" w:cs="Arial" w:eastAsia="Arial" w:hAnsi="Arial"/>
          <w:sz w:val="14"/>
          <w:szCs w:val="14"/>
          <w:color w:val="auto"/>
        </w:rPr>
        <w:t>No o</w:t>
      </w:r>
    </w:p>
    <w:p>
      <w:pPr>
        <w:spacing w:after="0" w:line="245" w:lineRule="exact"/>
        <w:rPr>
          <w:sz w:val="24"/>
          <w:szCs w:val="24"/>
          <w:color w:val="auto"/>
        </w:rPr>
      </w:pPr>
    </w:p>
    <w:p>
      <w:pPr>
        <w:ind w:left="1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ectPr>
          <w:pgSz w:w="11900" w:h="16838" w:orient="portrait"/>
          <w:cols w:equalWidth="0" w:num="1">
            <w:col w:w="11410"/>
          </w:cols>
          <w:pgMar w:left="230" w:top="695" w:right="259" w:bottom="1440" w:gutter="0" w:footer="0" w:header="0"/>
          <w:type w:val="continuous"/>
        </w:sectPr>
      </w:pPr>
    </w:p>
    <w:p>
      <w:pPr>
        <w:spacing w:after="0" w:line="41" w:lineRule="exact"/>
        <w:rPr>
          <w:sz w:val="24"/>
          <w:szCs w:val="24"/>
          <w:color w:val="auto"/>
        </w:rPr>
      </w:pPr>
    </w:p>
    <w:p>
      <w:pPr>
        <w:ind w:left="10"/>
        <w:spacing w:after="0"/>
        <w:rPr>
          <w:sz w:val="20"/>
          <w:szCs w:val="20"/>
          <w:color w:val="auto"/>
        </w:rPr>
      </w:pPr>
      <w:r>
        <w:rPr>
          <w:rFonts w:ascii="Arial" w:cs="Arial" w:eastAsia="Arial" w:hAnsi="Arial"/>
          <w:sz w:val="15"/>
          <w:szCs w:val="15"/>
          <w:color w:val="auto"/>
        </w:rPr>
        <w:t>12b-2 of the Exchange Act. (Check one):</w:t>
      </w:r>
    </w:p>
    <w:p>
      <w:pPr>
        <w:spacing w:after="0" w:line="33" w:lineRule="exact"/>
        <w:rPr>
          <w:sz w:val="24"/>
          <w:szCs w:val="24"/>
          <w:color w:val="auto"/>
        </w:rPr>
      </w:pPr>
    </w:p>
    <w:p>
      <w:pPr>
        <w:ind w:left="10"/>
        <w:spacing w:after="0"/>
        <w:tabs>
          <w:tab w:leader="none" w:pos="2349" w:val="left"/>
        </w:tabs>
        <w:rPr>
          <w:sz w:val="20"/>
          <w:szCs w:val="20"/>
          <w:color w:val="auto"/>
        </w:rPr>
      </w:pPr>
      <w:r>
        <w:rPr>
          <w:rFonts w:ascii="Arial" w:cs="Arial" w:eastAsia="Arial" w:hAnsi="Arial"/>
          <w:sz w:val="15"/>
          <w:szCs w:val="15"/>
          <w:color w:val="auto"/>
        </w:rPr>
        <w:t>Large accelerated filer o</w:t>
      </w:r>
      <w:r>
        <w:rPr>
          <w:sz w:val="20"/>
          <w:szCs w:val="20"/>
          <w:color w:val="auto"/>
        </w:rPr>
        <w:tab/>
      </w:r>
      <w:r>
        <w:rPr>
          <w:rFonts w:ascii="Arial" w:cs="Arial" w:eastAsia="Arial" w:hAnsi="Arial"/>
          <w:sz w:val="14"/>
          <w:szCs w:val="14"/>
          <w:color w:val="auto"/>
        </w:rPr>
        <w:t>Accelerated filer x</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22" w:lineRule="exact"/>
        <w:rPr>
          <w:sz w:val="24"/>
          <w:szCs w:val="24"/>
          <w:color w:val="auto"/>
        </w:rPr>
      </w:pPr>
    </w:p>
    <w:p>
      <w:pPr>
        <w:sectPr>
          <w:pgSz w:w="11900" w:h="16838" w:orient="portrait"/>
          <w:cols w:equalWidth="0" w:num="2">
            <w:col w:w="3670" w:space="720"/>
            <w:col w:w="7020"/>
          </w:cols>
          <w:pgMar w:left="230" w:top="695" w:right="259" w:bottom="1440" w:gutter="0" w:footer="0" w:header="0"/>
          <w:type w:val="continuous"/>
        </w:sectPr>
      </w:pPr>
    </w:p>
    <w:p>
      <w:pPr>
        <w:spacing w:after="0" w:line="79" w:lineRule="exact"/>
        <w:rPr>
          <w:sz w:val="24"/>
          <w:szCs w:val="24"/>
          <w:color w:val="auto"/>
        </w:rPr>
      </w:pPr>
    </w:p>
    <w:p>
      <w:pPr>
        <w:ind w:left="1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200" w:lineRule="exact"/>
        <w:rPr>
          <w:sz w:val="24"/>
          <w:szCs w:val="24"/>
          <w:color w:val="auto"/>
        </w:rPr>
      </w:pPr>
    </w:p>
    <w:p>
      <w:pPr>
        <w:sectPr>
          <w:pgSz w:w="11900" w:h="16838" w:orient="portrait"/>
          <w:cols w:equalWidth="0" w:num="2">
            <w:col w:w="7230" w:space="460"/>
            <w:col w:w="3720"/>
          </w:cols>
          <w:pgMar w:left="230" w:top="695" w:right="259" w:bottom="1440" w:gutter="0" w:footer="0" w:header="0"/>
          <w:type w:val="continuous"/>
        </w:sectPr>
      </w:pPr>
    </w:p>
    <w:p>
      <w:pPr>
        <w:spacing w:after="0" w:line="57" w:lineRule="exact"/>
        <w:rPr>
          <w:sz w:val="24"/>
          <w:szCs w:val="24"/>
          <w:color w:val="auto"/>
        </w:rPr>
      </w:pPr>
    </w:p>
    <w:p>
      <w:pPr>
        <w:ind w:left="10"/>
        <w:spacing w:after="0"/>
        <w:rPr>
          <w:sz w:val="20"/>
          <w:szCs w:val="20"/>
          <w:color w:val="auto"/>
        </w:rPr>
      </w:pPr>
      <w:r>
        <w:rPr>
          <w:rFonts w:ascii="Arial" w:cs="Arial" w:eastAsia="Arial" w:hAnsi="Arial"/>
          <w:sz w:val="13"/>
          <w:szCs w:val="13"/>
          <w:color w:val="auto"/>
        </w:rPr>
        <w:t>As of August 7, 2006 there were 17,218,311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72745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661670</wp:posOffset>
            </wp:positionV>
            <wp:extent cx="727456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10"/>
          </w:cols>
          <w:pgMar w:left="230" w:top="695" w:right="259" w:bottom="1440" w:gutter="0" w:footer="0" w:header="0"/>
          <w:type w:val="continuous"/>
        </w:sectPr>
      </w:pPr>
    </w:p>
    <w:bookmarkStart w:id="1" w:name="page2"/>
    <w:bookmarkEnd w:id="1"/>
    <w:p>
      <w:pPr>
        <w:ind w:left="544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gridSpan w:val="3"/>
          </w:tcPr>
          <w:p>
            <w:pPr>
              <w:spacing w:after="0"/>
              <w:rPr>
                <w:sz w:val="20"/>
                <w:szCs w:val="20"/>
                <w:color w:val="auto"/>
              </w:rPr>
            </w:pPr>
            <w:r>
              <w:rPr>
                <w:rFonts w:ascii="Arial" w:cs="Arial" w:eastAsia="Arial" w:hAnsi="Arial"/>
                <w:sz w:val="15"/>
                <w:szCs w:val="15"/>
                <w:b w:val="1"/>
                <w:bCs w:val="1"/>
                <w:color w:val="auto"/>
              </w:rPr>
              <w:t>Part I.  Financial Information</w:t>
            </w:r>
          </w:p>
        </w:tc>
        <w:tc>
          <w:tcPr>
            <w:tcW w:w="1720" w:type="dxa"/>
            <w:vAlign w:val="bottom"/>
          </w:tcPr>
          <w:p>
            <w:pPr>
              <w:jc w:val="right"/>
              <w:ind w:right="825"/>
              <w:spacing w:after="0"/>
              <w:rPr>
                <w:sz w:val="20"/>
                <w:szCs w:val="20"/>
                <w:color w:val="auto"/>
              </w:rPr>
            </w:pPr>
            <w:r>
              <w:rPr>
                <w:rFonts w:ascii="Arial" w:cs="Arial" w:eastAsia="Arial" w:hAnsi="Arial"/>
                <w:sz w:val="15"/>
                <w:szCs w:val="15"/>
                <w:color w:val="auto"/>
              </w:rPr>
              <w:t>&amp; #160;</w:t>
            </w:r>
          </w:p>
        </w:tc>
        <w:tc>
          <w:tcPr>
            <w:tcW w:w="12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61"/>
        </w:trPr>
        <w:tc>
          <w:tcPr>
            <w:tcW w:w="22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b w:val="1"/>
                <w:bCs w:val="1"/>
                <w:color w:val="auto"/>
                <w:w w:val="82"/>
              </w:rPr>
              <w:t>No.</w:t>
            </w:r>
          </w:p>
        </w:tc>
        <w:tc>
          <w:tcPr>
            <w:tcW w:w="80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1.</w:t>
            </w:r>
          </w:p>
        </w:tc>
        <w:tc>
          <w:tcPr>
            <w:tcW w:w="6840" w:type="dxa"/>
            <w:vAlign w:val="bottom"/>
          </w:tcPr>
          <w:p>
            <w:pPr>
              <w:ind w:left="340"/>
              <w:spacing w:after="0"/>
              <w:rPr>
                <w:sz w:val="20"/>
                <w:szCs w:val="20"/>
                <w:color w:val="auto"/>
              </w:rPr>
            </w:pPr>
            <w:r>
              <w:rPr>
                <w:rFonts w:ascii="Arial" w:cs="Arial" w:eastAsia="Arial" w:hAnsi="Arial"/>
                <w:sz w:val="15"/>
                <w:szCs w:val="15"/>
                <w:color w:val="auto"/>
              </w:rPr>
              <w:t>Financial Statements:</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560" w:type="dxa"/>
            <w:vAlign w:val="bottom"/>
            <w:gridSpan w:val="2"/>
          </w:tcPr>
          <w:p>
            <w:pPr>
              <w:ind w:left="400"/>
              <w:spacing w:after="0"/>
              <w:rPr>
                <w:sz w:val="20"/>
                <w:szCs w:val="20"/>
                <w:color w:val="auto"/>
              </w:rPr>
            </w:pPr>
            <w:r>
              <w:rPr>
                <w:rFonts w:ascii="Arial" w:cs="Arial" w:eastAsia="Arial" w:hAnsi="Arial"/>
                <w:sz w:val="15"/>
                <w:szCs w:val="15"/>
                <w:color w:val="auto"/>
              </w:rPr>
              <w:t>Consolidated Statements of Income and Comprehensive Income for the three and six months ended June 30, 2006</w:t>
            </w:r>
          </w:p>
        </w:tc>
        <w:tc>
          <w:tcPr>
            <w:tcW w:w="1280" w:type="dxa"/>
            <w:vAlign w:val="bottom"/>
            <w:vMerge w:val="restart"/>
          </w:tcPr>
          <w:p>
            <w:pPr>
              <w:jc w:val="center"/>
              <w:ind w:left="346"/>
              <w:spacing w:after="0"/>
              <w:rPr>
                <w:sz w:val="20"/>
                <w:szCs w:val="20"/>
                <w:color w:val="auto"/>
              </w:rPr>
            </w:pPr>
            <w:r>
              <w:rPr>
                <w:rFonts w:ascii="Arial" w:cs="Arial" w:eastAsia="Arial" w:hAnsi="Arial"/>
                <w:sz w:val="15"/>
                <w:szCs w:val="15"/>
                <w:color w:val="auto"/>
                <w:w w:val="71"/>
              </w:rPr>
              <w:t>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40" w:type="dxa"/>
            <w:vAlign w:val="bottom"/>
            <w:vMerge w:val="restart"/>
          </w:tcPr>
          <w:p>
            <w:pPr>
              <w:ind w:left="380"/>
              <w:spacing w:after="0"/>
              <w:rPr>
                <w:sz w:val="20"/>
                <w:szCs w:val="20"/>
                <w:color w:val="auto"/>
              </w:rPr>
            </w:pPr>
            <w:r>
              <w:rPr>
                <w:rFonts w:ascii="Arial" w:cs="Arial" w:eastAsia="Arial" w:hAnsi="Arial"/>
                <w:sz w:val="15"/>
                <w:szCs w:val="15"/>
                <w:color w:val="auto"/>
              </w:rPr>
              <w:t>and 2005 (unaudited)</w:t>
            </w:r>
          </w:p>
        </w:tc>
        <w:tc>
          <w:tcPr>
            <w:tcW w:w="17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4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Pr>
          <w:p>
            <w:pPr>
              <w:ind w:left="400"/>
              <w:spacing w:after="0"/>
              <w:rPr>
                <w:sz w:val="20"/>
                <w:szCs w:val="20"/>
                <w:color w:val="auto"/>
              </w:rPr>
            </w:pPr>
            <w:r>
              <w:rPr>
                <w:rFonts w:ascii="Arial" w:cs="Arial" w:eastAsia="Arial" w:hAnsi="Arial"/>
                <w:sz w:val="15"/>
                <w:szCs w:val="15"/>
                <w:color w:val="auto"/>
              </w:rPr>
              <w:t>Condensed Consolidated Balance Sheets at June 30, 2006 and December 31, 2005 (unaudited)</w:t>
            </w:r>
          </w:p>
        </w:tc>
        <w:tc>
          <w:tcPr>
            <w:tcW w:w="1720" w:type="dxa"/>
            <w:vAlign w:val="bottom"/>
          </w:tcPr>
          <w:p>
            <w:pPr>
              <w:spacing w:after="0"/>
              <w:rPr>
                <w:sz w:val="17"/>
                <w:szCs w:val="17"/>
                <w:color w:val="auto"/>
              </w:rPr>
            </w:pPr>
          </w:p>
        </w:tc>
        <w:tc>
          <w:tcPr>
            <w:tcW w:w="1280" w:type="dxa"/>
            <w:vAlign w:val="bottom"/>
          </w:tcPr>
          <w:p>
            <w:pPr>
              <w:jc w:val="center"/>
              <w:ind w:left="366"/>
              <w:spacing w:after="0"/>
              <w:rPr>
                <w:sz w:val="20"/>
                <w:szCs w:val="20"/>
                <w:color w:val="auto"/>
              </w:rPr>
            </w:pPr>
            <w:r>
              <w:rPr>
                <w:rFonts w:ascii="Arial" w:cs="Arial" w:eastAsia="Arial" w:hAnsi="Arial"/>
                <w:sz w:val="15"/>
                <w:szCs w:val="15"/>
                <w:color w:val="auto"/>
                <w:w w:val="95"/>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60" w:type="dxa"/>
            <w:vAlign w:val="bottom"/>
            <w:gridSpan w:val="2"/>
          </w:tcPr>
          <w:p>
            <w:pPr>
              <w:ind w:left="400"/>
              <w:spacing w:after="0"/>
              <w:rPr>
                <w:sz w:val="20"/>
                <w:szCs w:val="20"/>
                <w:color w:val="auto"/>
              </w:rPr>
            </w:pPr>
            <w:r>
              <w:rPr>
                <w:rFonts w:ascii="Arial" w:cs="Arial" w:eastAsia="Arial" w:hAnsi="Arial"/>
                <w:sz w:val="15"/>
                <w:szCs w:val="15"/>
                <w:color w:val="auto"/>
                <w:w w:val="99"/>
              </w:rPr>
              <w:t>Consolidated Statements of Changes in Stockholders’ Equity for the six months ended June 30, 2006 and 2005 (unaudited)</w:t>
            </w:r>
          </w:p>
        </w:tc>
        <w:tc>
          <w:tcPr>
            <w:tcW w:w="1280" w:type="dxa"/>
            <w:vAlign w:val="bottom"/>
          </w:tcPr>
          <w:p>
            <w:pPr>
              <w:jc w:val="center"/>
              <w:ind w:left="366"/>
              <w:spacing w:after="0"/>
              <w:rPr>
                <w:sz w:val="20"/>
                <w:szCs w:val="20"/>
                <w:color w:val="auto"/>
              </w:rPr>
            </w:pPr>
            <w:r>
              <w:rPr>
                <w:rFonts w:ascii="Arial" w:cs="Arial" w:eastAsia="Arial" w:hAnsi="Arial"/>
                <w:sz w:val="15"/>
                <w:szCs w:val="15"/>
                <w:color w:val="auto"/>
                <w:w w:val="95"/>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Pr>
          <w:p>
            <w:pPr>
              <w:ind w:left="400"/>
              <w:spacing w:after="0"/>
              <w:rPr>
                <w:sz w:val="20"/>
                <w:szCs w:val="20"/>
                <w:color w:val="auto"/>
              </w:rPr>
            </w:pPr>
            <w:r>
              <w:rPr>
                <w:rFonts w:ascii="Arial" w:cs="Arial" w:eastAsia="Arial" w:hAnsi="Arial"/>
                <w:sz w:val="15"/>
                <w:szCs w:val="15"/>
                <w:color w:val="auto"/>
                <w:w w:val="94"/>
              </w:rPr>
              <w:t>Consolidated Statements of Cash Flows for the six months ended June 30, 2006 and 2005 (unaudited)</w:t>
            </w:r>
          </w:p>
        </w:tc>
        <w:tc>
          <w:tcPr>
            <w:tcW w:w="1720" w:type="dxa"/>
            <w:vAlign w:val="bottom"/>
          </w:tcPr>
          <w:p>
            <w:pPr>
              <w:spacing w:after="0"/>
              <w:rPr>
                <w:sz w:val="17"/>
                <w:szCs w:val="17"/>
                <w:color w:val="auto"/>
              </w:rPr>
            </w:pPr>
          </w:p>
        </w:tc>
        <w:tc>
          <w:tcPr>
            <w:tcW w:w="1280" w:type="dxa"/>
            <w:vAlign w:val="bottom"/>
          </w:tcPr>
          <w:p>
            <w:pPr>
              <w:jc w:val="center"/>
              <w:ind w:left="366"/>
              <w:spacing w:after="0"/>
              <w:rPr>
                <w:sz w:val="20"/>
                <w:szCs w:val="20"/>
                <w:color w:val="auto"/>
              </w:rPr>
            </w:pPr>
            <w:r>
              <w:rPr>
                <w:rFonts w:ascii="Arial" w:cs="Arial" w:eastAsia="Arial" w:hAnsi="Arial"/>
                <w:sz w:val="15"/>
                <w:szCs w:val="15"/>
                <w:color w:val="auto"/>
                <w:w w:val="95"/>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Pr>
          <w:p>
            <w:pPr>
              <w:ind w:left="400"/>
              <w:spacing w:after="0"/>
              <w:rPr>
                <w:sz w:val="20"/>
                <w:szCs w:val="20"/>
                <w:color w:val="auto"/>
              </w:rPr>
            </w:pPr>
            <w:r>
              <w:rPr>
                <w:rFonts w:ascii="Arial" w:cs="Arial" w:eastAsia="Arial" w:hAnsi="Arial"/>
                <w:sz w:val="15"/>
                <w:szCs w:val="15"/>
                <w:color w:val="auto"/>
              </w:rPr>
              <w:t>Notes to Consolidated Financial Statements (unaudited)</w:t>
            </w:r>
          </w:p>
        </w:tc>
        <w:tc>
          <w:tcPr>
            <w:tcW w:w="1720" w:type="dxa"/>
            <w:vAlign w:val="bottom"/>
          </w:tcPr>
          <w:p>
            <w:pPr>
              <w:spacing w:after="0"/>
              <w:rPr>
                <w:sz w:val="17"/>
                <w:szCs w:val="17"/>
                <w:color w:val="auto"/>
              </w:rPr>
            </w:pPr>
          </w:p>
        </w:tc>
        <w:tc>
          <w:tcPr>
            <w:tcW w:w="1280" w:type="dxa"/>
            <w:vAlign w:val="bottom"/>
          </w:tcPr>
          <w:p>
            <w:pPr>
              <w:jc w:val="center"/>
              <w:ind w:left="366"/>
              <w:spacing w:after="0"/>
              <w:rPr>
                <w:sz w:val="20"/>
                <w:szCs w:val="20"/>
                <w:color w:val="auto"/>
              </w:rPr>
            </w:pPr>
            <w:r>
              <w:rPr>
                <w:rFonts w:ascii="Arial" w:cs="Arial" w:eastAsia="Arial" w:hAnsi="Arial"/>
                <w:sz w:val="15"/>
                <w:szCs w:val="15"/>
                <w:color w:val="auto"/>
                <w:w w:val="95"/>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2.</w:t>
            </w:r>
          </w:p>
        </w:tc>
        <w:tc>
          <w:tcPr>
            <w:tcW w:w="6840" w:type="dxa"/>
            <w:vAlign w:val="bottom"/>
          </w:tcPr>
          <w:p>
            <w:pPr>
              <w:ind w:left="40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3.</w:t>
            </w:r>
          </w:p>
        </w:tc>
        <w:tc>
          <w:tcPr>
            <w:tcW w:w="6840" w:type="dxa"/>
            <w:vAlign w:val="bottom"/>
          </w:tcPr>
          <w:p>
            <w:pPr>
              <w:ind w:left="400"/>
              <w:spacing w:after="0"/>
              <w:rPr>
                <w:sz w:val="20"/>
                <w:szCs w:val="20"/>
                <w:color w:val="auto"/>
              </w:rPr>
            </w:pPr>
            <w:r>
              <w:rPr>
                <w:rFonts w:ascii="Arial" w:cs="Arial" w:eastAsia="Arial" w:hAnsi="Arial"/>
                <w:sz w:val="15"/>
                <w:szCs w:val="15"/>
                <w:color w:val="auto"/>
              </w:rPr>
              <w:t>Quantitative and Qualitative Disclosures about Market Risk</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4.</w:t>
            </w:r>
          </w:p>
        </w:tc>
        <w:tc>
          <w:tcPr>
            <w:tcW w:w="6840" w:type="dxa"/>
            <w:vAlign w:val="bottom"/>
          </w:tcPr>
          <w:p>
            <w:pPr>
              <w:ind w:left="400"/>
              <w:spacing w:after="0"/>
              <w:rPr>
                <w:sz w:val="20"/>
                <w:szCs w:val="20"/>
                <w:color w:val="auto"/>
              </w:rPr>
            </w:pPr>
            <w:r>
              <w:rPr>
                <w:rFonts w:ascii="Arial" w:cs="Arial" w:eastAsia="Arial" w:hAnsi="Arial"/>
                <w:sz w:val="15"/>
                <w:szCs w:val="15"/>
                <w:color w:val="auto"/>
              </w:rPr>
              <w:t>Controls and Procedures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Part II.</w:t>
            </w:r>
          </w:p>
        </w:tc>
        <w:tc>
          <w:tcPr>
            <w:tcW w:w="6840" w:type="dxa"/>
            <w:vAlign w:val="bottom"/>
          </w:tcPr>
          <w:p>
            <w:pPr>
              <w:ind w:left="400"/>
              <w:spacing w:after="0"/>
              <w:rPr>
                <w:sz w:val="20"/>
                <w:szCs w:val="20"/>
                <w:color w:val="auto"/>
              </w:rPr>
            </w:pPr>
            <w:r>
              <w:rPr>
                <w:rFonts w:ascii="Arial" w:cs="Arial" w:eastAsia="Arial" w:hAnsi="Arial"/>
                <w:sz w:val="15"/>
                <w:szCs w:val="15"/>
                <w:b w:val="1"/>
                <w:bCs w:val="1"/>
                <w:color w:val="auto"/>
              </w:rPr>
              <w:t>Other Information</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1.</w:t>
            </w:r>
          </w:p>
        </w:tc>
        <w:tc>
          <w:tcPr>
            <w:tcW w:w="6840" w:type="dxa"/>
            <w:vAlign w:val="bottom"/>
          </w:tcPr>
          <w:p>
            <w:pPr>
              <w:ind w:left="400"/>
              <w:spacing w:after="0"/>
              <w:rPr>
                <w:sz w:val="20"/>
                <w:szCs w:val="20"/>
                <w:color w:val="auto"/>
              </w:rPr>
            </w:pPr>
            <w:r>
              <w:rPr>
                <w:rFonts w:ascii="Arial" w:cs="Arial" w:eastAsia="Arial" w:hAnsi="Arial"/>
                <w:sz w:val="15"/>
                <w:szCs w:val="15"/>
                <w:color w:val="auto"/>
              </w:rPr>
              <w:t>Legal Proceedings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1A.</w:t>
            </w:r>
          </w:p>
        </w:tc>
        <w:tc>
          <w:tcPr>
            <w:tcW w:w="6840" w:type="dxa"/>
            <w:vAlign w:val="bottom"/>
          </w:tcPr>
          <w:p>
            <w:pPr>
              <w:ind w:left="400"/>
              <w:spacing w:after="0"/>
              <w:rPr>
                <w:sz w:val="20"/>
                <w:szCs w:val="20"/>
                <w:color w:val="auto"/>
              </w:rPr>
            </w:pPr>
            <w:r>
              <w:rPr>
                <w:rFonts w:ascii="Arial" w:cs="Arial" w:eastAsia="Arial" w:hAnsi="Arial"/>
                <w:sz w:val="15"/>
                <w:szCs w:val="15"/>
                <w:color w:val="auto"/>
              </w:rPr>
              <w:t>Risk Factors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2.</w:t>
            </w:r>
          </w:p>
        </w:tc>
        <w:tc>
          <w:tcPr>
            <w:tcW w:w="6840" w:type="dxa"/>
            <w:vAlign w:val="bottom"/>
          </w:tcPr>
          <w:p>
            <w:pPr>
              <w:ind w:left="400"/>
              <w:spacing w:after="0"/>
              <w:rPr>
                <w:sz w:val="20"/>
                <w:szCs w:val="20"/>
                <w:color w:val="auto"/>
              </w:rPr>
            </w:pPr>
            <w:r>
              <w:rPr>
                <w:rFonts w:ascii="Arial" w:cs="Arial" w:eastAsia="Arial" w:hAnsi="Arial"/>
                <w:sz w:val="15"/>
                <w:szCs w:val="15"/>
                <w:color w:val="auto"/>
              </w:rPr>
              <w:t>Unregistered Sales of Equity Securities and Use of Proceeds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3.</w:t>
            </w:r>
          </w:p>
        </w:tc>
        <w:tc>
          <w:tcPr>
            <w:tcW w:w="6840" w:type="dxa"/>
            <w:vAlign w:val="bottom"/>
          </w:tcPr>
          <w:p>
            <w:pPr>
              <w:ind w:left="400"/>
              <w:spacing w:after="0"/>
              <w:rPr>
                <w:sz w:val="20"/>
                <w:szCs w:val="20"/>
                <w:color w:val="auto"/>
              </w:rPr>
            </w:pPr>
            <w:r>
              <w:rPr>
                <w:rFonts w:ascii="Arial" w:cs="Arial" w:eastAsia="Arial" w:hAnsi="Arial"/>
                <w:sz w:val="15"/>
                <w:szCs w:val="15"/>
                <w:color w:val="auto"/>
              </w:rPr>
              <w:t>Defaults Upon Senior Securities</w:t>
            </w:r>
          </w:p>
        </w:tc>
        <w:tc>
          <w:tcPr>
            <w:tcW w:w="1720" w:type="dxa"/>
            <w:vAlign w:val="bottom"/>
          </w:tcPr>
          <w:p>
            <w:pPr>
              <w:spacing w:after="0"/>
              <w:rPr>
                <w:sz w:val="17"/>
                <w:szCs w:val="17"/>
                <w:color w:val="auto"/>
              </w:rPr>
            </w:pPr>
          </w:p>
        </w:tc>
        <w:tc>
          <w:tcPr>
            <w:tcW w:w="1280" w:type="dxa"/>
            <w:vAlign w:val="bottom"/>
          </w:tcPr>
          <w:p>
            <w:pPr>
              <w:jc w:val="right"/>
              <w:ind w:right="286"/>
              <w:spacing w:after="0"/>
              <w:rPr>
                <w:sz w:val="20"/>
                <w:szCs w:val="20"/>
                <w:color w:val="auto"/>
              </w:rPr>
            </w:pPr>
            <w:r>
              <w:rPr>
                <w:rFonts w:ascii="Arial" w:cs="Arial" w:eastAsia="Arial" w:hAnsi="Arial"/>
                <w:sz w:val="15"/>
                <w:szCs w:val="15"/>
                <w:color w:val="auto"/>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4.</w:t>
            </w:r>
          </w:p>
        </w:tc>
        <w:tc>
          <w:tcPr>
            <w:tcW w:w="6840" w:type="dxa"/>
            <w:vAlign w:val="bottom"/>
          </w:tcPr>
          <w:p>
            <w:pPr>
              <w:ind w:left="400"/>
              <w:spacing w:after="0"/>
              <w:rPr>
                <w:sz w:val="20"/>
                <w:szCs w:val="20"/>
                <w:color w:val="auto"/>
              </w:rPr>
            </w:pPr>
            <w:r>
              <w:rPr>
                <w:rFonts w:ascii="Arial" w:cs="Arial" w:eastAsia="Arial" w:hAnsi="Arial"/>
                <w:sz w:val="15"/>
                <w:szCs w:val="15"/>
                <w:color w:val="auto"/>
              </w:rPr>
              <w:t>Submission of Matters to a Vote of Security Holders</w:t>
            </w: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Item 5.</w:t>
            </w:r>
          </w:p>
        </w:tc>
        <w:tc>
          <w:tcPr>
            <w:tcW w:w="6840" w:type="dxa"/>
            <w:vAlign w:val="bottom"/>
          </w:tcPr>
          <w:p>
            <w:pPr>
              <w:ind w:left="400"/>
              <w:spacing w:after="0"/>
              <w:rPr>
                <w:sz w:val="20"/>
                <w:szCs w:val="20"/>
                <w:color w:val="auto"/>
              </w:rPr>
            </w:pPr>
            <w:r>
              <w:rPr>
                <w:rFonts w:ascii="Arial" w:cs="Arial" w:eastAsia="Arial" w:hAnsi="Arial"/>
                <w:sz w:val="15"/>
                <w:szCs w:val="15"/>
                <w:color w:val="auto"/>
              </w:rPr>
              <w:t>Other Information</w:t>
            </w:r>
          </w:p>
        </w:tc>
        <w:tc>
          <w:tcPr>
            <w:tcW w:w="1720" w:type="dxa"/>
            <w:vAlign w:val="bottom"/>
          </w:tcPr>
          <w:p>
            <w:pPr>
              <w:spacing w:after="0"/>
              <w:rPr>
                <w:sz w:val="16"/>
                <w:szCs w:val="16"/>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gridSpan w:val="2"/>
          </w:tcPr>
          <w:p>
            <w:pPr>
              <w:ind w:left="20"/>
              <w:spacing w:after="0"/>
              <w:rPr>
                <w:sz w:val="20"/>
                <w:szCs w:val="20"/>
                <w:color w:val="auto"/>
              </w:rPr>
            </w:pPr>
            <w:r>
              <w:rPr>
                <w:rFonts w:ascii="Arial" w:cs="Arial" w:eastAsia="Arial" w:hAnsi="Arial"/>
                <w:sz w:val="15"/>
                <w:szCs w:val="15"/>
                <w:color w:val="auto"/>
              </w:rPr>
              <w:t>Item 6.</w:t>
            </w:r>
          </w:p>
        </w:tc>
        <w:tc>
          <w:tcPr>
            <w:tcW w:w="6840" w:type="dxa"/>
            <w:vAlign w:val="bottom"/>
          </w:tcPr>
          <w:p>
            <w:pPr>
              <w:ind w:left="380"/>
              <w:spacing w:after="0"/>
              <w:rPr>
                <w:sz w:val="20"/>
                <w:szCs w:val="20"/>
                <w:color w:val="auto"/>
              </w:rPr>
            </w:pPr>
            <w:r>
              <w:rPr>
                <w:rFonts w:ascii="Arial" w:cs="Arial" w:eastAsia="Arial" w:hAnsi="Arial"/>
                <w:sz w:val="15"/>
                <w:szCs w:val="15"/>
                <w:color w:val="auto"/>
              </w:rPr>
              <w:t>Exhibits</w:t>
            </w:r>
          </w:p>
        </w:tc>
        <w:tc>
          <w:tcPr>
            <w:tcW w:w="1720" w:type="dxa"/>
            <w:vAlign w:val="bottom"/>
          </w:tcPr>
          <w:p>
            <w:pPr>
              <w:spacing w:after="0"/>
              <w:rPr>
                <w:sz w:val="16"/>
                <w:szCs w:val="16"/>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40"/>
              <w:spacing w:after="0"/>
              <w:rPr>
                <w:sz w:val="20"/>
                <w:szCs w:val="20"/>
                <w:color w:val="auto"/>
              </w:rPr>
            </w:pPr>
            <w:r>
              <w:rPr>
                <w:rFonts w:ascii="Arial" w:cs="Arial" w:eastAsia="Arial" w:hAnsi="Arial"/>
                <w:sz w:val="15"/>
                <w:szCs w:val="15"/>
                <w:color w:val="auto"/>
              </w:rPr>
              <w:t>Signatures</w:t>
            </w:r>
          </w:p>
        </w:tc>
        <w:tc>
          <w:tcPr>
            <w:tcW w:w="6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jc w:val="center"/>
              <w:ind w:left="346"/>
              <w:spacing w:after="0"/>
              <w:rPr>
                <w:sz w:val="20"/>
                <w:szCs w:val="20"/>
                <w:color w:val="auto"/>
              </w:rPr>
            </w:pPr>
            <w:r>
              <w:rPr>
                <w:rFonts w:ascii="Arial" w:cs="Arial" w:eastAsia="Arial" w:hAnsi="Arial"/>
                <w:sz w:val="15"/>
                <w:szCs w:val="15"/>
                <w:color w:val="auto"/>
                <w:w w:val="83"/>
              </w:rPr>
              <w:t>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80"/>
          </w:cols>
          <w:pgMar w:left="240" w:top="328"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3260" w:type="dxa"/>
            <w:vAlign w:val="bottom"/>
          </w:tcPr>
          <w:p>
            <w:pPr>
              <w:ind w:left="540"/>
              <w:spacing w:after="0"/>
              <w:rPr>
                <w:sz w:val="20"/>
                <w:szCs w:val="20"/>
                <w:color w:val="auto"/>
              </w:rPr>
            </w:pPr>
            <w:r>
              <w:rPr>
                <w:rFonts w:ascii="Arial" w:cs="Arial" w:eastAsia="Arial" w:hAnsi="Arial"/>
                <w:sz w:val="15"/>
                <w:szCs w:val="15"/>
                <w:b w:val="1"/>
                <w:bCs w:val="1"/>
                <w:color w:val="auto"/>
              </w:rPr>
              <w:t>Item 1. Financial Statements</w:t>
            </w:r>
          </w:p>
        </w:tc>
        <w:tc>
          <w:tcPr>
            <w:tcW w:w="2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gridSpan w:val="3"/>
          </w:tcPr>
          <w:p>
            <w:pPr>
              <w:jc w:val="center"/>
              <w:ind w:right="1140"/>
              <w:spacing w:after="0"/>
              <w:rPr>
                <w:sz w:val="20"/>
                <w:szCs w:val="20"/>
                <w:color w:val="auto"/>
              </w:rPr>
            </w:pPr>
            <w:r>
              <w:rPr>
                <w:rFonts w:ascii="Arial" w:cs="Arial" w:eastAsia="Arial" w:hAnsi="Arial"/>
                <w:sz w:val="15"/>
                <w:szCs w:val="15"/>
                <w:b w:val="1"/>
                <w:bCs w:val="1"/>
                <w:color w:val="auto"/>
                <w:w w:val="96"/>
              </w:rPr>
              <w:t>NN, Inc.</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5180" w:type="dxa"/>
            <w:vAlign w:val="bottom"/>
            <w:gridSpan w:val="6"/>
          </w:tcPr>
          <w:p>
            <w:pPr>
              <w:jc w:val="center"/>
              <w:ind w:right="280"/>
              <w:spacing w:after="0"/>
              <w:rPr>
                <w:sz w:val="20"/>
                <w:szCs w:val="20"/>
                <w:color w:val="auto"/>
              </w:rPr>
            </w:pPr>
            <w:r>
              <w:rPr>
                <w:rFonts w:ascii="Arial" w:cs="Arial" w:eastAsia="Arial" w:hAnsi="Arial"/>
                <w:sz w:val="15"/>
                <w:szCs w:val="15"/>
                <w:b w:val="1"/>
                <w:bCs w:val="1"/>
                <w:color w:val="auto"/>
                <w:w w:val="89"/>
              </w:rPr>
              <w:t>Consolidated Statements of Income and Comprehensive Income</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60" w:type="dxa"/>
            <w:vAlign w:val="bottom"/>
          </w:tcPr>
          <w:p>
            <w:pPr>
              <w:spacing w:after="0"/>
              <w:rPr>
                <w:sz w:val="16"/>
                <w:szCs w:val="16"/>
                <w:color w:val="auto"/>
              </w:rPr>
            </w:pPr>
          </w:p>
        </w:tc>
        <w:tc>
          <w:tcPr>
            <w:tcW w:w="3940" w:type="dxa"/>
            <w:vAlign w:val="bottom"/>
            <w:gridSpan w:val="4"/>
          </w:tcPr>
          <w:p>
            <w:pPr>
              <w:jc w:val="center"/>
              <w:ind w:left="885"/>
              <w:spacing w:after="0"/>
              <w:rPr>
                <w:sz w:val="20"/>
                <w:szCs w:val="20"/>
                <w:color w:val="auto"/>
              </w:rPr>
            </w:pPr>
            <w:r>
              <w:rPr>
                <w:rFonts w:ascii="Arial" w:cs="Arial" w:eastAsia="Arial" w:hAnsi="Arial"/>
                <w:sz w:val="15"/>
                <w:szCs w:val="15"/>
                <w:b w:val="1"/>
                <w:bCs w:val="1"/>
                <w:color w:val="auto"/>
                <w:w w:val="93"/>
              </w:rPr>
              <w:t>(Unaudited)</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8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w w:val="91"/>
              </w:rPr>
              <w:t>Three Months Ended</w:t>
            </w:r>
          </w:p>
        </w:tc>
        <w:tc>
          <w:tcPr>
            <w:tcW w:w="2140" w:type="dxa"/>
            <w:vAlign w:val="bottom"/>
            <w:gridSpan w:val="3"/>
          </w:tcPr>
          <w:p>
            <w:pPr>
              <w:jc w:val="center"/>
              <w:ind w:left="785"/>
              <w:spacing w:after="0"/>
              <w:rPr>
                <w:sz w:val="20"/>
                <w:szCs w:val="20"/>
                <w:color w:val="auto"/>
              </w:rPr>
            </w:pPr>
            <w:r>
              <w:rPr>
                <w:rFonts w:ascii="Arial" w:cs="Arial" w:eastAsia="Arial" w:hAnsi="Arial"/>
                <w:sz w:val="15"/>
                <w:szCs w:val="15"/>
                <w:b w:val="1"/>
                <w:bCs w:val="1"/>
                <w:color w:val="auto"/>
                <w:w w:val="92"/>
              </w:rPr>
              <w:t>Six Months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40" w:type="dxa"/>
            <w:vAlign w:val="bottom"/>
            <w:gridSpan w:val="3"/>
          </w:tcPr>
          <w:p>
            <w:pPr>
              <w:jc w:val="center"/>
              <w:ind w:left="905"/>
              <w:spacing w:after="0"/>
              <w:rPr>
                <w:sz w:val="20"/>
                <w:szCs w:val="20"/>
                <w:color w:val="auto"/>
              </w:rPr>
            </w:pPr>
            <w:r>
              <w:rPr>
                <w:rFonts w:ascii="Arial" w:cs="Arial" w:eastAsia="Arial" w:hAnsi="Arial"/>
                <w:sz w:val="15"/>
                <w:szCs w:val="15"/>
                <w:b w:val="1"/>
                <w:bCs w:val="1"/>
                <w:color w:val="auto"/>
                <w:w w:val="89"/>
              </w:rPr>
              <w:t>June 30,</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center"/>
              <w:ind w:left="785"/>
              <w:spacing w:after="0"/>
              <w:rPr>
                <w:sz w:val="20"/>
                <w:szCs w:val="20"/>
                <w:color w:val="auto"/>
              </w:rPr>
            </w:pPr>
            <w:r>
              <w:rPr>
                <w:rFonts w:ascii="Arial" w:cs="Arial" w:eastAsia="Arial" w:hAnsi="Arial"/>
                <w:sz w:val="15"/>
                <w:szCs w:val="15"/>
                <w:b w:val="1"/>
                <w:bCs w:val="1"/>
                <w:color w:val="auto"/>
                <w:w w:val="86"/>
              </w:rPr>
              <w:t>June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3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(Thousands of Dollars, Except Per Share Data)</w:t>
            </w:r>
          </w:p>
        </w:tc>
        <w:tc>
          <w:tcPr>
            <w:tcW w:w="336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5"/>
                <w:szCs w:val="15"/>
                <w:b w:val="1"/>
                <w:bCs w:val="1"/>
                <w:color w:val="auto"/>
              </w:rPr>
              <w:t>2006</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2005</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2006</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$ 83,554</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$ 83,787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$ 169,571</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$ 170,502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line="170" w:lineRule="exact"/>
              <w:rPr>
                <w:sz w:val="20"/>
                <w:szCs w:val="20"/>
                <w:color w:val="auto"/>
              </w:rPr>
            </w:pPr>
            <w:r>
              <w:rPr>
                <w:rFonts w:ascii="Arial" w:cs="Arial" w:eastAsia="Arial" w:hAnsi="Arial"/>
                <w:sz w:val="15"/>
                <w:szCs w:val="15"/>
                <w:color w:val="auto"/>
              </w:rPr>
              <w:t>Cost of products sold (exclusive of depreciation</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5"/>
                <w:szCs w:val="15"/>
                <w:color w:val="auto"/>
              </w:rPr>
              <w:t>and amortization shown separately below)</w:t>
            </w:r>
          </w:p>
        </w:tc>
        <w:tc>
          <w:tcPr>
            <w:tcW w:w="3620" w:type="dxa"/>
            <w:vAlign w:val="bottom"/>
            <w:gridSpan w:val="3"/>
          </w:tcPr>
          <w:p>
            <w:pPr>
              <w:jc w:val="right"/>
              <w:ind w:right="260"/>
              <w:spacing w:after="0"/>
              <w:rPr>
                <w:sz w:val="20"/>
                <w:szCs w:val="20"/>
                <w:color w:val="auto"/>
              </w:rPr>
            </w:pPr>
            <w:r>
              <w:rPr>
                <w:rFonts w:ascii="Arial" w:cs="Arial" w:eastAsia="Arial" w:hAnsi="Arial"/>
                <w:sz w:val="15"/>
                <w:szCs w:val="15"/>
                <w:color w:val="auto"/>
              </w:rPr>
              <w:t>64,905</w:t>
            </w: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66,005</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130,904</w:t>
            </w:r>
          </w:p>
        </w:tc>
        <w:tc>
          <w:tcPr>
            <w:tcW w:w="44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133,670</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7,063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7,297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14,744</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3620" w:type="dxa"/>
            <w:vAlign w:val="bottom"/>
            <w:gridSpan w:val="3"/>
          </w:tcPr>
          <w:p>
            <w:pPr>
              <w:jc w:val="right"/>
              <w:ind w:right="260"/>
              <w:spacing w:after="0"/>
              <w:rPr>
                <w:sz w:val="20"/>
                <w:szCs w:val="20"/>
                <w:color w:val="auto"/>
              </w:rPr>
            </w:pPr>
            <w:r>
              <w:rPr>
                <w:rFonts w:ascii="Arial" w:cs="Arial" w:eastAsia="Arial" w:hAnsi="Arial"/>
                <w:sz w:val="15"/>
                <w:szCs w:val="15"/>
                <w:color w:val="auto"/>
              </w:rPr>
              <w:t>4,425</w:t>
            </w: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4,130</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8,587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2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(726)</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5"/>
                <w:szCs w:val="15"/>
                <w:color w:val="auto"/>
              </w:rPr>
              <w:t>Income from operations</w:t>
            </w:r>
          </w:p>
        </w:tc>
        <w:tc>
          <w:tcPr>
            <w:tcW w:w="2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7,157</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6,353</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16,062</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13,741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5"/>
                <w:szCs w:val="15"/>
                <w:color w:val="auto"/>
              </w:rPr>
              <w:t>Interest expense, net</w:t>
            </w:r>
          </w:p>
        </w:tc>
        <w:tc>
          <w:tcPr>
            <w:tcW w:w="3620" w:type="dxa"/>
            <w:vAlign w:val="bottom"/>
            <w:gridSpan w:val="3"/>
          </w:tcPr>
          <w:p>
            <w:pPr>
              <w:jc w:val="right"/>
              <w:ind w:right="260"/>
              <w:spacing w:after="0"/>
              <w:rPr>
                <w:sz w:val="20"/>
                <w:szCs w:val="20"/>
                <w:color w:val="auto"/>
              </w:rPr>
            </w:pPr>
            <w:r>
              <w:rPr>
                <w:rFonts w:ascii="Arial" w:cs="Arial" w:eastAsia="Arial" w:hAnsi="Arial"/>
                <w:sz w:val="15"/>
                <w:szCs w:val="15"/>
                <w:color w:val="auto"/>
              </w:rPr>
              <w:t>1,021</w:t>
            </w: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1,025</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2,007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2,008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(168)</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240</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60" w:type="dxa"/>
            <w:vAlign w:val="bottom"/>
          </w:tcPr>
          <w:p>
            <w:pPr>
              <w:spacing w:after="0"/>
              <w:rPr>
                <w:sz w:val="20"/>
                <w:szCs w:val="20"/>
                <w:color w:val="auto"/>
              </w:rPr>
            </w:pPr>
            <w:r>
              <w:rPr>
                <w:rFonts w:ascii="Arial" w:cs="Arial" w:eastAsia="Arial" w:hAnsi="Arial"/>
                <w:sz w:val="15"/>
                <w:szCs w:val="15"/>
                <w:color w:val="auto"/>
              </w:rPr>
              <w:t>Income before provision for income taxes</w:t>
            </w:r>
          </w:p>
        </w:tc>
        <w:tc>
          <w:tcPr>
            <w:tcW w:w="2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5,687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5,496</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13,815</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2,234</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2,184</w:t>
            </w:r>
          </w:p>
        </w:tc>
        <w:tc>
          <w:tcPr>
            <w:tcW w:w="17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5,100</w:t>
            </w: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60" w:type="dxa"/>
            <w:vAlign w:val="bottom"/>
          </w:tcPr>
          <w:p>
            <w:pPr>
              <w:spacing w:after="0"/>
              <w:rPr>
                <w:sz w:val="20"/>
                <w:szCs w:val="20"/>
                <w:color w:val="auto"/>
              </w:rPr>
            </w:pPr>
            <w:r>
              <w:rPr>
                <w:rFonts w:ascii="Arial" w:cs="Arial" w:eastAsia="Arial" w:hAnsi="Arial"/>
                <w:sz w:val="15"/>
                <w:szCs w:val="15"/>
                <w:color w:val="auto"/>
              </w:rPr>
              <w:t>Net income</w:t>
            </w:r>
          </w:p>
        </w:tc>
        <w:tc>
          <w:tcPr>
            <w:tcW w:w="2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3,453</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3,312</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8,715</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7,337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Unrealized holding loss on securities,</w:t>
            </w:r>
          </w:p>
        </w:tc>
        <w:tc>
          <w:tcPr>
            <w:tcW w:w="2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net of tax</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5"/>
                <w:szCs w:val="15"/>
                <w:color w:val="auto"/>
              </w:rPr>
              <w:t>Foreign currency translation gain (loss)</w:t>
            </w:r>
          </w:p>
        </w:tc>
        <w:tc>
          <w:tcPr>
            <w:tcW w:w="3620" w:type="dxa"/>
            <w:vAlign w:val="bottom"/>
            <w:gridSpan w:val="3"/>
          </w:tcPr>
          <w:p>
            <w:pPr>
              <w:jc w:val="right"/>
              <w:ind w:right="260"/>
              <w:spacing w:after="0"/>
              <w:rPr>
                <w:sz w:val="20"/>
                <w:szCs w:val="20"/>
                <w:color w:val="auto"/>
              </w:rPr>
            </w:pPr>
            <w:r>
              <w:rPr>
                <w:rFonts w:ascii="Arial" w:cs="Arial" w:eastAsia="Arial" w:hAnsi="Arial"/>
                <w:sz w:val="15"/>
                <w:szCs w:val="15"/>
                <w:color w:val="auto"/>
              </w:rPr>
              <w:t>5,414</w:t>
            </w:r>
          </w:p>
        </w:tc>
        <w:tc>
          <w:tcPr>
            <w:tcW w:w="3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(5,895)</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auto"/>
              </w:rPr>
              <w:t>7,644</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Comprehensive income (loss)</w:t>
            </w:r>
          </w:p>
        </w:tc>
        <w:tc>
          <w:tcPr>
            <w:tcW w:w="2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$ 8,867</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(2,583)</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$ 16,359</w:t>
            </w:r>
          </w:p>
        </w:tc>
        <w:tc>
          <w:tcPr>
            <w:tcW w:w="4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Basic income per common share:</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$ 0.20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$ 0.20</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$ 0.51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2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17,157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16,971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17,153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16,914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per common share:</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$ 0.20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$ 0.19</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$ 0.50</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36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17,369</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17,328</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17,365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6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Cash dividends per common share</w:t>
            </w:r>
          </w:p>
        </w:tc>
        <w:tc>
          <w:tcPr>
            <w:tcW w:w="2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$ 0.08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$ 0.08</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$ 0.16</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757"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80" w:type="dxa"/>
            <w:vAlign w:val="bottom"/>
          </w:tcPr>
          <w:p>
            <w:pPr>
              <w:jc w:val="center"/>
              <w:ind w:left="585"/>
              <w:spacing w:after="0"/>
              <w:rPr>
                <w:sz w:val="20"/>
                <w:szCs w:val="20"/>
                <w:color w:val="auto"/>
              </w:rPr>
            </w:pPr>
            <w:r>
              <w:rPr>
                <w:rFonts w:ascii="Arial" w:cs="Arial" w:eastAsia="Arial" w:hAnsi="Arial"/>
                <w:sz w:val="15"/>
                <w:szCs w:val="15"/>
                <w:b w:val="1"/>
                <w:bCs w:val="1"/>
                <w:color w:val="auto"/>
                <w:w w:val="89"/>
              </w:rPr>
              <w:t>June 30,</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gridSpan w:val="2"/>
          </w:tcPr>
          <w:p>
            <w:pPr>
              <w:ind w:left="5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5"/>
                <w:szCs w:val="15"/>
                <w:color w:val="auto"/>
              </w:rPr>
              <w:t>(Thousands of Dollars)</w:t>
            </w:r>
          </w:p>
        </w:tc>
        <w:tc>
          <w:tcPr>
            <w:tcW w:w="1280" w:type="dxa"/>
            <w:vAlign w:val="bottom"/>
          </w:tcPr>
          <w:p>
            <w:pPr>
              <w:jc w:val="right"/>
              <w:ind w:right="85"/>
              <w:spacing w:after="0"/>
              <w:rPr>
                <w:sz w:val="20"/>
                <w:szCs w:val="20"/>
                <w:color w:val="auto"/>
              </w:rPr>
            </w:pPr>
            <w:r>
              <w:rPr>
                <w:rFonts w:ascii="Arial" w:cs="Arial" w:eastAsia="Arial" w:hAnsi="Arial"/>
                <w:sz w:val="15"/>
                <w:szCs w:val="15"/>
                <w:b w:val="1"/>
                <w:bCs w:val="1"/>
                <w:color w:val="auto"/>
              </w:rPr>
              <w:t>2006</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ind w:right="745"/>
              <w:spacing w:after="0"/>
              <w:rPr>
                <w:sz w:val="20"/>
                <w:szCs w:val="20"/>
                <w:color w:val="auto"/>
              </w:rPr>
            </w:pPr>
            <w:r>
              <w:rPr>
                <w:rFonts w:ascii="Arial" w:cs="Arial" w:eastAsia="Arial" w:hAnsi="Arial"/>
                <w:sz w:val="15"/>
                <w:szCs w:val="15"/>
                <w:b w:val="1"/>
                <w:bCs w:val="1"/>
                <w:color w:val="auto"/>
              </w:rPr>
              <w:t>2005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Current assets:</w:t>
            </w: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$ 12,141</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$ 10,856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58,188</w:t>
            </w:r>
          </w:p>
        </w:tc>
        <w:tc>
          <w:tcPr>
            <w:tcW w:w="1940" w:type="dxa"/>
            <w:vAlign w:val="bottom"/>
          </w:tcPr>
          <w:p>
            <w:pPr>
              <w:jc w:val="right"/>
              <w:spacing w:after="0"/>
              <w:rPr>
                <w:sz w:val="20"/>
                <w:szCs w:val="20"/>
                <w:color w:val="auto"/>
              </w:rPr>
            </w:pPr>
            <w:r>
              <w:rPr>
                <w:rFonts w:ascii="Arial" w:cs="Arial" w:eastAsia="Arial" w:hAnsi="Arial"/>
                <w:sz w:val="15"/>
                <w:szCs w:val="15"/>
                <w:color w:val="auto"/>
              </w:rPr>
              <w:t>47,297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36,538</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Income tax receivable</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2,278</w:t>
            </w:r>
          </w:p>
        </w:tc>
        <w:tc>
          <w:tcPr>
            <w:tcW w:w="1940" w:type="dxa"/>
            <w:vAlign w:val="bottom"/>
          </w:tcPr>
          <w:p>
            <w:pPr>
              <w:jc w:val="right"/>
              <w:spacing w:after="0"/>
              <w:rPr>
                <w:sz w:val="20"/>
                <w:szCs w:val="20"/>
                <w:color w:val="auto"/>
              </w:rPr>
            </w:pPr>
            <w:r>
              <w:rPr>
                <w:rFonts w:ascii="Arial" w:cs="Arial" w:eastAsia="Arial" w:hAnsi="Arial"/>
                <w:sz w:val="15"/>
                <w:szCs w:val="15"/>
                <w:color w:val="auto"/>
              </w:rPr>
              <w:t>1,237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1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10,032</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80" w:type="dxa"/>
            <w:vAlign w:val="bottom"/>
          </w:tcPr>
          <w:p>
            <w:pPr>
              <w:spacing w:after="0"/>
              <w:rPr>
                <w:sz w:val="20"/>
                <w:szCs w:val="20"/>
                <w:color w:val="auto"/>
              </w:rPr>
            </w:pPr>
            <w:r>
              <w:rPr>
                <w:rFonts w:ascii="Arial" w:cs="Arial" w:eastAsia="Arial" w:hAnsi="Arial"/>
                <w:sz w:val="15"/>
                <w:szCs w:val="15"/>
                <w:color w:val="auto"/>
              </w:rPr>
              <w:t>Total current assets</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119,177</w:t>
            </w:r>
          </w:p>
        </w:tc>
        <w:tc>
          <w:tcPr>
            <w:tcW w:w="1940" w:type="dxa"/>
            <w:vAlign w:val="bottom"/>
          </w:tcPr>
          <w:p>
            <w:pPr>
              <w:jc w:val="right"/>
              <w:spacing w:after="0"/>
              <w:rPr>
                <w:sz w:val="20"/>
                <w:szCs w:val="20"/>
                <w:color w:val="auto"/>
              </w:rPr>
            </w:pPr>
            <w:r>
              <w:rPr>
                <w:rFonts w:ascii="Arial" w:cs="Arial" w:eastAsia="Arial" w:hAnsi="Arial"/>
                <w:sz w:val="15"/>
                <w:szCs w:val="15"/>
                <w:color w:val="auto"/>
              </w:rPr>
              <w:t>105,950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121,987</w:t>
            </w:r>
          </w:p>
        </w:tc>
        <w:tc>
          <w:tcPr>
            <w:tcW w:w="1940" w:type="dxa"/>
            <w:vAlign w:val="bottom"/>
          </w:tcPr>
          <w:p>
            <w:pPr>
              <w:jc w:val="right"/>
              <w:spacing w:after="0"/>
              <w:rPr>
                <w:sz w:val="20"/>
                <w:szCs w:val="20"/>
                <w:color w:val="auto"/>
              </w:rPr>
            </w:pPr>
            <w:r>
              <w:rPr>
                <w:rFonts w:ascii="Arial" w:cs="Arial" w:eastAsia="Arial" w:hAnsi="Arial"/>
                <w:sz w:val="15"/>
                <w:szCs w:val="15"/>
                <w:color w:val="auto"/>
              </w:rPr>
              <w:t>118,829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43,049</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Intangibles, net and other assets</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3,987</w:t>
            </w:r>
          </w:p>
        </w:tc>
        <w:tc>
          <w:tcPr>
            <w:tcW w:w="1940" w:type="dxa"/>
            <w:vAlign w:val="bottom"/>
          </w:tcPr>
          <w:p>
            <w:pPr>
              <w:jc w:val="right"/>
              <w:spacing w:after="0"/>
              <w:rPr>
                <w:sz w:val="20"/>
                <w:szCs w:val="20"/>
                <w:color w:val="auto"/>
              </w:rPr>
            </w:pPr>
            <w:r>
              <w:rPr>
                <w:rFonts w:ascii="Arial" w:cs="Arial" w:eastAsia="Arial" w:hAnsi="Arial"/>
                <w:sz w:val="15"/>
                <w:szCs w:val="15"/>
                <w:color w:val="auto"/>
              </w:rPr>
              <w:t>3,228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9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w w:val="92"/>
              </w:rPr>
              <w:t>$ 288,200</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$ 269,655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98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Current liabilities:</w:t>
            </w: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$ 44,312</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Accrued salaries and wages</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12,705</w:t>
            </w:r>
          </w:p>
        </w:tc>
        <w:tc>
          <w:tcPr>
            <w:tcW w:w="1940" w:type="dxa"/>
            <w:vAlign w:val="bottom"/>
          </w:tcPr>
          <w:p>
            <w:pPr>
              <w:jc w:val="right"/>
              <w:spacing w:after="0"/>
              <w:rPr>
                <w:sz w:val="20"/>
                <w:szCs w:val="20"/>
                <w:color w:val="auto"/>
              </w:rPr>
            </w:pPr>
            <w:r>
              <w:rPr>
                <w:rFonts w:ascii="Arial" w:cs="Arial" w:eastAsia="Arial" w:hAnsi="Arial"/>
                <w:sz w:val="15"/>
                <w:szCs w:val="15"/>
                <w:color w:val="auto"/>
              </w:rPr>
              <w:t>12,407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taxes</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4,388</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Current maturities of long-term debt</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18,917</w:t>
            </w:r>
          </w:p>
        </w:tc>
        <w:tc>
          <w:tcPr>
            <w:tcW w:w="1940" w:type="dxa"/>
            <w:vAlign w:val="bottom"/>
          </w:tcPr>
          <w:p>
            <w:pPr>
              <w:jc w:val="right"/>
              <w:spacing w:after="0"/>
              <w:rPr>
                <w:sz w:val="20"/>
                <w:szCs w:val="20"/>
                <w:color w:val="auto"/>
              </w:rPr>
            </w:pPr>
            <w:r>
              <w:rPr>
                <w:rFonts w:ascii="Arial" w:cs="Arial" w:eastAsia="Arial" w:hAnsi="Arial"/>
                <w:sz w:val="15"/>
                <w:szCs w:val="15"/>
                <w:color w:val="auto"/>
              </w:rPr>
              <w:t>4,668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current liabilities</w:t>
            </w:r>
          </w:p>
        </w:tc>
        <w:tc>
          <w:tcPr>
            <w:tcW w:w="1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4,529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8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84,851</w:t>
            </w:r>
          </w:p>
        </w:tc>
        <w:tc>
          <w:tcPr>
            <w:tcW w:w="1940" w:type="dxa"/>
            <w:vAlign w:val="bottom"/>
          </w:tcPr>
          <w:p>
            <w:pPr>
              <w:jc w:val="right"/>
              <w:spacing w:after="0"/>
              <w:rPr>
                <w:sz w:val="20"/>
                <w:szCs w:val="20"/>
                <w:color w:val="auto"/>
              </w:rPr>
            </w:pPr>
            <w:r>
              <w:rPr>
                <w:rFonts w:ascii="Arial" w:cs="Arial" w:eastAsia="Arial" w:hAnsi="Arial"/>
                <w:sz w:val="15"/>
                <w:szCs w:val="15"/>
                <w:color w:val="auto"/>
              </w:rPr>
              <w:t>64,839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Non-current deferred tax liability</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16,435</w:t>
            </w:r>
          </w:p>
        </w:tc>
        <w:tc>
          <w:tcPr>
            <w:tcW w:w="1940" w:type="dxa"/>
            <w:vAlign w:val="bottom"/>
          </w:tcPr>
          <w:p>
            <w:pPr>
              <w:jc w:val="right"/>
              <w:spacing w:after="0"/>
              <w:rPr>
                <w:sz w:val="20"/>
                <w:szCs w:val="20"/>
                <w:color w:val="auto"/>
              </w:rPr>
            </w:pPr>
            <w:r>
              <w:rPr>
                <w:rFonts w:ascii="Arial" w:cs="Arial" w:eastAsia="Arial" w:hAnsi="Arial"/>
                <w:sz w:val="15"/>
                <w:szCs w:val="15"/>
                <w:color w:val="auto"/>
              </w:rPr>
              <w:t>15,128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1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40,000</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80" w:type="dxa"/>
            <w:vAlign w:val="bottom"/>
          </w:tcPr>
          <w:p>
            <w:pPr>
              <w:spacing w:after="0"/>
              <w:rPr>
                <w:sz w:val="20"/>
                <w:szCs w:val="20"/>
                <w:color w:val="auto"/>
              </w:rPr>
            </w:pPr>
            <w:r>
              <w:rPr>
                <w:rFonts w:ascii="Arial" w:cs="Arial" w:eastAsia="Arial" w:hAnsi="Arial"/>
                <w:sz w:val="15"/>
                <w:szCs w:val="15"/>
                <w:color w:val="auto"/>
              </w:rPr>
              <w:t>Accrued pension and other</w:t>
            </w:r>
          </w:p>
        </w:tc>
        <w:tc>
          <w:tcPr>
            <w:tcW w:w="12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5"/>
                <w:szCs w:val="15"/>
                <w:color w:val="auto"/>
              </w:rPr>
              <w:t>17,007</w:t>
            </w:r>
          </w:p>
        </w:tc>
        <w:tc>
          <w:tcPr>
            <w:tcW w:w="1940" w:type="dxa"/>
            <w:vAlign w:val="bottom"/>
          </w:tcPr>
          <w:p>
            <w:pPr>
              <w:jc w:val="right"/>
              <w:spacing w:after="0"/>
              <w:rPr>
                <w:sz w:val="20"/>
                <w:szCs w:val="20"/>
                <w:color w:val="auto"/>
              </w:rPr>
            </w:pPr>
            <w:r>
              <w:rPr>
                <w:rFonts w:ascii="Arial" w:cs="Arial" w:eastAsia="Arial" w:hAnsi="Arial"/>
                <w:sz w:val="15"/>
                <w:szCs w:val="15"/>
                <w:color w:val="auto"/>
              </w:rPr>
              <w:t>15,714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1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158,293</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1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129,907</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116,074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80" w:type="dxa"/>
            <w:vAlign w:val="bottom"/>
            <w:tcBorders>
              <w:top w:val="single" w:sz="8" w:color="CCEEFF"/>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1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w w:val="92"/>
              </w:rPr>
              <w:t>$ 288,200</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$ 269,655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5"/>
                <w:szCs w:val="15"/>
                <w:b w:val="1"/>
                <w:bCs w:val="1"/>
                <w:color w:val="auto"/>
              </w:rPr>
              <w:t>Common Stock</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2"/>
              </w:rPr>
              <w:t>Additional</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paid in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capital</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unearned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Other</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Number Of</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Additional</w:t>
            </w: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compen-</w:t>
            </w:r>
          </w:p>
        </w:tc>
        <w:tc>
          <w:tcPr>
            <w:tcW w:w="12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Retained</w:t>
            </w: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Comprehen-sive</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660"/>
              <w:spacing w:after="0"/>
              <w:rPr>
                <w:sz w:val="20"/>
                <w:szCs w:val="20"/>
                <w:color w:val="auto"/>
              </w:rPr>
            </w:pPr>
            <w:r>
              <w:rPr>
                <w:rFonts w:ascii="Arial" w:cs="Arial" w:eastAsia="Arial" w:hAnsi="Arial"/>
                <w:sz w:val="15"/>
                <w:szCs w:val="15"/>
                <w:color w:val="auto"/>
              </w:rPr>
              <w:t>(Thousands of Dollars and Shares)</w:t>
            </w:r>
          </w:p>
        </w:tc>
        <w:tc>
          <w:tcPr>
            <w:tcW w:w="10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Shares</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8"/>
              </w:rPr>
              <w:t>Par value</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paid in capital</w:t>
            </w: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sation</w:t>
            </w:r>
          </w:p>
        </w:tc>
        <w:tc>
          <w:tcPr>
            <w:tcW w:w="12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Earnings</w:t>
            </w: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Income</w:t>
            </w:r>
          </w:p>
        </w:tc>
        <w:tc>
          <w:tcPr>
            <w:tcW w:w="1160" w:type="dxa"/>
            <w:vAlign w:val="bottom"/>
            <w:gridSpan w:val="2"/>
          </w:tcPr>
          <w:p>
            <w:pPr>
              <w:ind w:left="4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Arial" w:cs="Arial" w:eastAsia="Arial" w:hAnsi="Arial"/>
                <w:sz w:val="15"/>
                <w:szCs w:val="15"/>
                <w:color w:val="auto"/>
              </w:rPr>
              <w:t>Balance, January 1, 2005</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16,777</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$ 168</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$ 53,423</w:t>
            </w:r>
          </w:p>
        </w:tc>
        <w:tc>
          <w:tcPr>
            <w:tcW w:w="840" w:type="dxa"/>
            <w:vAlign w:val="bottom"/>
          </w:tcPr>
          <w:p>
            <w:pPr>
              <w:jc w:val="right"/>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$ 45,676</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$ 15,873</w:t>
            </w:r>
          </w:p>
        </w:tc>
        <w:tc>
          <w:tcPr>
            <w:tcW w:w="1140" w:type="dxa"/>
            <w:vAlign w:val="bottom"/>
          </w:tcPr>
          <w:p>
            <w:pPr>
              <w:jc w:val="right"/>
              <w:spacing w:after="0"/>
              <w:rPr>
                <w:sz w:val="20"/>
                <w:szCs w:val="20"/>
                <w:color w:val="auto"/>
              </w:rPr>
            </w:pPr>
            <w:r>
              <w:rPr>
                <w:rFonts w:ascii="Arial" w:cs="Arial" w:eastAsia="Arial" w:hAnsi="Arial"/>
                <w:sz w:val="15"/>
                <w:szCs w:val="15"/>
                <w:color w:val="auto"/>
              </w:rPr>
              <w:t>$ 115,140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7,337</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7,337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declared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20"/>
                <w:szCs w:val="20"/>
                <w:color w:val="auto"/>
              </w:rPr>
            </w:pPr>
            <w:r>
              <w:rPr>
                <w:rFonts w:ascii="Arial" w:cs="Arial" w:eastAsia="Arial" w:hAnsi="Arial"/>
                <w:sz w:val="15"/>
                <w:szCs w:val="15"/>
                <w:color w:val="auto"/>
              </w:rPr>
              <w:t>Foreign exchange translation loss</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(9,965)</w:t>
            </w:r>
          </w:p>
        </w:tc>
        <w:tc>
          <w:tcPr>
            <w:tcW w:w="1140" w:type="dxa"/>
            <w:vAlign w:val="bottom"/>
          </w:tcPr>
          <w:p>
            <w:pPr>
              <w:jc w:val="right"/>
              <w:spacing w:after="0"/>
              <w:rPr>
                <w:sz w:val="20"/>
                <w:szCs w:val="20"/>
                <w:color w:val="auto"/>
              </w:rPr>
            </w:pPr>
            <w:r>
              <w:rPr>
                <w:rFonts w:ascii="Arial" w:cs="Arial" w:eastAsia="Arial" w:hAnsi="Arial"/>
                <w:sz w:val="15"/>
                <w:szCs w:val="15"/>
                <w:color w:val="auto"/>
              </w:rPr>
              <w:t>(9,965)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Write-off of unrealized holding gain</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(73)</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on securities</w:t>
            </w:r>
          </w:p>
        </w:tc>
        <w:tc>
          <w:tcPr>
            <w:tcW w:w="108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00" w:type="dxa"/>
            <w:vAlign w:val="bottom"/>
          </w:tcPr>
          <w:p>
            <w:pPr>
              <w:spacing w:after="0"/>
              <w:rPr>
                <w:sz w:val="20"/>
                <w:szCs w:val="20"/>
                <w:color w:val="auto"/>
              </w:rPr>
            </w:pPr>
            <w:r>
              <w:rPr>
                <w:rFonts w:ascii="Arial" w:cs="Arial" w:eastAsia="Arial" w:hAnsi="Arial"/>
                <w:sz w:val="15"/>
                <w:szCs w:val="15"/>
                <w:color w:val="auto"/>
              </w:rPr>
              <w:t>Balance, June 30, 2005</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17,062</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$ 171</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$ 55,543</w:t>
            </w:r>
          </w:p>
        </w:tc>
        <w:tc>
          <w:tcPr>
            <w:tcW w:w="840" w:type="dxa"/>
            <w:vAlign w:val="bottom"/>
          </w:tcPr>
          <w:p>
            <w:pPr>
              <w:jc w:val="right"/>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$ 50,296</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$ 5,835</w:t>
            </w:r>
          </w:p>
        </w:tc>
        <w:tc>
          <w:tcPr>
            <w:tcW w:w="1140" w:type="dxa"/>
            <w:vAlign w:val="bottom"/>
          </w:tcPr>
          <w:p>
            <w:pPr>
              <w:jc w:val="right"/>
              <w:spacing w:after="0"/>
              <w:rPr>
                <w:sz w:val="20"/>
                <w:szCs w:val="20"/>
                <w:color w:val="auto"/>
              </w:rPr>
            </w:pPr>
            <w:r>
              <w:rPr>
                <w:rFonts w:ascii="Arial" w:cs="Arial" w:eastAsia="Arial" w:hAnsi="Arial"/>
                <w:sz w:val="15"/>
                <w:szCs w:val="15"/>
                <w:color w:val="auto"/>
              </w:rPr>
              <w:t>$ 111,845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20"/>
                <w:szCs w:val="20"/>
                <w:color w:val="auto"/>
              </w:rPr>
            </w:pPr>
            <w:r>
              <w:rPr>
                <w:rFonts w:ascii="Arial" w:cs="Arial" w:eastAsia="Arial" w:hAnsi="Arial"/>
                <w:sz w:val="15"/>
                <w:szCs w:val="15"/>
                <w:color w:val="auto"/>
              </w:rPr>
              <w:t>Balance, January 1, 2006</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17,206</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$ 172</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$ 57,754</w:t>
            </w:r>
          </w:p>
        </w:tc>
        <w:tc>
          <w:tcPr>
            <w:tcW w:w="840" w:type="dxa"/>
            <w:vAlign w:val="bottom"/>
          </w:tcPr>
          <w:p>
            <w:pPr>
              <w:jc w:val="right"/>
              <w:spacing w:after="0"/>
              <w:rPr>
                <w:sz w:val="20"/>
                <w:szCs w:val="20"/>
                <w:color w:val="auto"/>
              </w:rPr>
            </w:pPr>
            <w:r>
              <w:rPr>
                <w:rFonts w:ascii="Arial" w:cs="Arial" w:eastAsia="Arial" w:hAnsi="Arial"/>
                <w:sz w:val="15"/>
                <w:szCs w:val="15"/>
                <w:color w:val="auto"/>
              </w:rPr>
              <w:t>($467)</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$ 55,218</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$ 3,397</w:t>
            </w:r>
          </w:p>
        </w:tc>
        <w:tc>
          <w:tcPr>
            <w:tcW w:w="1140" w:type="dxa"/>
            <w:vAlign w:val="bottom"/>
          </w:tcPr>
          <w:p>
            <w:pPr>
              <w:jc w:val="right"/>
              <w:spacing w:after="0"/>
              <w:rPr>
                <w:sz w:val="20"/>
                <w:szCs w:val="20"/>
                <w:color w:val="auto"/>
              </w:rPr>
            </w:pPr>
            <w:r>
              <w:rPr>
                <w:rFonts w:ascii="Arial" w:cs="Arial" w:eastAsia="Arial" w:hAnsi="Arial"/>
                <w:sz w:val="15"/>
                <w:szCs w:val="15"/>
                <w:color w:val="auto"/>
              </w:rPr>
              <w:t>$ 116,074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unearned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compensation</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467</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Arial" w:cs="Arial" w:eastAsia="Arial" w:hAnsi="Arial"/>
                <w:sz w:val="15"/>
                <w:szCs w:val="15"/>
                <w:color w:val="auto"/>
              </w:rPr>
              <w:t>Shares issued</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69</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1</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695</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Repurchase of outstanding shares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(682)</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line="170" w:lineRule="exact"/>
              <w:rPr>
                <w:sz w:val="20"/>
                <w:szCs w:val="20"/>
                <w:color w:val="auto"/>
              </w:rPr>
            </w:pPr>
            <w:r>
              <w:rPr>
                <w:rFonts w:ascii="Arial" w:cs="Arial" w:eastAsia="Arial" w:hAnsi="Arial"/>
                <w:sz w:val="15"/>
                <w:szCs w:val="15"/>
                <w:color w:val="auto"/>
              </w:rPr>
              <w:t>Elimination of variable stock option</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00"/>
              <w:spacing w:after="0"/>
              <w:rPr>
                <w:sz w:val="20"/>
                <w:szCs w:val="20"/>
                <w:color w:val="auto"/>
              </w:rPr>
            </w:pPr>
            <w:r>
              <w:rPr>
                <w:rFonts w:ascii="Arial" w:cs="Arial" w:eastAsia="Arial" w:hAnsi="Arial"/>
                <w:sz w:val="15"/>
                <w:szCs w:val="15"/>
                <w:color w:val="auto"/>
              </w:rPr>
              <w:t>liability</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8</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8,715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line="170" w:lineRule="exact"/>
              <w:rPr>
                <w:sz w:val="20"/>
                <w:szCs w:val="20"/>
                <w:color w:val="auto"/>
              </w:rPr>
            </w:pPr>
            <w:r>
              <w:rPr>
                <w:rFonts w:ascii="Arial" w:cs="Arial" w:eastAsia="Arial" w:hAnsi="Arial"/>
                <w:sz w:val="15"/>
                <w:szCs w:val="15"/>
                <w:color w:val="auto"/>
              </w:rPr>
              <w:t>Amortization of restricted stock</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00"/>
              <w:spacing w:after="0"/>
              <w:rPr>
                <w:sz w:val="20"/>
                <w:szCs w:val="20"/>
                <w:color w:val="auto"/>
              </w:rPr>
            </w:pPr>
            <w:r>
              <w:rPr>
                <w:rFonts w:ascii="Arial" w:cs="Arial" w:eastAsia="Arial" w:hAnsi="Arial"/>
                <w:sz w:val="15"/>
                <w:szCs w:val="15"/>
                <w:color w:val="auto"/>
              </w:rPr>
              <w:t>award</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206</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Dividends declared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(2,753)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Arial" w:cs="Arial" w:eastAsia="Arial" w:hAnsi="Arial"/>
                <w:sz w:val="15"/>
                <w:szCs w:val="15"/>
                <w:color w:val="auto"/>
              </w:rPr>
              <w:t>Foreign exchange translation gain</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7,644</w:t>
            </w:r>
          </w:p>
        </w:tc>
        <w:tc>
          <w:tcPr>
            <w:tcW w:w="1140" w:type="dxa"/>
            <w:vAlign w:val="bottom"/>
          </w:tcPr>
          <w:p>
            <w:pPr>
              <w:jc w:val="right"/>
              <w:spacing w:after="0"/>
              <w:rPr>
                <w:sz w:val="20"/>
                <w:szCs w:val="20"/>
                <w:color w:val="auto"/>
              </w:rPr>
            </w:pPr>
            <w:r>
              <w:rPr>
                <w:rFonts w:ascii="Arial" w:cs="Arial" w:eastAsia="Arial" w:hAnsi="Arial"/>
                <w:sz w:val="15"/>
                <w:szCs w:val="15"/>
                <w:color w:val="auto"/>
              </w:rPr>
              <w:t>7,644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4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Balance, June 30, 2006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17,218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$ 172</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$ 57,514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$ 61,180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$ 11,041</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$ 129,907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780"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2100" w:type="dxa"/>
            <w:vAlign w:val="bottom"/>
            <w:gridSpan w:val="3"/>
          </w:tcPr>
          <w:p>
            <w:pPr>
              <w:jc w:val="center"/>
              <w:ind w:left="765"/>
              <w:spacing w:after="0"/>
              <w:rPr>
                <w:sz w:val="20"/>
                <w:szCs w:val="20"/>
                <w:color w:val="auto"/>
              </w:rPr>
            </w:pPr>
            <w:r>
              <w:rPr>
                <w:rFonts w:ascii="Arial" w:cs="Arial" w:eastAsia="Arial" w:hAnsi="Arial"/>
                <w:sz w:val="15"/>
                <w:szCs w:val="15"/>
                <w:b w:val="1"/>
                <w:bCs w:val="1"/>
                <w:color w:val="auto"/>
                <w:w w:val="90"/>
              </w:rPr>
              <w:t>Six Months Ended</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rPr>
                <w:sz w:val="17"/>
                <w:szCs w:val="17"/>
                <w:color w:val="auto"/>
              </w:rPr>
            </w:pPr>
          </w:p>
        </w:tc>
        <w:tc>
          <w:tcPr>
            <w:tcW w:w="2100" w:type="dxa"/>
            <w:vAlign w:val="bottom"/>
            <w:gridSpan w:val="3"/>
          </w:tcPr>
          <w:p>
            <w:pPr>
              <w:jc w:val="center"/>
              <w:ind w:left="765"/>
              <w:spacing w:after="0"/>
              <w:rPr>
                <w:sz w:val="20"/>
                <w:szCs w:val="20"/>
                <w:color w:val="auto"/>
              </w:rPr>
            </w:pPr>
            <w:r>
              <w:rPr>
                <w:rFonts w:ascii="Arial" w:cs="Arial" w:eastAsia="Arial" w:hAnsi="Arial"/>
                <w:sz w:val="15"/>
                <w:szCs w:val="15"/>
                <w:b w:val="1"/>
                <w:bCs w:val="1"/>
                <w:color w:val="auto"/>
                <w:w w:val="89"/>
              </w:rPr>
              <w:t>June 30,</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8500" w:type="dxa"/>
            <w:vAlign w:val="bottom"/>
            <w:vMerge w:val="restart"/>
          </w:tcPr>
          <w:p>
            <w:pPr>
              <w:spacing w:after="0"/>
              <w:rPr>
                <w:sz w:val="20"/>
                <w:szCs w:val="20"/>
                <w:color w:val="auto"/>
              </w:rPr>
            </w:pPr>
            <w:r>
              <w:rPr>
                <w:rFonts w:ascii="Arial" w:cs="Arial" w:eastAsia="Arial" w:hAnsi="Arial"/>
                <w:sz w:val="15"/>
                <w:szCs w:val="15"/>
                <w:color w:val="auto"/>
              </w:rPr>
              <w:t>(Thousands of Dollars)</w:t>
            </w:r>
          </w:p>
        </w:tc>
        <w:tc>
          <w:tcPr>
            <w:tcW w:w="1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2006</w:t>
            </w: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00" w:type="dxa"/>
            <w:vAlign w:val="bottom"/>
          </w:tcPr>
          <w:p>
            <w:pPr>
              <w:spacing w:after="0"/>
              <w:rPr>
                <w:sz w:val="20"/>
                <w:szCs w:val="20"/>
                <w:color w:val="auto"/>
              </w:rPr>
            </w:pPr>
            <w:r>
              <w:rPr>
                <w:rFonts w:ascii="Arial" w:cs="Arial" w:eastAsia="Arial" w:hAnsi="Arial"/>
                <w:sz w:val="15"/>
                <w:szCs w:val="15"/>
                <w:color w:val="auto"/>
              </w:rPr>
              <w:t>Net income</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$ 8,715</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$ 7,337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to net cash provided by operating</w:t>
            </w: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Activities:</w:t>
            </w: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8,587</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8,303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debt issue costs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261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(Gain) loss on disposal of property, plant and equipment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(726)</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Compensation expense from issuance of restricted stock</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00" w:type="dxa"/>
            <w:vAlign w:val="bottom"/>
          </w:tcPr>
          <w:p>
            <w:pPr>
              <w:spacing w:after="0"/>
              <w:rPr>
                <w:sz w:val="20"/>
                <w:szCs w:val="20"/>
                <w:color w:val="auto"/>
              </w:rPr>
            </w:pPr>
            <w:r>
              <w:rPr>
                <w:rFonts w:ascii="Arial" w:cs="Arial" w:eastAsia="Arial" w:hAnsi="Arial"/>
                <w:sz w:val="15"/>
                <w:szCs w:val="15"/>
                <w:color w:val="auto"/>
              </w:rPr>
              <w:t>Compensation benefit from variable stock accounting</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Accounts receivable</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(8,627)</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3,031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(1,692)</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 and liabilities</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212</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5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9,967</w:t>
            </w: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Acquisition of property, plant, and equipment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(6,413)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Proceeds from disposals of property, plant and equipment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2,966</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Acquisition of Intangibles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500" w:type="dxa"/>
            <w:vAlign w:val="bottom"/>
          </w:tcPr>
          <w:p>
            <w:pPr>
              <w:spacing w:after="0"/>
              <w:rPr>
                <w:sz w:val="20"/>
                <w:szCs w:val="20"/>
                <w:color w:val="auto"/>
              </w:rPr>
            </w:pPr>
            <w:r>
              <w:rPr>
                <w:rFonts w:ascii="Arial" w:cs="Arial" w:eastAsia="Arial" w:hAnsi="Arial"/>
                <w:sz w:val="15"/>
                <w:szCs w:val="15"/>
                <w:color w:val="auto"/>
              </w:rPr>
              <w:t>Net cash used by investing activities</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(3,976)</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0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Increase in cash from book overdraft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657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Repayment of long-term debt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(4,668)</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Repayment of short-term debt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(21,208)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Proceeds from short-term debt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22,225</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Principal payment on capital lease</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500" w:type="dxa"/>
            <w:vAlign w:val="bottom"/>
          </w:tcPr>
          <w:p>
            <w:pPr>
              <w:spacing w:after="0"/>
              <w:rPr>
                <w:sz w:val="20"/>
                <w:szCs w:val="20"/>
                <w:color w:val="auto"/>
              </w:rPr>
            </w:pPr>
            <w:r>
              <w:rPr>
                <w:rFonts w:ascii="Arial" w:cs="Arial" w:eastAsia="Arial" w:hAnsi="Arial"/>
                <w:sz w:val="15"/>
                <w:szCs w:val="15"/>
                <w:color w:val="auto"/>
              </w:rPr>
              <w:t>Repurchase of common stock</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(683)</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stock</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696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500" w:type="dxa"/>
            <w:vAlign w:val="bottom"/>
          </w:tcPr>
          <w:p>
            <w:pPr>
              <w:spacing w:after="0"/>
              <w:rPr>
                <w:sz w:val="20"/>
                <w:szCs w:val="20"/>
                <w:color w:val="auto"/>
              </w:rPr>
            </w:pPr>
            <w:r>
              <w:rPr>
                <w:rFonts w:ascii="Arial" w:cs="Arial" w:eastAsia="Arial" w:hAnsi="Arial"/>
                <w:sz w:val="15"/>
                <w:szCs w:val="15"/>
                <w:color w:val="auto"/>
              </w:rPr>
              <w:t>Dividends Paid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(2,753)</w:t>
            </w: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by) financing activities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(5,747)</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0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1,041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1,285</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00" w:type="dxa"/>
            <w:vAlign w:val="bottom"/>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10,856</w:t>
            </w: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$ 12,141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$ 8,038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500" w:type="dxa"/>
            <w:vAlign w:val="bottom"/>
            <w:tcBorders>
              <w:top w:val="single" w:sz="8" w:color="CCEEFF"/>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9"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3"/>
          <w:szCs w:val="13"/>
          <w:b w:val="1"/>
          <w:bCs w:val="1"/>
          <w:color w:val="auto"/>
        </w:rPr>
        <w:t>Interim Financial Statements</w:t>
      </w:r>
    </w:p>
    <w:p>
      <w:pPr>
        <w:spacing w:after="0" w:line="249"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The accompanying consolidated financial statements of NN, Inc. (the “Company”) have not been audited, except that the balance sheet at December 31, 2005 is derived from the Company’s consolidated audited financial statements. In the opinion of the Company’s management, the financial statements reflect all adjustments necessary to fairly state the results of operations for the three and six month periods ended June 30, 2006 and 2005, the Company’s financial position at June 30, 2006 and December 31, 2005, and the cash flows for the six month periods ended June 30, 2006 and 2005.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2005 which we filed with the Securities and Exchange Commission on March 16, 2006.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results for the first and second quarter of 2006 are not necessarily indicative of results for the year ending December 31, 2006 or any other future results.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 w:type="dxa"/>
            <w:vAlign w:val="bottom"/>
          </w:tcPr>
          <w:p>
            <w:pPr>
              <w:spacing w:after="0"/>
              <w:rPr>
                <w:sz w:val="20"/>
                <w:szCs w:val="20"/>
                <w:color w:val="auto"/>
              </w:rPr>
            </w:pPr>
            <w:r>
              <w:rPr>
                <w:rFonts w:ascii="Arial" w:cs="Arial" w:eastAsia="Arial" w:hAnsi="Arial"/>
                <w:sz w:val="15"/>
                <w:szCs w:val="15"/>
                <w:b w:val="1"/>
                <w:bCs w:val="1"/>
                <w:color w:val="auto"/>
              </w:rPr>
              <w:t>Note 2.</w:t>
            </w:r>
          </w:p>
        </w:tc>
        <w:tc>
          <w:tcPr>
            <w:tcW w:w="6340" w:type="dxa"/>
            <w:vAlign w:val="bottom"/>
            <w:gridSpan w:val="2"/>
          </w:tcPr>
          <w:p>
            <w:pPr>
              <w:ind w:left="180"/>
              <w:spacing w:after="0"/>
              <w:rPr>
                <w:sz w:val="20"/>
                <w:szCs w:val="20"/>
                <w:color w:val="auto"/>
              </w:rPr>
            </w:pPr>
            <w:r>
              <w:rPr>
                <w:rFonts w:ascii="Arial" w:cs="Arial" w:eastAsia="Arial" w:hAnsi="Arial"/>
                <w:sz w:val="15"/>
                <w:szCs w:val="15"/>
                <w:b w:val="1"/>
                <w:bCs w:val="1"/>
                <w:color w:val="auto"/>
              </w:rPr>
              <w:t>Inventories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418"/>
        </w:trPr>
        <w:tc>
          <w:tcPr>
            <w:tcW w:w="6960" w:type="dxa"/>
            <w:vAlign w:val="bottom"/>
            <w:gridSpan w:val="3"/>
          </w:tcPr>
          <w:p>
            <w:pPr>
              <w:spacing w:after="0"/>
              <w:rPr>
                <w:sz w:val="20"/>
                <w:szCs w:val="20"/>
                <w:color w:val="auto"/>
              </w:rPr>
            </w:pPr>
            <w:r>
              <w:rPr>
                <w:rFonts w:ascii="Arial" w:cs="Arial" w:eastAsia="Arial" w:hAnsi="Arial"/>
                <w:sz w:val="15"/>
                <w:szCs w:val="15"/>
                <w:color w:val="auto"/>
                <w:w w:val="98"/>
              </w:rPr>
              <w:t>Inventories are stated at the lower of cost or market. Cost is determined using the first-in, first-out method.</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6"/>
        </w:trPr>
        <w:tc>
          <w:tcPr>
            <w:tcW w:w="6960" w:type="dxa"/>
            <w:vAlign w:val="bottom"/>
            <w:gridSpan w:val="3"/>
          </w:tcPr>
          <w:p>
            <w:pPr>
              <w:spacing w:after="0"/>
              <w:rPr>
                <w:sz w:val="20"/>
                <w:szCs w:val="20"/>
                <w:color w:val="auto"/>
              </w:rPr>
            </w:pPr>
            <w:r>
              <w:rPr>
                <w:rFonts w:ascii="Arial" w:cs="Arial" w:eastAsia="Arial" w:hAnsi="Arial"/>
                <w:sz w:val="15"/>
                <w:szCs w:val="15"/>
                <w:color w:val="auto"/>
              </w:rPr>
              <w:t>Inventories are comprised of the following (in thousands):</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6"/>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0" w:type="dxa"/>
            <w:vAlign w:val="bottom"/>
          </w:tcPr>
          <w:p>
            <w:pPr>
              <w:jc w:val="right"/>
              <w:ind w:right="465"/>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24"/>
                <w:szCs w:val="24"/>
                <w:color w:val="auto"/>
              </w:rPr>
            </w:pPr>
          </w:p>
        </w:tc>
        <w:tc>
          <w:tcPr>
            <w:tcW w:w="1500" w:type="dxa"/>
            <w:vAlign w:val="bottom"/>
          </w:tcPr>
          <w:p>
            <w:pPr>
              <w:jc w:val="right"/>
              <w:ind w:right="245"/>
              <w:spacing w:after="0"/>
              <w:rPr>
                <w:sz w:val="20"/>
                <w:szCs w:val="20"/>
                <w:color w:val="auto"/>
              </w:rPr>
            </w:pPr>
            <w:r>
              <w:rPr>
                <w:rFonts w:ascii="Arial" w:cs="Arial" w:eastAsia="Arial" w:hAnsi="Arial"/>
                <w:sz w:val="15"/>
                <w:szCs w:val="15"/>
                <w:b w:val="1"/>
                <w:bCs w:val="1"/>
                <w:color w:val="auto"/>
              </w:rPr>
              <w:t>December 31,</w:t>
            </w:r>
          </w:p>
        </w:tc>
      </w:tr>
      <w:tr>
        <w:trPr>
          <w:trHeight w:val="209"/>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rPr>
              <w:t>2006</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2005</w:t>
            </w:r>
          </w:p>
        </w:tc>
      </w:tr>
      <w:tr>
        <w:trPr>
          <w:trHeight w:val="201"/>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$ 9,488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$ 10,153</w:t>
            </w:r>
          </w:p>
        </w:tc>
      </w:tr>
      <w:tr>
        <w:trPr>
          <w:trHeight w:val="190"/>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Work in process</w:t>
            </w:r>
          </w:p>
        </w:tc>
        <w:tc>
          <w:tcPr>
            <w:tcW w:w="1600" w:type="dxa"/>
            <w:vAlign w:val="bottom"/>
          </w:tcPr>
          <w:p>
            <w:pPr>
              <w:jc w:val="right"/>
              <w:spacing w:after="0"/>
              <w:rPr>
                <w:sz w:val="20"/>
                <w:szCs w:val="20"/>
                <w:color w:val="auto"/>
              </w:rPr>
            </w:pPr>
            <w:r>
              <w:rPr>
                <w:rFonts w:ascii="Arial" w:cs="Arial" w:eastAsia="Arial" w:hAnsi="Arial"/>
                <w:sz w:val="15"/>
                <w:szCs w:val="15"/>
                <w:color w:val="auto"/>
              </w:rPr>
              <w:t>6,095</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5,845</w:t>
            </w: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22,391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23,587</w:t>
            </w:r>
          </w:p>
        </w:tc>
      </w:tr>
      <w:tr>
        <w:trPr>
          <w:trHeight w:val="190"/>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Less inventory reserves</w:t>
            </w:r>
          </w:p>
        </w:tc>
        <w:tc>
          <w:tcPr>
            <w:tcW w:w="1600" w:type="dxa"/>
            <w:vAlign w:val="bottom"/>
          </w:tcPr>
          <w:p>
            <w:pPr>
              <w:jc w:val="right"/>
              <w:spacing w:after="0"/>
              <w:rPr>
                <w:sz w:val="20"/>
                <w:szCs w:val="20"/>
                <w:color w:val="auto"/>
              </w:rPr>
            </w:pPr>
            <w:r>
              <w:rPr>
                <w:rFonts w:ascii="Arial" w:cs="Arial" w:eastAsia="Arial" w:hAnsi="Arial"/>
                <w:sz w:val="15"/>
                <w:szCs w:val="15"/>
                <w:color w:val="auto"/>
              </w:rPr>
              <w:t>(1,436)</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(1,489)</w:t>
            </w:r>
          </w:p>
        </w:tc>
      </w:tr>
      <w:tr>
        <w:trPr>
          <w:trHeight w:val="36"/>
        </w:trPr>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2"/>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$ 36,538</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$ 38,096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Inventories on consignment at customer locations as of June 30, 2006 and December 31, 2005 totaled $4,534 and $4,669, respectively.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 w:type="dxa"/>
            <w:vAlign w:val="bottom"/>
          </w:tcPr>
          <w:p>
            <w:pPr>
              <w:spacing w:after="0"/>
              <w:rPr>
                <w:sz w:val="20"/>
                <w:szCs w:val="20"/>
                <w:color w:val="auto"/>
              </w:rPr>
            </w:pPr>
            <w:r>
              <w:rPr>
                <w:rFonts w:ascii="Arial" w:cs="Arial" w:eastAsia="Arial" w:hAnsi="Arial"/>
                <w:sz w:val="15"/>
                <w:szCs w:val="15"/>
                <w:b w:val="1"/>
                <w:bCs w:val="1"/>
                <w:color w:val="auto"/>
              </w:rPr>
              <w:t>Note 3.</w:t>
            </w:r>
          </w:p>
        </w:tc>
        <w:tc>
          <w:tcPr>
            <w:tcW w:w="4580" w:type="dxa"/>
            <w:vAlign w:val="bottom"/>
            <w:gridSpan w:val="3"/>
          </w:tcPr>
          <w:p>
            <w:pPr>
              <w:ind w:left="180"/>
              <w:spacing w:after="0"/>
              <w:rPr>
                <w:sz w:val="20"/>
                <w:szCs w:val="20"/>
                <w:color w:val="auto"/>
              </w:rPr>
            </w:pPr>
            <w:r>
              <w:rPr>
                <w:rFonts w:ascii="Arial" w:cs="Arial" w:eastAsia="Arial" w:hAnsi="Arial"/>
                <w:sz w:val="15"/>
                <w:szCs w:val="15"/>
                <w:b w:val="1"/>
                <w:bCs w:val="1"/>
                <w:color w:val="auto"/>
              </w:rPr>
              <w:t>Net Income Per Share</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4"/>
          </w:tcPr>
          <w:p>
            <w:pPr>
              <w:jc w:val="center"/>
              <w:spacing w:after="0"/>
              <w:rPr>
                <w:sz w:val="20"/>
                <w:szCs w:val="20"/>
                <w:color w:val="auto"/>
              </w:rPr>
            </w:pPr>
            <w:r>
              <w:rPr>
                <w:rFonts w:ascii="Arial" w:cs="Arial" w:eastAsia="Arial" w:hAnsi="Arial"/>
                <w:sz w:val="15"/>
                <w:szCs w:val="15"/>
                <w:b w:val="1"/>
                <w:bCs w:val="1"/>
                <w:color w:val="auto"/>
                <w:w w:val="88"/>
              </w:rPr>
              <w:t>Six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45"/>
              <w:spacing w:after="0"/>
              <w:rPr>
                <w:sz w:val="20"/>
                <w:szCs w:val="20"/>
                <w:color w:val="auto"/>
              </w:rPr>
            </w:pPr>
            <w:r>
              <w:rPr>
                <w:rFonts w:ascii="Arial" w:cs="Arial" w:eastAsia="Arial" w:hAnsi="Arial"/>
                <w:sz w:val="15"/>
                <w:szCs w:val="15"/>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620" w:type="dxa"/>
            <w:vAlign w:val="bottom"/>
          </w:tcPr>
          <w:p>
            <w:pPr>
              <w:spacing w:after="0"/>
              <w:rPr>
                <w:sz w:val="24"/>
                <w:szCs w:val="24"/>
                <w:color w:val="auto"/>
              </w:rPr>
            </w:pPr>
          </w:p>
        </w:tc>
        <w:tc>
          <w:tcPr>
            <w:tcW w:w="4580" w:type="dxa"/>
            <w:vAlign w:val="bottom"/>
            <w:gridSpan w:val="3"/>
          </w:tcPr>
          <w:p>
            <w:pPr>
              <w:ind w:left="520"/>
              <w:spacing w:after="0"/>
              <w:rPr>
                <w:sz w:val="20"/>
                <w:szCs w:val="20"/>
                <w:color w:val="auto"/>
              </w:rPr>
            </w:pPr>
            <w:r>
              <w:rPr>
                <w:rFonts w:ascii="Arial" w:cs="Arial" w:eastAsia="Arial" w:hAnsi="Arial"/>
                <w:sz w:val="15"/>
                <w:szCs w:val="15"/>
                <w:color w:val="auto"/>
              </w:rPr>
              <w:t>(Thousands of Dollars, Except Share and Per Share Data)</w:t>
            </w:r>
          </w:p>
        </w:tc>
        <w:tc>
          <w:tcPr>
            <w:tcW w:w="960" w:type="dxa"/>
            <w:vAlign w:val="bottom"/>
          </w:tcPr>
          <w:p>
            <w:pPr>
              <w:jc w:val="right"/>
              <w:ind w:right="346"/>
              <w:spacing w:after="0"/>
              <w:rPr>
                <w:sz w:val="20"/>
                <w:szCs w:val="20"/>
                <w:color w:val="auto"/>
              </w:rPr>
            </w:pPr>
            <w:r>
              <w:rPr>
                <w:rFonts w:ascii="Arial" w:cs="Arial" w:eastAsia="Arial" w:hAnsi="Arial"/>
                <w:sz w:val="15"/>
                <w:szCs w:val="15"/>
                <w:b w:val="1"/>
                <w:bCs w:val="1"/>
                <w:color w:val="auto"/>
              </w:rPr>
              <w:t>2006</w:t>
            </w:r>
          </w:p>
        </w:tc>
        <w:tc>
          <w:tcPr>
            <w:tcW w:w="1380" w:type="dxa"/>
            <w:vAlign w:val="bottom"/>
            <w:gridSpan w:val="2"/>
          </w:tcPr>
          <w:p>
            <w:pPr>
              <w:jc w:val="right"/>
              <w:ind w:right="365"/>
              <w:spacing w:after="0"/>
              <w:rPr>
                <w:sz w:val="20"/>
                <w:szCs w:val="20"/>
                <w:color w:val="auto"/>
              </w:rPr>
            </w:pPr>
            <w:r>
              <w:rPr>
                <w:rFonts w:ascii="Arial" w:cs="Arial" w:eastAsia="Arial" w:hAnsi="Arial"/>
                <w:sz w:val="15"/>
                <w:szCs w:val="15"/>
                <w:b w:val="1"/>
                <w:bCs w:val="1"/>
                <w:color w:val="auto"/>
              </w:rPr>
              <w:t>2005</w:t>
            </w:r>
          </w:p>
        </w:tc>
        <w:tc>
          <w:tcPr>
            <w:tcW w:w="140" w:type="dxa"/>
            <w:vAlign w:val="bottom"/>
          </w:tcPr>
          <w:p>
            <w:pPr>
              <w:spacing w:after="0"/>
              <w:rPr>
                <w:sz w:val="24"/>
                <w:szCs w:val="24"/>
                <w:color w:val="auto"/>
              </w:rPr>
            </w:pPr>
          </w:p>
        </w:tc>
        <w:tc>
          <w:tcPr>
            <w:tcW w:w="1220" w:type="dxa"/>
            <w:vAlign w:val="bottom"/>
            <w:gridSpan w:val="3"/>
          </w:tcPr>
          <w:p>
            <w:pPr>
              <w:jc w:val="right"/>
              <w:ind w:right="345"/>
              <w:spacing w:after="0"/>
              <w:rPr>
                <w:sz w:val="20"/>
                <w:szCs w:val="20"/>
                <w:color w:val="auto"/>
              </w:rPr>
            </w:pPr>
            <w:r>
              <w:rPr>
                <w:rFonts w:ascii="Arial" w:cs="Arial" w:eastAsia="Arial" w:hAnsi="Arial"/>
                <w:sz w:val="15"/>
                <w:szCs w:val="15"/>
                <w:b w:val="1"/>
                <w:bCs w:val="1"/>
                <w:color w:val="auto"/>
              </w:rPr>
              <w:t>2006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65"/>
              <w:spacing w:after="0"/>
              <w:rPr>
                <w:sz w:val="20"/>
                <w:szCs w:val="20"/>
                <w:color w:val="auto"/>
              </w:rPr>
            </w:pPr>
            <w:r>
              <w:rPr>
                <w:rFonts w:ascii="Arial" w:cs="Arial" w:eastAsia="Arial" w:hAnsi="Arial"/>
                <w:sz w:val="15"/>
                <w:szCs w:val="15"/>
                <w:b w:val="1"/>
                <w:bCs w:val="1"/>
                <w:color w:val="auto"/>
              </w:rPr>
              <w:t>2005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20" w:type="dxa"/>
            <w:vAlign w:val="bottom"/>
            <w:vMerge w:val="restart"/>
          </w:tcPr>
          <w:p>
            <w:pPr>
              <w:spacing w:after="0"/>
              <w:rPr>
                <w:sz w:val="16"/>
                <w:szCs w:val="16"/>
                <w:color w:val="auto"/>
              </w:rPr>
            </w:pPr>
          </w:p>
        </w:tc>
        <w:tc>
          <w:tcPr>
            <w:tcW w:w="3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$ 3,453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$ 3,312</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$ 8,715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$ 7,337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38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basic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17,156,721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16,970,929</w:t>
            </w:r>
          </w:p>
        </w:tc>
        <w:tc>
          <w:tcPr>
            <w:tcW w:w="1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17,152,713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16,914,044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Effect of dilutive stock options</w:t>
            </w:r>
          </w:p>
        </w:tc>
        <w:tc>
          <w:tcPr>
            <w:tcW w:w="960" w:type="dxa"/>
            <w:vAlign w:val="bottom"/>
          </w:tcPr>
          <w:p>
            <w:pPr>
              <w:jc w:val="right"/>
              <w:spacing w:after="0"/>
              <w:rPr>
                <w:sz w:val="20"/>
                <w:szCs w:val="20"/>
                <w:color w:val="auto"/>
              </w:rPr>
            </w:pPr>
            <w:r>
              <w:rPr>
                <w:rFonts w:ascii="Arial" w:cs="Arial" w:eastAsia="Arial" w:hAnsi="Arial"/>
                <w:sz w:val="15"/>
                <w:szCs w:val="15"/>
                <w:color w:val="auto"/>
              </w:rPr>
              <w:t>211,863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357,487</w:t>
            </w:r>
          </w:p>
        </w:tc>
        <w:tc>
          <w:tcPr>
            <w:tcW w:w="14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212,291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338,150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20" w:type="dxa"/>
            <w:vAlign w:val="bottom"/>
          </w:tcPr>
          <w:p>
            <w:pPr>
              <w:spacing w:after="0"/>
              <w:rPr>
                <w:sz w:val="3"/>
                <w:szCs w:val="3"/>
                <w:color w:val="auto"/>
              </w:rPr>
            </w:pPr>
          </w:p>
        </w:tc>
        <w:tc>
          <w:tcPr>
            <w:tcW w:w="4580" w:type="dxa"/>
            <w:vAlign w:val="bottom"/>
            <w:gridSpan w:val="3"/>
          </w:tcPr>
          <w:p>
            <w:pPr>
              <w:spacing w:after="0"/>
              <w:rPr>
                <w:sz w:val="3"/>
                <w:szCs w:val="3"/>
                <w:color w:val="auto"/>
              </w:rPr>
            </w:pPr>
          </w:p>
        </w:tc>
        <w:tc>
          <w:tcPr>
            <w:tcW w:w="96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3"/>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dilutive shares outstanding</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17,368,584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17,328,416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17,365,004</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17,252,194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$ 0.20</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$ 0.20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$ 0.51</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$ 0.43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60" w:type="dxa"/>
            <w:vAlign w:val="bottom"/>
            <w:gridSpan w:val="2"/>
          </w:tcPr>
          <w:p>
            <w:pPr>
              <w:spacing w:after="0" w:line="154" w:lineRule="exact"/>
              <w:rPr>
                <w:sz w:val="20"/>
                <w:szCs w:val="20"/>
                <w:color w:val="auto"/>
              </w:rPr>
            </w:pPr>
            <w:r>
              <w:rPr>
                <w:rFonts w:ascii="Arial" w:cs="Arial" w:eastAsia="Arial" w:hAnsi="Arial"/>
                <w:sz w:val="15"/>
                <w:szCs w:val="15"/>
                <w:color w:val="auto"/>
              </w:rPr>
              <w:t>Diluted net income per share</w:t>
            </w:r>
          </w:p>
        </w:tc>
        <w:tc>
          <w:tcPr>
            <w:tcW w:w="960" w:type="dxa"/>
            <w:vAlign w:val="bottom"/>
          </w:tcPr>
          <w:p>
            <w:pPr>
              <w:jc w:val="right"/>
              <w:spacing w:after="0" w:line="154" w:lineRule="exact"/>
              <w:rPr>
                <w:sz w:val="20"/>
                <w:szCs w:val="20"/>
                <w:color w:val="auto"/>
              </w:rPr>
            </w:pPr>
            <w:r>
              <w:rPr>
                <w:rFonts w:ascii="Arial" w:cs="Arial" w:eastAsia="Arial" w:hAnsi="Arial"/>
                <w:sz w:val="15"/>
                <w:szCs w:val="15"/>
                <w:color w:val="auto"/>
              </w:rPr>
              <w:t>$ 0.20</w:t>
            </w:r>
          </w:p>
        </w:tc>
        <w:tc>
          <w:tcPr>
            <w:tcW w:w="138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$ 0.19</w:t>
            </w:r>
          </w:p>
        </w:tc>
        <w:tc>
          <w:tcPr>
            <w:tcW w:w="140" w:type="dxa"/>
            <w:vAlign w:val="bottom"/>
          </w:tcPr>
          <w:p>
            <w:pPr>
              <w:spacing w:after="0"/>
              <w:rPr>
                <w:sz w:val="13"/>
                <w:szCs w:val="13"/>
                <w:color w:val="auto"/>
              </w:rPr>
            </w:pPr>
          </w:p>
        </w:tc>
        <w:tc>
          <w:tcPr>
            <w:tcW w:w="1220" w:type="dxa"/>
            <w:vAlign w:val="bottom"/>
            <w:gridSpan w:val="3"/>
          </w:tcPr>
          <w:p>
            <w:pPr>
              <w:jc w:val="right"/>
              <w:spacing w:after="0" w:line="154" w:lineRule="exact"/>
              <w:rPr>
                <w:sz w:val="20"/>
                <w:szCs w:val="20"/>
                <w:color w:val="auto"/>
              </w:rPr>
            </w:pPr>
            <w:r>
              <w:rPr>
                <w:rFonts w:ascii="Arial" w:cs="Arial" w:eastAsia="Arial" w:hAnsi="Arial"/>
                <w:sz w:val="15"/>
                <w:szCs w:val="15"/>
                <w:color w:val="auto"/>
              </w:rPr>
              <w:t>$ 0.50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line="154" w:lineRule="exact"/>
              <w:rPr>
                <w:sz w:val="20"/>
                <w:szCs w:val="20"/>
                <w:color w:val="auto"/>
              </w:rPr>
            </w:pPr>
            <w:r>
              <w:rPr>
                <w:rFonts w:ascii="Arial" w:cs="Arial" w:eastAsia="Arial" w:hAnsi="Arial"/>
                <w:sz w:val="15"/>
                <w:szCs w:val="15"/>
                <w:color w:val="auto"/>
              </w:rPr>
              <w:t>$ 0.43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46"/>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79"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Excluded from the shares outstanding for the period ended June 30, 2005 were 357,000 anti-dilutive options which had exercise prices of $12.62. There were no anti-dilutive options in the three or six month periods ended June 30, 2006.</w:t>
      </w:r>
    </w:p>
    <w:p>
      <w:pPr>
        <w:spacing w:after="0" w:line="222"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4.</w:t>
      </w:r>
      <w:r>
        <w:rPr>
          <w:sz w:val="20"/>
          <w:szCs w:val="20"/>
          <w:color w:val="auto"/>
        </w:rPr>
        <w:tab/>
      </w:r>
      <w:r>
        <w:rPr>
          <w:rFonts w:ascii="Arial" w:cs="Arial" w:eastAsia="Arial" w:hAnsi="Arial"/>
          <w:sz w:val="13"/>
          <w:szCs w:val="13"/>
          <w:b w:val="1"/>
          <w:bCs w:val="1"/>
          <w:color w:val="auto"/>
        </w:rPr>
        <w:t>Segment Information</w:t>
      </w:r>
    </w:p>
    <w:p>
      <w:pPr>
        <w:spacing w:after="0" w:line="249"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During 2006 and 2005, our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Additionally, costs related to our operation in China and corporate office costs are included in the Domestic Ball and Roller Segment. The NN Europe Segment is comprised of precision ball, roller and metal cage manufacturing facilities located in Kilkenny, Ireland; Eltmann, Germany; Pinerolo, Italy; Kysucke Nove Mesto, Slovakia; and Veenendaal, The Netherlands (“Veenendaal”).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and fiber optic markets. Delta is engaged principally in the production of engineered bearing seals used principally in automotive, industrial, agricultural, mining and aerospace applications.</w:t>
      </w:r>
    </w:p>
    <w:p>
      <w:pPr>
        <w:spacing w:after="0" w:line="19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accounting policies of each segment are the same as those described in the summary of significant accounting policies in our Annual Report on Form 10-K for the fiscal year ended December 31, 2005. We evaluate segment performance based on income or loss from operations before income taxes. We account for inter-segment sales and transfers at current market prices. We did not have any material inter-segment transactions during the three and six month periods ended June 30, 2005. For the three and six month periods ended June 30, 2006, we had inter-segment sales of $909 and $1,221, which were eliminated in consolidation and from the segment financial results shown below.</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2"/>
          </w:tcPr>
          <w:p>
            <w:pPr>
              <w:jc w:val="right"/>
              <w:ind w:right="165"/>
              <w:spacing w:after="0"/>
              <w:rPr>
                <w:sz w:val="20"/>
                <w:szCs w:val="20"/>
                <w:color w:val="auto"/>
              </w:rPr>
            </w:pPr>
            <w:r>
              <w:rPr>
                <w:rFonts w:ascii="Arial" w:cs="Arial" w:eastAsia="Arial" w:hAnsi="Arial"/>
                <w:sz w:val="15"/>
                <w:szCs w:val="15"/>
                <w:b w:val="1"/>
                <w:bCs w:val="1"/>
                <w:color w:val="auto"/>
              </w:rPr>
              <w:t>Three Months Ended June 30,</w:t>
            </w: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2005</w:t>
            </w:r>
          </w:p>
        </w:tc>
        <w:tc>
          <w:tcPr>
            <w:tcW w:w="1260" w:type="dxa"/>
            <w:vAlign w:val="bottom"/>
            <w:tcBorders>
              <w:bottom w:val="single" w:sz="8" w:color="auto"/>
            </w:tcBorders>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tcPr>
          <w:p>
            <w:pPr>
              <w:jc w:val="center"/>
              <w:ind w:right="25"/>
              <w:spacing w:after="0" w:line="164" w:lineRule="exact"/>
              <w:rPr>
                <w:sz w:val="20"/>
                <w:szCs w:val="20"/>
                <w:color w:val="auto"/>
              </w:rPr>
            </w:pPr>
            <w:r>
              <w:rPr>
                <w:rFonts w:ascii="Arial" w:cs="Arial" w:eastAsia="Arial" w:hAnsi="Arial"/>
                <w:sz w:val="15"/>
                <w:szCs w:val="15"/>
                <w:b w:val="1"/>
                <w:bCs w:val="1"/>
                <w:color w:val="auto"/>
                <w:w w:val="92"/>
              </w:rPr>
              <w:t>DomesticBall &amp;</w:t>
            </w:r>
          </w:p>
        </w:tc>
        <w:tc>
          <w:tcPr>
            <w:tcW w:w="1040" w:type="dxa"/>
            <w:vAlign w:val="bottom"/>
          </w:tcPr>
          <w:p>
            <w:pPr>
              <w:jc w:val="center"/>
              <w:ind w:right="5"/>
              <w:spacing w:after="0" w:line="164" w:lineRule="exact"/>
              <w:rPr>
                <w:sz w:val="20"/>
                <w:szCs w:val="20"/>
                <w:color w:val="auto"/>
              </w:rPr>
            </w:pPr>
            <w:r>
              <w:rPr>
                <w:rFonts w:ascii="Arial" w:cs="Arial" w:eastAsia="Arial" w:hAnsi="Arial"/>
                <w:sz w:val="15"/>
                <w:szCs w:val="15"/>
                <w:b w:val="1"/>
                <w:bCs w:val="1"/>
                <w:color w:val="auto"/>
                <w:w w:val="92"/>
              </w:rPr>
              <w:t>NN Europe</w:t>
            </w:r>
          </w:p>
        </w:tc>
        <w:tc>
          <w:tcPr>
            <w:tcW w:w="2500" w:type="dxa"/>
            <w:vAlign w:val="bottom"/>
            <w:gridSpan w:val="2"/>
          </w:tcPr>
          <w:p>
            <w:pPr>
              <w:jc w:val="right"/>
              <w:ind w:right="65"/>
              <w:spacing w:after="0" w:line="164" w:lineRule="exact"/>
              <w:rPr>
                <w:sz w:val="20"/>
                <w:szCs w:val="20"/>
                <w:color w:val="auto"/>
              </w:rPr>
            </w:pPr>
            <w:r>
              <w:rPr>
                <w:rFonts w:ascii="Arial" w:cs="Arial" w:eastAsia="Arial" w:hAnsi="Arial"/>
                <w:sz w:val="15"/>
                <w:szCs w:val="15"/>
                <w:b w:val="1"/>
                <w:bCs w:val="1"/>
                <w:color w:val="auto"/>
                <w:w w:val="92"/>
              </w:rPr>
              <w:t>Plastic and Rubber Domestic Ball &amp;</w:t>
            </w:r>
          </w:p>
        </w:tc>
        <w:tc>
          <w:tcPr>
            <w:tcW w:w="1040" w:type="dxa"/>
            <w:vAlign w:val="bottom"/>
          </w:tcPr>
          <w:p>
            <w:pPr>
              <w:jc w:val="center"/>
              <w:ind w:right="25"/>
              <w:spacing w:after="0" w:line="164" w:lineRule="exact"/>
              <w:rPr>
                <w:sz w:val="20"/>
                <w:szCs w:val="20"/>
                <w:color w:val="auto"/>
              </w:rPr>
            </w:pPr>
            <w:r>
              <w:rPr>
                <w:rFonts w:ascii="Arial" w:cs="Arial" w:eastAsia="Arial" w:hAnsi="Arial"/>
                <w:sz w:val="15"/>
                <w:szCs w:val="15"/>
                <w:b w:val="1"/>
                <w:bCs w:val="1"/>
                <w:color w:val="auto"/>
                <w:w w:val="95"/>
              </w:rPr>
              <w:t>NN Europe</w:t>
            </w:r>
          </w:p>
        </w:tc>
        <w:tc>
          <w:tcPr>
            <w:tcW w:w="12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91"/>
              </w:rPr>
              <w:t>Plastic and Rubber</w:t>
            </w:r>
          </w:p>
        </w:tc>
      </w:tr>
      <w:tr>
        <w:trPr>
          <w:trHeight w:val="195"/>
        </w:trPr>
        <w:tc>
          <w:tcPr>
            <w:tcW w:w="216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1160" w:type="dxa"/>
            <w:vAlign w:val="bottom"/>
          </w:tcPr>
          <w:p>
            <w:pPr>
              <w:jc w:val="center"/>
              <w:ind w:right="5"/>
              <w:spacing w:after="0"/>
              <w:rPr>
                <w:sz w:val="20"/>
                <w:szCs w:val="20"/>
                <w:color w:val="auto"/>
              </w:rPr>
            </w:pPr>
            <w:r>
              <w:rPr>
                <w:rFonts w:ascii="Arial" w:cs="Arial" w:eastAsia="Arial" w:hAnsi="Arial"/>
                <w:sz w:val="15"/>
                <w:szCs w:val="15"/>
                <w:b w:val="1"/>
                <w:bCs w:val="1"/>
                <w:color w:val="auto"/>
                <w:w w:val="93"/>
              </w:rPr>
              <w:t>Roller</w:t>
            </w:r>
          </w:p>
        </w:tc>
        <w:tc>
          <w:tcPr>
            <w:tcW w:w="1040" w:type="dxa"/>
            <w:vAlign w:val="bottom"/>
          </w:tcPr>
          <w:p>
            <w:pPr>
              <w:jc w:val="center"/>
              <w:ind w:right="5"/>
              <w:spacing w:after="0"/>
              <w:rPr>
                <w:sz w:val="20"/>
                <w:szCs w:val="20"/>
                <w:color w:val="auto"/>
              </w:rPr>
            </w:pPr>
            <w:r>
              <w:rPr>
                <w:rFonts w:ascii="Arial" w:cs="Arial" w:eastAsia="Arial" w:hAnsi="Arial"/>
                <w:sz w:val="15"/>
                <w:szCs w:val="15"/>
                <w:b w:val="1"/>
                <w:bCs w:val="1"/>
                <w:color w:val="auto"/>
                <w:w w:val="88"/>
              </w:rPr>
              <w:t>Segment</w:t>
            </w:r>
          </w:p>
        </w:tc>
        <w:tc>
          <w:tcPr>
            <w:tcW w:w="1440" w:type="dxa"/>
            <w:vAlign w:val="bottom"/>
          </w:tcPr>
          <w:p>
            <w:pPr>
              <w:jc w:val="right"/>
              <w:ind w:right="325"/>
              <w:spacing w:after="0"/>
              <w:rPr>
                <w:sz w:val="20"/>
                <w:szCs w:val="20"/>
                <w:color w:val="auto"/>
              </w:rPr>
            </w:pPr>
            <w:r>
              <w:rPr>
                <w:rFonts w:ascii="Arial" w:cs="Arial" w:eastAsia="Arial" w:hAnsi="Arial"/>
                <w:sz w:val="15"/>
                <w:szCs w:val="15"/>
                <w:b w:val="1"/>
                <w:bCs w:val="1"/>
                <w:color w:val="auto"/>
              </w:rPr>
              <w:t>Components</w:t>
            </w:r>
          </w:p>
        </w:tc>
        <w:tc>
          <w:tcPr>
            <w:tcW w:w="1060" w:type="dxa"/>
            <w:vAlign w:val="bottom"/>
          </w:tcPr>
          <w:p>
            <w:pPr>
              <w:jc w:val="right"/>
              <w:ind w:right="405"/>
              <w:spacing w:after="0"/>
              <w:rPr>
                <w:sz w:val="20"/>
                <w:szCs w:val="20"/>
                <w:color w:val="auto"/>
              </w:rPr>
            </w:pPr>
            <w:r>
              <w:rPr>
                <w:rFonts w:ascii="Arial" w:cs="Arial" w:eastAsia="Arial" w:hAnsi="Arial"/>
                <w:sz w:val="15"/>
                <w:szCs w:val="15"/>
                <w:b w:val="1"/>
                <w:bCs w:val="1"/>
                <w:color w:val="auto"/>
              </w:rPr>
              <w:t>Roller</w:t>
            </w: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5"/>
              </w:rPr>
              <w:t>Segment</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9"/>
              </w:rPr>
              <w:t>Components</w:t>
            </w:r>
          </w:p>
        </w:tc>
      </w:tr>
      <w:tr>
        <w:trPr>
          <w:trHeight w:val="172"/>
        </w:trPr>
        <w:tc>
          <w:tcPr>
            <w:tcW w:w="20" w:type="dxa"/>
            <w:vAlign w:val="bottom"/>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1"/>
              </w:rPr>
              <w:t>Revenues from external customers</w:t>
            </w:r>
          </w:p>
        </w:tc>
        <w:tc>
          <w:tcPr>
            <w:tcW w:w="11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$ 17,569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$ 52,396</w:t>
            </w:r>
          </w:p>
        </w:tc>
        <w:tc>
          <w:tcPr>
            <w:tcW w:w="144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$ 13,589</w:t>
            </w:r>
          </w:p>
        </w:tc>
        <w:tc>
          <w:tcPr>
            <w:tcW w:w="10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$ 16,508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$ 52,773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$ 14,506</w:t>
            </w:r>
          </w:p>
        </w:tc>
      </w:tr>
      <w:tr>
        <w:trPr>
          <w:trHeight w:val="181"/>
        </w:trPr>
        <w:tc>
          <w:tcPr>
            <w:tcW w:w="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5"/>
                <w:szCs w:val="15"/>
                <w:color w:val="auto"/>
              </w:rPr>
              <w:t>Pre-tax income (loss)</w:t>
            </w: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(657)</w:t>
            </w:r>
          </w:p>
        </w:tc>
        <w:tc>
          <w:tcPr>
            <w:tcW w:w="1040" w:type="dxa"/>
            <w:vAlign w:val="bottom"/>
          </w:tcPr>
          <w:p>
            <w:pPr>
              <w:jc w:val="right"/>
              <w:spacing w:after="0"/>
              <w:rPr>
                <w:sz w:val="20"/>
                <w:szCs w:val="20"/>
                <w:color w:val="auto"/>
              </w:rPr>
            </w:pPr>
            <w:r>
              <w:rPr>
                <w:rFonts w:ascii="Arial" w:cs="Arial" w:eastAsia="Arial" w:hAnsi="Arial"/>
                <w:sz w:val="15"/>
                <w:szCs w:val="15"/>
                <w:color w:val="auto"/>
              </w:rPr>
              <w:t>5,128</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1,216</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374</w:t>
            </w:r>
          </w:p>
        </w:tc>
        <w:tc>
          <w:tcPr>
            <w:tcW w:w="1040" w:type="dxa"/>
            <w:vAlign w:val="bottom"/>
          </w:tcPr>
          <w:p>
            <w:pPr>
              <w:jc w:val="right"/>
              <w:spacing w:after="0"/>
              <w:rPr>
                <w:sz w:val="20"/>
                <w:szCs w:val="20"/>
                <w:color w:val="auto"/>
              </w:rPr>
            </w:pPr>
            <w:r>
              <w:rPr>
                <w:rFonts w:ascii="Arial" w:cs="Arial" w:eastAsia="Arial" w:hAnsi="Arial"/>
                <w:sz w:val="15"/>
                <w:szCs w:val="15"/>
                <w:color w:val="auto"/>
              </w:rPr>
              <w:t>5,147</w:t>
            </w:r>
          </w:p>
        </w:tc>
        <w:tc>
          <w:tcPr>
            <w:tcW w:w="12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81"/>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62,591</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172,628</w:t>
            </w:r>
          </w:p>
        </w:tc>
        <w:tc>
          <w:tcPr>
            <w:tcW w:w="14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52,981</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51,818</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162,716</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58,337</w:t>
            </w:r>
          </w:p>
        </w:tc>
      </w:tr>
      <w:tr>
        <w:trPr>
          <w:trHeight w:val="40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Six Months Ended June 30,</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2005</w:t>
            </w:r>
          </w:p>
        </w:tc>
        <w:tc>
          <w:tcPr>
            <w:tcW w:w="1260" w:type="dxa"/>
            <w:vAlign w:val="bottom"/>
            <w:tcBorders>
              <w:bottom w:val="single" w:sz="8" w:color="auto"/>
            </w:tcBorders>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tcPr>
          <w:p>
            <w:pPr>
              <w:jc w:val="center"/>
              <w:ind w:right="25"/>
              <w:spacing w:after="0" w:line="164" w:lineRule="exact"/>
              <w:rPr>
                <w:sz w:val="20"/>
                <w:szCs w:val="20"/>
                <w:color w:val="auto"/>
              </w:rPr>
            </w:pPr>
            <w:r>
              <w:rPr>
                <w:rFonts w:ascii="Arial" w:cs="Arial" w:eastAsia="Arial" w:hAnsi="Arial"/>
                <w:sz w:val="15"/>
                <w:szCs w:val="15"/>
                <w:b w:val="1"/>
                <w:bCs w:val="1"/>
                <w:color w:val="auto"/>
                <w:w w:val="92"/>
              </w:rPr>
              <w:t>DomesticBall &amp;</w:t>
            </w:r>
          </w:p>
        </w:tc>
        <w:tc>
          <w:tcPr>
            <w:tcW w:w="1040" w:type="dxa"/>
            <w:vAlign w:val="bottom"/>
          </w:tcPr>
          <w:p>
            <w:pPr>
              <w:jc w:val="center"/>
              <w:ind w:right="5"/>
              <w:spacing w:after="0" w:line="164" w:lineRule="exact"/>
              <w:rPr>
                <w:sz w:val="20"/>
                <w:szCs w:val="20"/>
                <w:color w:val="auto"/>
              </w:rPr>
            </w:pPr>
            <w:r>
              <w:rPr>
                <w:rFonts w:ascii="Arial" w:cs="Arial" w:eastAsia="Arial" w:hAnsi="Arial"/>
                <w:sz w:val="15"/>
                <w:szCs w:val="15"/>
                <w:b w:val="1"/>
                <w:bCs w:val="1"/>
                <w:color w:val="auto"/>
                <w:w w:val="92"/>
              </w:rPr>
              <w:t>NN Europe</w:t>
            </w:r>
          </w:p>
        </w:tc>
        <w:tc>
          <w:tcPr>
            <w:tcW w:w="2500" w:type="dxa"/>
            <w:vAlign w:val="bottom"/>
            <w:gridSpan w:val="2"/>
          </w:tcPr>
          <w:p>
            <w:pPr>
              <w:jc w:val="right"/>
              <w:ind w:right="65"/>
              <w:spacing w:after="0" w:line="164" w:lineRule="exact"/>
              <w:rPr>
                <w:sz w:val="20"/>
                <w:szCs w:val="20"/>
                <w:color w:val="auto"/>
              </w:rPr>
            </w:pPr>
            <w:r>
              <w:rPr>
                <w:rFonts w:ascii="Arial" w:cs="Arial" w:eastAsia="Arial" w:hAnsi="Arial"/>
                <w:sz w:val="15"/>
                <w:szCs w:val="15"/>
                <w:b w:val="1"/>
                <w:bCs w:val="1"/>
                <w:color w:val="auto"/>
                <w:w w:val="92"/>
              </w:rPr>
              <w:t>Plastic and Rubber Domestic Ball &amp;</w:t>
            </w:r>
          </w:p>
        </w:tc>
        <w:tc>
          <w:tcPr>
            <w:tcW w:w="1040" w:type="dxa"/>
            <w:vAlign w:val="bottom"/>
          </w:tcPr>
          <w:p>
            <w:pPr>
              <w:jc w:val="center"/>
              <w:ind w:right="25"/>
              <w:spacing w:after="0" w:line="164" w:lineRule="exact"/>
              <w:rPr>
                <w:sz w:val="20"/>
                <w:szCs w:val="20"/>
                <w:color w:val="auto"/>
              </w:rPr>
            </w:pPr>
            <w:r>
              <w:rPr>
                <w:rFonts w:ascii="Arial" w:cs="Arial" w:eastAsia="Arial" w:hAnsi="Arial"/>
                <w:sz w:val="15"/>
                <w:szCs w:val="15"/>
                <w:b w:val="1"/>
                <w:bCs w:val="1"/>
                <w:color w:val="auto"/>
                <w:w w:val="95"/>
              </w:rPr>
              <w:t>NN Europe</w:t>
            </w:r>
          </w:p>
        </w:tc>
        <w:tc>
          <w:tcPr>
            <w:tcW w:w="12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91"/>
              </w:rPr>
              <w:t>Plastic and Rubber</w:t>
            </w:r>
          </w:p>
        </w:tc>
      </w:tr>
      <w:tr>
        <w:trPr>
          <w:trHeight w:val="195"/>
        </w:trPr>
        <w:tc>
          <w:tcPr>
            <w:tcW w:w="216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1160" w:type="dxa"/>
            <w:vAlign w:val="bottom"/>
          </w:tcPr>
          <w:p>
            <w:pPr>
              <w:jc w:val="center"/>
              <w:ind w:right="5"/>
              <w:spacing w:after="0"/>
              <w:rPr>
                <w:sz w:val="20"/>
                <w:szCs w:val="20"/>
                <w:color w:val="auto"/>
              </w:rPr>
            </w:pPr>
            <w:r>
              <w:rPr>
                <w:rFonts w:ascii="Arial" w:cs="Arial" w:eastAsia="Arial" w:hAnsi="Arial"/>
                <w:sz w:val="15"/>
                <w:szCs w:val="15"/>
                <w:b w:val="1"/>
                <w:bCs w:val="1"/>
                <w:color w:val="auto"/>
                <w:w w:val="93"/>
              </w:rPr>
              <w:t>Roller</w:t>
            </w:r>
          </w:p>
        </w:tc>
        <w:tc>
          <w:tcPr>
            <w:tcW w:w="1040" w:type="dxa"/>
            <w:vAlign w:val="bottom"/>
          </w:tcPr>
          <w:p>
            <w:pPr>
              <w:jc w:val="center"/>
              <w:ind w:right="5"/>
              <w:spacing w:after="0"/>
              <w:rPr>
                <w:sz w:val="20"/>
                <w:szCs w:val="20"/>
                <w:color w:val="auto"/>
              </w:rPr>
            </w:pPr>
            <w:r>
              <w:rPr>
                <w:rFonts w:ascii="Arial" w:cs="Arial" w:eastAsia="Arial" w:hAnsi="Arial"/>
                <w:sz w:val="15"/>
                <w:szCs w:val="15"/>
                <w:b w:val="1"/>
                <w:bCs w:val="1"/>
                <w:color w:val="auto"/>
                <w:w w:val="88"/>
              </w:rPr>
              <w:t>Segment</w:t>
            </w:r>
          </w:p>
        </w:tc>
        <w:tc>
          <w:tcPr>
            <w:tcW w:w="1440" w:type="dxa"/>
            <w:vAlign w:val="bottom"/>
          </w:tcPr>
          <w:p>
            <w:pPr>
              <w:jc w:val="right"/>
              <w:ind w:right="325"/>
              <w:spacing w:after="0"/>
              <w:rPr>
                <w:sz w:val="20"/>
                <w:szCs w:val="20"/>
                <w:color w:val="auto"/>
              </w:rPr>
            </w:pPr>
            <w:r>
              <w:rPr>
                <w:rFonts w:ascii="Arial" w:cs="Arial" w:eastAsia="Arial" w:hAnsi="Arial"/>
                <w:sz w:val="15"/>
                <w:szCs w:val="15"/>
                <w:b w:val="1"/>
                <w:bCs w:val="1"/>
                <w:color w:val="auto"/>
              </w:rPr>
              <w:t>Components</w:t>
            </w:r>
          </w:p>
        </w:tc>
        <w:tc>
          <w:tcPr>
            <w:tcW w:w="1060" w:type="dxa"/>
            <w:vAlign w:val="bottom"/>
          </w:tcPr>
          <w:p>
            <w:pPr>
              <w:jc w:val="right"/>
              <w:ind w:right="405"/>
              <w:spacing w:after="0"/>
              <w:rPr>
                <w:sz w:val="20"/>
                <w:szCs w:val="20"/>
                <w:color w:val="auto"/>
              </w:rPr>
            </w:pPr>
            <w:r>
              <w:rPr>
                <w:rFonts w:ascii="Arial" w:cs="Arial" w:eastAsia="Arial" w:hAnsi="Arial"/>
                <w:sz w:val="15"/>
                <w:szCs w:val="15"/>
                <w:b w:val="1"/>
                <w:bCs w:val="1"/>
                <w:color w:val="auto"/>
              </w:rPr>
              <w:t>Roller</w:t>
            </w: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5"/>
              </w:rPr>
              <w:t>Segment</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9"/>
              </w:rPr>
              <w:t>Components</w:t>
            </w:r>
          </w:p>
        </w:tc>
      </w:tr>
      <w:tr>
        <w:trPr>
          <w:trHeight w:val="172"/>
        </w:trPr>
        <w:tc>
          <w:tcPr>
            <w:tcW w:w="20" w:type="dxa"/>
            <w:vAlign w:val="bottom"/>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1"/>
              </w:rPr>
              <w:t>Revenues from external customers</w:t>
            </w:r>
          </w:p>
        </w:tc>
        <w:tc>
          <w:tcPr>
            <w:tcW w:w="11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$ 37,333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$ 103,972</w:t>
            </w:r>
          </w:p>
        </w:tc>
        <w:tc>
          <w:tcPr>
            <w:tcW w:w="144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$ 28,266</w:t>
            </w:r>
          </w:p>
        </w:tc>
        <w:tc>
          <w:tcPr>
            <w:tcW w:w="10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$ 32,435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$ 108,711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$ 29,356</w:t>
            </w:r>
          </w:p>
        </w:tc>
      </w:tr>
      <w:tr>
        <w:trPr>
          <w:trHeight w:val="181"/>
        </w:trPr>
        <w:tc>
          <w:tcPr>
            <w:tcW w:w="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5"/>
                <w:szCs w:val="15"/>
                <w:color w:val="auto"/>
              </w:rPr>
              <w:t>Pre-tax income (loss)</w:t>
            </w: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29</w:t>
            </w:r>
          </w:p>
        </w:tc>
        <w:tc>
          <w:tcPr>
            <w:tcW w:w="1040" w:type="dxa"/>
            <w:vAlign w:val="bottom"/>
          </w:tcPr>
          <w:p>
            <w:pPr>
              <w:jc w:val="right"/>
              <w:spacing w:after="0"/>
              <w:rPr>
                <w:sz w:val="20"/>
                <w:szCs w:val="20"/>
                <w:color w:val="auto"/>
              </w:rPr>
            </w:pPr>
            <w:r>
              <w:rPr>
                <w:rFonts w:ascii="Arial" w:cs="Arial" w:eastAsia="Arial" w:hAnsi="Arial"/>
                <w:sz w:val="15"/>
                <w:szCs w:val="15"/>
                <w:color w:val="auto"/>
              </w:rPr>
              <w:t>11,120</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2,666</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1,698</w:t>
            </w:r>
          </w:p>
        </w:tc>
        <w:tc>
          <w:tcPr>
            <w:tcW w:w="1040" w:type="dxa"/>
            <w:vAlign w:val="bottom"/>
          </w:tcPr>
          <w:p>
            <w:pPr>
              <w:jc w:val="right"/>
              <w:spacing w:after="0"/>
              <w:rPr>
                <w:sz w:val="20"/>
                <w:szCs w:val="20"/>
                <w:color w:val="auto"/>
              </w:rPr>
            </w:pPr>
            <w:r>
              <w:rPr>
                <w:rFonts w:ascii="Arial" w:cs="Arial" w:eastAsia="Arial" w:hAnsi="Arial"/>
                <w:sz w:val="15"/>
                <w:szCs w:val="15"/>
                <w:color w:val="auto"/>
              </w:rPr>
              <w:t>9,698</w:t>
            </w:r>
          </w:p>
        </w:tc>
        <w:tc>
          <w:tcPr>
            <w:tcW w:w="1260" w:type="dxa"/>
            <w:vAlign w:val="bottom"/>
          </w:tcPr>
          <w:p>
            <w:pPr>
              <w:jc w:val="right"/>
              <w:spacing w:after="0"/>
              <w:rPr>
                <w:sz w:val="20"/>
                <w:szCs w:val="20"/>
                <w:color w:val="auto"/>
              </w:rPr>
            </w:pPr>
            <w:r>
              <w:rPr>
                <w:rFonts w:ascii="Arial" w:cs="Arial" w:eastAsia="Arial" w:hAnsi="Arial"/>
                <w:sz w:val="15"/>
                <w:szCs w:val="15"/>
                <w:color w:val="auto"/>
              </w:rPr>
              <w:t>677</w:t>
            </w:r>
          </w:p>
        </w:tc>
      </w:tr>
      <w:tr>
        <w:trPr>
          <w:trHeight w:val="181"/>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62,591</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172,628</w:t>
            </w:r>
          </w:p>
        </w:tc>
        <w:tc>
          <w:tcPr>
            <w:tcW w:w="14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52,981</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51,818</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162,716</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5.</w:t>
      </w:r>
      <w:r>
        <w:rPr>
          <w:sz w:val="20"/>
          <w:szCs w:val="20"/>
          <w:color w:val="auto"/>
        </w:rPr>
        <w:tab/>
      </w:r>
      <w:r>
        <w:rPr>
          <w:rFonts w:ascii="Arial" w:cs="Arial" w:eastAsia="Arial" w:hAnsi="Arial"/>
          <w:sz w:val="13"/>
          <w:szCs w:val="13"/>
          <w:b w:val="1"/>
          <w:bCs w:val="1"/>
          <w:color w:val="auto"/>
        </w:rPr>
        <w:t>Recent Investing Activity</w:t>
      </w:r>
    </w:p>
    <w:p>
      <w:pPr>
        <w:spacing w:after="0" w:line="249"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Our wholly-owned subsidiary in China, NN Precision Bearing Products Company, LTD, (“NN Asia”) started full operations in the first quarter of 2006. The costs incurred as a result of the start-up for the six month period ended June 30, 2005 of approximately $0.4 million were classified as selling, general and administrative expense.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On October 7, 2005, we entered into an agreement with SNR Roulements (“SNR”) to purchase all of SNR’s internal precision ball producing equipment for approximately 5,000 Euros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($6,000). As part of the agreement, we entered into a five year supply agreement to provide SNR with an additional $9,000 of annual ball requirements. Approximately $1,700 was paid in 2005 and $4,500 is expected to be paid during 2006 to complete the equipment purchase, including related legal and transportation cost of approximately $200. During the six months ended June 30, 2006, the Company acquired $3,064 of SNR equipment and related contract intangibles. As of June 30, 2006, $2,719 has been recorded in tangible fixed assets and $2,307 has been recorded in intangible assets relating to this transaction.</w:t>
      </w:r>
    </w:p>
    <w:p>
      <w:pPr>
        <w:spacing w:after="0" w:line="23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6.</w:t>
      </w:r>
      <w:r>
        <w:rPr>
          <w:sz w:val="20"/>
          <w:szCs w:val="20"/>
          <w:color w:val="auto"/>
        </w:rPr>
        <w:tab/>
      </w:r>
      <w:r>
        <w:rPr>
          <w:rFonts w:ascii="Arial" w:cs="Arial" w:eastAsia="Arial" w:hAnsi="Arial"/>
          <w:sz w:val="12"/>
          <w:szCs w:val="12"/>
          <w:b w:val="1"/>
          <w:bCs w:val="1"/>
          <w:color w:val="auto"/>
        </w:rPr>
        <w:t>Pensions</w:t>
      </w:r>
    </w:p>
    <w:p>
      <w:pPr>
        <w:spacing w:after="0" w:line="249"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We have a defined benefit pension plan covering the employees at our Eltmann, Germany facility. The benefits are based on the expected years of service including the rate of compensation increase. The plan is unfunded. There were no prior service costs recognized in the six months ended June 30, 2006 and 2005.</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Net Periodic Pension Cost:</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880"/>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3"/>
          </w:tcPr>
          <w:p>
            <w:pPr>
              <w:jc w:val="right"/>
              <w:ind w:right="125"/>
              <w:spacing w:after="0"/>
              <w:rPr>
                <w:sz w:val="20"/>
                <w:szCs w:val="20"/>
                <w:color w:val="auto"/>
              </w:rPr>
            </w:pPr>
            <w:r>
              <w:rPr>
                <w:rFonts w:ascii="Arial" w:cs="Arial" w:eastAsia="Arial" w:hAnsi="Arial"/>
                <w:sz w:val="15"/>
                <w:szCs w:val="15"/>
                <w:b w:val="1"/>
                <w:bCs w:val="1"/>
                <w:color w:val="auto"/>
              </w:rPr>
              <w:t>Six months ended</w:t>
            </w: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June 30,</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5"/>
                <w:szCs w:val="15"/>
                <w:b w:val="1"/>
                <w:bCs w:val="1"/>
                <w:color w:val="auto"/>
                <w:w w:val="96"/>
              </w:rPr>
              <w:t>June 30,</w:t>
            </w:r>
          </w:p>
        </w:tc>
      </w:tr>
      <w:tr>
        <w:trPr>
          <w:trHeight w:val="191"/>
        </w:trPr>
        <w:tc>
          <w:tcPr>
            <w:tcW w:w="3440" w:type="dxa"/>
            <w:vAlign w:val="bottom"/>
            <w:gridSpan w:val="2"/>
          </w:tcPr>
          <w:p>
            <w:pPr>
              <w:spacing w:after="0"/>
              <w:rPr>
                <w:sz w:val="20"/>
                <w:szCs w:val="20"/>
                <w:color w:val="auto"/>
              </w:rPr>
            </w:pPr>
            <w:r>
              <w:rPr>
                <w:rFonts w:ascii="Arial" w:cs="Arial" w:eastAsia="Arial" w:hAnsi="Arial"/>
                <w:sz w:val="12"/>
                <w:szCs w:val="12"/>
                <w:color w:val="auto"/>
              </w:rPr>
              <w:t>(In Thousands of Dollars)</w:t>
            </w:r>
          </w:p>
        </w:tc>
        <w:tc>
          <w:tcPr>
            <w:tcW w:w="1200" w:type="dxa"/>
            <w:vAlign w:val="bottom"/>
            <w:gridSpan w:val="2"/>
          </w:tcPr>
          <w:p>
            <w:pPr>
              <w:jc w:val="right"/>
              <w:ind w:right="265"/>
              <w:spacing w:after="0"/>
              <w:rPr>
                <w:sz w:val="20"/>
                <w:szCs w:val="20"/>
                <w:color w:val="auto"/>
              </w:rPr>
            </w:pPr>
            <w:r>
              <w:rPr>
                <w:rFonts w:ascii="Arial" w:cs="Arial" w:eastAsia="Arial" w:hAnsi="Arial"/>
                <w:sz w:val="15"/>
                <w:szCs w:val="15"/>
                <w:b w:val="1"/>
                <w:bCs w:val="1"/>
                <w:color w:val="auto"/>
              </w:rPr>
              <w:t>2006</w:t>
            </w:r>
          </w:p>
        </w:tc>
        <w:tc>
          <w:tcPr>
            <w:tcW w:w="1460" w:type="dxa"/>
            <w:vAlign w:val="bottom"/>
            <w:gridSpan w:val="2"/>
          </w:tcPr>
          <w:p>
            <w:pPr>
              <w:jc w:val="right"/>
              <w:ind w:right="385"/>
              <w:spacing w:after="0"/>
              <w:rPr>
                <w:sz w:val="20"/>
                <w:szCs w:val="20"/>
                <w:color w:val="auto"/>
              </w:rPr>
            </w:pPr>
            <w:r>
              <w:rPr>
                <w:rFonts w:ascii="Arial" w:cs="Arial" w:eastAsia="Arial" w:hAnsi="Arial"/>
                <w:sz w:val="15"/>
                <w:szCs w:val="15"/>
                <w:b w:val="1"/>
                <w:bCs w:val="1"/>
                <w:color w:val="auto"/>
              </w:rPr>
              <w:t>2005</w:t>
            </w:r>
          </w:p>
        </w:tc>
        <w:tc>
          <w:tcPr>
            <w:tcW w:w="420" w:type="dxa"/>
            <w:vAlign w:val="bottom"/>
          </w:tcPr>
          <w:p>
            <w:pPr>
              <w:spacing w:after="0"/>
              <w:rPr>
                <w:sz w:val="16"/>
                <w:szCs w:val="16"/>
                <w:color w:val="auto"/>
              </w:rPr>
            </w:pPr>
          </w:p>
        </w:tc>
        <w:tc>
          <w:tcPr>
            <w:tcW w:w="1540" w:type="dxa"/>
            <w:vAlign w:val="bottom"/>
            <w:gridSpan w:val="3"/>
          </w:tcPr>
          <w:p>
            <w:pPr>
              <w:jc w:val="right"/>
              <w:ind w:right="225"/>
              <w:spacing w:after="0"/>
              <w:rPr>
                <w:sz w:val="20"/>
                <w:szCs w:val="20"/>
                <w:color w:val="auto"/>
              </w:rPr>
            </w:pPr>
            <w:r>
              <w:rPr>
                <w:rFonts w:ascii="Arial" w:cs="Arial" w:eastAsia="Arial" w:hAnsi="Arial"/>
                <w:sz w:val="15"/>
                <w:szCs w:val="15"/>
                <w:b w:val="1"/>
                <w:bCs w:val="1"/>
                <w:color w:val="auto"/>
              </w:rPr>
              <w:t>2006</w:t>
            </w:r>
          </w:p>
        </w:tc>
        <w:tc>
          <w:tcPr>
            <w:tcW w:w="1100" w:type="dxa"/>
            <w:vAlign w:val="bottom"/>
            <w:gridSpan w:val="2"/>
          </w:tcPr>
          <w:p>
            <w:pPr>
              <w:jc w:val="right"/>
              <w:ind w:right="225"/>
              <w:spacing w:after="0"/>
              <w:rPr>
                <w:sz w:val="20"/>
                <w:szCs w:val="20"/>
                <w:color w:val="auto"/>
              </w:rPr>
            </w:pPr>
            <w:r>
              <w:rPr>
                <w:rFonts w:ascii="Arial" w:cs="Arial" w:eastAsia="Arial" w:hAnsi="Arial"/>
                <w:sz w:val="15"/>
                <w:szCs w:val="15"/>
                <w:b w:val="1"/>
                <w:bCs w:val="1"/>
                <w:color w:val="auto"/>
              </w:rPr>
              <w:t>2005</w:t>
            </w: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Service cost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$ 26</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$ 25</w:t>
            </w:r>
          </w:p>
        </w:tc>
        <w:tc>
          <w:tcPr>
            <w:tcW w:w="4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$ 52</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$ 52</w:t>
            </w: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Interest cost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66</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4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128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103</w:t>
            </w:r>
          </w:p>
        </w:tc>
      </w:tr>
      <w:tr>
        <w:trPr>
          <w:trHeight w:val="192"/>
        </w:trPr>
        <w:tc>
          <w:tcPr>
            <w:tcW w:w="20" w:type="dxa"/>
            <w:vAlign w:val="bottom"/>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Amortization of net gain</w:t>
            </w: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17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Net periodic pension cost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$ 105</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$ 78</w:t>
            </w:r>
          </w:p>
        </w:tc>
        <w:tc>
          <w:tcPr>
            <w:tcW w:w="4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$ 204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$ 160</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We expect to contribute approximately $360 to the Eltmann, Germany pension plan in 2006. As of June 30, 2006, approximately $172 of contributions had been made.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Indemnity</w:t>
      </w:r>
    </w:p>
    <w:p>
      <w:pPr>
        <w:spacing w:after="0" w:line="238" w:lineRule="exact"/>
        <w:rPr>
          <w:sz w:val="20"/>
          <w:szCs w:val="20"/>
          <w:color w:val="auto"/>
        </w:rPr>
      </w:pPr>
    </w:p>
    <w:p>
      <w:pPr>
        <w:ind w:right="440"/>
        <w:spacing w:after="0" w:line="312" w:lineRule="auto"/>
        <w:rPr>
          <w:sz w:val="20"/>
          <w:szCs w:val="20"/>
          <w:color w:val="auto"/>
        </w:rPr>
      </w:pPr>
      <w:r>
        <w:rPr>
          <w:rFonts w:ascii="Arial" w:cs="Arial" w:eastAsia="Arial" w:hAnsi="Arial"/>
          <w:sz w:val="14"/>
          <w:szCs w:val="14"/>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at June 30, 2006 and 2005:</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40" w:type="dxa"/>
            <w:vAlign w:val="bottom"/>
            <w:gridSpan w:val="4"/>
          </w:tcPr>
          <w:p>
            <w:pPr>
              <w:jc w:val="right"/>
              <w:ind w:right="805"/>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60" w:type="dxa"/>
            <w:vAlign w:val="bottom"/>
            <w:gridSpan w:val="3"/>
          </w:tcPr>
          <w:p>
            <w:pPr>
              <w:jc w:val="right"/>
              <w:ind w:right="1025"/>
              <w:spacing w:after="0"/>
              <w:rPr>
                <w:sz w:val="20"/>
                <w:szCs w:val="20"/>
                <w:color w:val="auto"/>
              </w:rPr>
            </w:pPr>
            <w:r>
              <w:rPr>
                <w:rFonts w:ascii="Arial" w:cs="Arial" w:eastAsia="Arial" w:hAnsi="Arial"/>
                <w:sz w:val="15"/>
                <w:szCs w:val="15"/>
                <w:b w:val="1"/>
                <w:bCs w:val="1"/>
                <w:color w:val="auto"/>
                <w:w w:val="88"/>
              </w:rPr>
              <w:t>Six months ended</w:t>
            </w:r>
          </w:p>
        </w:tc>
      </w:tr>
      <w:tr>
        <w:trPr>
          <w:trHeight w:val="195"/>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205"/>
              <w:spacing w:after="0"/>
              <w:rPr>
                <w:sz w:val="20"/>
                <w:szCs w:val="20"/>
                <w:color w:val="auto"/>
              </w:rPr>
            </w:pPr>
            <w:r>
              <w:rPr>
                <w:rFonts w:ascii="Arial" w:cs="Arial" w:eastAsia="Arial" w:hAnsi="Arial"/>
                <w:sz w:val="15"/>
                <w:szCs w:val="15"/>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325"/>
              <w:spacing w:after="0"/>
              <w:rPr>
                <w:sz w:val="20"/>
                <w:szCs w:val="20"/>
                <w:color w:val="auto"/>
              </w:rPr>
            </w:pPr>
            <w:r>
              <w:rPr>
                <w:rFonts w:ascii="Arial" w:cs="Arial" w:eastAsia="Arial" w:hAnsi="Arial"/>
                <w:sz w:val="15"/>
                <w:szCs w:val="15"/>
                <w:b w:val="1"/>
                <w:bCs w:val="1"/>
                <w:color w:val="auto"/>
              </w:rPr>
              <w:t>June 30,</w:t>
            </w:r>
          </w:p>
        </w:tc>
      </w:tr>
      <w:tr>
        <w:trPr>
          <w:trHeight w:val="403"/>
        </w:trPr>
        <w:tc>
          <w:tcPr>
            <w:tcW w:w="24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2006</w:t>
            </w:r>
          </w:p>
        </w:tc>
        <w:tc>
          <w:tcPr>
            <w:tcW w:w="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2005</w:t>
            </w:r>
          </w:p>
        </w:tc>
        <w:tc>
          <w:tcPr>
            <w:tcW w:w="320" w:type="dxa"/>
            <w:vAlign w:val="bottom"/>
          </w:tcPr>
          <w:p>
            <w:pPr>
              <w:spacing w:after="0"/>
              <w:rPr>
                <w:sz w:val="24"/>
                <w:szCs w:val="24"/>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2006</w:t>
            </w:r>
          </w:p>
        </w:tc>
        <w:tc>
          <w:tcPr>
            <w:tcW w:w="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2005</w:t>
            </w:r>
          </w:p>
        </w:tc>
      </w:tr>
      <w:tr>
        <w:trPr>
          <w:trHeight w:val="201"/>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10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 (6,950)</w:t>
            </w:r>
          </w:p>
        </w:tc>
        <w:tc>
          <w:tcPr>
            <w:tcW w:w="1960" w:type="dxa"/>
            <w:vAlign w:val="bottom"/>
            <w:gridSpan w:val="3"/>
            <w:shd w:val="clear" w:color="auto" w:fill="CCEEFF"/>
          </w:tcPr>
          <w:p>
            <w:pPr>
              <w:jc w:val="right"/>
              <w:ind w:right="265"/>
              <w:spacing w:after="0"/>
              <w:rPr>
                <w:sz w:val="20"/>
                <w:szCs w:val="20"/>
                <w:color w:val="auto"/>
              </w:rPr>
            </w:pPr>
            <w:r>
              <w:rPr>
                <w:rFonts w:ascii="Arial" w:cs="Arial" w:eastAsia="Arial" w:hAnsi="Arial"/>
                <w:sz w:val="15"/>
                <w:szCs w:val="15"/>
                <w:color w:val="auto"/>
              </w:rPr>
              <w:t>$ (7,261)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(6,644)</w:t>
            </w:r>
          </w:p>
        </w:tc>
        <w:tc>
          <w:tcPr>
            <w:tcW w:w="2260" w:type="dxa"/>
            <w:vAlign w:val="bottom"/>
            <w:gridSpan w:val="3"/>
            <w:shd w:val="clear" w:color="auto" w:fill="CCEEFF"/>
          </w:tcPr>
          <w:p>
            <w:pPr>
              <w:jc w:val="right"/>
              <w:ind w:right="445"/>
              <w:spacing w:after="0"/>
              <w:rPr>
                <w:sz w:val="20"/>
                <w:szCs w:val="20"/>
                <w:color w:val="auto"/>
              </w:rPr>
            </w:pPr>
            <w:r>
              <w:rPr>
                <w:rFonts w:ascii="Arial" w:cs="Arial" w:eastAsia="Arial" w:hAnsi="Arial"/>
                <w:sz w:val="15"/>
                <w:szCs w:val="15"/>
                <w:color w:val="auto"/>
              </w:rPr>
              <w:t>$ (7,503)</w:t>
            </w:r>
          </w:p>
        </w:tc>
      </w:tr>
      <w:tr>
        <w:trPr>
          <w:trHeight w:val="202"/>
        </w:trPr>
        <w:tc>
          <w:tcPr>
            <w:tcW w:w="2520" w:type="dxa"/>
            <w:vAlign w:val="bottom"/>
            <w:gridSpan w:val="2"/>
          </w:tcPr>
          <w:p>
            <w:pPr>
              <w:spacing w:after="0"/>
              <w:rPr>
                <w:sz w:val="20"/>
                <w:szCs w:val="20"/>
                <w:color w:val="auto"/>
              </w:rPr>
            </w:pPr>
            <w:r>
              <w:rPr>
                <w:rFonts w:ascii="Arial" w:cs="Arial" w:eastAsia="Arial" w:hAnsi="Arial"/>
                <w:sz w:val="15"/>
                <w:szCs w:val="15"/>
                <w:color w:val="auto"/>
              </w:rPr>
              <w:t>Amounts accrued</w:t>
            </w:r>
          </w:p>
        </w:tc>
        <w:tc>
          <w:tcPr>
            <w:tcW w:w="1080" w:type="dxa"/>
            <w:vAlign w:val="bottom"/>
          </w:tcPr>
          <w:p>
            <w:pPr>
              <w:jc w:val="right"/>
              <w:ind w:right="65"/>
              <w:spacing w:after="0"/>
              <w:rPr>
                <w:sz w:val="20"/>
                <w:szCs w:val="20"/>
                <w:color w:val="auto"/>
              </w:rPr>
            </w:pPr>
            <w:r>
              <w:rPr>
                <w:rFonts w:ascii="Arial" w:cs="Arial" w:eastAsia="Arial" w:hAnsi="Arial"/>
                <w:sz w:val="15"/>
                <w:szCs w:val="15"/>
                <w:color w:val="auto"/>
              </w:rPr>
              <w:t>(269)</w:t>
            </w:r>
          </w:p>
        </w:tc>
        <w:tc>
          <w:tcPr>
            <w:tcW w:w="1960" w:type="dxa"/>
            <w:vAlign w:val="bottom"/>
            <w:gridSpan w:val="3"/>
          </w:tcPr>
          <w:p>
            <w:pPr>
              <w:jc w:val="right"/>
              <w:ind w:right="285"/>
              <w:spacing w:after="0"/>
              <w:rPr>
                <w:sz w:val="20"/>
                <w:szCs w:val="20"/>
                <w:color w:val="auto"/>
              </w:rPr>
            </w:pPr>
            <w:r>
              <w:rPr>
                <w:rFonts w:ascii="Arial" w:cs="Arial" w:eastAsia="Arial" w:hAnsi="Arial"/>
                <w:sz w:val="15"/>
                <w:szCs w:val="15"/>
                <w:color w:val="auto"/>
              </w:rPr>
              <w:t>(261)</w:t>
            </w:r>
          </w:p>
        </w:tc>
        <w:tc>
          <w:tcPr>
            <w:tcW w:w="1340" w:type="dxa"/>
            <w:vAlign w:val="bottom"/>
            <w:gridSpan w:val="2"/>
          </w:tcPr>
          <w:p>
            <w:pPr>
              <w:jc w:val="right"/>
              <w:ind w:right="5"/>
              <w:spacing w:after="0"/>
              <w:rPr>
                <w:sz w:val="20"/>
                <w:szCs w:val="20"/>
                <w:color w:val="auto"/>
              </w:rPr>
            </w:pPr>
            <w:r>
              <w:rPr>
                <w:rFonts w:ascii="Arial" w:cs="Arial" w:eastAsia="Arial" w:hAnsi="Arial"/>
                <w:sz w:val="15"/>
                <w:szCs w:val="15"/>
                <w:color w:val="auto"/>
              </w:rPr>
              <w:t>(525)</w:t>
            </w:r>
          </w:p>
        </w:tc>
        <w:tc>
          <w:tcPr>
            <w:tcW w:w="2260" w:type="dxa"/>
            <w:vAlign w:val="bottom"/>
            <w:gridSpan w:val="3"/>
          </w:tcPr>
          <w:p>
            <w:pPr>
              <w:jc w:val="right"/>
              <w:ind w:right="445"/>
              <w:spacing w:after="0"/>
              <w:rPr>
                <w:sz w:val="20"/>
                <w:szCs w:val="20"/>
                <w:color w:val="auto"/>
              </w:rPr>
            </w:pPr>
            <w:r>
              <w:rPr>
                <w:rFonts w:ascii="Arial" w:cs="Arial" w:eastAsia="Arial" w:hAnsi="Arial"/>
                <w:sz w:val="15"/>
                <w:szCs w:val="15"/>
                <w:color w:val="auto"/>
              </w:rPr>
              <w:t>(524)</w:t>
            </w:r>
          </w:p>
        </w:tc>
      </w:tr>
      <w:tr>
        <w:trPr>
          <w:trHeight w:val="204"/>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w:t>
            </w:r>
          </w:p>
        </w:tc>
        <w:tc>
          <w:tcPr>
            <w:tcW w:w="10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208</w:t>
            </w:r>
          </w:p>
        </w:tc>
        <w:tc>
          <w:tcPr>
            <w:tcW w:w="1960" w:type="dxa"/>
            <w:vAlign w:val="bottom"/>
            <w:gridSpan w:val="3"/>
            <w:shd w:val="clear" w:color="auto" w:fill="CCEEFF"/>
          </w:tcPr>
          <w:p>
            <w:pPr>
              <w:jc w:val="right"/>
              <w:ind w:right="345"/>
              <w:spacing w:after="0"/>
              <w:rPr>
                <w:sz w:val="20"/>
                <w:szCs w:val="20"/>
                <w:color w:val="auto"/>
              </w:rPr>
            </w:pPr>
            <w:r>
              <w:rPr>
                <w:rFonts w:ascii="Arial" w:cs="Arial" w:eastAsia="Arial" w:hAnsi="Arial"/>
                <w:sz w:val="15"/>
                <w:szCs w:val="15"/>
                <w:color w:val="auto"/>
              </w:rPr>
              <w:t>533</w:t>
            </w:r>
          </w:p>
        </w:tc>
        <w:tc>
          <w:tcPr>
            <w:tcW w:w="134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327</w:t>
            </w:r>
          </w:p>
        </w:tc>
        <w:tc>
          <w:tcPr>
            <w:tcW w:w="2260" w:type="dxa"/>
            <w:vAlign w:val="bottom"/>
            <w:gridSpan w:val="3"/>
            <w:shd w:val="clear" w:color="auto" w:fill="CCEEFF"/>
          </w:tcPr>
          <w:p>
            <w:pPr>
              <w:jc w:val="right"/>
              <w:ind w:right="485"/>
              <w:spacing w:after="0"/>
              <w:rPr>
                <w:sz w:val="20"/>
                <w:szCs w:val="20"/>
                <w:color w:val="auto"/>
              </w:rPr>
            </w:pPr>
            <w:r>
              <w:rPr>
                <w:rFonts w:ascii="Arial" w:cs="Arial" w:eastAsia="Arial" w:hAnsi="Arial"/>
                <w:sz w:val="15"/>
                <w:szCs w:val="15"/>
                <w:color w:val="auto"/>
              </w:rPr>
              <w:t>710</w:t>
            </w:r>
          </w:p>
        </w:tc>
      </w:tr>
      <w:tr>
        <w:trPr>
          <w:trHeight w:val="191"/>
        </w:trPr>
        <w:tc>
          <w:tcPr>
            <w:tcW w:w="2480" w:type="dxa"/>
            <w:vAlign w:val="bottom"/>
          </w:tcPr>
          <w:p>
            <w:pPr>
              <w:spacing w:after="0"/>
              <w:rPr>
                <w:sz w:val="20"/>
                <w:szCs w:val="20"/>
                <w:color w:val="auto"/>
              </w:rPr>
            </w:pPr>
            <w:r>
              <w:rPr>
                <w:rFonts w:ascii="Arial" w:cs="Arial" w:eastAsia="Arial" w:hAnsi="Arial"/>
                <w:sz w:val="15"/>
                <w:szCs w:val="15"/>
                <w:color w:val="auto"/>
              </w:rPr>
              <w:t>Exchange and other</w:t>
            </w: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(358)</w:t>
            </w: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rPr>
              <w:t>509</w:t>
            </w:r>
          </w:p>
        </w:tc>
        <w:tc>
          <w:tcPr>
            <w:tcW w:w="320" w:type="dxa"/>
            <w:vAlign w:val="bottom"/>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(527)</w:t>
            </w: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rPr>
              <w:t>837</w:t>
            </w:r>
          </w:p>
        </w:tc>
      </w:tr>
      <w:tr>
        <w:trPr>
          <w:trHeight w:val="212"/>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Ending balance</w:t>
            </w:r>
          </w:p>
        </w:tc>
        <w:tc>
          <w:tcPr>
            <w:tcW w:w="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$(7,369)</w:t>
            </w: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 (6,480)</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$(7,369)</w:t>
            </w: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rPr>
              <w:t>$ (6,480 )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7.</w:t>
      </w:r>
      <w:r>
        <w:rPr>
          <w:sz w:val="20"/>
          <w:szCs w:val="20"/>
          <w:color w:val="auto"/>
        </w:rPr>
        <w:tab/>
      </w:r>
      <w:r>
        <w:rPr>
          <w:rFonts w:ascii="Arial" w:cs="Arial" w:eastAsia="Arial" w:hAnsi="Arial"/>
          <w:sz w:val="13"/>
          <w:szCs w:val="13"/>
          <w:b w:val="1"/>
          <w:bCs w:val="1"/>
          <w:color w:val="auto"/>
        </w:rPr>
        <w:t>New Accounting Pronouncements</w:t>
      </w:r>
    </w:p>
    <w:p>
      <w:pPr>
        <w:spacing w:after="0" w:line="249"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 - the requisite service period (usually the vesting period). We adopted SFAS 123(R) effective January 1, 2006. See Note 10 Stock Compensation.</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In November 2004, the FASB issued SFAS No. 151, “Inventory Costs”. SFAS No. 151 clarifies the accounting for abnormal amounts of idle facility expense, freight, handling costs and wasted material (spoilage). SFAS No. 151 requires that these items be recognized as current-period charges. In addition, SFAS No. 151 requires that the allocation of fixed production overheads to the costs of conversion be based on the normal capacity of the production facilities. This statement is effective for fiscal years beginning after June 15, 2005. We adopted SFAS No. 151 effective January 1, 2006. SFAS No. 151 has not had a material impact on our financial statements.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In July 2006, the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The Company is does not expect FIN 48 will have a material effect on its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 w:type="dxa"/>
            <w:vAlign w:val="bottom"/>
          </w:tcPr>
          <w:p>
            <w:pPr>
              <w:spacing w:after="0"/>
              <w:rPr>
                <w:sz w:val="20"/>
                <w:szCs w:val="20"/>
                <w:color w:val="auto"/>
              </w:rPr>
            </w:pPr>
            <w:r>
              <w:rPr>
                <w:rFonts w:ascii="Arial" w:cs="Arial" w:eastAsia="Arial" w:hAnsi="Arial"/>
                <w:sz w:val="15"/>
                <w:szCs w:val="15"/>
                <w:b w:val="1"/>
                <w:bCs w:val="1"/>
                <w:color w:val="auto"/>
              </w:rPr>
              <w:t>Note 8.</w:t>
            </w:r>
          </w:p>
        </w:tc>
        <w:tc>
          <w:tcPr>
            <w:tcW w:w="6220" w:type="dxa"/>
            <w:vAlign w:val="bottom"/>
            <w:gridSpan w:val="2"/>
          </w:tcPr>
          <w:p>
            <w:pPr>
              <w:ind w:left="180"/>
              <w:spacing w:after="0"/>
              <w:rPr>
                <w:sz w:val="20"/>
                <w:szCs w:val="20"/>
                <w:color w:val="auto"/>
              </w:rPr>
            </w:pPr>
            <w:r>
              <w:rPr>
                <w:rFonts w:ascii="Arial" w:cs="Arial" w:eastAsia="Arial" w:hAnsi="Arial"/>
                <w:sz w:val="15"/>
                <w:szCs w:val="15"/>
                <w:b w:val="1"/>
                <w:bCs w:val="1"/>
                <w:color w:val="auto"/>
              </w:rPr>
              <w:t>Long-Term Debt and Short-Term Debt</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6840" w:type="dxa"/>
            <w:vAlign w:val="bottom"/>
            <w:gridSpan w:val="3"/>
          </w:tcPr>
          <w:p>
            <w:pPr>
              <w:spacing w:after="0"/>
              <w:rPr>
                <w:sz w:val="20"/>
                <w:szCs w:val="20"/>
                <w:color w:val="auto"/>
              </w:rPr>
            </w:pPr>
            <w:r>
              <w:rPr>
                <w:rFonts w:ascii="Arial" w:cs="Arial" w:eastAsia="Arial" w:hAnsi="Arial"/>
                <w:sz w:val="15"/>
                <w:szCs w:val="15"/>
                <w:color w:val="auto"/>
              </w:rPr>
              <w:t>Long-term debt at June 30, 2006 and December 31, 2005 consisted of the following:</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80" w:type="dxa"/>
            <w:vAlign w:val="bottom"/>
          </w:tcPr>
          <w:p>
            <w:pPr>
              <w:jc w:val="right"/>
              <w:ind w:right="405"/>
              <w:spacing w:after="0"/>
              <w:rPr>
                <w:sz w:val="20"/>
                <w:szCs w:val="20"/>
                <w:color w:val="auto"/>
              </w:rPr>
            </w:pPr>
            <w:r>
              <w:rPr>
                <w:rFonts w:ascii="Arial" w:cs="Arial" w:eastAsia="Arial" w:hAnsi="Arial"/>
                <w:sz w:val="15"/>
                <w:szCs w:val="15"/>
                <w:b w:val="1"/>
                <w:bCs w:val="1"/>
                <w:color w:val="auto"/>
              </w:rPr>
              <w:t>June 30,</w:t>
            </w:r>
          </w:p>
        </w:tc>
        <w:tc>
          <w:tcPr>
            <w:tcW w:w="480" w:type="dxa"/>
            <w:vAlign w:val="bottom"/>
          </w:tcPr>
          <w:p>
            <w:pPr>
              <w:spacing w:after="0"/>
              <w:rPr>
                <w:sz w:val="24"/>
                <w:szCs w:val="24"/>
                <w:color w:val="auto"/>
              </w:rPr>
            </w:pPr>
          </w:p>
        </w:tc>
        <w:tc>
          <w:tcPr>
            <w:tcW w:w="1500" w:type="dxa"/>
            <w:vAlign w:val="bottom"/>
          </w:tcPr>
          <w:p>
            <w:pPr>
              <w:jc w:val="right"/>
              <w:ind w:right="24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80" w:type="dxa"/>
            <w:vAlign w:val="bottom"/>
          </w:tcPr>
          <w:p>
            <w:pPr>
              <w:jc w:val="right"/>
              <w:ind w:right="525"/>
              <w:spacing w:after="0"/>
              <w:rPr>
                <w:sz w:val="20"/>
                <w:szCs w:val="20"/>
                <w:color w:val="auto"/>
              </w:rPr>
            </w:pPr>
            <w:r>
              <w:rPr>
                <w:rFonts w:ascii="Arial" w:cs="Arial" w:eastAsia="Arial" w:hAnsi="Arial"/>
                <w:sz w:val="15"/>
                <w:szCs w:val="15"/>
                <w:b w:val="1"/>
                <w:bCs w:val="1"/>
                <w:color w:val="auto"/>
              </w:rPr>
              <w:t>2006</w:t>
            </w:r>
          </w:p>
        </w:tc>
        <w:tc>
          <w:tcPr>
            <w:tcW w:w="1980" w:type="dxa"/>
            <w:vAlign w:val="bottom"/>
            <w:gridSpan w:val="2"/>
          </w:tcPr>
          <w:p>
            <w:pPr>
              <w:jc w:val="right"/>
              <w:ind w:right="525"/>
              <w:spacing w:after="0"/>
              <w:rPr>
                <w:sz w:val="20"/>
                <w:szCs w:val="20"/>
                <w:color w:val="auto"/>
              </w:rPr>
            </w:pPr>
            <w:r>
              <w:rPr>
                <w:rFonts w:ascii="Arial" w:cs="Arial" w:eastAsia="Arial" w:hAnsi="Arial"/>
                <w:sz w:val="15"/>
                <w:szCs w:val="15"/>
                <w:b w:val="1"/>
                <w:bCs w:val="1"/>
                <w:color w:val="auto"/>
              </w:rPr>
              <w:t>2005</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20" w:type="dxa"/>
            <w:vAlign w:val="bottom"/>
            <w:vMerge w:val="restart"/>
          </w:tcPr>
          <w:p>
            <w:pPr>
              <w:spacing w:after="0"/>
              <w:rPr>
                <w:sz w:val="16"/>
                <w:szCs w:val="16"/>
                <w:color w:val="auto"/>
              </w:rPr>
            </w:pPr>
          </w:p>
        </w:tc>
        <w:tc>
          <w:tcPr>
            <w:tcW w:w="57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7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2"/>
              </w:rPr>
              <w:t>Borrowings under our $30,000 revolving credit facility bearing interest at a floating rate equal</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to LIBOR (5.48% at June 30, 2006) plus an applicable margin of 1.25 to 2.0, expiring on</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June 30, 2007</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$ 18,917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$ 17,900</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7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7"/>
              </w:rPr>
              <w:t>Borrowings under our 26,300 Euro term loan originally expiring on May 1, 2008, bearing</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interest at a floating rate equal to Euro LIBOR (3.056% at June 30, 2006) plus an</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applicable margin of 1.25 to 2.0 payable in quarterly installments of Euro 1,314</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7"/>
              </w:rPr>
              <w:t>beginning July 1, 2003 through April 1, 2008. This portion of the facility is paid in full</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and no longer available.</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4,668</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7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0"/>
              </w:rPr>
              <w:t>Borrowings under our $40,000 aggregate principal amount of senior notes bearing interest at a</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7"/>
              </w:rPr>
              <w:t>fixed rate of 4.89% maturing on April 26, 2014. Annual principal payments of $5,714</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9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begin on April 26, 2008 and extend through the date of maturity.</w:t>
            </w:r>
          </w:p>
        </w:tc>
        <w:tc>
          <w:tcPr>
            <w:tcW w:w="1480" w:type="dxa"/>
            <w:vAlign w:val="bottom"/>
            <w:vMerge w:val="continue"/>
            <w:shd w:val="clear" w:color="auto" w:fill="CCEEFF"/>
          </w:tcPr>
          <w:p>
            <w:pPr>
              <w:spacing w:after="0"/>
              <w:rPr>
                <w:sz w:val="15"/>
                <w:szCs w:val="15"/>
                <w:color w:val="auto"/>
              </w:rPr>
            </w:pPr>
          </w:p>
        </w:tc>
        <w:tc>
          <w:tcPr>
            <w:tcW w:w="19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debt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58,917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62,568</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Less current maturities of long-term debt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4,668</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Long-term debt, excluding current maturities of long-term debt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$ 40,000</w:t>
            </w:r>
          </w:p>
        </w:tc>
        <w:tc>
          <w:tcPr>
            <w:tcW w:w="4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$ 57,900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$18,917 classified as current portion of long-term debt at June 30, 2006 is the remaining balance of the revolving credit facility which expires June 30, 2007. The $4,668 under the Euro term loan classified as current portion of long-term debt at December 31, 2005 was repaid in the first quarter of 2006. The borrowings under the 26,300 Euro term loan have all been repaid and the facility is no longer available. Capitalized loan costs related to this portion of the facility amounting to $133 were written off as of June 30, 2006. We were in compliance with all covenants related to the $90 million credit facility and the $40 million senior notes as of June 30, 2006.</w:t>
      </w:r>
    </w:p>
    <w:p>
      <w:pPr>
        <w:spacing w:after="0" w:line="204" w:lineRule="exact"/>
        <w:rPr>
          <w:sz w:val="20"/>
          <w:szCs w:val="20"/>
          <w:color w:val="auto"/>
        </w:rPr>
      </w:pPr>
    </w:p>
    <w:p>
      <w:pPr>
        <w:ind w:right="780"/>
        <w:spacing w:after="0" w:line="312" w:lineRule="auto"/>
        <w:rPr>
          <w:sz w:val="20"/>
          <w:szCs w:val="20"/>
          <w:color w:val="auto"/>
        </w:rPr>
      </w:pPr>
      <w:r>
        <w:rPr>
          <w:rFonts w:ascii="Arial" w:cs="Arial" w:eastAsia="Arial" w:hAnsi="Arial"/>
          <w:sz w:val="14"/>
          <w:szCs w:val="14"/>
          <w:color w:val="auto"/>
        </w:rPr>
        <w:t>The fair value of our fixed rate long-term borrowing is estimated using a discounted cash flow analysis based on our incremental borrowing rates for similar types of borrowing arrangements. We estimate the fair value of the $40 million notes to be $37,434 and $38,739 at June 30, 2006 and December 31, 2005, respectively.</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Note 9.</w:t>
      </w:r>
      <w:r>
        <w:rPr>
          <w:sz w:val="20"/>
          <w:szCs w:val="20"/>
          <w:color w:val="auto"/>
        </w:rPr>
        <w:tab/>
      </w:r>
      <w:r>
        <w:rPr>
          <w:rFonts w:ascii="Arial" w:cs="Arial" w:eastAsia="Arial" w:hAnsi="Arial"/>
          <w:sz w:val="13"/>
          <w:szCs w:val="13"/>
          <w:b w:val="1"/>
          <w:bCs w:val="1"/>
          <w:color w:val="auto"/>
        </w:rPr>
        <w:t>Goodwill and Intangible Assets, net</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carrying amount of goodwill for the six month period ended June 30, 2006 and the twelve month period ended December 31, 2005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gridSpan w:val="4"/>
          </w:tcPr>
          <w:p>
            <w:pPr>
              <w:spacing w:after="0"/>
              <w:rPr>
                <w:sz w:val="20"/>
                <w:szCs w:val="20"/>
                <w:color w:val="auto"/>
              </w:rPr>
            </w:pPr>
            <w:r>
              <w:rPr>
                <w:rFonts w:ascii="Arial" w:cs="Arial" w:eastAsia="Arial" w:hAnsi="Arial"/>
                <w:sz w:val="15"/>
                <w:szCs w:val="15"/>
                <w:b w:val="1"/>
                <w:bCs w:val="1"/>
                <w:color w:val="auto"/>
              </w:rPr>
              <w:t>Goodwill</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60" w:type="dxa"/>
            <w:vAlign w:val="bottom"/>
          </w:tcPr>
          <w:p>
            <w:pPr>
              <w:jc w:val="right"/>
              <w:ind w:right="185"/>
              <w:spacing w:after="0"/>
              <w:rPr>
                <w:sz w:val="20"/>
                <w:szCs w:val="20"/>
                <w:color w:val="auto"/>
              </w:rPr>
            </w:pPr>
            <w:r>
              <w:rPr>
                <w:rFonts w:ascii="Arial" w:cs="Arial" w:eastAsia="Arial" w:hAnsi="Arial"/>
                <w:sz w:val="15"/>
                <w:szCs w:val="15"/>
                <w:b w:val="1"/>
                <w:bCs w:val="1"/>
                <w:color w:val="auto"/>
              </w:rPr>
              <w:t>Plastic and Rubber</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5260" w:type="dxa"/>
            <w:vAlign w:val="bottom"/>
            <w:gridSpan w:val="3"/>
          </w:tcPr>
          <w:p>
            <w:pPr>
              <w:ind w:left="560"/>
              <w:spacing w:after="0"/>
              <w:rPr>
                <w:sz w:val="20"/>
                <w:szCs w:val="20"/>
                <w:color w:val="auto"/>
              </w:rPr>
            </w:pPr>
            <w:r>
              <w:rPr>
                <w:rFonts w:ascii="Arial" w:cs="Arial" w:eastAsia="Arial" w:hAnsi="Arial"/>
                <w:sz w:val="12"/>
                <w:szCs w:val="12"/>
                <w:color w:val="auto"/>
              </w:rPr>
              <w:t>(In Thousands of Dollars)</w:t>
            </w:r>
          </w:p>
        </w:tc>
        <w:tc>
          <w:tcPr>
            <w:tcW w:w="1760" w:type="dxa"/>
            <w:vAlign w:val="bottom"/>
          </w:tcPr>
          <w:p>
            <w:pPr>
              <w:jc w:val="right"/>
              <w:ind w:right="105"/>
              <w:spacing w:after="0"/>
              <w:rPr>
                <w:sz w:val="20"/>
                <w:szCs w:val="20"/>
                <w:color w:val="auto"/>
              </w:rPr>
            </w:pPr>
            <w:r>
              <w:rPr>
                <w:rFonts w:ascii="Arial" w:cs="Arial" w:eastAsia="Arial" w:hAnsi="Arial"/>
                <w:sz w:val="15"/>
                <w:szCs w:val="15"/>
                <w:b w:val="1"/>
                <w:bCs w:val="1"/>
                <w:color w:val="auto"/>
                <w:w w:val="97"/>
              </w:rPr>
              <w:t>Components Segment</w:t>
            </w:r>
          </w:p>
        </w:tc>
        <w:tc>
          <w:tcPr>
            <w:tcW w:w="1600" w:type="dxa"/>
            <w:vAlign w:val="bottom"/>
          </w:tcPr>
          <w:p>
            <w:pPr>
              <w:jc w:val="right"/>
              <w:ind w:right="205"/>
              <w:spacing w:after="0"/>
              <w:rPr>
                <w:sz w:val="20"/>
                <w:szCs w:val="20"/>
                <w:color w:val="auto"/>
              </w:rPr>
            </w:pPr>
            <w:r>
              <w:rPr>
                <w:rFonts w:ascii="Arial" w:cs="Arial" w:eastAsia="Arial" w:hAnsi="Arial"/>
                <w:sz w:val="15"/>
                <w:szCs w:val="15"/>
                <w:b w:val="1"/>
                <w:bCs w:val="1"/>
                <w:color w:val="auto"/>
                <w:w w:val="89"/>
              </w:rPr>
              <w:t>NN Europe Segment</w:t>
            </w:r>
          </w:p>
        </w:tc>
        <w:tc>
          <w:tcPr>
            <w:tcW w:w="1100" w:type="dxa"/>
            <w:vAlign w:val="bottom"/>
          </w:tcPr>
          <w:p>
            <w:pPr>
              <w:jc w:val="right"/>
              <w:ind w:right="44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Balance as of January 1, 2005</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$ 25,755</w:t>
            </w:r>
          </w:p>
        </w:tc>
        <w:tc>
          <w:tcPr>
            <w:tcW w:w="160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$ 18,702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$ 44,457</w:t>
            </w: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700" w:type="dxa"/>
            <w:vAlign w:val="bottom"/>
            <w:gridSpan w:val="2"/>
          </w:tcPr>
          <w:p>
            <w:pPr>
              <w:jc w:val="right"/>
              <w:ind w:right="3500"/>
              <w:spacing w:after="0"/>
              <w:rPr>
                <w:sz w:val="20"/>
                <w:szCs w:val="20"/>
                <w:color w:val="auto"/>
              </w:rPr>
            </w:pPr>
            <w:r>
              <w:rPr>
                <w:rFonts w:ascii="Arial" w:cs="Arial" w:eastAsia="Arial" w:hAnsi="Arial"/>
                <w:sz w:val="15"/>
                <w:szCs w:val="15"/>
                <w:color w:val="auto"/>
              </w:rPr>
              <w:t>Currency impacts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(2,809)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(2,809)</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 as of December 31, 2005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$ 25,755</w:t>
            </w:r>
          </w:p>
        </w:tc>
        <w:tc>
          <w:tcPr>
            <w:tcW w:w="16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$ 15,893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$ 41,648</w:t>
            </w:r>
          </w:p>
        </w:tc>
        <w:tc>
          <w:tcPr>
            <w:tcW w:w="0" w:type="dxa"/>
            <w:vAlign w:val="bottom"/>
          </w:tcPr>
          <w:p>
            <w:pPr>
              <w:spacing w:after="0"/>
              <w:rPr>
                <w:sz w:val="1"/>
                <w:szCs w:val="1"/>
                <w:color w:val="auto"/>
              </w:rPr>
            </w:pPr>
          </w:p>
        </w:tc>
      </w:tr>
      <w:tr>
        <w:trPr>
          <w:trHeight w:val="194"/>
        </w:trPr>
        <w:tc>
          <w:tcPr>
            <w:tcW w:w="580" w:type="dxa"/>
            <w:vAlign w:val="bottom"/>
            <w:vMerge w:val="restart"/>
          </w:tcPr>
          <w:p>
            <w:pPr>
              <w:spacing w:after="0"/>
              <w:rPr>
                <w:sz w:val="16"/>
                <w:szCs w:val="16"/>
                <w:color w:val="auto"/>
              </w:rPr>
            </w:pPr>
          </w:p>
        </w:tc>
        <w:tc>
          <w:tcPr>
            <w:tcW w:w="560" w:type="dxa"/>
            <w:vAlign w:val="bottom"/>
            <w:vMerge w:val="restart"/>
          </w:tcPr>
          <w:p>
            <w:pPr>
              <w:spacing w:after="0"/>
              <w:rPr>
                <w:sz w:val="16"/>
                <w:szCs w:val="16"/>
                <w:color w:val="auto"/>
              </w:rPr>
            </w:pPr>
          </w:p>
        </w:tc>
        <w:tc>
          <w:tcPr>
            <w:tcW w:w="1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$ 25,755</w:t>
            </w:r>
          </w:p>
        </w:tc>
        <w:tc>
          <w:tcPr>
            <w:tcW w:w="160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$ 15,893</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$ 41,648</w:t>
            </w: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700" w:type="dxa"/>
            <w:vAlign w:val="bottom"/>
            <w:gridSpan w:val="2"/>
          </w:tcPr>
          <w:p>
            <w:pPr>
              <w:jc w:val="right"/>
              <w:ind w:right="3500"/>
              <w:spacing w:after="0"/>
              <w:rPr>
                <w:sz w:val="20"/>
                <w:szCs w:val="20"/>
                <w:color w:val="auto"/>
              </w:rPr>
            </w:pPr>
            <w:r>
              <w:rPr>
                <w:rFonts w:ascii="Arial" w:cs="Arial" w:eastAsia="Arial" w:hAnsi="Arial"/>
                <w:sz w:val="15"/>
                <w:szCs w:val="15"/>
                <w:color w:val="auto"/>
              </w:rPr>
              <w:t>Currency impacts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1,401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 as of June 30, 2006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$ 25,755</w:t>
            </w:r>
          </w:p>
        </w:tc>
        <w:tc>
          <w:tcPr>
            <w:tcW w:w="16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$ 17,294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$ 43,049</w:t>
            </w:r>
          </w:p>
        </w:tc>
        <w:tc>
          <w:tcPr>
            <w:tcW w:w="0" w:type="dxa"/>
            <w:vAlign w:val="bottom"/>
          </w:tcPr>
          <w:p>
            <w:pPr>
              <w:spacing w:after="0"/>
              <w:rPr>
                <w:sz w:val="1"/>
                <w:szCs w:val="1"/>
                <w:color w:val="auto"/>
              </w:rPr>
            </w:pPr>
          </w:p>
        </w:tc>
      </w:tr>
      <w:tr>
        <w:trPr>
          <w:trHeight w:val="324"/>
        </w:trPr>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86"/>
              </w:rPr>
              <w:t>Intangible Assets, net of amortization</w:t>
            </w:r>
          </w:p>
        </w:tc>
        <w:tc>
          <w:tcPr>
            <w:tcW w:w="3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6460" w:type="dxa"/>
            <w:vAlign w:val="bottom"/>
            <w:gridSpan w:val="2"/>
          </w:tcPr>
          <w:p>
            <w:pPr>
              <w:spacing w:after="0"/>
              <w:rPr>
                <w:sz w:val="20"/>
                <w:szCs w:val="20"/>
                <w:color w:val="auto"/>
              </w:rPr>
            </w:pPr>
            <w:r>
              <w:rPr>
                <w:rFonts w:ascii="Arial" w:cs="Arial" w:eastAsia="Arial" w:hAnsi="Arial"/>
                <w:sz w:val="12"/>
                <w:szCs w:val="12"/>
                <w:color w:val="auto"/>
              </w:rPr>
              <w:t>(In Thousands of Dollars)</w:t>
            </w:r>
          </w:p>
        </w:tc>
        <w:tc>
          <w:tcPr>
            <w:tcW w:w="160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w w:val="89"/>
              </w:rPr>
              <w:t>NN Europe Segment</w:t>
            </w:r>
          </w:p>
        </w:tc>
        <w:tc>
          <w:tcPr>
            <w:tcW w:w="720" w:type="dxa"/>
            <w:vAlign w:val="bottom"/>
          </w:tcPr>
          <w:p>
            <w:pPr>
              <w:jc w:val="right"/>
              <w:ind w:right="65"/>
              <w:spacing w:after="0"/>
              <w:rPr>
                <w:sz w:val="20"/>
                <w:szCs w:val="20"/>
                <w:color w:val="auto"/>
              </w:rPr>
            </w:pPr>
            <w:r>
              <w:rPr>
                <w:rFonts w:ascii="Arial" w:cs="Arial" w:eastAsia="Arial" w:hAnsi="Arial"/>
                <w:sz w:val="15"/>
                <w:szCs w:val="15"/>
                <w:b w:val="1"/>
                <w:bCs w:val="1"/>
                <w:color w:val="auto"/>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January 1, 2005</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Acquisition of Intangibles</w:t>
            </w:r>
          </w:p>
        </w:tc>
        <w:tc>
          <w:tcPr>
            <w:tcW w:w="980" w:type="dxa"/>
            <w:vAlign w:val="bottom"/>
          </w:tcPr>
          <w:p>
            <w:pPr>
              <w:spacing w:after="0"/>
              <w:rPr>
                <w:sz w:val="17"/>
                <w:szCs w:val="17"/>
                <w:color w:val="auto"/>
              </w:rPr>
            </w:pPr>
          </w:p>
        </w:tc>
        <w:tc>
          <w:tcPr>
            <w:tcW w:w="620" w:type="dxa"/>
            <w:vAlign w:val="bottom"/>
          </w:tcPr>
          <w:p>
            <w:pPr>
              <w:jc w:val="right"/>
              <w:ind w:right="185"/>
              <w:spacing w:after="0"/>
              <w:rPr>
                <w:sz w:val="20"/>
                <w:szCs w:val="20"/>
                <w:color w:val="auto"/>
              </w:rPr>
            </w:pPr>
            <w:r>
              <w:rPr>
                <w:rFonts w:ascii="Arial" w:cs="Arial" w:eastAsia="Arial" w:hAnsi="Arial"/>
                <w:sz w:val="15"/>
                <w:szCs w:val="15"/>
                <w:color w:val="auto"/>
              </w:rPr>
              <w:t>456</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Currency impacts</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(24)</w:t>
            </w: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December 31, 2005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432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432</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Acquisition of Intangibles</w:t>
            </w:r>
          </w:p>
        </w:tc>
        <w:tc>
          <w:tcPr>
            <w:tcW w:w="980" w:type="dxa"/>
            <w:vAlign w:val="bottom"/>
          </w:tcPr>
          <w:p>
            <w:pPr>
              <w:spacing w:after="0"/>
              <w:rPr>
                <w:sz w:val="17"/>
                <w:szCs w:val="17"/>
                <w:color w:val="auto"/>
              </w:rPr>
            </w:pPr>
          </w:p>
        </w:tc>
        <w:tc>
          <w:tcPr>
            <w:tcW w:w="620" w:type="dxa"/>
            <w:vAlign w:val="bottom"/>
          </w:tcPr>
          <w:p>
            <w:pPr>
              <w:jc w:val="right"/>
              <w:ind w:right="185"/>
              <w:spacing w:after="0"/>
              <w:rPr>
                <w:sz w:val="20"/>
                <w:szCs w:val="20"/>
                <w:color w:val="auto"/>
              </w:rPr>
            </w:pPr>
            <w:r>
              <w:rPr>
                <w:rFonts w:ascii="Arial" w:cs="Arial" w:eastAsia="Arial" w:hAnsi="Arial"/>
                <w:sz w:val="15"/>
                <w:szCs w:val="15"/>
                <w:color w:val="auto"/>
                <w:w w:val="90"/>
              </w:rPr>
              <w:t>1,772</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6"/>
              </w:rPr>
              <w:t>(118)</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ind w:left="120"/>
              <w:spacing w:after="0"/>
              <w:rPr>
                <w:sz w:val="20"/>
                <w:szCs w:val="20"/>
                <w:color w:val="auto"/>
              </w:rPr>
            </w:pPr>
            <w:r>
              <w:rPr>
                <w:rFonts w:ascii="Arial" w:cs="Arial" w:eastAsia="Arial" w:hAnsi="Arial"/>
                <w:sz w:val="15"/>
                <w:szCs w:val="15"/>
                <w:color w:val="auto"/>
              </w:rPr>
              <w:t>Currency impacts</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103</w:t>
            </w: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June 30, 2006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0"/>
              </w:rPr>
              <w:t>2,189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500"/>
        <w:spacing w:after="0" w:line="263" w:lineRule="auto"/>
        <w:rPr>
          <w:sz w:val="20"/>
          <w:szCs w:val="20"/>
          <w:color w:val="auto"/>
        </w:rPr>
      </w:pPr>
      <w:r>
        <w:rPr>
          <w:rFonts w:ascii="Arial" w:cs="Arial" w:eastAsia="Arial" w:hAnsi="Arial"/>
          <w:sz w:val="15"/>
          <w:szCs w:val="15"/>
          <w:color w:val="auto"/>
        </w:rPr>
        <w:t>The intangible asset in the table above is a contract intangible related to the SNR purchase agreement and related supply agreement (See Note 5.) This intangible asset is subject to amortization over approximately 5 years and amortization expense will approximate $500 for each of the 5 years. For the six months ended June 30, 2006, amortization expense and accumulated amortization totaled $118.</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10.</w:t>
      </w:r>
      <w:r>
        <w:rPr>
          <w:sz w:val="20"/>
          <w:szCs w:val="20"/>
          <w:color w:val="auto"/>
        </w:rPr>
        <w:tab/>
      </w:r>
      <w:r>
        <w:rPr>
          <w:rFonts w:ascii="Arial" w:cs="Arial" w:eastAsia="Arial" w:hAnsi="Arial"/>
          <w:sz w:val="13"/>
          <w:szCs w:val="13"/>
          <w:b w:val="1"/>
          <w:bCs w:val="1"/>
          <w:color w:val="auto"/>
        </w:rPr>
        <w:t>Stock Compensation</w:t>
      </w:r>
    </w:p>
    <w:p>
      <w:pPr>
        <w:spacing w:after="0" w:line="249" w:lineRule="exact"/>
        <w:rPr>
          <w:sz w:val="20"/>
          <w:szCs w:val="20"/>
          <w:color w:val="auto"/>
        </w:rPr>
      </w:pPr>
    </w:p>
    <w:p>
      <w:pPr>
        <w:ind w:right="160"/>
        <w:spacing w:after="0" w:line="322" w:lineRule="auto"/>
        <w:rPr>
          <w:sz w:val="20"/>
          <w:szCs w:val="20"/>
          <w:color w:val="auto"/>
        </w:rPr>
      </w:pPr>
      <w:r>
        <w:rPr>
          <w:rFonts w:ascii="Arial" w:cs="Arial" w:eastAsia="Arial" w:hAnsi="Arial"/>
          <w:sz w:val="13"/>
          <w:szCs w:val="13"/>
          <w:color w:val="auto"/>
        </w:rPr>
        <w:t>On January 1, 2006, the Company adopted SFAS No. 123(R) “Share-Based Payment.” SFAS No. 123(R) replaces SFAS No. 123 “Accounting for Stock-Based Compensation” and supersedes Accounting Principles Board Opinion (“APB”) No. 25 “Accounting for Stock Issued to Employees” and amends SFAS No. 95 “Statement of Cash Flows.” Prior to adoption of SFAS No. 123(R) the Company followed the disclosure-only requirements of SFAS No. 123 and continued to account for stock compensation under the requirements of APB No. 25.</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The Company adopted SFAS No. 123(R) using the modified prospective method that requires compensation expense of all employee and non-employee director share-based compensation awards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Under the requirements of APB No. 25, the Company was required to recognize compensation cost only for stock option awards granted at a price lower than the market stock price at the date of grant. Effective with adoption of SFAS No. 123(R) , compensation expense related to stock option awards is recognized in the financial statements at the fair value of the award. The Company accounts for restricted share awards by recognizing the fair value of the awarded stock at the grant date as compensation expense ratably over the vesting period, less anticipated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accordance with implementation requirements of SFAS No. 123(R) under the modified prospective method, the Company did not restate prior fiscal periods and is required to continue the same disclosure only requirements of SFAS No. 123 for comparative purposes until all periods reported are comparable on the same basis. The following table illustrates the effect on net earnings and earnings per share as formerly provided under SFAS No. 123:</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620" w:type="dxa"/>
            <w:vAlign w:val="bottom"/>
          </w:tcPr>
          <w:p>
            <w:pPr>
              <w:jc w:val="right"/>
              <w:ind w:right="205"/>
              <w:spacing w:after="0"/>
              <w:rPr>
                <w:sz w:val="20"/>
                <w:szCs w:val="20"/>
                <w:color w:val="auto"/>
              </w:rPr>
            </w:pPr>
            <w:r>
              <w:rPr>
                <w:rFonts w:ascii="Arial" w:cs="Arial" w:eastAsia="Arial" w:hAnsi="Arial"/>
                <w:sz w:val="15"/>
                <w:szCs w:val="15"/>
                <w:b w:val="1"/>
                <w:bCs w:val="1"/>
                <w:color w:val="auto"/>
                <w:w w:val="89"/>
              </w:rPr>
              <w:t>Three months ended</w:t>
            </w:r>
          </w:p>
        </w:tc>
        <w:tc>
          <w:tcPr>
            <w:tcW w:w="240" w:type="dxa"/>
            <w:vAlign w:val="bottom"/>
          </w:tcPr>
          <w:p>
            <w:pPr>
              <w:spacing w:after="0"/>
              <w:rPr>
                <w:sz w:val="15"/>
                <w:szCs w:val="15"/>
                <w:color w:val="auto"/>
              </w:rPr>
            </w:pPr>
          </w:p>
        </w:tc>
        <w:tc>
          <w:tcPr>
            <w:tcW w:w="1520" w:type="dxa"/>
            <w:vAlign w:val="bottom"/>
          </w:tcPr>
          <w:p>
            <w:pPr>
              <w:jc w:val="right"/>
              <w:ind w:right="12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Data)</w:t>
            </w:r>
          </w:p>
        </w:tc>
        <w:tc>
          <w:tcPr>
            <w:tcW w:w="162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rPr>
              <w:t>June 30, 2005</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June 30, 2005</w:t>
            </w:r>
          </w:p>
        </w:tc>
        <w:tc>
          <w:tcPr>
            <w:tcW w:w="0" w:type="dxa"/>
            <w:vAlign w:val="bottom"/>
          </w:tcPr>
          <w:p>
            <w:pPr>
              <w:spacing w:after="0"/>
              <w:rPr>
                <w:sz w:val="1"/>
                <w:szCs w:val="1"/>
                <w:color w:val="auto"/>
              </w:rPr>
            </w:pPr>
          </w:p>
        </w:tc>
      </w:tr>
      <w:tr>
        <w:trPr>
          <w:trHeight w:val="194"/>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Net income - as reported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$ 3,312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$7,337</w:t>
            </w:r>
          </w:p>
        </w:tc>
        <w:tc>
          <w:tcPr>
            <w:tcW w:w="0" w:type="dxa"/>
            <w:vAlign w:val="bottom"/>
          </w:tcPr>
          <w:p>
            <w:pPr>
              <w:spacing w:after="0"/>
              <w:rPr>
                <w:sz w:val="1"/>
                <w:szCs w:val="1"/>
                <w:color w:val="auto"/>
              </w:rPr>
            </w:pPr>
          </w:p>
        </w:tc>
      </w:tr>
      <w:tr>
        <w:trPr>
          <w:trHeight w:val="170"/>
        </w:trPr>
        <w:tc>
          <w:tcPr>
            <w:tcW w:w="5780" w:type="dxa"/>
            <w:vAlign w:val="bottom"/>
          </w:tcPr>
          <w:p>
            <w:pPr>
              <w:spacing w:after="0" w:line="170" w:lineRule="exact"/>
              <w:rPr>
                <w:sz w:val="20"/>
                <w:szCs w:val="20"/>
                <w:color w:val="auto"/>
              </w:rPr>
            </w:pPr>
            <w:r>
              <w:rPr>
                <w:rFonts w:ascii="Arial" w:cs="Arial" w:eastAsia="Arial" w:hAnsi="Arial"/>
                <w:sz w:val="15"/>
                <w:szCs w:val="15"/>
                <w:color w:val="auto"/>
                <w:w w:val="95"/>
              </w:rPr>
              <w:t>Stock based compensation (income) expense, net of income tax, included in net income as</w:t>
            </w: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80" w:type="dxa"/>
            <w:vAlign w:val="bottom"/>
          </w:tcPr>
          <w:p>
            <w:pPr>
              <w:ind w:left="260"/>
              <w:spacing w:after="0"/>
              <w:rPr>
                <w:sz w:val="20"/>
                <w:szCs w:val="20"/>
                <w:color w:val="auto"/>
              </w:rPr>
            </w:pPr>
            <w:r>
              <w:rPr>
                <w:rFonts w:ascii="Arial" w:cs="Arial" w:eastAsia="Arial" w:hAnsi="Arial"/>
                <w:sz w:val="15"/>
                <w:szCs w:val="15"/>
                <w:color w:val="auto"/>
              </w:rPr>
              <w:t>reported</w:t>
            </w:r>
          </w:p>
        </w:tc>
        <w:tc>
          <w:tcPr>
            <w:tcW w:w="1620" w:type="dxa"/>
            <w:vAlign w:val="bottom"/>
          </w:tcPr>
          <w:p>
            <w:pPr>
              <w:jc w:val="right"/>
              <w:spacing w:after="0"/>
              <w:rPr>
                <w:sz w:val="20"/>
                <w:szCs w:val="20"/>
                <w:color w:val="auto"/>
              </w:rPr>
            </w:pPr>
            <w:r>
              <w:rPr>
                <w:rFonts w:ascii="Arial" w:cs="Arial" w:eastAsia="Arial" w:hAnsi="Arial"/>
                <w:sz w:val="15"/>
                <w:szCs w:val="15"/>
                <w:color w:val="auto"/>
              </w:rPr>
              <w:t>3</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7"/>
              </w:rPr>
              <w:t>Stock based compensation costs, net of income tax, that would have been included in net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40" w:type="dxa"/>
            <w:vAlign w:val="bottom"/>
            <w:vMerge w:val="restart"/>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income if the fair value method had been applied</w:t>
            </w:r>
          </w:p>
        </w:tc>
        <w:tc>
          <w:tcPr>
            <w:tcW w:w="162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80" w:type="dxa"/>
            <w:vAlign w:val="bottom"/>
          </w:tcPr>
          <w:p>
            <w:pPr>
              <w:spacing w:after="0"/>
              <w:rPr>
                <w:sz w:val="20"/>
                <w:szCs w:val="20"/>
                <w:color w:val="auto"/>
              </w:rPr>
            </w:pPr>
            <w:r>
              <w:rPr>
                <w:rFonts w:ascii="Arial" w:cs="Arial" w:eastAsia="Arial" w:hAnsi="Arial"/>
                <w:sz w:val="15"/>
                <w:szCs w:val="15"/>
                <w:color w:val="auto"/>
              </w:rPr>
              <w:t>Net income - pro-forma</w:t>
            </w:r>
          </w:p>
        </w:tc>
        <w:tc>
          <w:tcPr>
            <w:tcW w:w="1620" w:type="dxa"/>
            <w:vAlign w:val="bottom"/>
          </w:tcPr>
          <w:p>
            <w:pPr>
              <w:jc w:val="right"/>
              <w:spacing w:after="0"/>
              <w:rPr>
                <w:sz w:val="20"/>
                <w:szCs w:val="20"/>
                <w:color w:val="auto"/>
              </w:rPr>
            </w:pPr>
            <w:r>
              <w:rPr>
                <w:rFonts w:ascii="Arial" w:cs="Arial" w:eastAsia="Arial" w:hAnsi="Arial"/>
                <w:sz w:val="15"/>
                <w:szCs w:val="15"/>
                <w:color w:val="auto"/>
              </w:rPr>
              <w:t>$ 3,281</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$ 6,809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5"/>
                <w:szCs w:val="15"/>
                <w:color w:val="auto"/>
              </w:rPr>
              <w:t>Basic earnings per share - as reported</w:t>
            </w:r>
          </w:p>
        </w:tc>
        <w:tc>
          <w:tcPr>
            <w:tcW w:w="1620" w:type="dxa"/>
            <w:vAlign w:val="bottom"/>
          </w:tcPr>
          <w:p>
            <w:pPr>
              <w:jc w:val="right"/>
              <w:spacing w:after="0"/>
              <w:rPr>
                <w:sz w:val="20"/>
                <w:szCs w:val="20"/>
                <w:color w:val="auto"/>
              </w:rPr>
            </w:pPr>
            <w:r>
              <w:rPr>
                <w:rFonts w:ascii="Arial" w:cs="Arial" w:eastAsia="Arial" w:hAnsi="Arial"/>
                <w:sz w:val="15"/>
                <w:szCs w:val="15"/>
                <w:color w:val="auto"/>
              </w:rPr>
              <w:t>$ 0.20</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$ 0.43</w:t>
            </w: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5"/>
              </w:rPr>
              <w:t>Stock based compensation (income) expense, net of income tax, included in net income as</w:t>
            </w:r>
          </w:p>
        </w:tc>
        <w:tc>
          <w:tcPr>
            <w:tcW w:w="1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reported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780" w:type="dxa"/>
            <w:vAlign w:val="bottom"/>
          </w:tcPr>
          <w:p>
            <w:pPr>
              <w:spacing w:after="0" w:line="170" w:lineRule="exact"/>
              <w:rPr>
                <w:sz w:val="20"/>
                <w:szCs w:val="20"/>
                <w:color w:val="auto"/>
              </w:rPr>
            </w:pPr>
            <w:r>
              <w:rPr>
                <w:rFonts w:ascii="Arial" w:cs="Arial" w:eastAsia="Arial" w:hAnsi="Arial"/>
                <w:sz w:val="15"/>
                <w:szCs w:val="15"/>
                <w:color w:val="auto"/>
                <w:w w:val="97"/>
              </w:rPr>
              <w:t>Stock based compensation costs, net of income tax, that would have been included in net</w:t>
            </w: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85"/>
        </w:trPr>
        <w:tc>
          <w:tcPr>
            <w:tcW w:w="5780" w:type="dxa"/>
            <w:vAlign w:val="bottom"/>
          </w:tcPr>
          <w:p>
            <w:pPr>
              <w:ind w:left="260"/>
              <w:spacing w:after="0"/>
              <w:rPr>
                <w:sz w:val="20"/>
                <w:szCs w:val="20"/>
                <w:color w:val="auto"/>
              </w:rPr>
            </w:pPr>
            <w:r>
              <w:rPr>
                <w:rFonts w:ascii="Arial" w:cs="Arial" w:eastAsia="Arial" w:hAnsi="Arial"/>
                <w:sz w:val="15"/>
                <w:szCs w:val="15"/>
                <w:color w:val="auto"/>
              </w:rPr>
              <w:t>income if the fair value method had been applied</w:t>
            </w:r>
          </w:p>
        </w:tc>
        <w:tc>
          <w:tcPr>
            <w:tcW w:w="16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share - pro-forma</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$ 0.20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177"/>
        </w:trPr>
        <w:tc>
          <w:tcPr>
            <w:tcW w:w="5780" w:type="dxa"/>
            <w:vAlign w:val="bottom"/>
            <w:tcBorders>
              <w:top w:val="single" w:sz="8" w:color="CCEEFF"/>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share-assuming dilution - as reported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$ 0.19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5" w:lineRule="exact"/>
        <w:rPr>
          <w:sz w:val="20"/>
          <w:szCs w:val="20"/>
          <w:color w:val="auto"/>
        </w:rPr>
      </w:pPr>
    </w:p>
    <w:p>
      <w:pPr>
        <w:ind w:left="1400" w:hanging="270"/>
        <w:spacing w:after="0" w:line="257" w:lineRule="auto"/>
        <w:rPr>
          <w:sz w:val="20"/>
          <w:szCs w:val="20"/>
          <w:color w:val="auto"/>
        </w:rPr>
      </w:pPr>
      <w:r>
        <w:rPr>
          <w:rFonts w:ascii="Arial" w:cs="Arial" w:eastAsia="Arial" w:hAnsi="Arial"/>
          <w:sz w:val="15"/>
          <w:szCs w:val="15"/>
          <w:color w:val="auto"/>
        </w:rPr>
        <w:t>Stock based compensation (income) expense, net of income tax, included in net income as reported</w:t>
      </w:r>
    </w:p>
    <w:p>
      <w:pPr>
        <w:spacing w:after="0" w:line="1" w:lineRule="exact"/>
        <w:rPr>
          <w:sz w:val="20"/>
          <w:szCs w:val="20"/>
          <w:color w:val="auto"/>
        </w:rPr>
      </w:pPr>
    </w:p>
    <w:p>
      <w:pPr>
        <w:ind w:left="1400" w:right="100" w:hanging="270"/>
        <w:spacing w:after="0" w:line="262" w:lineRule="auto"/>
        <w:rPr>
          <w:sz w:val="20"/>
          <w:szCs w:val="20"/>
          <w:color w:val="auto"/>
        </w:rPr>
      </w:pPr>
      <w:r>
        <w:rPr>
          <w:rFonts w:ascii="Arial" w:cs="Arial" w:eastAsia="Arial" w:hAnsi="Arial"/>
          <w:sz w:val="15"/>
          <w:szCs w:val="15"/>
          <w:color w:val="auto"/>
        </w:rPr>
        <w:t>Stock based compensation costs, net of income tax, that would have been included in net income if the fair value method had been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-237490</wp:posOffset>
            </wp:positionV>
            <wp:extent cx="5814060" cy="229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4060" cy="2292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Earnings per share - assuming dilution-pro-forma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jc w:val="right"/>
              <w:ind w:right="605"/>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1"/>
        </w:trPr>
        <w:tc>
          <w:tcPr>
            <w:tcW w:w="230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r>
      <w:tr>
        <w:trPr>
          <w:trHeight w:val="194"/>
        </w:trPr>
        <w:tc>
          <w:tcPr>
            <w:tcW w:w="230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rPr>
              <w:t>$ 0.19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$ 0.40</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340"/>
            <w:col w:w="4500"/>
          </w:cols>
          <w:pgMar w:left="240" w:top="125" w:right="239" w:bottom="1440" w:gutter="0" w:footer="0" w:header="0"/>
          <w:type w:val="continuous"/>
        </w:sectPr>
      </w:pPr>
    </w:p>
    <w:p>
      <w:pPr>
        <w:spacing w:after="0" w:line="15"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auto"/>
        </w:rPr>
        <w:t>In the three and six months ended June, 2006, approximately $103 and $206, respectively, of compensation expense was recognized in selling, general and administrative expense for all share-based awards. The cost recognized was related to the restricted stock awards. No compensation expense was recognized related to stock options during the six months ended June 30, 2006, as no new stock option awards were granted and all existing stock options were fully vested as of December 31, 2005. The impact on net income of all stock compensation expense in the six months ended June 30, 2006 was approximately $132, net of tax benefits of $74.</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Awards</w:t>
      </w:r>
    </w:p>
    <w:p>
      <w:pPr>
        <w:spacing w:after="0" w:line="238"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Option awards are typically granted to non-employee directors and key employees on an annual basis. A single option grant is typically awarded to eligible employees in the third quarter of each year if and when granted by the Compensation Committee of the Board of Directors and occasional individual grants are awarded to eligible employees throughout the year. All employee and non-employee directors are awarded options at an exercise price equal to the closing price of the Company's stock on the date of grant. The term life of options is ten years with vesting periods of generally three years. Actual vesting usually occurs ratably or at the end of the vesting period.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 As the Company has not granted any options in 2006, the assumptions relevant to options outstanding as of June 30, 2005 are identified in the table below: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40" w:type="dxa"/>
            <w:vAlign w:val="bottom"/>
          </w:tcPr>
          <w:p>
            <w:pPr>
              <w:jc w:val="center"/>
              <w:ind w:left="545"/>
              <w:spacing w:after="0"/>
              <w:rPr>
                <w:sz w:val="20"/>
                <w:szCs w:val="20"/>
                <w:color w:val="auto"/>
              </w:rPr>
            </w:pPr>
            <w:r>
              <w:rPr>
                <w:rFonts w:ascii="Arial" w:cs="Arial" w:eastAsia="Arial" w:hAnsi="Arial"/>
                <w:sz w:val="15"/>
                <w:szCs w:val="15"/>
                <w:b w:val="1"/>
                <w:bCs w:val="1"/>
                <w:color w:val="auto"/>
                <w:w w:val="96"/>
              </w:rPr>
              <w:t>NN, Inc.</w:t>
            </w:r>
          </w:p>
        </w:tc>
      </w:tr>
      <w:tr>
        <w:trPr>
          <w:trHeight w:val="181"/>
        </w:trPr>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40" w:type="dxa"/>
            <w:vAlign w:val="bottom"/>
          </w:tcPr>
          <w:p>
            <w:pPr>
              <w:jc w:val="center"/>
              <w:ind w:left="545"/>
              <w:spacing w:after="0"/>
              <w:rPr>
                <w:sz w:val="20"/>
                <w:szCs w:val="20"/>
                <w:color w:val="auto"/>
              </w:rPr>
            </w:pPr>
            <w:r>
              <w:rPr>
                <w:rFonts w:ascii="Arial" w:cs="Arial" w:eastAsia="Arial" w:hAnsi="Arial"/>
                <w:sz w:val="15"/>
                <w:szCs w:val="15"/>
                <w:b w:val="1"/>
                <w:bCs w:val="1"/>
                <w:color w:val="auto"/>
                <w:w w:val="88"/>
              </w:rPr>
              <w:t>Notes To Consolidated Financial Statements</w:t>
            </w:r>
          </w:p>
        </w:tc>
      </w:tr>
      <w:tr>
        <w:trPr>
          <w:trHeight w:val="181"/>
        </w:trPr>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40" w:type="dxa"/>
            <w:vAlign w:val="bottom"/>
          </w:tcPr>
          <w:p>
            <w:pPr>
              <w:jc w:val="center"/>
              <w:ind w:left="565"/>
              <w:spacing w:after="0"/>
              <w:rPr>
                <w:sz w:val="20"/>
                <w:szCs w:val="20"/>
                <w:color w:val="auto"/>
              </w:rPr>
            </w:pPr>
            <w:r>
              <w:rPr>
                <w:rFonts w:ascii="Arial" w:cs="Arial" w:eastAsia="Arial" w:hAnsi="Arial"/>
                <w:sz w:val="15"/>
                <w:szCs w:val="15"/>
                <w:b w:val="1"/>
                <w:bCs w:val="1"/>
                <w:color w:val="auto"/>
                <w:w w:val="91"/>
              </w:rPr>
              <w:t>(In Thousands, Except Per Share Data)</w:t>
            </w:r>
          </w:p>
        </w:tc>
      </w:tr>
      <w:tr>
        <w:trPr>
          <w:trHeight w:val="194"/>
        </w:trPr>
        <w:tc>
          <w:tcPr>
            <w:tcW w:w="2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jc w:val="center"/>
              <w:ind w:left="565"/>
              <w:spacing w:after="0"/>
              <w:rPr>
                <w:sz w:val="20"/>
                <w:szCs w:val="20"/>
                <w:color w:val="auto"/>
              </w:rPr>
            </w:pPr>
            <w:r>
              <w:rPr>
                <w:rFonts w:ascii="Arial" w:cs="Arial" w:eastAsia="Arial" w:hAnsi="Arial"/>
                <w:sz w:val="15"/>
                <w:szCs w:val="15"/>
                <w:b w:val="1"/>
                <w:bCs w:val="1"/>
                <w:color w:val="auto"/>
                <w:w w:val="93"/>
              </w:rPr>
              <w:t>(unaudited)</w:t>
            </w:r>
          </w:p>
        </w:tc>
      </w:tr>
      <w:tr>
        <w:trPr>
          <w:trHeight w:val="803"/>
        </w:trPr>
        <w:tc>
          <w:tcPr>
            <w:tcW w:w="2460" w:type="dxa"/>
            <w:vAlign w:val="bottom"/>
          </w:tcPr>
          <w:p>
            <w:pPr>
              <w:spacing w:after="0"/>
              <w:rPr>
                <w:sz w:val="20"/>
                <w:szCs w:val="20"/>
                <w:color w:val="auto"/>
              </w:rPr>
            </w:pPr>
            <w:r>
              <w:rPr>
                <w:rFonts w:ascii="Arial" w:cs="Arial" w:eastAsia="Arial" w:hAnsi="Arial"/>
                <w:sz w:val="15"/>
                <w:szCs w:val="15"/>
                <w:color w:val="auto"/>
              </w:rPr>
              <w:t>Term</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40" w:type="dxa"/>
            <w:vAlign w:val="bottom"/>
          </w:tcPr>
          <w:p>
            <w:pPr>
              <w:ind w:left="100"/>
              <w:spacing w:after="0"/>
              <w:rPr>
                <w:sz w:val="20"/>
                <w:szCs w:val="20"/>
                <w:color w:val="auto"/>
              </w:rPr>
            </w:pPr>
            <w:r>
              <w:rPr>
                <w:rFonts w:ascii="Arial" w:cs="Arial" w:eastAsia="Arial" w:hAnsi="Arial"/>
                <w:sz w:val="15"/>
                <w:szCs w:val="15"/>
                <w:color w:val="auto"/>
              </w:rPr>
              <w:t>Vesting period</w:t>
            </w:r>
          </w:p>
        </w:tc>
      </w:tr>
      <w:tr>
        <w:trPr>
          <w:trHeight w:val="181"/>
        </w:trPr>
        <w:tc>
          <w:tcPr>
            <w:tcW w:w="2460" w:type="dxa"/>
            <w:vAlign w:val="bottom"/>
          </w:tcPr>
          <w:p>
            <w:pPr>
              <w:spacing w:after="0"/>
              <w:rPr>
                <w:sz w:val="20"/>
                <w:szCs w:val="20"/>
                <w:color w:val="auto"/>
              </w:rPr>
            </w:pPr>
            <w:r>
              <w:rPr>
                <w:rFonts w:ascii="Arial" w:cs="Arial" w:eastAsia="Arial" w:hAnsi="Arial"/>
                <w:sz w:val="15"/>
                <w:szCs w:val="15"/>
                <w:color w:val="auto"/>
              </w:rPr>
              <w:t>Risk free interest rate</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40" w:type="dxa"/>
            <w:vAlign w:val="bottom"/>
          </w:tcPr>
          <w:p>
            <w:pPr>
              <w:ind w:left="100"/>
              <w:spacing w:after="0"/>
              <w:rPr>
                <w:sz w:val="20"/>
                <w:szCs w:val="20"/>
                <w:color w:val="auto"/>
              </w:rPr>
            </w:pPr>
            <w:r>
              <w:rPr>
                <w:rFonts w:ascii="Arial" w:cs="Arial" w:eastAsia="Arial" w:hAnsi="Arial"/>
                <w:sz w:val="15"/>
                <w:szCs w:val="15"/>
                <w:color w:val="auto"/>
              </w:rPr>
              <w:t>3.76%</w:t>
            </w:r>
          </w:p>
        </w:tc>
      </w:tr>
      <w:tr>
        <w:trPr>
          <w:trHeight w:val="181"/>
        </w:trPr>
        <w:tc>
          <w:tcPr>
            <w:tcW w:w="2460" w:type="dxa"/>
            <w:vAlign w:val="bottom"/>
          </w:tcPr>
          <w:p>
            <w:pPr>
              <w:spacing w:after="0"/>
              <w:rPr>
                <w:sz w:val="20"/>
                <w:szCs w:val="20"/>
                <w:color w:val="auto"/>
              </w:rPr>
            </w:pPr>
            <w:r>
              <w:rPr>
                <w:rFonts w:ascii="Arial" w:cs="Arial" w:eastAsia="Arial" w:hAnsi="Arial"/>
                <w:sz w:val="15"/>
                <w:szCs w:val="15"/>
                <w:color w:val="auto"/>
              </w:rPr>
              <w:t>Dividend yield</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40" w:type="dxa"/>
            <w:vAlign w:val="bottom"/>
          </w:tcPr>
          <w:p>
            <w:pPr>
              <w:ind w:left="100"/>
              <w:spacing w:after="0"/>
              <w:rPr>
                <w:sz w:val="20"/>
                <w:szCs w:val="20"/>
                <w:color w:val="auto"/>
              </w:rPr>
            </w:pPr>
            <w:r>
              <w:rPr>
                <w:rFonts w:ascii="Arial" w:cs="Arial" w:eastAsia="Arial" w:hAnsi="Arial"/>
                <w:sz w:val="15"/>
                <w:szCs w:val="15"/>
                <w:color w:val="auto"/>
              </w:rPr>
              <w:t>2.52%</w:t>
            </w:r>
          </w:p>
        </w:tc>
      </w:tr>
      <w:tr>
        <w:trPr>
          <w:trHeight w:val="181"/>
        </w:trPr>
        <w:tc>
          <w:tcPr>
            <w:tcW w:w="2460" w:type="dxa"/>
            <w:vAlign w:val="bottom"/>
          </w:tcPr>
          <w:p>
            <w:pPr>
              <w:spacing w:after="0"/>
              <w:rPr>
                <w:sz w:val="20"/>
                <w:szCs w:val="20"/>
                <w:color w:val="auto"/>
              </w:rPr>
            </w:pPr>
            <w:r>
              <w:rPr>
                <w:rFonts w:ascii="Arial" w:cs="Arial" w:eastAsia="Arial" w:hAnsi="Arial"/>
                <w:sz w:val="15"/>
                <w:szCs w:val="15"/>
                <w:color w:val="auto"/>
              </w:rPr>
              <w:t>Volatility</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40" w:type="dxa"/>
            <w:vAlign w:val="bottom"/>
          </w:tcPr>
          <w:p>
            <w:pPr>
              <w:ind w:left="100"/>
              <w:spacing w:after="0"/>
              <w:rPr>
                <w:sz w:val="20"/>
                <w:szCs w:val="20"/>
                <w:color w:val="auto"/>
              </w:rPr>
            </w:pPr>
            <w:r>
              <w:rPr>
                <w:rFonts w:ascii="Arial" w:cs="Arial" w:eastAsia="Arial" w:hAnsi="Arial"/>
                <w:sz w:val="15"/>
                <w:szCs w:val="15"/>
                <w:color w:val="auto"/>
              </w:rPr>
              <w:t>46.47%</w:t>
            </w:r>
          </w:p>
        </w:tc>
      </w:tr>
      <w:tr>
        <w:trPr>
          <w:trHeight w:val="190"/>
        </w:trPr>
        <w:tc>
          <w:tcPr>
            <w:tcW w:w="2460" w:type="dxa"/>
            <w:vAlign w:val="bottom"/>
          </w:tcPr>
          <w:p>
            <w:pPr>
              <w:spacing w:after="0"/>
              <w:rPr>
                <w:sz w:val="20"/>
                <w:szCs w:val="20"/>
                <w:color w:val="auto"/>
              </w:rPr>
            </w:pPr>
            <w:r>
              <w:rPr>
                <w:rFonts w:ascii="Arial" w:cs="Arial" w:eastAsia="Arial" w:hAnsi="Arial"/>
                <w:sz w:val="15"/>
                <w:szCs w:val="15"/>
                <w:color w:val="auto"/>
              </w:rPr>
              <w:t>Expected forfeiture rate</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40" w:type="dxa"/>
            <w:vAlign w:val="bottom"/>
          </w:tcPr>
          <w:p>
            <w:pPr>
              <w:ind w:left="100"/>
              <w:spacing w:after="0"/>
              <w:rPr>
                <w:sz w:val="20"/>
                <w:szCs w:val="20"/>
                <w:color w:val="auto"/>
              </w:rPr>
            </w:pPr>
            <w:r>
              <w:rPr>
                <w:rFonts w:ascii="Arial" w:cs="Arial" w:eastAsia="Arial" w:hAnsi="Arial"/>
                <w:sz w:val="15"/>
                <w:szCs w:val="15"/>
                <w:color w:val="auto"/>
              </w:rPr>
              <w:t>5%</w:t>
            </w:r>
          </w:p>
        </w:tc>
      </w:tr>
    </w:tbl>
    <w:p>
      <w:pPr>
        <w:spacing w:after="0" w:line="216" w:lineRule="exact"/>
        <w:rPr>
          <w:sz w:val="20"/>
          <w:szCs w:val="20"/>
          <w:color w:val="auto"/>
        </w:rPr>
      </w:pPr>
    </w:p>
    <w:p>
      <w:pPr>
        <w:ind w:left="10" w:right="40"/>
        <w:spacing w:after="0" w:line="275" w:lineRule="auto"/>
        <w:rPr>
          <w:sz w:val="20"/>
          <w:szCs w:val="20"/>
          <w:color w:val="auto"/>
        </w:rPr>
      </w:pPr>
      <w:r>
        <w:rPr>
          <w:rFonts w:ascii="Arial" w:cs="Arial" w:eastAsia="Arial" w:hAnsi="Arial"/>
          <w:sz w:val="15"/>
          <w:szCs w:val="15"/>
          <w:color w:val="auto"/>
        </w:rPr>
        <w:t>The volatility rate is derived from actual Company common stock volatility over the same time period as the expected term. The volatility rate is derived by mathematical formula utilizing daily closing price data.</w:t>
      </w:r>
    </w:p>
    <w:p>
      <w:pPr>
        <w:spacing w:after="0" w:line="192" w:lineRule="exact"/>
        <w:rPr>
          <w:sz w:val="20"/>
          <w:szCs w:val="20"/>
          <w:color w:val="auto"/>
        </w:rPr>
      </w:pPr>
    </w:p>
    <w:p>
      <w:pPr>
        <w:ind w:left="10" w:right="500"/>
        <w:spacing w:after="0" w:line="275" w:lineRule="auto"/>
        <w:rPr>
          <w:sz w:val="20"/>
          <w:szCs w:val="20"/>
          <w:color w:val="auto"/>
        </w:rPr>
      </w:pPr>
      <w:r>
        <w:rPr>
          <w:rFonts w:ascii="Arial" w:cs="Arial" w:eastAsia="Arial" w:hAnsi="Arial"/>
          <w:sz w:val="15"/>
          <w:szCs w:val="15"/>
          <w:color w:val="auto"/>
        </w:rPr>
        <w:t>The expected dividend yield is derived by mathematical formula which uses the expected Company annual dividends over the expected term divided by the fair market value of the Company's common stock at the grant date.</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average risk-free interest rate is derived from United States Department of Treasury published interest rates of daily yield curves for the same time period as the expected term.</w:t>
      </w:r>
    </w:p>
    <w:p>
      <w:pPr>
        <w:spacing w:after="0" w:line="245" w:lineRule="exact"/>
        <w:rPr>
          <w:sz w:val="20"/>
          <w:szCs w:val="20"/>
          <w:color w:val="auto"/>
        </w:rPr>
      </w:pPr>
    </w:p>
    <w:p>
      <w:pPr>
        <w:ind w:left="10" w:right="240"/>
        <w:spacing w:after="0" w:line="312" w:lineRule="auto"/>
        <w:rPr>
          <w:sz w:val="20"/>
          <w:szCs w:val="20"/>
          <w:color w:val="auto"/>
        </w:rPr>
      </w:pPr>
      <w:r>
        <w:rPr>
          <w:rFonts w:ascii="Arial" w:cs="Arial" w:eastAsia="Arial" w:hAnsi="Arial"/>
          <w:sz w:val="14"/>
          <w:szCs w:val="14"/>
          <w:color w:val="auto"/>
        </w:rPr>
        <w:t>Prior to adoption of SFAS No. 123(R), the Company estimated forfeitures at a standard 5% and recognized them as they occurred for pro forma disclosure of share-based compensation expense. With adoption of SFAS No. 123(R), the company will estimate the forfeiture rate based on detailed statistical analysis of prior forfeitures.</w:t>
      </w:r>
    </w:p>
    <w:p>
      <w:pPr>
        <w:spacing w:after="0" w:line="168"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table provides a reconciliation of option activity for the six month period ended June 30, 2006:</w:t>
      </w:r>
    </w:p>
    <w:p>
      <w:pPr>
        <w:spacing w:after="0" w:line="230" w:lineRule="exact"/>
        <w:rPr>
          <w:sz w:val="20"/>
          <w:szCs w:val="20"/>
          <w:color w:val="auto"/>
        </w:rPr>
      </w:pPr>
    </w:p>
    <w:tbl>
      <w:tblPr>
        <w:tblLayout w:type="fixed"/>
        <w:tblInd w:w="115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89"/>
              </w:rPr>
              <w:t>Weighted-Average</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7"/>
              </w:rPr>
              <w:t>Average Exercise</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60" w:type="dxa"/>
            <w:vAlign w:val="bottom"/>
          </w:tcPr>
          <w:p>
            <w:pPr>
              <w:spacing w:after="0"/>
              <w:rPr>
                <w:sz w:val="15"/>
                <w:szCs w:val="15"/>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b w:val="1"/>
                <w:bCs w:val="1"/>
                <w:color w:val="auto"/>
                <w:w w:val="96"/>
              </w:rPr>
              <w:t>Aggregate Intrinsic</w:t>
            </w:r>
          </w:p>
        </w:tc>
      </w:tr>
      <w:tr>
        <w:trPr>
          <w:trHeight w:val="195"/>
        </w:trPr>
        <w:tc>
          <w:tcPr>
            <w:tcW w:w="20" w:type="dxa"/>
            <w:vAlign w:val="bottom"/>
          </w:tcPr>
          <w:p>
            <w:pPr>
              <w:spacing w:after="0"/>
              <w:rPr>
                <w:sz w:val="16"/>
                <w:szCs w:val="16"/>
                <w:color w:val="auto"/>
              </w:rPr>
            </w:pPr>
          </w:p>
        </w:tc>
        <w:tc>
          <w:tcPr>
            <w:tcW w:w="334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rPr>
              <w:t>Options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 (000)</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Contractual Term</w:t>
            </w:r>
          </w:p>
        </w:tc>
        <w:tc>
          <w:tcPr>
            <w:tcW w:w="260" w:type="dxa"/>
            <w:vAlign w:val="bottom"/>
          </w:tcPr>
          <w:p>
            <w:pPr>
              <w:spacing w:after="0"/>
              <w:rPr>
                <w:sz w:val="16"/>
                <w:szCs w:val="16"/>
                <w:color w:val="auto"/>
              </w:rPr>
            </w:pPr>
          </w:p>
        </w:tc>
        <w:tc>
          <w:tcPr>
            <w:tcW w:w="1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Value ($000)</w:t>
            </w:r>
          </w:p>
        </w:tc>
      </w:tr>
      <w:tr>
        <w:trPr>
          <w:trHeight w:val="195"/>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January 1, 2006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$ 9.56</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Forfeited or expired</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June 30, 2006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$ 9.60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4"/>
                <w:szCs w:val="14"/>
                <w:color w:val="auto"/>
              </w:rPr>
              <w:t xml:space="preserve">$ 3,667 </w:t>
            </w:r>
            <w:r>
              <w:rPr>
                <w:rFonts w:ascii="Arial" w:cs="Arial" w:eastAsia="Arial" w:hAnsi="Arial"/>
                <w:sz w:val="23"/>
                <w:szCs w:val="23"/>
                <w:color w:val="auto"/>
                <w:vertAlign w:val="superscript"/>
              </w:rPr>
              <w:t>(1)</w:t>
            </w:r>
          </w:p>
        </w:tc>
      </w:tr>
      <w:tr>
        <w:trPr>
          <w:trHeight w:val="188"/>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Exercisable at June 30, 2006</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1,334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$ 9.60</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700" w:type="dxa"/>
            <w:vAlign w:val="bottom"/>
            <w:gridSpan w:val="2"/>
          </w:tcPr>
          <w:p>
            <w:pPr>
              <w:jc w:val="right"/>
              <w:spacing w:after="0" w:line="189" w:lineRule="exact"/>
              <w:rPr>
                <w:sz w:val="20"/>
                <w:szCs w:val="20"/>
                <w:color w:val="auto"/>
              </w:rPr>
            </w:pPr>
            <w:r>
              <w:rPr>
                <w:rFonts w:ascii="Arial" w:cs="Arial" w:eastAsia="Arial" w:hAnsi="Arial"/>
                <w:sz w:val="13"/>
                <w:szCs w:val="13"/>
                <w:color w:val="auto"/>
              </w:rPr>
              <w:t xml:space="preserve">$ 3,667 </w:t>
            </w:r>
            <w:r>
              <w:rPr>
                <w:rFonts w:ascii="Arial" w:cs="Arial" w:eastAsia="Arial" w:hAnsi="Arial"/>
                <w:sz w:val="21"/>
                <w:szCs w:val="21"/>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90" w:hanging="190"/>
        <w:spacing w:after="0"/>
        <w:tabs>
          <w:tab w:leader="none" w:pos="19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Intrinsic value is the amount by which the market price of the stock exceeds the exercise price of the option.</w:t>
      </w:r>
    </w:p>
    <w:p>
      <w:pPr>
        <w:spacing w:after="0" w:line="216" w:lineRule="exact"/>
        <w:rPr>
          <w:sz w:val="20"/>
          <w:szCs w:val="20"/>
          <w:color w:val="auto"/>
        </w:rPr>
      </w:pPr>
    </w:p>
    <w:p>
      <w:pPr>
        <w:ind w:left="10"/>
        <w:spacing w:after="0" w:line="259" w:lineRule="auto"/>
        <w:rPr>
          <w:sz w:val="20"/>
          <w:szCs w:val="20"/>
          <w:color w:val="auto"/>
        </w:rPr>
      </w:pPr>
      <w:r>
        <w:rPr>
          <w:rFonts w:ascii="Arial" w:cs="Arial" w:eastAsia="Arial" w:hAnsi="Arial"/>
          <w:sz w:val="15"/>
          <w:szCs w:val="15"/>
          <w:color w:val="auto"/>
        </w:rPr>
        <w:t>At December 31, 2005, all options were fully vested and there will be no compensation expense incurred from these options. Cash proceeds from the exercise of options in three and six month periods ended June 30, 2006 totaled approximately $593 and $696, respectively. In the three and six month periods ended June 30, 2005, the Company received $1,133 and $2,123, respectively, in cash proceeds from the exercise of stock options. For both three and six month periods ended June 30, 2006 and 2005, proceeds from stock options were presented inclusive of tax benefits in the Financing Activities section of the Consolidated Statements of Cash Flows.</w:t>
      </w:r>
    </w:p>
    <w:p>
      <w:pPr>
        <w:spacing w:after="0" w:line="204" w:lineRule="exact"/>
        <w:rPr>
          <w:sz w:val="20"/>
          <w:szCs w:val="20"/>
          <w:color w:val="auto"/>
        </w:rPr>
      </w:pPr>
    </w:p>
    <w:p>
      <w:pPr>
        <w:ind w:left="10" w:right="180"/>
        <w:spacing w:after="0" w:line="275" w:lineRule="auto"/>
        <w:rPr>
          <w:sz w:val="20"/>
          <w:szCs w:val="20"/>
          <w:color w:val="auto"/>
        </w:rPr>
      </w:pPr>
      <w:r>
        <w:rPr>
          <w:rFonts w:ascii="Arial" w:cs="Arial" w:eastAsia="Arial" w:hAnsi="Arial"/>
          <w:sz w:val="15"/>
          <w:szCs w:val="15"/>
          <w:color w:val="auto"/>
        </w:rPr>
        <w:t>No stock options were granted during the three and six month periods ended June 30, 2006 and 2005. The total intrinsic value of the options exercised during the six month period ended June 30, 2006 and 2005 were $290 and $1,527,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30"/>
          </w:cols>
          <w:pgMar w:left="230" w:top="125"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Awards</w:t>
      </w:r>
    </w:p>
    <w:p>
      <w:pPr>
        <w:spacing w:after="0" w:line="23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addition to stock option awards, the Company has restricted stock awards, the first grant of which was in July 2005. The Company’s policy for issuing restricted shares is similar to that described under “Stock Option Awards”. The recognized compensation cost before tax for these restricted stock awards in the three and six month periods ended June 30, 2006 were approximately $103 and $206, respectively. There was not compensation expense for restricted stock in the six months ended June 30, 2005. The unrecognized compensation cost before tax for these awards at June 30, 2006 and 2005 total approximately $262 and $0, respectively, to be recognized over approximately two years. The forfeiture rate of the awards granted is currently estimated at 0%. Below is a summary of the status of the restricted shares as of June 30, 2006 and changes during the quarter:</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tcPr>
          <w:p>
            <w:pPr>
              <w:jc w:val="right"/>
              <w:ind w:right="805"/>
              <w:spacing w:after="0"/>
              <w:rPr>
                <w:sz w:val="20"/>
                <w:szCs w:val="20"/>
                <w:color w:val="auto"/>
              </w:rPr>
            </w:pPr>
            <w:r>
              <w:rPr>
                <w:rFonts w:ascii="Arial" w:cs="Arial" w:eastAsia="Arial" w:hAnsi="Arial"/>
                <w:sz w:val="15"/>
                <w:szCs w:val="15"/>
                <w:b w:val="1"/>
                <w:bCs w:val="1"/>
                <w:color w:val="auto"/>
              </w:rPr>
              <w:t>Weighted-</w:t>
            </w:r>
          </w:p>
        </w:tc>
      </w:tr>
      <w:tr>
        <w:trPr>
          <w:trHeight w:val="181"/>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tcPr>
          <w:p>
            <w:pPr>
              <w:jc w:val="right"/>
              <w:ind w:right="625"/>
              <w:spacing w:after="0"/>
              <w:rPr>
                <w:sz w:val="20"/>
                <w:szCs w:val="20"/>
                <w:color w:val="auto"/>
              </w:rPr>
            </w:pPr>
            <w:r>
              <w:rPr>
                <w:rFonts w:ascii="Arial" w:cs="Arial" w:eastAsia="Arial" w:hAnsi="Arial"/>
                <w:sz w:val="15"/>
                <w:szCs w:val="15"/>
                <w:b w:val="1"/>
                <w:bCs w:val="1"/>
                <w:color w:val="auto"/>
              </w:rPr>
              <w:t>Average Grant-</w:t>
            </w:r>
          </w:p>
        </w:tc>
      </w:tr>
      <w:tr>
        <w:trPr>
          <w:trHeight w:val="195"/>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20" w:type="dxa"/>
            <w:vAlign w:val="bottom"/>
          </w:tcPr>
          <w:p>
            <w:pPr>
              <w:ind w:left="1780"/>
              <w:spacing w:after="0"/>
              <w:rPr>
                <w:sz w:val="20"/>
                <w:szCs w:val="20"/>
                <w:color w:val="auto"/>
              </w:rPr>
            </w:pPr>
            <w:r>
              <w:rPr>
                <w:rFonts w:ascii="Arial" w:cs="Arial" w:eastAsia="Arial" w:hAnsi="Arial"/>
                <w:sz w:val="15"/>
                <w:szCs w:val="15"/>
                <w:b w:val="1"/>
                <w:bCs w:val="1"/>
                <w:color w:val="auto"/>
              </w:rPr>
              <w:t>Non-vested Shares</w:t>
            </w:r>
          </w:p>
        </w:tc>
        <w:tc>
          <w:tcPr>
            <w:tcW w:w="128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Shares (000)</w:t>
            </w:r>
          </w:p>
        </w:tc>
        <w:tc>
          <w:tcPr>
            <w:tcW w:w="360" w:type="dxa"/>
            <w:vAlign w:val="bottom"/>
          </w:tcPr>
          <w:p>
            <w:pPr>
              <w:spacing w:after="0"/>
              <w:rPr>
                <w:sz w:val="16"/>
                <w:szCs w:val="16"/>
                <w:color w:val="auto"/>
              </w:rPr>
            </w:pPr>
          </w:p>
        </w:tc>
        <w:tc>
          <w:tcPr>
            <w:tcW w:w="240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Date Fair Value</w:t>
            </w:r>
          </w:p>
        </w:tc>
      </w:tr>
      <w:tr>
        <w:trPr>
          <w:trHeight w:val="194"/>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Non-vested at January 1, 2006</w:t>
            </w:r>
          </w:p>
        </w:tc>
        <w:tc>
          <w:tcPr>
            <w:tcW w:w="128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rPr>
              <w:t>53</w:t>
            </w:r>
          </w:p>
        </w:tc>
        <w:tc>
          <w:tcPr>
            <w:tcW w:w="2760" w:type="dxa"/>
            <w:vAlign w:val="bottom"/>
            <w:gridSpan w:val="2"/>
            <w:shd w:val="clear" w:color="auto" w:fill="CCEEFF"/>
          </w:tcPr>
          <w:p>
            <w:pPr>
              <w:jc w:val="right"/>
              <w:ind w:right="905"/>
              <w:spacing w:after="0"/>
              <w:rPr>
                <w:sz w:val="20"/>
                <w:szCs w:val="20"/>
                <w:color w:val="auto"/>
              </w:rPr>
            </w:pPr>
            <w:r>
              <w:rPr>
                <w:rFonts w:ascii="Arial" w:cs="Arial" w:eastAsia="Arial" w:hAnsi="Arial"/>
                <w:sz w:val="15"/>
                <w:szCs w:val="15"/>
                <w:color w:val="auto"/>
              </w:rPr>
              <w:t>$ 12.70</w:t>
            </w:r>
          </w:p>
        </w:tc>
      </w:tr>
      <w:tr>
        <w:trPr>
          <w:trHeight w:val="202"/>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Granted</w:t>
            </w:r>
          </w:p>
        </w:tc>
        <w:tc>
          <w:tcPr>
            <w:tcW w:w="128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2760" w:type="dxa"/>
            <w:vAlign w:val="bottom"/>
            <w:gridSpan w:val="2"/>
          </w:tcPr>
          <w:p>
            <w:pPr>
              <w:jc w:val="right"/>
              <w:ind w:right="905"/>
              <w:spacing w:after="0"/>
              <w:rPr>
                <w:sz w:val="20"/>
                <w:szCs w:val="20"/>
                <w:color w:val="auto"/>
              </w:rPr>
            </w:pPr>
            <w:r>
              <w:rPr>
                <w:rFonts w:ascii="Arial" w:cs="Arial" w:eastAsia="Arial" w:hAnsi="Arial"/>
                <w:sz w:val="15"/>
                <w:szCs w:val="15"/>
                <w:color w:val="auto"/>
              </w:rPr>
              <w:t>--</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28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2760" w:type="dxa"/>
            <w:vAlign w:val="bottom"/>
            <w:gridSpan w:val="2"/>
            <w:shd w:val="clear" w:color="auto" w:fill="CCEEFF"/>
          </w:tcPr>
          <w:p>
            <w:pPr>
              <w:jc w:val="right"/>
              <w:ind w:right="905"/>
              <w:spacing w:after="0"/>
              <w:rPr>
                <w:sz w:val="20"/>
                <w:szCs w:val="20"/>
                <w:color w:val="auto"/>
              </w:rPr>
            </w:pPr>
            <w:r>
              <w:rPr>
                <w:rFonts w:ascii="Arial" w:cs="Arial" w:eastAsia="Arial" w:hAnsi="Arial"/>
                <w:sz w:val="15"/>
                <w:szCs w:val="15"/>
                <w:color w:val="auto"/>
              </w:rPr>
              <w:t>--</w:t>
            </w:r>
          </w:p>
        </w:tc>
      </w:tr>
      <w:tr>
        <w:trPr>
          <w:trHeight w:val="191"/>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Forfeited</w:t>
            </w: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240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rPr>
              <w:t>--</w:t>
            </w:r>
          </w:p>
        </w:tc>
      </w:tr>
      <w:tr>
        <w:trPr>
          <w:trHeight w:val="212"/>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Non-vested at June 30, 2006</w:t>
            </w:r>
          </w:p>
        </w:tc>
        <w:tc>
          <w:tcPr>
            <w:tcW w:w="128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rPr>
              <w:t>53</w:t>
            </w:r>
          </w:p>
        </w:tc>
        <w:tc>
          <w:tcPr>
            <w:tcW w:w="36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rPr>
              <w:t>$ 12.70</w:t>
            </w:r>
          </w:p>
        </w:tc>
      </w:tr>
      <w:tr>
        <w:trPr>
          <w:trHeight w:val="413"/>
        </w:trPr>
        <w:tc>
          <w:tcPr>
            <w:tcW w:w="700" w:type="dxa"/>
            <w:vAlign w:val="bottom"/>
          </w:tcPr>
          <w:p>
            <w:pPr>
              <w:spacing w:after="0"/>
              <w:rPr>
                <w:sz w:val="20"/>
                <w:szCs w:val="20"/>
                <w:color w:val="auto"/>
              </w:rPr>
            </w:pPr>
            <w:r>
              <w:rPr>
                <w:rFonts w:ascii="Arial" w:cs="Arial" w:eastAsia="Arial" w:hAnsi="Arial"/>
                <w:sz w:val="15"/>
                <w:szCs w:val="15"/>
                <w:b w:val="1"/>
                <w:bCs w:val="1"/>
                <w:color w:val="auto"/>
              </w:rPr>
              <w:t>Note 11.</w:t>
            </w:r>
          </w:p>
        </w:tc>
        <w:tc>
          <w:tcPr>
            <w:tcW w:w="5560" w:type="dxa"/>
            <w:vAlign w:val="bottom"/>
            <w:gridSpan w:val="2"/>
          </w:tcPr>
          <w:p>
            <w:pPr>
              <w:ind w:left="200"/>
              <w:spacing w:after="0"/>
              <w:rPr>
                <w:sz w:val="20"/>
                <w:szCs w:val="20"/>
                <w:color w:val="auto"/>
              </w:rPr>
            </w:pPr>
            <w:r>
              <w:rPr>
                <w:rFonts w:ascii="Arial" w:cs="Arial" w:eastAsia="Arial" w:hAnsi="Arial"/>
                <w:sz w:val="15"/>
                <w:szCs w:val="15"/>
                <w:b w:val="1"/>
                <w:bCs w:val="1"/>
                <w:color w:val="auto"/>
              </w:rPr>
              <w:t>Common Stock Repurchase</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28"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During the first quarter of 2006, the Company’s Board of Directors authorized a stock repurchase program under which the Company is authorized to repurchase up to $10 million in common stock of the Company, during the subsequent 18 months in the open market or in private transactions, in accordance with applicable laws and regulations. This amount represented approximately 5% of the Company’s outstanding stock at the date of authorization. During the second quarter of 2006, the Company repurchased 36,347 shares at approximately $12.00 a share for a total of $437. For the six months ended June 30, 2006, the Company has repurchased 56,821 for a total of $683. These shares will be retired and were recorded as an offset to additional paid in capital.</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3"/>
          <w:szCs w:val="13"/>
          <w:b w:val="1"/>
          <w:bCs w:val="1"/>
          <w:color w:val="auto"/>
        </w:rPr>
        <w:t>Restructuring Charges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Eltmann, Germany Restructuring</w:t>
      </w:r>
    </w:p>
    <w:p>
      <w:pPr>
        <w:spacing w:after="0" w:line="238"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During the fourth quarter of 2004, we announced a reduction in staffing at our Eltmann, Germany ball production facility, a component of our NN Europe Segment. This restructuring has affected 76 employees and is expected to affect another 8 and be completed during 2006.</w:t>
      </w:r>
    </w:p>
    <w:p>
      <w:pPr>
        <w:spacing w:after="0" w:line="192"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The following summarizes the restructuring charges related to the restructuring at the Company’s Eltmann, Germany facility for the twelve months ended December 31, 2005 and the six months ended June 30, 2006: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Twelve months ended December 31, 2005</w:t>
      </w:r>
    </w:p>
    <w:p>
      <w:pPr>
        <w:spacing w:after="0" w:line="244" w:lineRule="exact"/>
        <w:rPr>
          <w:sz w:val="20"/>
          <w:szCs w:val="20"/>
          <w:color w:val="auto"/>
        </w:rPr>
      </w:pPr>
    </w:p>
    <w:p>
      <w:pPr>
        <w:jc w:val="center"/>
        <w:ind w:left="200"/>
        <w:spacing w:after="0"/>
        <w:rPr>
          <w:sz w:val="20"/>
          <w:szCs w:val="20"/>
          <w:color w:val="auto"/>
        </w:rPr>
      </w:pPr>
      <w:r>
        <w:rPr>
          <w:rFonts w:ascii="Arial" w:cs="Arial" w:eastAsia="Arial" w:hAnsi="Arial"/>
          <w:sz w:val="12"/>
          <w:szCs w:val="12"/>
          <w:color w:val="auto"/>
        </w:rPr>
        <w:t>(In Thousands of Dollars)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Severance and other employee costs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Six months ended June 30, 2006</w:t>
      </w:r>
    </w:p>
    <w:p>
      <w:pPr>
        <w:spacing w:after="0" w:line="244" w:lineRule="exact"/>
        <w:rPr>
          <w:sz w:val="20"/>
          <w:szCs w:val="20"/>
          <w:color w:val="auto"/>
        </w:rPr>
      </w:pPr>
    </w:p>
    <w:p>
      <w:pPr>
        <w:jc w:val="center"/>
        <w:ind w:left="200"/>
        <w:spacing w:after="0"/>
        <w:rPr>
          <w:sz w:val="20"/>
          <w:szCs w:val="20"/>
          <w:color w:val="auto"/>
        </w:rPr>
      </w:pPr>
      <w:r>
        <w:rPr>
          <w:rFonts w:ascii="Arial" w:cs="Arial" w:eastAsia="Arial" w:hAnsi="Arial"/>
          <w:sz w:val="12"/>
          <w:szCs w:val="12"/>
          <w:color w:val="auto"/>
        </w:rPr>
        <w:t>(In Thousands of Dollars)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Severance and other employee costs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340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400"/>
        <w:spacing w:after="0"/>
        <w:rPr>
          <w:sz w:val="20"/>
          <w:szCs w:val="20"/>
          <w:color w:val="auto"/>
        </w:rPr>
      </w:pPr>
      <w:r>
        <w:rPr>
          <w:rFonts w:ascii="Arial" w:cs="Arial" w:eastAsia="Arial" w:hAnsi="Arial"/>
          <w:sz w:val="15"/>
          <w:szCs w:val="15"/>
          <w:b w:val="1"/>
          <w:bCs w:val="1"/>
          <w:color w:val="auto"/>
        </w:rPr>
        <w:t>(In Thousands, Except Per Share Data)</w:t>
      </w:r>
    </w:p>
    <w:p>
      <w:pPr>
        <w:spacing w:after="0" w:line="8" w:lineRule="exact"/>
        <w:rPr>
          <w:sz w:val="20"/>
          <w:szCs w:val="20"/>
          <w:color w:val="auto"/>
        </w:rPr>
      </w:pPr>
    </w:p>
    <w:p>
      <w:pPr>
        <w:jc w:val="center"/>
        <w:ind w:right="340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5"/>
                <w:szCs w:val="15"/>
                <w:b w:val="1"/>
                <w:bCs w:val="1"/>
                <w:color w:val="auto"/>
                <w:w w:val="90"/>
              </w:rPr>
              <w:t>Reserve Balance at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1"/>
              </w:rPr>
              <w:t>Adjustment to</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4"/>
              </w:rPr>
              <w:t>Currency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b w:val="1"/>
                <w:bCs w:val="1"/>
                <w:color w:val="auto"/>
                <w:w w:val="91"/>
              </w:rPr>
              <w:t>Reserve Balance at</w:t>
            </w:r>
          </w:p>
        </w:tc>
      </w:tr>
      <w:tr>
        <w:trPr>
          <w:trHeight w:val="195"/>
        </w:trPr>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01/01/05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5"/>
                <w:szCs w:val="15"/>
                <w:b w:val="1"/>
                <w:bCs w:val="1"/>
                <w:color w:val="auto"/>
                <w:w w:val="89"/>
              </w:rPr>
              <w:t>Reserve</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92"/>
              </w:rPr>
              <w:t>Paid in 2005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88"/>
              </w:rPr>
              <w:t>Impacts</w:t>
            </w:r>
          </w:p>
        </w:tc>
        <w:tc>
          <w:tcPr>
            <w:tcW w:w="260" w:type="dxa"/>
            <w:vAlign w:val="bottom"/>
            <w:gridSpan w:val="2"/>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12/31/05</w:t>
            </w:r>
          </w:p>
        </w:tc>
      </w:tr>
      <w:tr>
        <w:trPr>
          <w:trHeight w:val="386"/>
        </w:trPr>
        <w:tc>
          <w:tcPr>
            <w:tcW w:w="1300" w:type="dxa"/>
            <w:vAlign w:val="bottom"/>
            <w:gridSpan w:val="2"/>
          </w:tcPr>
          <w:p>
            <w:pPr>
              <w:jc w:val="center"/>
              <w:spacing w:after="0"/>
              <w:rPr>
                <w:sz w:val="20"/>
                <w:szCs w:val="20"/>
                <w:color w:val="auto"/>
              </w:rPr>
            </w:pPr>
            <w:r>
              <w:rPr>
                <w:rFonts w:ascii="Arial" w:cs="Arial" w:eastAsia="Arial" w:hAnsi="Arial"/>
                <w:sz w:val="15"/>
                <w:szCs w:val="15"/>
                <w:color w:val="auto"/>
                <w:w w:val="91"/>
              </w:rPr>
              <w:t>$ 2,290</w:t>
            </w:r>
          </w:p>
        </w:tc>
        <w:tc>
          <w:tcPr>
            <w:tcW w:w="1320" w:type="dxa"/>
            <w:vAlign w:val="bottom"/>
            <w:gridSpan w:val="4"/>
          </w:tcPr>
          <w:p>
            <w:pPr>
              <w:jc w:val="center"/>
              <w:ind w:left="205"/>
              <w:spacing w:after="0"/>
              <w:rPr>
                <w:sz w:val="20"/>
                <w:szCs w:val="20"/>
                <w:color w:val="auto"/>
              </w:rPr>
            </w:pPr>
            <w:r>
              <w:rPr>
                <w:rFonts w:ascii="Arial" w:cs="Arial" w:eastAsia="Arial" w:hAnsi="Arial"/>
                <w:sz w:val="15"/>
                <w:szCs w:val="15"/>
                <w:color w:val="auto"/>
                <w:w w:val="92"/>
              </w:rPr>
              <w:t>$ (342)</w:t>
            </w:r>
          </w:p>
        </w:tc>
        <w:tc>
          <w:tcPr>
            <w:tcW w:w="40" w:type="dxa"/>
            <w:vAlign w:val="bottom"/>
          </w:tcPr>
          <w:p>
            <w:pPr>
              <w:spacing w:after="0"/>
              <w:rPr>
                <w:sz w:val="24"/>
                <w:szCs w:val="24"/>
                <w:color w:val="auto"/>
              </w:rPr>
            </w:pPr>
          </w:p>
        </w:tc>
        <w:tc>
          <w:tcPr>
            <w:tcW w:w="1140" w:type="dxa"/>
            <w:vAlign w:val="bottom"/>
            <w:gridSpan w:val="3"/>
          </w:tcPr>
          <w:p>
            <w:pPr>
              <w:jc w:val="center"/>
              <w:ind w:left="185"/>
              <w:spacing w:after="0"/>
              <w:rPr>
                <w:sz w:val="20"/>
                <w:szCs w:val="20"/>
                <w:color w:val="auto"/>
              </w:rPr>
            </w:pPr>
            <w:r>
              <w:rPr>
                <w:rFonts w:ascii="Arial" w:cs="Arial" w:eastAsia="Arial" w:hAnsi="Arial"/>
                <w:sz w:val="15"/>
                <w:szCs w:val="15"/>
                <w:color w:val="auto"/>
                <w:w w:val="92"/>
              </w:rPr>
              <w:t>$ (884)</w:t>
            </w:r>
          </w:p>
        </w:tc>
        <w:tc>
          <w:tcPr>
            <w:tcW w:w="20" w:type="dxa"/>
            <w:vAlign w:val="bottom"/>
          </w:tcPr>
          <w:p>
            <w:pPr>
              <w:spacing w:after="0"/>
              <w:rPr>
                <w:sz w:val="24"/>
                <w:szCs w:val="24"/>
                <w:color w:val="auto"/>
              </w:rPr>
            </w:pPr>
          </w:p>
        </w:tc>
        <w:tc>
          <w:tcPr>
            <w:tcW w:w="1400" w:type="dxa"/>
            <w:vAlign w:val="bottom"/>
            <w:gridSpan w:val="3"/>
          </w:tcPr>
          <w:p>
            <w:pPr>
              <w:jc w:val="center"/>
              <w:ind w:left="185"/>
              <w:spacing w:after="0"/>
              <w:rPr>
                <w:sz w:val="20"/>
                <w:szCs w:val="20"/>
                <w:color w:val="auto"/>
              </w:rPr>
            </w:pPr>
            <w:r>
              <w:rPr>
                <w:rFonts w:ascii="Arial" w:cs="Arial" w:eastAsia="Arial" w:hAnsi="Arial"/>
                <w:sz w:val="15"/>
                <w:szCs w:val="15"/>
                <w:color w:val="auto"/>
                <w:w w:val="88"/>
              </w:rPr>
              <w:t>$ (219)</w:t>
            </w:r>
          </w:p>
        </w:tc>
        <w:tc>
          <w:tcPr>
            <w:tcW w:w="20" w:type="dxa"/>
            <w:vAlign w:val="bottom"/>
          </w:tcPr>
          <w:p>
            <w:pPr>
              <w:spacing w:after="0"/>
              <w:rPr>
                <w:sz w:val="24"/>
                <w:szCs w:val="24"/>
                <w:color w:val="auto"/>
              </w:rPr>
            </w:pPr>
          </w:p>
        </w:tc>
        <w:tc>
          <w:tcPr>
            <w:tcW w:w="1580" w:type="dxa"/>
            <w:vAlign w:val="bottom"/>
            <w:gridSpan w:val="3"/>
          </w:tcPr>
          <w:p>
            <w:pPr>
              <w:jc w:val="center"/>
              <w:ind w:left="165"/>
              <w:spacing w:after="0"/>
              <w:rPr>
                <w:sz w:val="20"/>
                <w:szCs w:val="20"/>
                <w:color w:val="auto"/>
              </w:rPr>
            </w:pPr>
            <w:r>
              <w:rPr>
                <w:rFonts w:ascii="Arial" w:cs="Arial" w:eastAsia="Arial" w:hAnsi="Arial"/>
                <w:sz w:val="15"/>
                <w:szCs w:val="15"/>
                <w:color w:val="auto"/>
                <w:w w:val="90"/>
              </w:rPr>
              <w:t>$ 845</w:t>
            </w:r>
          </w:p>
        </w:tc>
      </w:tr>
      <w:tr>
        <w:trPr>
          <w:trHeight w:val="172"/>
        </w:trPr>
        <w:tc>
          <w:tcPr>
            <w:tcW w:w="13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$ 2,290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color w:val="auto"/>
                <w:w w:val="92"/>
              </w:rPr>
              <w:t>$ (342)</w:t>
            </w: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2"/>
              </w:rPr>
              <w:t>$ (884)</w:t>
            </w: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8"/>
              </w:rPr>
              <w:t>$ (219)</w:t>
            </w: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0"/>
              </w:rPr>
              <w:t>$ 845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6"/>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b w:val="1"/>
                <w:bCs w:val="1"/>
                <w:color w:val="auto"/>
                <w:w w:val="90"/>
              </w:rPr>
              <w:t>Reserve Balance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Arial" w:cs="Arial" w:eastAsia="Arial" w:hAnsi="Arial"/>
                <w:sz w:val="15"/>
                <w:szCs w:val="15"/>
                <w:b w:val="1"/>
                <w:bCs w:val="1"/>
                <w:color w:val="auto"/>
                <w:w w:val="91"/>
              </w:rPr>
              <w:t>Reserve Balance at</w:t>
            </w:r>
          </w:p>
        </w:tc>
      </w:tr>
      <w:tr>
        <w:trPr>
          <w:trHeight w:val="195"/>
        </w:trPr>
        <w:tc>
          <w:tcPr>
            <w:tcW w:w="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88"/>
              </w:rPr>
              <w:t>01/01/06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9"/>
              </w:rPr>
              <w:t>Charges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89"/>
              </w:rPr>
              <w:t>Paid in 2006</w:t>
            </w:r>
          </w:p>
        </w:tc>
        <w:tc>
          <w:tcPr>
            <w:tcW w:w="20" w:type="dxa"/>
            <w:vAlign w:val="bottom"/>
          </w:tcPr>
          <w:p>
            <w:pPr>
              <w:spacing w:after="0"/>
              <w:rPr>
                <w:sz w:val="16"/>
                <w:szCs w:val="16"/>
                <w:color w:val="auto"/>
              </w:rPr>
            </w:pPr>
          </w:p>
        </w:tc>
        <w:tc>
          <w:tcPr>
            <w:tcW w:w="1420" w:type="dxa"/>
            <w:vAlign w:val="bottom"/>
            <w:gridSpan w:val="4"/>
          </w:tcPr>
          <w:p>
            <w:pPr>
              <w:jc w:val="center"/>
              <w:ind w:left="125"/>
              <w:spacing w:after="0"/>
              <w:rPr>
                <w:sz w:val="20"/>
                <w:szCs w:val="20"/>
                <w:color w:val="auto"/>
              </w:rPr>
            </w:pPr>
            <w:r>
              <w:rPr>
                <w:rFonts w:ascii="Arial" w:cs="Arial" w:eastAsia="Arial" w:hAnsi="Arial"/>
                <w:sz w:val="15"/>
                <w:szCs w:val="15"/>
                <w:b w:val="1"/>
                <w:bCs w:val="1"/>
                <w:color w:val="auto"/>
                <w:w w:val="93"/>
              </w:rPr>
              <w:t>Currency Impacts</w:t>
            </w:r>
          </w:p>
        </w:tc>
        <w:tc>
          <w:tcPr>
            <w:tcW w:w="1580" w:type="dxa"/>
            <w:vAlign w:val="bottom"/>
            <w:gridSpan w:val="3"/>
          </w:tcPr>
          <w:p>
            <w:pPr>
              <w:jc w:val="center"/>
              <w:ind w:left="165"/>
              <w:spacing w:after="0"/>
              <w:rPr>
                <w:sz w:val="20"/>
                <w:szCs w:val="20"/>
                <w:color w:val="auto"/>
              </w:rPr>
            </w:pPr>
            <w:r>
              <w:rPr>
                <w:rFonts w:ascii="Arial" w:cs="Arial" w:eastAsia="Arial" w:hAnsi="Arial"/>
                <w:sz w:val="15"/>
                <w:szCs w:val="15"/>
                <w:b w:val="1"/>
                <w:bCs w:val="1"/>
                <w:color w:val="auto"/>
                <w:w w:val="92"/>
              </w:rPr>
              <w:t>06/30/06</w:t>
            </w:r>
          </w:p>
        </w:tc>
      </w:tr>
      <w:tr>
        <w:trPr>
          <w:trHeight w:val="398"/>
        </w:trPr>
        <w:tc>
          <w:tcPr>
            <w:tcW w:w="20" w:type="dxa"/>
            <w:vAlign w:val="bottom"/>
          </w:tcPr>
          <w:p>
            <w:pPr>
              <w:spacing w:after="0"/>
              <w:rPr>
                <w:sz w:val="24"/>
                <w:szCs w:val="24"/>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5"/>
              </w:rPr>
              <w:t>$ 845</w:t>
            </w: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gridSpan w:val="2"/>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7"/>
              </w:rPr>
              <w:t>$ --</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color w:val="auto"/>
                <w:w w:val="92"/>
              </w:rPr>
              <w:t>$ (531)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color w:val="auto"/>
                <w:w w:val="88"/>
              </w:rPr>
              <w:t>$ 48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color w:val="auto"/>
                <w:w w:val="90"/>
              </w:rPr>
              <w:t>$ 362</w:t>
            </w:r>
          </w:p>
        </w:tc>
      </w:tr>
      <w:tr>
        <w:trPr>
          <w:trHeight w:val="172"/>
        </w:trPr>
        <w:tc>
          <w:tcPr>
            <w:tcW w:w="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$ 845</w:t>
            </w:r>
          </w:p>
        </w:tc>
        <w:tc>
          <w:tcPr>
            <w:tcW w:w="20" w:type="dxa"/>
            <w:vAlign w:val="bottom"/>
            <w:tcBorders>
              <w:bottom w:val="single" w:sz="8" w:color="auto"/>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2"/>
              </w:rPr>
              <w:t>$ (531)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88"/>
              </w:rPr>
              <w:t>$ 48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0"/>
              </w:rPr>
              <w:t>$ 362</w:t>
            </w: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20" w:space="160"/>
            <w:col w:w="7860"/>
          </w:cols>
          <w:pgMar w:left="240" w:top="125" w:right="319" w:bottom="1440" w:gutter="0" w:footer="0" w:header="0"/>
        </w:sectPr>
      </w:pPr>
    </w:p>
    <w:p>
      <w:pPr>
        <w:spacing w:after="0" w:line="1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No additional charges are expected to be incurred related to the 2004 restructuring program. We expect to pay all amounts by 2007, as some employees have elected to defer their severance payments. There were no additional restructuring charges during the three and six month periods ended June 30, 2006 and 2005.</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3"/>
          <w:szCs w:val="13"/>
          <w:b w:val="1"/>
          <w:bCs w:val="1"/>
          <w:color w:val="auto"/>
        </w:rPr>
        <w:t>Property, Plant and Equipment</w:t>
      </w:r>
    </w:p>
    <w:p>
      <w:pPr>
        <w:spacing w:after="0" w:line="24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During the first quarter of 2006 and 2005, we completed a sale of excess land and two buildings at NN Europe’s Pinerolo, Italy plant. The net book value of this land and buildings was $1,013 and was classified as held for sale at December 31, 2005. The proceeds from the sale were $2,804, resulting in a pre-tax gain of $1,791. In addition, the Pinerolo plant disposed of excess machinery in the first quarter of 2006 with a net book value of $1,087, resulting in a pre-tax loss of $1,062.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16" w:name="page17"/>
    <w:bookmarkEnd w:id="16"/>
    <w:p>
      <w:pPr>
        <w:ind w:left="280"/>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Our risk factors are disclosed in our Annual Report on Form 10-K for the fiscal year ended December 31, 2005 under Item 1.A. “Risk Factors”. There have been no material changes to these risk factors since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June 30, 2006 Compared to the Three Months Ended June 30, 2005</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CONSOLIDATED</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14"/>
        </w:trPr>
        <w:tc>
          <w:tcPr>
            <w:tcW w:w="5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(In Thousands of Dollars)</w:t>
            </w:r>
          </w:p>
        </w:tc>
        <w:tc>
          <w:tcPr>
            <w:tcW w:w="1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Total</w:t>
            </w:r>
          </w:p>
        </w:tc>
        <w:tc>
          <w:tcPr>
            <w:tcW w:w="1240" w:type="dxa"/>
            <w:vAlign w:val="bottom"/>
            <w:tcBorders>
              <w:top w:val="single" w:sz="8" w:color="auto"/>
              <w:bottom w:val="single" w:sz="8" w:color="auto"/>
              <w:right w:val="single" w:sz="8" w:color="auto"/>
            </w:tcBorders>
          </w:tcPr>
          <w:p>
            <w:pPr>
              <w:spacing w:after="0"/>
              <w:rPr>
                <w:sz w:val="18"/>
                <w:szCs w:val="18"/>
                <w:color w:val="auto"/>
              </w:rPr>
            </w:pPr>
          </w:p>
        </w:tc>
      </w:tr>
      <w:tr>
        <w:trPr>
          <w:trHeight w:val="206"/>
        </w:trPr>
        <w:tc>
          <w:tcPr>
            <w:tcW w:w="546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rPr>
              <w:t>2006</w:t>
            </w:r>
          </w:p>
        </w:tc>
        <w:tc>
          <w:tcPr>
            <w:tcW w:w="124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rPr>
              <w:t>2005</w:t>
            </w:r>
          </w:p>
        </w:tc>
        <w:tc>
          <w:tcPr>
            <w:tcW w:w="1240" w:type="dxa"/>
            <w:vAlign w:val="bottom"/>
            <w:tcBorders>
              <w:bottom w:val="single" w:sz="8" w:color="auto"/>
              <w:right w:val="single" w:sz="8" w:color="auto"/>
            </w:tcBorders>
          </w:tcPr>
          <w:p>
            <w:pPr>
              <w:jc w:val="right"/>
              <w:ind w:right="345"/>
              <w:spacing w:after="0"/>
              <w:rPr>
                <w:sz w:val="20"/>
                <w:szCs w:val="20"/>
                <w:color w:val="auto"/>
              </w:rPr>
            </w:pPr>
            <w:r>
              <w:rPr>
                <w:rFonts w:ascii="Arial" w:cs="Arial" w:eastAsia="Arial" w:hAnsi="Arial"/>
                <w:sz w:val="15"/>
                <w:szCs w:val="15"/>
                <w:color w:val="auto"/>
              </w:rPr>
              <w:t>Change</w:t>
            </w:r>
          </w:p>
        </w:tc>
      </w:tr>
      <w:tr>
        <w:trPr>
          <w:trHeight w:val="183"/>
        </w:trPr>
        <w:tc>
          <w:tcPr>
            <w:tcW w:w="54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$ 83,554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$ 83,787</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(233)</w:t>
            </w:r>
          </w:p>
        </w:tc>
      </w:tr>
      <w:tr>
        <w:trPr>
          <w:trHeight w:val="166"/>
        </w:trPr>
        <w:tc>
          <w:tcPr>
            <w:tcW w:w="546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5"/>
                <w:szCs w:val="15"/>
                <w:color w:val="auto"/>
              </w:rPr>
              <w:t>Cost of products sold (exclusive of depreciation</w:t>
            </w:r>
          </w:p>
        </w:tc>
        <w:tc>
          <w:tcPr>
            <w:tcW w:w="12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98"/>
        </w:trPr>
        <w:tc>
          <w:tcPr>
            <w:tcW w:w="5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and amortization shown separately below)</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64,905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66,005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(1,100)</w:t>
            </w:r>
          </w:p>
        </w:tc>
      </w:tr>
      <w:tr>
        <w:trPr>
          <w:trHeight w:val="183"/>
        </w:trPr>
        <w:tc>
          <w:tcPr>
            <w:tcW w:w="54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7,063</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7,297</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w:t>
            </w:r>
          </w:p>
        </w:tc>
      </w:tr>
      <w:tr>
        <w:trPr>
          <w:trHeight w:val="183"/>
        </w:trPr>
        <w:tc>
          <w:tcPr>
            <w:tcW w:w="5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Depreciation and amortization</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4,425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4,130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295</w:t>
            </w:r>
          </w:p>
        </w:tc>
      </w:tr>
      <w:tr>
        <w:trPr>
          <w:trHeight w:val="183"/>
        </w:trPr>
        <w:tc>
          <w:tcPr>
            <w:tcW w:w="54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(Gain) loss on disposal of assets</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3"/>
        </w:trPr>
        <w:tc>
          <w:tcPr>
            <w:tcW w:w="5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Interest expense,net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1,021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1,025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54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w:t>
            </w:r>
          </w:p>
        </w:tc>
      </w:tr>
      <w:tr>
        <w:trPr>
          <w:trHeight w:val="183"/>
        </w:trPr>
        <w:tc>
          <w:tcPr>
            <w:tcW w:w="5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5,687</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5,496</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191</w:t>
            </w:r>
          </w:p>
        </w:tc>
      </w:tr>
      <w:tr>
        <w:trPr>
          <w:trHeight w:val="179"/>
        </w:trPr>
        <w:tc>
          <w:tcPr>
            <w:tcW w:w="54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5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$ 3,453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$ 3,312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$ 141</w:t>
            </w:r>
          </w:p>
        </w:tc>
      </w:tr>
      <w:tr>
        <w:trPr>
          <w:trHeight w:val="20"/>
        </w:trPr>
        <w:tc>
          <w:tcPr>
            <w:tcW w:w="5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-1299845</wp:posOffset>
            </wp:positionV>
            <wp:extent cx="5799455" cy="243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9455" cy="24384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-927100</wp:posOffset>
            </wp:positionV>
            <wp:extent cx="579945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-668655</wp:posOffset>
            </wp:positionV>
            <wp:extent cx="579945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-410845</wp:posOffset>
            </wp:positionV>
            <wp:extent cx="579945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-152400</wp:posOffset>
            </wp:positionV>
            <wp:extent cx="5799455" cy="14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Overall revenues decreased as sales in the Plastics and Rubber Components Segment (“Plastics and Rubber”) ($0.9 million) and Europe Segments (“NN Europe”) ($0.4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were lower and Domestic Ball and Roller Segment (“Domestic Ball and Roller”) sales were up ($1.1 million). The Plastics and Rubber sales to its automotive customers were lower than same quarter last year. The NN Europe reduction was due to lower sales to Schaeffler Group (INA) ($1.6 million) partially offset by increases from passing through raw material cost increases ($1.0 million) and foreign exchange impacts ($0.2 million). Domestic Ball and Roller sales were up due to increases from passing through raw material cost increases and net share gains at existing customers.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decreased in Plastics and Rubber ($2.1 million) and NN Europe ($1.0 million). Cost of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sold was up at Domestic Ball and Roller ($2.0 million). The Plastics and Rubber decrease was due to lower sales volume to certain larger automotive customers and cost management and cost reduction initiatives. NN Europe was down due to lower sales volume. Domestic Ball and Roller was up due to increased sales volumes, inflation, and inefficiencies from some sections of the segment.</w:t>
      </w:r>
    </w:p>
    <w:p>
      <w:pPr>
        <w:spacing w:after="0" w:line="204" w:lineRule="exact"/>
        <w:rPr>
          <w:sz w:val="20"/>
          <w:szCs w:val="20"/>
          <w:color w:val="auto"/>
        </w:rPr>
      </w:pPr>
    </w:p>
    <w:p>
      <w:pPr>
        <w:ind w:right="420"/>
        <w:spacing w:after="0" w:line="275"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The decrease in selling, general and administrative expenses was due primarily to overall cost control initiatives. These reductions were</w:t>
      </w:r>
      <w:r>
        <w:rPr>
          <w:rFonts w:ascii="Arial" w:cs="Arial" w:eastAsia="Arial" w:hAnsi="Arial"/>
          <w:sz w:val="15"/>
          <w:szCs w:val="15"/>
          <w:i w:val="1"/>
          <w:iCs w:val="1"/>
          <w:color w:val="auto"/>
        </w:rPr>
        <w:t xml:space="preserve"> </w:t>
      </w:r>
      <w:r>
        <w:rPr>
          <w:rFonts w:ascii="Arial" w:cs="Arial" w:eastAsia="Arial" w:hAnsi="Arial"/>
          <w:sz w:val="15"/>
          <w:szCs w:val="15"/>
          <w:color w:val="auto"/>
        </w:rPr>
        <w:t>mainly in professional service fees, travel and salaries.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Results by Segment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NN EUROPE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3"/>
                <w:szCs w:val="13"/>
                <w:i w:val="1"/>
                <w:iCs w:val="1"/>
                <w:color w:val="auto"/>
              </w:rPr>
              <w:t>In Thousands of Dollars)</w:t>
            </w:r>
          </w:p>
        </w:tc>
        <w:tc>
          <w:tcPr>
            <w:tcW w:w="360" w:type="dxa"/>
            <w:vAlign w:val="bottom"/>
            <w:tcBorders>
              <w:top w:val="single" w:sz="8" w:color="auto"/>
              <w:bottom w:val="single" w:sz="8" w:color="auto"/>
              <w:right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NN Europe</w:t>
            </w:r>
          </w:p>
        </w:tc>
        <w:tc>
          <w:tcPr>
            <w:tcW w:w="1400" w:type="dxa"/>
            <w:vAlign w:val="bottom"/>
            <w:tcBorders>
              <w:top w:val="single" w:sz="8" w:color="auto"/>
              <w:bottom w:val="single" w:sz="8" w:color="auto"/>
              <w:right w:val="single" w:sz="8" w:color="auto"/>
            </w:tcBorders>
          </w:tcPr>
          <w:p>
            <w:pPr>
              <w:spacing w:after="0"/>
              <w:rPr>
                <w:sz w:val="20"/>
                <w:szCs w:val="20"/>
                <w:color w:val="auto"/>
              </w:rPr>
            </w:pPr>
          </w:p>
        </w:tc>
      </w:tr>
      <w:tr>
        <w:trPr>
          <w:trHeight w:val="206"/>
        </w:trPr>
        <w:tc>
          <w:tcPr>
            <w:tcW w:w="408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5"/>
                <w:szCs w:val="15"/>
                <w:color w:val="auto"/>
                <w:w w:val="89"/>
              </w:rPr>
              <w:t>2006</w:t>
            </w:r>
          </w:p>
        </w:tc>
        <w:tc>
          <w:tcPr>
            <w:tcW w:w="174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5"/>
                <w:szCs w:val="15"/>
                <w:color w:val="auto"/>
                <w:w w:val="89"/>
              </w:rPr>
              <w:t>2005</w:t>
            </w:r>
          </w:p>
        </w:tc>
        <w:tc>
          <w:tcPr>
            <w:tcW w:w="14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Change</w:t>
            </w:r>
          </w:p>
        </w:tc>
      </w:tr>
      <w:tr>
        <w:trPr>
          <w:trHeight w:val="206"/>
        </w:trPr>
        <w:tc>
          <w:tcPr>
            <w:tcW w:w="408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r>
        <w:trPr>
          <w:trHeight w:val="206"/>
        </w:trPr>
        <w:tc>
          <w:tcPr>
            <w:tcW w:w="4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1580" w:type="dxa"/>
            <w:vAlign w:val="bottom"/>
            <w:tcBorders>
              <w:bottom w:val="single" w:sz="8" w:color="auto"/>
              <w:right w:val="single" w:sz="8" w:color="auto"/>
            </w:tcBorders>
            <w:shd w:val="clear" w:color="auto" w:fill="CCEEFF"/>
          </w:tcPr>
          <w:p>
            <w:pPr>
              <w:jc w:val="center"/>
              <w:ind w:right="5"/>
              <w:spacing w:after="0"/>
              <w:rPr>
                <w:sz w:val="20"/>
                <w:szCs w:val="20"/>
                <w:color w:val="auto"/>
              </w:rPr>
            </w:pPr>
            <w:r>
              <w:rPr>
                <w:rFonts w:ascii="Arial" w:cs="Arial" w:eastAsia="Arial" w:hAnsi="Arial"/>
                <w:sz w:val="15"/>
                <w:szCs w:val="15"/>
                <w:color w:val="auto"/>
                <w:w w:val="92"/>
              </w:rPr>
              <w:t>$ 52,396</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$ 52,773</w:t>
            </w:r>
          </w:p>
        </w:tc>
        <w:tc>
          <w:tcPr>
            <w:tcW w:w="1400" w:type="dxa"/>
            <w:vAlign w:val="bottom"/>
            <w:tcBorders>
              <w:bottom w:val="single" w:sz="8" w:color="auto"/>
              <w:right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rPr>
              <w:t>$ (377)</w:t>
            </w:r>
          </w:p>
        </w:tc>
      </w:tr>
      <w:tr>
        <w:trPr>
          <w:trHeight w:val="201"/>
        </w:trPr>
        <w:tc>
          <w:tcPr>
            <w:tcW w:w="408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r>
        <w:trPr>
          <w:trHeight w:val="243"/>
        </w:trPr>
        <w:tc>
          <w:tcPr>
            <w:tcW w:w="40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Pre-tax income</w:t>
            </w:r>
          </w:p>
        </w:tc>
        <w:tc>
          <w:tcPr>
            <w:tcW w:w="360" w:type="dxa"/>
            <w:vAlign w:val="bottom"/>
            <w:tcBorders>
              <w:bottom w:val="single" w:sz="8" w:color="auto"/>
              <w:right w:val="single" w:sz="8" w:color="auto"/>
            </w:tcBorders>
            <w:shd w:val="clear" w:color="auto" w:fill="CCEEFF"/>
          </w:tcPr>
          <w:p>
            <w:pPr>
              <w:spacing w:after="0"/>
              <w:rPr>
                <w:sz w:val="21"/>
                <w:szCs w:val="21"/>
                <w:color w:val="auto"/>
              </w:rPr>
            </w:pPr>
          </w:p>
        </w:tc>
        <w:tc>
          <w:tcPr>
            <w:tcW w:w="1580" w:type="dxa"/>
            <w:vAlign w:val="bottom"/>
            <w:tcBorders>
              <w:bottom w:val="single" w:sz="8" w:color="auto"/>
              <w:right w:val="single" w:sz="8" w:color="auto"/>
            </w:tcBorders>
            <w:shd w:val="clear" w:color="auto" w:fill="CCEEFF"/>
          </w:tcPr>
          <w:p>
            <w:pPr>
              <w:jc w:val="center"/>
              <w:ind w:right="5"/>
              <w:spacing w:after="0"/>
              <w:rPr>
                <w:sz w:val="20"/>
                <w:szCs w:val="20"/>
                <w:color w:val="auto"/>
              </w:rPr>
            </w:pPr>
            <w:r>
              <w:rPr>
                <w:rFonts w:ascii="Arial" w:cs="Arial" w:eastAsia="Arial" w:hAnsi="Arial"/>
                <w:sz w:val="15"/>
                <w:szCs w:val="15"/>
                <w:color w:val="auto"/>
                <w:w w:val="91"/>
              </w:rPr>
              <w:t>$ 5,128</w:t>
            </w:r>
          </w:p>
        </w:tc>
        <w:tc>
          <w:tcPr>
            <w:tcW w:w="1740" w:type="dxa"/>
            <w:vAlign w:val="bottom"/>
            <w:tcBorders>
              <w:bottom w:val="single" w:sz="8" w:color="auto"/>
              <w:right w:val="single" w:sz="8" w:color="auto"/>
            </w:tcBorders>
            <w:shd w:val="clear" w:color="auto" w:fill="CCEEFF"/>
          </w:tcPr>
          <w:p>
            <w:pPr>
              <w:jc w:val="center"/>
              <w:ind w:right="5"/>
              <w:spacing w:after="0"/>
              <w:rPr>
                <w:sz w:val="20"/>
                <w:szCs w:val="20"/>
                <w:color w:val="auto"/>
              </w:rPr>
            </w:pPr>
            <w:r>
              <w:rPr>
                <w:rFonts w:ascii="Arial" w:cs="Arial" w:eastAsia="Arial" w:hAnsi="Arial"/>
                <w:sz w:val="15"/>
                <w:szCs w:val="15"/>
                <w:color w:val="auto"/>
                <w:w w:val="91"/>
              </w:rPr>
              <w:t>$ 5,147</w:t>
            </w:r>
          </w:p>
        </w:tc>
        <w:tc>
          <w:tcPr>
            <w:tcW w:w="1400" w:type="dxa"/>
            <w:vAlign w:val="bottom"/>
            <w:tcBorders>
              <w:bottom w:val="single" w:sz="8" w:color="auto"/>
              <w:right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rPr>
              <w:t>$ (19)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The sales decrease at NN Europe was primarily due to lower sales volume to Schaeffler (INA) ($1.6 million) partially offset by price increases for contractual pass through of raw material cost increases to customers ($1.0 million) and positive impacts from the increase in value of the Euro against the U.S. Dollar ($0.2 million).</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The pre-tax income of NN Europe was impacted by price increases, sale volume reductions, inflation in wages and utilities, higher depreciation and amortization costs, interest cost, and foreign exchange impacts. The sales volume reduction ($0.5 million) and inflation in wages and utilities ($1.1 million) were more than offset by cost reductions in the areas of material usage, labor, and fixed overhead cost ($1.1 million) and price increases from passing through material inflation ($1.0 million). Depreciation and amortization costs were higher due to depreciation and amortization of the machinery and contract intangibles from the SNR machinery purchase ($0.3 million). Interest costs were lower as NN Europe paid off its Euro based loans during the first quarter of 2006 ($0.2 million). The negative impact of the foreign exchange was from the devaluation of the Slovakian Koruna against the Euro at our Slovakian operation ($0.4 million).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DOMESTIC BALL AND ROLLER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37"/>
        </w:trPr>
        <w:tc>
          <w:tcPr>
            <w:tcW w:w="4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i w:val="1"/>
                <w:iCs w:val="1"/>
                <w:color w:val="auto"/>
              </w:rPr>
              <w:t>(In Thousands of Dollars)</w:t>
            </w:r>
          </w:p>
        </w:tc>
        <w:tc>
          <w:tcPr>
            <w:tcW w:w="320" w:type="dxa"/>
            <w:vAlign w:val="bottom"/>
            <w:tcBorders>
              <w:top w:val="single" w:sz="8" w:color="auto"/>
              <w:bottom w:val="single" w:sz="8" w:color="auto"/>
              <w:right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96"/>
              </w:rPr>
              <w:t>Domestic Ball and Roller</w:t>
            </w:r>
          </w:p>
        </w:tc>
        <w:tc>
          <w:tcPr>
            <w:tcW w:w="1540" w:type="dxa"/>
            <w:vAlign w:val="bottom"/>
            <w:tcBorders>
              <w:top w:val="single" w:sz="8" w:color="auto"/>
              <w:bottom w:val="single" w:sz="8" w:color="auto"/>
              <w:right w:val="single" w:sz="8" w:color="auto"/>
            </w:tcBorders>
          </w:tcPr>
          <w:p>
            <w:pPr>
              <w:spacing w:after="0"/>
              <w:rPr>
                <w:sz w:val="20"/>
                <w:szCs w:val="20"/>
                <w:color w:val="auto"/>
              </w:rPr>
            </w:pPr>
          </w:p>
        </w:tc>
      </w:tr>
      <w:tr>
        <w:trPr>
          <w:trHeight w:val="20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2006</w:t>
            </w: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right"/>
              <w:ind w:right="665"/>
              <w:spacing w:after="0"/>
              <w:rPr>
                <w:sz w:val="20"/>
                <w:szCs w:val="20"/>
                <w:color w:val="auto"/>
              </w:rPr>
            </w:pPr>
            <w:r>
              <w:rPr>
                <w:rFonts w:ascii="Arial" w:cs="Arial" w:eastAsia="Arial" w:hAnsi="Arial"/>
                <w:sz w:val="15"/>
                <w:szCs w:val="15"/>
                <w:color w:val="auto"/>
              </w:rPr>
              <w:t>2005</w:t>
            </w:r>
          </w:p>
        </w:tc>
        <w:tc>
          <w:tcPr>
            <w:tcW w:w="1540" w:type="dxa"/>
            <w:vAlign w:val="bottom"/>
            <w:tcBorders>
              <w:bottom w:val="single" w:sz="8" w:color="auto"/>
              <w:right w:val="single" w:sz="8" w:color="auto"/>
            </w:tcBorders>
          </w:tcPr>
          <w:p>
            <w:pPr>
              <w:jc w:val="right"/>
              <w:ind w:right="485"/>
              <w:spacing w:after="0"/>
              <w:rPr>
                <w:sz w:val="20"/>
                <w:szCs w:val="20"/>
                <w:color w:val="auto"/>
              </w:rPr>
            </w:pPr>
            <w:r>
              <w:rPr>
                <w:rFonts w:ascii="Arial" w:cs="Arial" w:eastAsia="Arial" w:hAnsi="Arial"/>
                <w:sz w:val="15"/>
                <w:szCs w:val="15"/>
                <w:color w:val="auto"/>
              </w:rPr>
              <w:t>Change</w:t>
            </w:r>
          </w:p>
        </w:tc>
      </w:tr>
      <w:tr>
        <w:trPr>
          <w:trHeight w:val="20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06"/>
        </w:trPr>
        <w:tc>
          <w:tcPr>
            <w:tcW w:w="40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20" w:type="dxa"/>
            <w:vAlign w:val="bottom"/>
            <w:tcBorders>
              <w:bottom w:val="single" w:sz="8" w:color="auto"/>
              <w:right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$ 17,569</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$ 16,508</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$ 1,061</w:t>
            </w:r>
          </w:p>
        </w:tc>
      </w:tr>
      <w:tr>
        <w:trPr>
          <w:trHeight w:val="201"/>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43"/>
        </w:trPr>
        <w:tc>
          <w:tcPr>
            <w:tcW w:w="404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Pre-tax income (loss)</w:t>
            </w:r>
          </w:p>
        </w:tc>
        <w:tc>
          <w:tcPr>
            <w:tcW w:w="320" w:type="dxa"/>
            <w:vAlign w:val="bottom"/>
            <w:tcBorders>
              <w:bottom w:val="single" w:sz="8" w:color="auto"/>
              <w:right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(657)</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$ 374</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The revenues at Domestic Ball and Roller were up due to price increases from contractual pass through to customers of raw material cost increases ($0.6 million). Sales to Schaeffler (INA) were down but were more than offset by share gains at existing customers ($0.4 million).</w:t>
      </w:r>
    </w:p>
    <w:p>
      <w:pPr>
        <w:spacing w:after="0" w:line="192" w:lineRule="exact"/>
        <w:rPr>
          <w:sz w:val="20"/>
          <w:szCs w:val="20"/>
          <w:color w:val="auto"/>
        </w:rPr>
      </w:pPr>
    </w:p>
    <w:p>
      <w:pPr>
        <w:ind w:right="260"/>
        <w:spacing w:after="0" w:line="280" w:lineRule="auto"/>
        <w:rPr>
          <w:sz w:val="20"/>
          <w:szCs w:val="20"/>
          <w:color w:val="auto"/>
        </w:rPr>
      </w:pPr>
      <w:r>
        <w:rPr>
          <w:rFonts w:ascii="Arial" w:cs="Arial" w:eastAsia="Arial" w:hAnsi="Arial"/>
          <w:sz w:val="14"/>
          <w:szCs w:val="14"/>
          <w:color w:val="auto"/>
        </w:rPr>
        <w:t>The decrease in pre-tax income was due to inflation of certain cost and operational inefficiencies and higher interest expense partially offset by sales price increases of our products and SG&amp;A reductions. Cost of products sold was higher due to inflation in raw materials, labor, energy, and supplies which were only partially offset by cost reductions ($0.8 million) and operational inefficiencies at a U.S. operation due to lower production volumes from planned reductions in inventory and at the China operation due to start up cost of operations ($0.9 million). Sales price increases for pass through of raw material cost increases partially offset this decrease ($0.6 million). The higher interest expense was due to higher interest rates on variable rate debt ($0.2 million). The reduction in SG&amp;A was due to lower professional service fees ($0.3 million).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20"/>
          </w:cols>
          <w:pgMar w:left="240" w:top="351"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auto"/>
        </w:rPr>
        <w:t>PLASTICS AND RUBBER COMPONENTS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37"/>
        </w:trPr>
        <w:tc>
          <w:tcPr>
            <w:tcW w:w="3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(In Thousands of Dollars)</w:t>
            </w:r>
          </w:p>
        </w:tc>
        <w:tc>
          <w:tcPr>
            <w:tcW w:w="380" w:type="dxa"/>
            <w:vAlign w:val="bottom"/>
            <w:tcBorders>
              <w:top w:val="single" w:sz="8" w:color="auto"/>
              <w:bottom w:val="single" w:sz="8" w:color="auto"/>
              <w:righ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60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color w:val="auto"/>
              </w:rPr>
              <w:t>Plastics And Rubber Components</w:t>
            </w:r>
          </w:p>
        </w:tc>
        <w:tc>
          <w:tcPr>
            <w:tcW w:w="1500" w:type="dxa"/>
            <w:vAlign w:val="bottom"/>
            <w:tcBorders>
              <w:top w:val="single" w:sz="8" w:color="auto"/>
              <w:bottom w:val="single" w:sz="8" w:color="auto"/>
              <w:right w:val="single" w:sz="8" w:color="auto"/>
            </w:tcBorders>
          </w:tcPr>
          <w:p>
            <w:pPr>
              <w:spacing w:after="0"/>
              <w:rPr>
                <w:sz w:val="20"/>
                <w:szCs w:val="20"/>
                <w:color w:val="auto"/>
              </w:rPr>
            </w:pPr>
          </w:p>
        </w:tc>
      </w:tr>
      <w:tr>
        <w:trPr>
          <w:trHeight w:val="206"/>
        </w:trPr>
        <w:tc>
          <w:tcPr>
            <w:tcW w:w="322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2006</w:t>
            </w:r>
          </w:p>
        </w:tc>
        <w:tc>
          <w:tcPr>
            <w:tcW w:w="6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right"/>
              <w:ind w:right="925"/>
              <w:spacing w:after="0"/>
              <w:rPr>
                <w:sz w:val="20"/>
                <w:szCs w:val="20"/>
                <w:color w:val="auto"/>
              </w:rPr>
            </w:pPr>
            <w:r>
              <w:rPr>
                <w:rFonts w:ascii="Arial" w:cs="Arial" w:eastAsia="Arial" w:hAnsi="Arial"/>
                <w:sz w:val="15"/>
                <w:szCs w:val="15"/>
                <w:color w:val="auto"/>
              </w:rPr>
              <w:t>2005</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right"/>
              <w:ind w:right="645"/>
              <w:spacing w:after="0"/>
              <w:rPr>
                <w:sz w:val="20"/>
                <w:szCs w:val="20"/>
                <w:color w:val="auto"/>
              </w:rPr>
            </w:pPr>
            <w:r>
              <w:rPr>
                <w:rFonts w:ascii="Arial" w:cs="Arial" w:eastAsia="Arial" w:hAnsi="Arial"/>
                <w:sz w:val="15"/>
                <w:szCs w:val="15"/>
                <w:color w:val="auto"/>
              </w:rPr>
              <w:t>Change</w:t>
            </w:r>
          </w:p>
        </w:tc>
      </w:tr>
      <w:tr>
        <w:trPr>
          <w:trHeight w:val="206"/>
        </w:trPr>
        <w:tc>
          <w:tcPr>
            <w:tcW w:w="322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r>
      <w:tr>
        <w:trPr>
          <w:trHeight w:val="206"/>
        </w:trPr>
        <w:tc>
          <w:tcPr>
            <w:tcW w:w="32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$ 13,589</w:t>
            </w:r>
          </w:p>
        </w:tc>
        <w:tc>
          <w:tcPr>
            <w:tcW w:w="2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$ 14,506</w:t>
            </w:r>
          </w:p>
        </w:tc>
        <w:tc>
          <w:tcPr>
            <w:tcW w:w="3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(917)</w:t>
            </w:r>
          </w:p>
        </w:tc>
      </w:tr>
      <w:tr>
        <w:trPr>
          <w:trHeight w:val="201"/>
        </w:trPr>
        <w:tc>
          <w:tcPr>
            <w:tcW w:w="3220" w:type="dxa"/>
            <w:vAlign w:val="bottom"/>
            <w:tcBorders>
              <w:left w:val="single" w:sz="8" w:color="auto"/>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r>
      <w:tr>
        <w:trPr>
          <w:trHeight w:val="243"/>
        </w:trPr>
        <w:tc>
          <w:tcPr>
            <w:tcW w:w="322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Pre-tax income (loss)</w:t>
            </w:r>
          </w:p>
        </w:tc>
        <w:tc>
          <w:tcPr>
            <w:tcW w:w="38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$ 1,216</w:t>
            </w:r>
          </w:p>
        </w:tc>
        <w:tc>
          <w:tcPr>
            <w:tcW w:w="2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(25)</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5"/>
          <w:szCs w:val="15"/>
          <w:color w:val="auto"/>
        </w:rPr>
        <w:t>Revenues in Plastics and Rubber were down primarily due to lower sales volume of rubber seals into the automotive market ($1.4 million). This decrease was partially offset by price increases of the Plastics portion of the Segment ($0.5 million).</w:t>
      </w:r>
    </w:p>
    <w:p>
      <w:pPr>
        <w:spacing w:after="0" w:line="192" w:lineRule="exact"/>
        <w:rPr>
          <w:sz w:val="20"/>
          <w:szCs w:val="20"/>
          <w:color w:val="auto"/>
        </w:rPr>
      </w:pPr>
    </w:p>
    <w:p>
      <w:pPr>
        <w:ind w:right="340"/>
        <w:spacing w:after="0" w:line="312" w:lineRule="auto"/>
        <w:rPr>
          <w:sz w:val="20"/>
          <w:szCs w:val="20"/>
          <w:color w:val="auto"/>
        </w:rPr>
      </w:pPr>
      <w:r>
        <w:rPr>
          <w:rFonts w:ascii="Arial" w:cs="Arial" w:eastAsia="Arial" w:hAnsi="Arial"/>
          <w:sz w:val="14"/>
          <w:szCs w:val="14"/>
          <w:color w:val="auto"/>
        </w:rPr>
        <w:t>The increase in pre-tax income was due primarily to cost reduction efforts. The cost reductions were due to material usage, labor, and fixed overhead cost reductions ($1.1 million). The impact on pre-tax net income of the sales volume reductions ($0.4 million) have been more than offset by the impact of the price increases ($0.5 million).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Six Months Ended June 30, 2006 Compared to the Six Months Ended June 30, 2005</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CONSOLIDATED</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14"/>
        </w:trPr>
        <w:tc>
          <w:tcPr>
            <w:tcW w:w="4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(In Thousands of Dollars)</w:t>
            </w:r>
          </w:p>
        </w:tc>
        <w:tc>
          <w:tcPr>
            <w:tcW w:w="1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Total</w:t>
            </w:r>
          </w:p>
        </w:tc>
        <w:tc>
          <w:tcPr>
            <w:tcW w:w="1400" w:type="dxa"/>
            <w:vAlign w:val="bottom"/>
            <w:tcBorders>
              <w:top w:val="single" w:sz="8" w:color="auto"/>
              <w:bottom w:val="single" w:sz="8" w:color="auto"/>
              <w:right w:val="single" w:sz="8" w:color="auto"/>
            </w:tcBorders>
          </w:tcPr>
          <w:p>
            <w:pPr>
              <w:spacing w:after="0"/>
              <w:rPr>
                <w:sz w:val="18"/>
                <w:szCs w:val="18"/>
                <w:color w:val="auto"/>
              </w:rPr>
            </w:pPr>
          </w:p>
        </w:tc>
      </w:tr>
      <w:tr>
        <w:trPr>
          <w:trHeight w:val="206"/>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485"/>
              <w:spacing w:after="0"/>
              <w:rPr>
                <w:sz w:val="20"/>
                <w:szCs w:val="20"/>
                <w:color w:val="auto"/>
              </w:rPr>
            </w:pPr>
            <w:r>
              <w:rPr>
                <w:rFonts w:ascii="Arial" w:cs="Arial" w:eastAsia="Arial" w:hAnsi="Arial"/>
                <w:sz w:val="15"/>
                <w:szCs w:val="15"/>
                <w:color w:val="auto"/>
              </w:rPr>
              <w:t>2006</w:t>
            </w:r>
          </w:p>
        </w:tc>
        <w:tc>
          <w:tcPr>
            <w:tcW w:w="1400" w:type="dxa"/>
            <w:vAlign w:val="bottom"/>
            <w:tcBorders>
              <w:bottom w:val="single" w:sz="8" w:color="auto"/>
              <w:right w:val="single" w:sz="8" w:color="auto"/>
            </w:tcBorders>
          </w:tcPr>
          <w:p>
            <w:pPr>
              <w:jc w:val="right"/>
              <w:ind w:right="485"/>
              <w:spacing w:after="0"/>
              <w:rPr>
                <w:sz w:val="20"/>
                <w:szCs w:val="20"/>
                <w:color w:val="auto"/>
              </w:rPr>
            </w:pPr>
            <w:r>
              <w:rPr>
                <w:rFonts w:ascii="Arial" w:cs="Arial" w:eastAsia="Arial" w:hAnsi="Arial"/>
                <w:sz w:val="15"/>
                <w:szCs w:val="15"/>
                <w:color w:val="auto"/>
              </w:rPr>
              <w:t>2005</w:t>
            </w:r>
          </w:p>
        </w:tc>
        <w:tc>
          <w:tcPr>
            <w:tcW w:w="1400" w:type="dxa"/>
            <w:vAlign w:val="bottom"/>
            <w:tcBorders>
              <w:bottom w:val="single" w:sz="8" w:color="auto"/>
              <w:right w:val="single" w:sz="8" w:color="auto"/>
            </w:tcBorders>
          </w:tcPr>
          <w:p>
            <w:pPr>
              <w:jc w:val="right"/>
              <w:ind w:right="405"/>
              <w:spacing w:after="0"/>
              <w:rPr>
                <w:sz w:val="20"/>
                <w:szCs w:val="20"/>
                <w:color w:val="auto"/>
              </w:rPr>
            </w:pPr>
            <w:r>
              <w:rPr>
                <w:rFonts w:ascii="Arial" w:cs="Arial" w:eastAsia="Arial" w:hAnsi="Arial"/>
                <w:sz w:val="15"/>
                <w:szCs w:val="15"/>
                <w:color w:val="auto"/>
              </w:rPr>
              <w:t>Change</w:t>
            </w:r>
          </w:p>
        </w:tc>
      </w:tr>
      <w:tr>
        <w:trPr>
          <w:trHeight w:val="183"/>
        </w:trPr>
        <w:tc>
          <w:tcPr>
            <w:tcW w:w="49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$ 169,571</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$ 170,502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(931)</w:t>
            </w:r>
          </w:p>
        </w:tc>
      </w:tr>
      <w:tr>
        <w:trPr>
          <w:trHeight w:val="166"/>
        </w:trPr>
        <w:tc>
          <w:tcPr>
            <w:tcW w:w="496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5"/>
                <w:szCs w:val="15"/>
                <w:color w:val="auto"/>
              </w:rPr>
              <w:t>Cost of products sold (exclusive of depreciation</w:t>
            </w: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198"/>
        </w:trPr>
        <w:tc>
          <w:tcPr>
            <w:tcW w:w="4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and amortization shown separately below)</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130,904</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133,670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(2,766)</w:t>
            </w:r>
          </w:p>
        </w:tc>
      </w:tr>
      <w:tr>
        <w:trPr>
          <w:trHeight w:val="183"/>
        </w:trPr>
        <w:tc>
          <w:tcPr>
            <w:tcW w:w="49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14,744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14,782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83"/>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Depreciation and amortization</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8,587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8,303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284</w:t>
            </w:r>
          </w:p>
        </w:tc>
      </w:tr>
      <w:tr>
        <w:trPr>
          <w:trHeight w:val="183"/>
        </w:trPr>
        <w:tc>
          <w:tcPr>
            <w:tcW w:w="49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(Gain) loss on disposal of assets</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(732)</w:t>
            </w:r>
          </w:p>
        </w:tc>
      </w:tr>
      <w:tr>
        <w:trPr>
          <w:trHeight w:val="183"/>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Interest expense, net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2,007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2,008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83"/>
        </w:trPr>
        <w:tc>
          <w:tcPr>
            <w:tcW w:w="49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580</w:t>
            </w:r>
          </w:p>
        </w:tc>
      </w:tr>
      <w:tr>
        <w:trPr>
          <w:trHeight w:val="183"/>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13,815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12,073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1,742</w:t>
            </w:r>
          </w:p>
        </w:tc>
      </w:tr>
      <w:tr>
        <w:trPr>
          <w:trHeight w:val="179"/>
        </w:trPr>
        <w:tc>
          <w:tcPr>
            <w:tcW w:w="49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5,100</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4,736</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r>
      <w:tr>
        <w:trPr>
          <w:trHeight w:val="181"/>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$ 8,715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$ 7,337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$ 1,378</w:t>
            </w:r>
          </w:p>
        </w:tc>
      </w:tr>
      <w:tr>
        <w:trPr>
          <w:trHeight w:val="20"/>
        </w:trPr>
        <w:tc>
          <w:tcPr>
            <w:tcW w:w="4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-1299845</wp:posOffset>
            </wp:positionV>
            <wp:extent cx="5799455" cy="243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9455" cy="24384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-927100</wp:posOffset>
            </wp:positionV>
            <wp:extent cx="579945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-668655</wp:posOffset>
            </wp:positionV>
            <wp:extent cx="579945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-410845</wp:posOffset>
            </wp:positionV>
            <wp:extent cx="579945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9455" cy="12890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-152400</wp:posOffset>
            </wp:positionV>
            <wp:extent cx="5799455" cy="14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Overall sales decreased due to the effects of foreign exchange of ($4.9 million) and lower sales volume ($0.9 million) partially offset by higher selling prices from the pass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of raw material price increases of $4.9 million. The foreign exchange effects were due to Euro denominated sales having less value relative to the U.S. dollar in 2006 versus 2005. The lower sales volume was in NN Europe and Plastics and Rubber offset by Domestic Ball and Roller. The price increases were in all three segments.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decreased primarily as Euro denominated cost were lower relative to the U.S. dollar ($3.9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in addition to lower sales volume ($0.7 million), and impacts of cost reductions ($2.3 million). These decreases were partially offset by increased cost of products sold due to inflation in raw material, energy, labor, and other manufacturing costs ($4.2 million).</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The increases in the first quarter due to stock compensation expense have been offset by reductions in the second quarter in professional fees,</w:t>
      </w:r>
      <w:r>
        <w:rPr>
          <w:rFonts w:ascii="Arial" w:cs="Arial" w:eastAsia="Arial" w:hAnsi="Arial"/>
          <w:sz w:val="15"/>
          <w:szCs w:val="15"/>
          <w:i w:val="1"/>
          <w:iCs w:val="1"/>
          <w:color w:val="auto"/>
        </w:rPr>
        <w:t xml:space="preserve"> </w:t>
      </w:r>
      <w:r>
        <w:rPr>
          <w:rFonts w:ascii="Arial" w:cs="Arial" w:eastAsia="Arial" w:hAnsi="Arial"/>
          <w:sz w:val="15"/>
          <w:szCs w:val="15"/>
          <w:color w:val="auto"/>
        </w:rPr>
        <w:t>travel, and salaries.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i w:val="1"/>
          <w:iCs w:val="1"/>
          <w:color w:val="auto"/>
        </w:rPr>
        <w:t xml:space="preserve">(Gain) Loss of Disposal of Assets. </w:t>
      </w:r>
      <w:r>
        <w:rPr>
          <w:rFonts w:ascii="Arial" w:cs="Arial" w:eastAsia="Arial" w:hAnsi="Arial"/>
          <w:sz w:val="15"/>
          <w:szCs w:val="15"/>
          <w:color w:val="auto"/>
        </w:rPr>
        <w:t>In 2006, NN Europe had a gain related to the disposal of excess land and building of $1.8 million which was partially offset by a loss on disposal of excess</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of $1.1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RESULTS BY SEGMENT</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NN EUROPE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(In Thousands of Dollars)</w:t>
            </w:r>
          </w:p>
        </w:tc>
        <w:tc>
          <w:tcPr>
            <w:tcW w:w="340" w:type="dxa"/>
            <w:vAlign w:val="bottom"/>
            <w:tcBorders>
              <w:top w:val="single" w:sz="8" w:color="auto"/>
              <w:bottom w:val="single" w:sz="8" w:color="auto"/>
              <w:right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rPr>
              <w:t>NN Europe</w:t>
            </w:r>
          </w:p>
        </w:tc>
        <w:tc>
          <w:tcPr>
            <w:tcW w:w="1640" w:type="dxa"/>
            <w:vAlign w:val="bottom"/>
            <w:tcBorders>
              <w:top w:val="single" w:sz="8" w:color="auto"/>
              <w:bottom w:val="single" w:sz="8" w:color="auto"/>
              <w:right w:val="single" w:sz="8" w:color="auto"/>
            </w:tcBorders>
          </w:tcPr>
          <w:p>
            <w:pPr>
              <w:spacing w:after="0"/>
              <w:rPr>
                <w:sz w:val="20"/>
                <w:szCs w:val="20"/>
                <w:color w:val="auto"/>
              </w:rPr>
            </w:pPr>
          </w:p>
        </w:tc>
      </w:tr>
      <w:tr>
        <w:trPr>
          <w:trHeight w:val="206"/>
        </w:trPr>
        <w:tc>
          <w:tcPr>
            <w:tcW w:w="3880" w:type="dxa"/>
            <w:vAlign w:val="bottom"/>
            <w:tcBorders>
              <w:left w:val="single" w:sz="8" w:color="auto"/>
              <w:bottom w:val="single" w:sz="8" w:color="auto"/>
              <w:right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2006</w:t>
            </w:r>
          </w:p>
        </w:tc>
        <w:tc>
          <w:tcPr>
            <w:tcW w:w="6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jc w:val="right"/>
              <w:ind w:right="645"/>
              <w:spacing w:after="0"/>
              <w:rPr>
                <w:sz w:val="20"/>
                <w:szCs w:val="20"/>
                <w:color w:val="auto"/>
              </w:rPr>
            </w:pPr>
            <w:r>
              <w:rPr>
                <w:rFonts w:ascii="Arial" w:cs="Arial" w:eastAsia="Arial" w:hAnsi="Arial"/>
                <w:sz w:val="15"/>
                <w:szCs w:val="15"/>
                <w:color w:val="auto"/>
              </w:rPr>
              <w:t>2005</w:t>
            </w:r>
          </w:p>
        </w:tc>
        <w:tc>
          <w:tcPr>
            <w:tcW w:w="1640" w:type="dxa"/>
            <w:vAlign w:val="bottom"/>
            <w:tcBorders>
              <w:bottom w:val="single" w:sz="8" w:color="auto"/>
              <w:right w:val="single" w:sz="8" w:color="auto"/>
            </w:tcBorders>
          </w:tcPr>
          <w:p>
            <w:pPr>
              <w:jc w:val="right"/>
              <w:ind w:right="545"/>
              <w:spacing w:after="0"/>
              <w:rPr>
                <w:sz w:val="20"/>
                <w:szCs w:val="20"/>
                <w:color w:val="auto"/>
              </w:rPr>
            </w:pPr>
            <w:r>
              <w:rPr>
                <w:rFonts w:ascii="Arial" w:cs="Arial" w:eastAsia="Arial" w:hAnsi="Arial"/>
                <w:sz w:val="15"/>
                <w:szCs w:val="15"/>
                <w:color w:val="auto"/>
              </w:rPr>
              <w:t>Change</w:t>
            </w:r>
          </w:p>
        </w:tc>
      </w:tr>
      <w:tr>
        <w:trPr>
          <w:trHeight w:val="206"/>
        </w:trPr>
        <w:tc>
          <w:tcPr>
            <w:tcW w:w="3880" w:type="dxa"/>
            <w:vAlign w:val="bottom"/>
            <w:tcBorders>
              <w:left w:val="single" w:sz="8" w:color="auto"/>
              <w:bottom w:val="single" w:sz="8" w:color="auto"/>
              <w:right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r>
      <w:tr>
        <w:trPr>
          <w:trHeight w:val="206"/>
        </w:trPr>
        <w:tc>
          <w:tcPr>
            <w:tcW w:w="3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40" w:type="dxa"/>
            <w:vAlign w:val="bottom"/>
            <w:tcBorders>
              <w:bottom w:val="single" w:sz="8" w:color="auto"/>
              <w:right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$ 103,972</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$ 108,711</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(4,739)</w:t>
            </w:r>
          </w:p>
        </w:tc>
      </w:tr>
      <w:tr>
        <w:trPr>
          <w:trHeight w:val="201"/>
        </w:trPr>
        <w:tc>
          <w:tcPr>
            <w:tcW w:w="3880" w:type="dxa"/>
            <w:vAlign w:val="bottom"/>
            <w:tcBorders>
              <w:left w:val="single" w:sz="8" w:color="auto"/>
              <w:bottom w:val="single" w:sz="8" w:color="auto"/>
              <w:right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r>
      <w:tr>
        <w:trPr>
          <w:trHeight w:val="243"/>
        </w:trPr>
        <w:tc>
          <w:tcPr>
            <w:tcW w:w="38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Pre-tax income</w:t>
            </w:r>
          </w:p>
        </w:tc>
        <w:tc>
          <w:tcPr>
            <w:tcW w:w="3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$ 11,120</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$ 9,698</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The revenues decrease at NN Europe was primarily due to the effect of Euro denominated sales having less value relative to the U.S. Dollar in 2006 versus 2005 ($4.9 million). In addition, volume was lower ($2.4 million) primarily due to the forecasted loss of INA business. These reductions were partially offset by price increases from pass through of raw material cost increases to customers ($2.6 million).</w:t>
      </w:r>
    </w:p>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increase in pre-tax income at NN Europe is due to price increases to customers, lower cost of products sold, gain from sale of land and building and lower interest costs, partially offset by effects of devaluation of the Slovakian Koruna and U.S. Dollar relative to the Euro, and effects of inflation in material, labor and utilities. The sales price increase was due to contractual pass through of raw material cost increases to customers ($2.6 million). Material, labor, and utility inflation ($1.8 million) were almost offset by cost reduction initiatives ($1.4 million). The negative impact on net income of the devaluation of the Euro relative to the US dollar in 2006 ($0.4 million), the negative impact on our Slovakian operation of the devaluation of the Slovakian Koruna relative to the Euro ($0.4 million), and lower sales volume ($0.7 million) all reduced pre tax income. The gain from the sale of land at Pinerolo, net of machinery disposals, added $0.7 million to pre tax income. Interest cost was lower ($0.4 million) due to the pay-off in the first quarter of 2006 of the Euro denominated loan and depreciation and amortization expense were higher due to depreciation and amortization of the machinery and contract intangible from the SNR machinery purchase ($0.3 million).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DOMESTIC BALL AND ROLLER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37"/>
        </w:trPr>
        <w:tc>
          <w:tcPr>
            <w:tcW w:w="4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i w:val="1"/>
                <w:iCs w:val="1"/>
                <w:color w:val="auto"/>
              </w:rPr>
              <w:t>(In Thousands of Dollars)</w:t>
            </w:r>
          </w:p>
        </w:tc>
        <w:tc>
          <w:tcPr>
            <w:tcW w:w="320" w:type="dxa"/>
            <w:vAlign w:val="bottom"/>
            <w:tcBorders>
              <w:top w:val="single" w:sz="8" w:color="auto"/>
              <w:bottom w:val="single" w:sz="8" w:color="auto"/>
              <w:right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96"/>
              </w:rPr>
              <w:t>Domestic Ball and Roller</w:t>
            </w:r>
          </w:p>
        </w:tc>
        <w:tc>
          <w:tcPr>
            <w:tcW w:w="1540" w:type="dxa"/>
            <w:vAlign w:val="bottom"/>
            <w:tcBorders>
              <w:top w:val="single" w:sz="8" w:color="auto"/>
              <w:bottom w:val="single" w:sz="8" w:color="auto"/>
              <w:right w:val="single" w:sz="8" w:color="auto"/>
            </w:tcBorders>
          </w:tcPr>
          <w:p>
            <w:pPr>
              <w:spacing w:after="0"/>
              <w:rPr>
                <w:sz w:val="20"/>
                <w:szCs w:val="20"/>
                <w:color w:val="auto"/>
              </w:rPr>
            </w:pPr>
          </w:p>
        </w:tc>
      </w:tr>
      <w:tr>
        <w:trPr>
          <w:trHeight w:val="20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2006</w:t>
            </w: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right"/>
              <w:ind w:right="665"/>
              <w:spacing w:after="0"/>
              <w:rPr>
                <w:sz w:val="20"/>
                <w:szCs w:val="20"/>
                <w:color w:val="auto"/>
              </w:rPr>
            </w:pPr>
            <w:r>
              <w:rPr>
                <w:rFonts w:ascii="Arial" w:cs="Arial" w:eastAsia="Arial" w:hAnsi="Arial"/>
                <w:sz w:val="15"/>
                <w:szCs w:val="15"/>
                <w:color w:val="auto"/>
              </w:rPr>
              <w:t>2005</w:t>
            </w:r>
          </w:p>
        </w:tc>
        <w:tc>
          <w:tcPr>
            <w:tcW w:w="1540" w:type="dxa"/>
            <w:vAlign w:val="bottom"/>
            <w:tcBorders>
              <w:bottom w:val="single" w:sz="8" w:color="auto"/>
              <w:right w:val="single" w:sz="8" w:color="auto"/>
            </w:tcBorders>
          </w:tcPr>
          <w:p>
            <w:pPr>
              <w:jc w:val="right"/>
              <w:ind w:right="485"/>
              <w:spacing w:after="0"/>
              <w:rPr>
                <w:sz w:val="20"/>
                <w:szCs w:val="20"/>
                <w:color w:val="auto"/>
              </w:rPr>
            </w:pPr>
            <w:r>
              <w:rPr>
                <w:rFonts w:ascii="Arial" w:cs="Arial" w:eastAsia="Arial" w:hAnsi="Arial"/>
                <w:sz w:val="15"/>
                <w:szCs w:val="15"/>
                <w:color w:val="auto"/>
              </w:rPr>
              <w:t>Change</w:t>
            </w:r>
          </w:p>
        </w:tc>
      </w:tr>
      <w:tr>
        <w:trPr>
          <w:trHeight w:val="20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06"/>
        </w:trPr>
        <w:tc>
          <w:tcPr>
            <w:tcW w:w="40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20" w:type="dxa"/>
            <w:vAlign w:val="bottom"/>
            <w:tcBorders>
              <w:bottom w:val="single" w:sz="8" w:color="auto"/>
              <w:right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$ 37,333</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$ 32,435</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$ 4,898</w:t>
            </w:r>
          </w:p>
        </w:tc>
      </w:tr>
      <w:tr>
        <w:trPr>
          <w:trHeight w:val="201"/>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r>
      <w:tr>
        <w:trPr>
          <w:trHeight w:val="243"/>
        </w:trPr>
        <w:tc>
          <w:tcPr>
            <w:tcW w:w="404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Pre-tax income</w:t>
            </w:r>
          </w:p>
        </w:tc>
        <w:tc>
          <w:tcPr>
            <w:tcW w:w="320" w:type="dxa"/>
            <w:vAlign w:val="bottom"/>
            <w:tcBorders>
              <w:bottom w:val="single" w:sz="8" w:color="auto"/>
              <w:right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$ 29</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$ 1,698</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The sales increases at Domestic Ball and Roller are due primarily to higher sales volume of $3.3 million and price increases from passing through material inflation to customers of $1.5 million. The Ball and Roller volume was due to additional sales to existing customers.</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5"/>
          <w:szCs w:val="15"/>
          <w:color w:val="auto"/>
        </w:rPr>
        <w:t>The decrease in pre-tax income at Domestic Ball and Roller is due to increases in cost of products sold at the U.S. and China operations and higher SG&amp;A, depreciation, and interest cost. The positive impact of sales volume increases ($1.4 million) and price increases from raw material inflation pass-through (1.5 million) were offset by higher inflation in material, labor, supplies ($2.2 million), and inefficiencies at US and China operations ($1.6 million). The higher SG&amp;A cost were due to stock compensation expense and salaries ($0.2 million). The depreciation expense was due to starting to depreciate fixed assets at the China operation ($0.2 million). The interest cost increase was due to higher interest rates on our variable rate debt ($0.4 million).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332" w:right="29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auto"/>
        </w:rPr>
        <w:t>PLASTICS AND RUBBER COMPONENTS SEGMENT</w:t>
      </w:r>
    </w:p>
    <w:p>
      <w:pPr>
        <w:spacing w:after="0" w:line="224" w:lineRule="exact"/>
        <w:rPr>
          <w:sz w:val="20"/>
          <w:szCs w:val="20"/>
          <w:color w:val="auto"/>
        </w:rPr>
      </w:pPr>
    </w:p>
    <w:tbl>
      <w:tblPr>
        <w:tblLayout w:type="fixed"/>
        <w:tblInd w:w="1150" w:type="dxa"/>
        <w:tblCellMar>
          <w:top w:w="0" w:type="dxa"/>
          <w:left w:w="0" w:type="dxa"/>
          <w:bottom w:w="0" w:type="dxa"/>
          <w:right w:w="0" w:type="dxa"/>
        </w:tblCellMar>
      </w:tblPr>
      <w:tr>
        <w:trPr>
          <w:trHeight w:val="214"/>
        </w:trPr>
        <w:tc>
          <w:tcPr>
            <w:tcW w:w="1040" w:type="dxa"/>
            <w:vAlign w:val="bottom"/>
            <w:tcBorders>
              <w:top w:val="single" w:sz="8" w:color="auto"/>
              <w:left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2"/>
                <w:szCs w:val="12"/>
                <w:i w:val="1"/>
                <w:iCs w:val="1"/>
                <w:color w:val="auto"/>
              </w:rPr>
              <w:t>(In Thousands of Dollars)</w:t>
            </w:r>
          </w:p>
        </w:tc>
        <w:tc>
          <w:tcPr>
            <w:tcW w:w="146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5"/>
                <w:szCs w:val="15"/>
                <w:color w:val="auto"/>
              </w:rPr>
              <w:t>Plastics And Rubber Components</w:t>
            </w:r>
          </w:p>
        </w:tc>
        <w:tc>
          <w:tcPr>
            <w:tcW w:w="1520" w:type="dxa"/>
            <w:vAlign w:val="bottom"/>
            <w:tcBorders>
              <w:top w:val="single" w:sz="8" w:color="auto"/>
              <w:bottom w:val="single" w:sz="8" w:color="auto"/>
              <w:right w:val="single" w:sz="8" w:color="auto"/>
            </w:tcBorders>
          </w:tcPr>
          <w:p>
            <w:pPr>
              <w:spacing w:after="0"/>
              <w:rPr>
                <w:sz w:val="18"/>
                <w:szCs w:val="18"/>
                <w:color w:val="auto"/>
              </w:rPr>
            </w:pPr>
          </w:p>
        </w:tc>
      </w:tr>
      <w:tr>
        <w:trPr>
          <w:trHeight w:val="206"/>
        </w:trPr>
        <w:tc>
          <w:tcPr>
            <w:tcW w:w="104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5"/>
                <w:szCs w:val="15"/>
                <w:color w:val="auto"/>
                <w:w w:val="89"/>
              </w:rPr>
              <w:t>2006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2005</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Change</w:t>
            </w:r>
          </w:p>
        </w:tc>
      </w:tr>
      <w:tr>
        <w:trPr>
          <w:trHeight w:val="206"/>
        </w:trPr>
        <w:tc>
          <w:tcPr>
            <w:tcW w:w="104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r>
      <w:tr>
        <w:trPr>
          <w:trHeight w:val="206"/>
        </w:trPr>
        <w:tc>
          <w:tcPr>
            <w:tcW w:w="10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180" w:type="dxa"/>
            <w:vAlign w:val="bottom"/>
            <w:tcBorders>
              <w:bottom w:val="single" w:sz="8" w:color="auto"/>
              <w:right w:val="single" w:sz="8" w:color="auto"/>
            </w:tcBorders>
            <w:shd w:val="clear" w:color="auto" w:fill="CCEEFF"/>
          </w:tcPr>
          <w:p>
            <w:pPr>
              <w:spacing w:after="0"/>
              <w:rPr>
                <w:sz w:val="17"/>
                <w:szCs w:val="17"/>
                <w:color w:val="auto"/>
              </w:rPr>
            </w:pPr>
          </w:p>
        </w:tc>
        <w:tc>
          <w:tcPr>
            <w:tcW w:w="38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jc w:val="center"/>
              <w:ind w:right="25"/>
              <w:spacing w:after="0"/>
              <w:rPr>
                <w:sz w:val="20"/>
                <w:szCs w:val="20"/>
                <w:color w:val="auto"/>
              </w:rPr>
            </w:pPr>
            <w:r>
              <w:rPr>
                <w:rFonts w:ascii="Arial" w:cs="Arial" w:eastAsia="Arial" w:hAnsi="Arial"/>
                <w:sz w:val="15"/>
                <w:szCs w:val="15"/>
                <w:color w:val="auto"/>
                <w:w w:val="88"/>
              </w:rPr>
              <w:t>$ 28,266</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$ 29,356</w:t>
            </w:r>
          </w:p>
        </w:tc>
        <w:tc>
          <w:tcPr>
            <w:tcW w:w="3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right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rPr>
              <w:t>$ (1,090)</w:t>
            </w:r>
          </w:p>
        </w:tc>
      </w:tr>
      <w:tr>
        <w:trPr>
          <w:trHeight w:val="201"/>
        </w:trPr>
        <w:tc>
          <w:tcPr>
            <w:tcW w:w="104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r>
      <w:tr>
        <w:trPr>
          <w:trHeight w:val="243"/>
        </w:trPr>
        <w:tc>
          <w:tcPr>
            <w:tcW w:w="104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9"/>
              </w:rPr>
              <w:t>Pre-tax income</w:t>
            </w:r>
          </w:p>
        </w:tc>
        <w:tc>
          <w:tcPr>
            <w:tcW w:w="2180" w:type="dxa"/>
            <w:vAlign w:val="bottom"/>
            <w:tcBorders>
              <w:bottom w:val="single" w:sz="8" w:color="auto"/>
              <w:right w:val="single" w:sz="8" w:color="auto"/>
            </w:tcBorders>
            <w:shd w:val="clear" w:color="auto" w:fill="CCEEFF"/>
          </w:tcPr>
          <w:p>
            <w:pPr>
              <w:spacing w:after="0"/>
              <w:rPr>
                <w:sz w:val="21"/>
                <w:szCs w:val="21"/>
                <w:color w:val="auto"/>
              </w:rPr>
            </w:pPr>
          </w:p>
        </w:tc>
        <w:tc>
          <w:tcPr>
            <w:tcW w:w="380" w:type="dxa"/>
            <w:vAlign w:val="bottom"/>
            <w:tcBorders>
              <w:bottom w:val="single" w:sz="8" w:color="auto"/>
              <w:right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jc w:val="center"/>
              <w:ind w:right="5"/>
              <w:spacing w:after="0"/>
              <w:rPr>
                <w:sz w:val="20"/>
                <w:szCs w:val="20"/>
                <w:color w:val="auto"/>
              </w:rPr>
            </w:pPr>
            <w:r>
              <w:rPr>
                <w:rFonts w:ascii="Arial" w:cs="Arial" w:eastAsia="Arial" w:hAnsi="Arial"/>
                <w:sz w:val="15"/>
                <w:szCs w:val="15"/>
                <w:color w:val="auto"/>
                <w:w w:val="91"/>
              </w:rPr>
              <w:t>$ 2,666</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   677</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right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rPr>
              <w:t>$  1,989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-310515</wp:posOffset>
            </wp:positionV>
            <wp:extent cx="5799455" cy="143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9455" cy="143510"/>
                    </a:xfrm>
                    <a:prstGeom prst="rect">
                      <a:avLst/>
                    </a:prstGeom>
                    <a:noFill/>
                  </pic:spPr>
                </pic:pic>
              </a:graphicData>
            </a:graphic>
          </wp:anchor>
        </w:drawing>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5"/>
          <w:szCs w:val="15"/>
          <w:color w:val="auto"/>
        </w:rPr>
        <w:t>Sales at Plastics and Rubber were down primarily due to lower volume in the rubber seal business sold into the automotive market ($1.7 million) partially offset by price increases in the plastics portion of the segment ($0.6 million).</w:t>
      </w:r>
    </w:p>
    <w:p>
      <w:pPr>
        <w:spacing w:after="0" w:line="192" w:lineRule="exact"/>
        <w:rPr>
          <w:sz w:val="20"/>
          <w:szCs w:val="20"/>
          <w:color w:val="auto"/>
        </w:rPr>
      </w:pPr>
    </w:p>
    <w:p>
      <w:pPr>
        <w:ind w:right="400"/>
        <w:spacing w:after="0" w:line="312" w:lineRule="auto"/>
        <w:rPr>
          <w:sz w:val="20"/>
          <w:szCs w:val="20"/>
          <w:color w:val="auto"/>
        </w:rPr>
      </w:pPr>
      <w:r>
        <w:rPr>
          <w:rFonts w:ascii="Arial" w:cs="Arial" w:eastAsia="Arial" w:hAnsi="Arial"/>
          <w:sz w:val="14"/>
          <w:szCs w:val="14"/>
          <w:color w:val="auto"/>
        </w:rPr>
        <w:t>The increase in pre-tax income at the Plastics and Rubber Components Segment was due to price increases ($0.6 million) and to Level 3 and other cost saving initiatives in the areas of material usage, labor efficiency, and overhead cost ($1.9 million). These increases were partially offset by raw material and utilities inflation ($0.5 million.)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38" w:lineRule="exact"/>
        <w:rPr>
          <w:sz w:val="20"/>
          <w:szCs w:val="20"/>
          <w:color w:val="auto"/>
        </w:rPr>
      </w:pPr>
    </w:p>
    <w:p>
      <w:pPr>
        <w:ind w:right="220"/>
        <w:spacing w:after="0" w:line="355" w:lineRule="auto"/>
        <w:rPr>
          <w:sz w:val="20"/>
          <w:szCs w:val="20"/>
          <w:color w:val="auto"/>
        </w:rPr>
      </w:pPr>
      <w:r>
        <w:rPr>
          <w:rFonts w:ascii="Arial" w:cs="Arial" w:eastAsia="Arial" w:hAnsi="Arial"/>
          <w:sz w:val="13"/>
          <w:szCs w:val="13"/>
          <w:color w:val="auto"/>
        </w:rPr>
        <w:t>Amounts outstanding under the $90.0 million credit facility and the $40.0 million notes as of June 30, 2006 were $18.9 million and $40.0 million, respectively. See Note 8 of the Notes to Consolidated Financial Statements. We were in compliance with all covenants of our $90.0 million syndicated credit facility and our $40.0 million senior notes as of June 30, 2006.</w:t>
      </w:r>
    </w:p>
    <w:p>
      <w:pPr>
        <w:spacing w:after="0" w:line="14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bill and receive payment from some of our customers in Euros as well as other currencies. In 2006, the fluctuation of the Euro against the U.S. Dollar has negatively impacted revenue and income and increased the value of assets and liabilities as the average exchange rate is lower from the six months ended June 30, 2005 to six months ended June 30, 2006 and the spot rate at June 30, 2006 was higher than the exchange rate at December 31, 2005. As of June 30, 2006, no currency hedges were in place. A strengthening of the U.S. Dollar and/or Euro against foreign currencies could impair our ability to compete with international competitors for foreign as well as domestic sales.</w:t>
      </w:r>
    </w:p>
    <w:p>
      <w:pPr>
        <w:spacing w:after="0" w:line="189"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Working capital, which consists principally of accounts receivable and inventories offset by accounts payable, was $34.3 million at June 30, 2006 as compared to $41.1 million at December 31, 2005. The ratio of current assets to current liabilities decreased from 1.63:1 at December 31, 2005 to 1.40:1 at June 30, 2006. Cash flow provided by operations was $10.0 million during the first six months of 2006, compared with cash flow provided by operations of $0.3 million during the first six months of 2005. The primary reason for the improvement in operating cash flow from the first six months of 2005 was the reduction in inventory and increase in accounts payable. Total assets and current assets increased approximately $13.0 million and $4.9 million, respectively, from the December 31, 2005 balance due to appreciation of the Euro relative to the US dollar.</w:t>
      </w:r>
    </w:p>
    <w:p>
      <w:pPr>
        <w:spacing w:after="0" w:line="19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During 2006, we plan to spend approximately $18.8 million on capital expenditures of which $7.6 million is related primarily to equipment, process upgrades, and replacements, approximately $8.9 million principally related to geographic expansion of our manufacturing base, and $2.3 million related to the completion of the purchase of certain equipment at SNR. In addition, we will pay $2.0 million for contract intangibles related to the SNR equipment purchase. Of these amounts approximately $6.4 million has been spent through June 30, 2006.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2006.</w:t>
      </w:r>
    </w:p>
    <w:p>
      <w:pPr>
        <w:spacing w:after="0" w:line="190"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the first quarter of 2006, the Company’s Board of Directors authorized a stock repurchase program under which the Company is authorized to repurchase up to $10 million in common stock of the Company, during the subsequent 18 months in the open market or in private transactions, in accordance with applicable laws and regulations. This amount represented approximately 5% of the Company’s outstanding stock at the date of authorization. During the first six months ended June 30, 2006, the Company repurchased 56,821 shares at approximately $12.00 per share for a total of approximately $0.7 million. These shares will be retired and were recorded as on offset to additional paid in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1" w:name="page22"/>
    <w:bookmarkEnd w:id="21"/>
    <w:p>
      <w:pPr>
        <w:spacing w:after="0" w:line="275" w:lineRule="auto"/>
        <w:rPr>
          <w:sz w:val="20"/>
          <w:szCs w:val="20"/>
          <w:color w:val="auto"/>
        </w:rPr>
      </w:pPr>
      <w:r>
        <w:rPr>
          <w:rFonts w:ascii="Arial" w:cs="Arial" w:eastAsia="Arial" w:hAnsi="Arial"/>
          <w:sz w:val="15"/>
          <w:szCs w:val="15"/>
          <w:color w:val="auto"/>
        </w:rPr>
        <w:t>During the second quarter of 2006, the dividend declared on March 10, 2006 was paid totaling $1.4 million. In addition a divided declared on May 24, 2006 totaling $1.4 million was paid on June 23, 2006.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Fluctuation in Quarterly Results</w:t>
      </w: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Our net sales historically have been of a seasonal nature due to the fact that a significant portion of our sales are to European customers that cease or significantly slow production during the month of August.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Our significant accounting policies, including the assumptions and judgments underlying them, are disclosed in our annual report on Form 10-K, for the fiscal year ended December 31, 2005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one material change during the six month period ended June 30, 2006 was adoption of SFAS 123(R) related to accounting for stock compensation (see Note 10 of the financial statements). SFAS 123(R) has had a minimal effect on the financial statements for the three and six month periods ended June 30, 2006, as there were no new options issued or amended and as outstanding options were 100% vested at December 31, 2005. The only impact has been the elimination of variable accounting under APB 25 and FIN 44 with the adoption of SFAS 123(R).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Concentration</w:t>
      </w:r>
    </w:p>
    <w:p>
      <w:pPr>
        <w:spacing w:after="0" w:line="238" w:lineRule="exact"/>
        <w:rPr>
          <w:sz w:val="20"/>
          <w:szCs w:val="20"/>
          <w:color w:val="auto"/>
        </w:rPr>
      </w:pPr>
    </w:p>
    <w:p>
      <w:pPr>
        <w:jc w:val="both"/>
        <w:ind w:right="320"/>
        <w:spacing w:after="0" w:line="263" w:lineRule="auto"/>
        <w:rPr>
          <w:sz w:val="20"/>
          <w:szCs w:val="20"/>
          <w:color w:val="auto"/>
        </w:rPr>
      </w:pPr>
      <w:r>
        <w:rPr>
          <w:rFonts w:ascii="Arial" w:cs="Arial" w:eastAsia="Arial" w:hAnsi="Arial"/>
          <w:sz w:val="15"/>
          <w:szCs w:val="15"/>
          <w:color w:val="auto"/>
        </w:rPr>
        <w:t>The contract covering sales to Schaeffler Group (INA) from our European locations expired on June 30, 2006. We are in the final stages of developing a supply agreement to replace the agreement that expired. Even though the contract has technically expired, we are still actively selling to Schaeffler Group (INA) and expect to have a signed agreement during the third quarter of 2006.</w:t>
      </w:r>
    </w:p>
    <w:p>
      <w:pPr>
        <w:spacing w:after="0" w:line="201"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In addition, we are in process of negotiating a new long term agreement with SKF to replace the one for precision balls that expired July 31, 2006. SKF has informally agreed in principle to carry the current agreement through to December 31, 2006. We are in the final stages of negotiating a contract extension with SKF and expect to have a signed agreement during the fourth quarter of 2006.</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38"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2006, we had $18.9 million outstanding under the domestic credit facilities and $40.0 million aggregate principal amount of senior notes outstanding. See Note 8 of the Notes to Consolidated Financial Statements. At June 30, 2006, a one-percent increase in the interest rate charged on our outstanding borrowings under our credit facilities, which are subject to variable interest rates, would result in interest expense increasing annually by approximately $0.2 million.</w:t>
      </w:r>
    </w:p>
    <w:p>
      <w:pPr>
        <w:spacing w:after="0" w:line="176" w:lineRule="exact"/>
        <w:rPr>
          <w:sz w:val="20"/>
          <w:szCs w:val="20"/>
          <w:color w:val="auto"/>
        </w:rPr>
      </w:pPr>
    </w:p>
    <w:p>
      <w:pPr>
        <w:ind w:right="340"/>
        <w:spacing w:after="0" w:line="275" w:lineRule="auto"/>
        <w:rPr>
          <w:sz w:val="20"/>
          <w:szCs w:val="20"/>
          <w:color w:val="auto"/>
        </w:rPr>
      </w:pPr>
      <w:r>
        <w:rPr>
          <w:rFonts w:ascii="Arial" w:cs="Arial" w:eastAsia="Arial" w:hAnsi="Arial"/>
          <w:sz w:val="15"/>
          <w:szCs w:val="15"/>
          <w:color w:val="auto"/>
        </w:rPr>
        <w:t>Translation of our operating cash flows denominated in foreign currencies is impacted by changes in foreign exchange rates. We did not hold a position in any foreign currency hedging instruments as of June 30, 2006.</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Item 4. Controls and Procedures</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June 30, 2006, the end of the period covered by this quarterly report.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2" w:name="page23"/>
    <w:bookmarkEnd w:id="22"/>
    <w:p>
      <w:pPr>
        <w:ind w:right="120"/>
        <w:spacing w:after="0" w:line="275" w:lineRule="auto"/>
        <w:rPr>
          <w:sz w:val="20"/>
          <w:szCs w:val="20"/>
          <w:color w:val="auto"/>
        </w:rPr>
      </w:pPr>
      <w:r>
        <w:rPr>
          <w:rFonts w:ascii="Arial" w:cs="Arial" w:eastAsia="Arial" w:hAnsi="Arial"/>
          <w:sz w:val="15"/>
          <w:szCs w:val="15"/>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Other Information</w:t>
      </w:r>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38"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On March 20, 2006, the Company, as well as numerous other parties, received correspondence from the Environmental Protection Agency (“EPA”) requesting information regarding a former waste recycling vendor previously used by the Company. The vendor has since ceased operations and the EPA is investigating the clean up of the site or sites used by the vendor. As of the date of this report, we do not know whether the Company has any liability related to this vendor’s actions or estimatable range for any potential liability.</w:t>
      </w:r>
    </w:p>
    <w:p>
      <w:pPr>
        <w:spacing w:after="0" w:line="184"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22"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b w:val="1"/>
          <w:bCs w:val="1"/>
          <w:color w:val="auto"/>
        </w:rPr>
        <w:t>Item 1. A.</w:t>
      </w:r>
      <w:r>
        <w:rPr>
          <w:sz w:val="20"/>
          <w:szCs w:val="20"/>
          <w:color w:val="auto"/>
        </w:rPr>
        <w:tab/>
      </w:r>
      <w:r>
        <w:rPr>
          <w:rFonts w:ascii="Arial" w:cs="Arial" w:eastAsia="Arial" w:hAnsi="Arial"/>
          <w:sz w:val="13"/>
          <w:szCs w:val="13"/>
          <w:b w:val="1"/>
          <w:bCs w:val="1"/>
          <w:color w:val="auto"/>
        </w:rPr>
        <w:t>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There has not been any material changes in risk factors from those disclosed our Annual Report on Form 10-K for the year ended December 31, 2005 filed on March 16, 2006.</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2" w:lineRule="exact"/>
        <w:rPr>
          <w:sz w:val="20"/>
          <w:szCs w:val="20"/>
          <w:color w:val="auto"/>
        </w:rPr>
      </w:pPr>
    </w:p>
    <w:p>
      <w:pPr>
        <w:ind w:left="800" w:hanging="197"/>
        <w:spacing w:after="0"/>
        <w:tabs>
          <w:tab w:leader="none" w:pos="80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8" w:lineRule="exact"/>
        <w:rPr>
          <w:rFonts w:ascii="Arial" w:cs="Arial" w:eastAsia="Arial" w:hAnsi="Arial"/>
          <w:sz w:val="15"/>
          <w:szCs w:val="15"/>
          <w:b w:val="1"/>
          <w:bCs w:val="1"/>
          <w:color w:val="auto"/>
        </w:rPr>
      </w:pPr>
    </w:p>
    <w:p>
      <w:pPr>
        <w:ind w:left="800" w:hanging="206"/>
        <w:spacing w:after="0"/>
        <w:tabs>
          <w:tab w:leader="none" w:pos="80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8" w:lineRule="exact"/>
        <w:rPr>
          <w:rFonts w:ascii="Arial" w:cs="Arial" w:eastAsia="Arial" w:hAnsi="Arial"/>
          <w:sz w:val="15"/>
          <w:szCs w:val="15"/>
          <w:b w:val="1"/>
          <w:bCs w:val="1"/>
          <w:color w:val="auto"/>
        </w:rPr>
      </w:pPr>
    </w:p>
    <w:p>
      <w:pPr>
        <w:ind w:left="800" w:hanging="189"/>
        <w:spacing w:after="0"/>
        <w:tabs>
          <w:tab w:leader="none" w:pos="8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Issuer purchases of equity securities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Borders>
              <w:top w:val="single" w:sz="8" w:color="auto"/>
            </w:tcBorders>
          </w:tcPr>
          <w:p>
            <w:pPr>
              <w:jc w:val="center"/>
              <w:ind w:left="165"/>
              <w:spacing w:after="0" w:line="163" w:lineRule="exact"/>
              <w:rPr>
                <w:sz w:val="20"/>
                <w:szCs w:val="20"/>
                <w:color w:val="auto"/>
              </w:rPr>
            </w:pPr>
            <w:r>
              <w:rPr>
                <w:rFonts w:ascii="Arial" w:cs="Arial" w:eastAsia="Arial" w:hAnsi="Arial"/>
                <w:sz w:val="15"/>
                <w:szCs w:val="15"/>
                <w:color w:val="auto"/>
                <w:w w:val="87"/>
              </w:rPr>
              <w:t>Period</w:t>
            </w:r>
          </w:p>
        </w:tc>
        <w:tc>
          <w:tcPr>
            <w:tcW w:w="2340" w:type="dxa"/>
            <w:vAlign w:val="bottom"/>
            <w:tcBorders>
              <w:top w:val="single" w:sz="8" w:color="auto"/>
            </w:tcBorders>
          </w:tcPr>
          <w:p>
            <w:pPr>
              <w:jc w:val="center"/>
              <w:ind w:left="205"/>
              <w:spacing w:after="0" w:line="163" w:lineRule="exact"/>
              <w:rPr>
                <w:sz w:val="20"/>
                <w:szCs w:val="20"/>
                <w:color w:val="auto"/>
              </w:rPr>
            </w:pPr>
            <w:r>
              <w:rPr>
                <w:rFonts w:ascii="Arial" w:cs="Arial" w:eastAsia="Arial" w:hAnsi="Arial"/>
                <w:sz w:val="15"/>
                <w:szCs w:val="15"/>
                <w:color w:val="auto"/>
                <w:w w:val="91"/>
              </w:rPr>
              <w:t>(a) Total Number of Shares (or</w:t>
            </w:r>
          </w:p>
        </w:tc>
        <w:tc>
          <w:tcPr>
            <w:tcW w:w="4620" w:type="dxa"/>
            <w:vAlign w:val="bottom"/>
            <w:tcBorders>
              <w:top w:val="single" w:sz="8" w:color="auto"/>
            </w:tcBorders>
            <w:gridSpan w:val="2"/>
          </w:tcPr>
          <w:p>
            <w:pPr>
              <w:ind w:left="80"/>
              <w:spacing w:after="0" w:line="163" w:lineRule="exact"/>
              <w:rPr>
                <w:sz w:val="20"/>
                <w:szCs w:val="20"/>
                <w:color w:val="auto"/>
              </w:rPr>
            </w:pPr>
            <w:r>
              <w:rPr>
                <w:rFonts w:ascii="Arial" w:cs="Arial" w:eastAsia="Arial" w:hAnsi="Arial"/>
                <w:sz w:val="15"/>
                <w:szCs w:val="15"/>
                <w:color w:val="auto"/>
                <w:w w:val="91"/>
              </w:rPr>
              <w:t>(b) Average Price Paid per Share (or (c) Total Number of Shares (or Units)</w:t>
            </w:r>
          </w:p>
        </w:tc>
        <w:tc>
          <w:tcPr>
            <w:tcW w:w="230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5"/>
                <w:szCs w:val="15"/>
                <w:color w:val="auto"/>
                <w:w w:val="94"/>
              </w:rPr>
              <w:t>(d) Maximum Number (or</w:t>
            </w:r>
          </w:p>
        </w:tc>
      </w:tr>
      <w:tr>
        <w:trPr>
          <w:trHeight w:val="181"/>
        </w:trPr>
        <w:tc>
          <w:tcPr>
            <w:tcW w:w="2180" w:type="dxa"/>
            <w:vAlign w:val="bottom"/>
          </w:tcPr>
          <w:p>
            <w:pPr>
              <w:spacing w:after="0"/>
              <w:rPr>
                <w:sz w:val="15"/>
                <w:szCs w:val="15"/>
                <w:color w:val="auto"/>
              </w:rPr>
            </w:pPr>
          </w:p>
        </w:tc>
        <w:tc>
          <w:tcPr>
            <w:tcW w:w="2340" w:type="dxa"/>
            <w:vAlign w:val="bottom"/>
          </w:tcPr>
          <w:p>
            <w:pPr>
              <w:jc w:val="center"/>
              <w:ind w:left="205"/>
              <w:spacing w:after="0"/>
              <w:rPr>
                <w:sz w:val="20"/>
                <w:szCs w:val="20"/>
                <w:color w:val="auto"/>
              </w:rPr>
            </w:pPr>
            <w:r>
              <w:rPr>
                <w:rFonts w:ascii="Arial" w:cs="Arial" w:eastAsia="Arial" w:hAnsi="Arial"/>
                <w:sz w:val="15"/>
                <w:szCs w:val="15"/>
                <w:color w:val="auto"/>
                <w:w w:val="88"/>
              </w:rPr>
              <w:t>Units) Purchased</w:t>
            </w:r>
          </w:p>
        </w:tc>
        <w:tc>
          <w:tcPr>
            <w:tcW w:w="1960" w:type="dxa"/>
            <w:vAlign w:val="bottom"/>
          </w:tcPr>
          <w:p>
            <w:pPr>
              <w:jc w:val="center"/>
              <w:ind w:left="325"/>
              <w:spacing w:after="0"/>
              <w:rPr>
                <w:sz w:val="20"/>
                <w:szCs w:val="20"/>
                <w:color w:val="auto"/>
              </w:rPr>
            </w:pPr>
            <w:r>
              <w:rPr>
                <w:rFonts w:ascii="Arial" w:cs="Arial" w:eastAsia="Arial" w:hAnsi="Arial"/>
                <w:sz w:val="15"/>
                <w:szCs w:val="15"/>
                <w:color w:val="auto"/>
              </w:rPr>
              <w:t>Unit)</w:t>
            </w:r>
          </w:p>
        </w:tc>
        <w:tc>
          <w:tcPr>
            <w:tcW w:w="2660" w:type="dxa"/>
            <w:vAlign w:val="bottom"/>
          </w:tcPr>
          <w:p>
            <w:pPr>
              <w:jc w:val="center"/>
              <w:ind w:left="285"/>
              <w:spacing w:after="0"/>
              <w:rPr>
                <w:sz w:val="20"/>
                <w:szCs w:val="20"/>
                <w:color w:val="auto"/>
              </w:rPr>
            </w:pPr>
            <w:r>
              <w:rPr>
                <w:rFonts w:ascii="Arial" w:cs="Arial" w:eastAsia="Arial" w:hAnsi="Arial"/>
                <w:sz w:val="15"/>
                <w:szCs w:val="15"/>
                <w:color w:val="auto"/>
                <w:w w:val="90"/>
              </w:rPr>
              <w:t>Purchased as Part of Publicly</w:t>
            </w:r>
          </w:p>
        </w:tc>
        <w:tc>
          <w:tcPr>
            <w:tcW w:w="2300" w:type="dxa"/>
            <w:vAlign w:val="bottom"/>
          </w:tcPr>
          <w:p>
            <w:pPr>
              <w:jc w:val="center"/>
              <w:spacing w:after="0"/>
              <w:rPr>
                <w:sz w:val="20"/>
                <w:szCs w:val="20"/>
                <w:color w:val="auto"/>
              </w:rPr>
            </w:pPr>
            <w:r>
              <w:rPr>
                <w:rFonts w:ascii="Arial" w:cs="Arial" w:eastAsia="Arial" w:hAnsi="Arial"/>
                <w:sz w:val="15"/>
                <w:szCs w:val="15"/>
                <w:color w:val="auto"/>
                <w:w w:val="92"/>
              </w:rPr>
              <w:t>Approximate Dollar Value) of Shares</w:t>
            </w:r>
          </w:p>
        </w:tc>
      </w:tr>
      <w:tr>
        <w:trPr>
          <w:trHeight w:val="181"/>
        </w:trPr>
        <w:tc>
          <w:tcPr>
            <w:tcW w:w="2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285"/>
              <w:spacing w:after="0"/>
              <w:rPr>
                <w:sz w:val="20"/>
                <w:szCs w:val="20"/>
                <w:color w:val="auto"/>
              </w:rPr>
            </w:pPr>
            <w:r>
              <w:rPr>
                <w:rFonts w:ascii="Arial" w:cs="Arial" w:eastAsia="Arial" w:hAnsi="Arial"/>
                <w:sz w:val="15"/>
                <w:szCs w:val="15"/>
                <w:color w:val="auto"/>
                <w:w w:val="89"/>
              </w:rPr>
              <w:t>Announced Plans or Programs</w:t>
            </w:r>
          </w:p>
        </w:tc>
        <w:tc>
          <w:tcPr>
            <w:tcW w:w="2300" w:type="dxa"/>
            <w:vAlign w:val="bottom"/>
          </w:tcPr>
          <w:p>
            <w:pPr>
              <w:jc w:val="center"/>
              <w:spacing w:after="0"/>
              <w:rPr>
                <w:sz w:val="20"/>
                <w:szCs w:val="20"/>
                <w:color w:val="auto"/>
              </w:rPr>
            </w:pPr>
            <w:r>
              <w:rPr>
                <w:rFonts w:ascii="Arial" w:cs="Arial" w:eastAsia="Arial" w:hAnsi="Arial"/>
                <w:sz w:val="15"/>
                <w:szCs w:val="15"/>
                <w:color w:val="auto"/>
                <w:w w:val="90"/>
              </w:rPr>
              <w:t>that May Yet Be Purchased Under the</w:t>
            </w:r>
          </w:p>
        </w:tc>
      </w:tr>
      <w:tr>
        <w:trPr>
          <w:trHeight w:val="191"/>
        </w:trPr>
        <w:tc>
          <w:tcPr>
            <w:tcW w:w="2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Plans or Programs</w:t>
            </w:r>
          </w:p>
        </w:tc>
      </w:tr>
      <w:tr>
        <w:trPr>
          <w:trHeight w:val="398"/>
        </w:trPr>
        <w:tc>
          <w:tcPr>
            <w:tcW w:w="2180" w:type="dxa"/>
            <w:vAlign w:val="bottom"/>
            <w:tcBorders>
              <w:bottom w:val="single" w:sz="8" w:color="auto"/>
            </w:tcBorders>
          </w:tcPr>
          <w:p>
            <w:pPr>
              <w:jc w:val="center"/>
              <w:ind w:left="165"/>
              <w:spacing w:after="0"/>
              <w:rPr>
                <w:sz w:val="20"/>
                <w:szCs w:val="20"/>
                <w:color w:val="auto"/>
              </w:rPr>
            </w:pPr>
            <w:r>
              <w:rPr>
                <w:rFonts w:ascii="Arial" w:cs="Arial" w:eastAsia="Arial" w:hAnsi="Arial"/>
                <w:sz w:val="15"/>
                <w:szCs w:val="15"/>
                <w:color w:val="auto"/>
                <w:w w:val="93"/>
              </w:rPr>
              <w:t>March 1- March 31</w:t>
            </w:r>
          </w:p>
        </w:tc>
        <w:tc>
          <w:tcPr>
            <w:tcW w:w="2340" w:type="dxa"/>
            <w:vAlign w:val="bottom"/>
            <w:tcBorders>
              <w:bottom w:val="single" w:sz="8" w:color="auto"/>
            </w:tcBorders>
          </w:tcPr>
          <w:p>
            <w:pPr>
              <w:jc w:val="center"/>
              <w:ind w:left="205"/>
              <w:spacing w:after="0"/>
              <w:rPr>
                <w:sz w:val="20"/>
                <w:szCs w:val="20"/>
                <w:color w:val="auto"/>
              </w:rPr>
            </w:pPr>
            <w:r>
              <w:rPr>
                <w:rFonts w:ascii="Arial" w:cs="Arial" w:eastAsia="Arial" w:hAnsi="Arial"/>
                <w:sz w:val="15"/>
                <w:szCs w:val="15"/>
                <w:color w:val="auto"/>
                <w:w w:val="91"/>
              </w:rPr>
              <w:t>20,474</w:t>
            </w:r>
          </w:p>
        </w:tc>
        <w:tc>
          <w:tcPr>
            <w:tcW w:w="1960" w:type="dxa"/>
            <w:vAlign w:val="bottom"/>
            <w:tcBorders>
              <w:bottom w:val="single" w:sz="8" w:color="auto"/>
            </w:tcBorders>
          </w:tcPr>
          <w:p>
            <w:pPr>
              <w:jc w:val="center"/>
              <w:ind w:left="325"/>
              <w:spacing w:after="0"/>
              <w:rPr>
                <w:sz w:val="20"/>
                <w:szCs w:val="20"/>
                <w:color w:val="auto"/>
              </w:rPr>
            </w:pPr>
            <w:r>
              <w:rPr>
                <w:rFonts w:ascii="Arial" w:cs="Arial" w:eastAsia="Arial" w:hAnsi="Arial"/>
                <w:sz w:val="15"/>
                <w:szCs w:val="15"/>
                <w:color w:val="auto"/>
                <w:w w:val="87"/>
              </w:rPr>
              <w:t>$12.00</w:t>
            </w:r>
          </w:p>
        </w:tc>
        <w:tc>
          <w:tcPr>
            <w:tcW w:w="2660" w:type="dxa"/>
            <w:vAlign w:val="bottom"/>
            <w:tcBorders>
              <w:bottom w:val="single" w:sz="8" w:color="auto"/>
            </w:tcBorders>
          </w:tcPr>
          <w:p>
            <w:pPr>
              <w:jc w:val="center"/>
              <w:ind w:left="285"/>
              <w:spacing w:after="0"/>
              <w:rPr>
                <w:sz w:val="20"/>
                <w:szCs w:val="20"/>
                <w:color w:val="auto"/>
              </w:rPr>
            </w:pPr>
            <w:r>
              <w:rPr>
                <w:rFonts w:ascii="Arial" w:cs="Arial" w:eastAsia="Arial" w:hAnsi="Arial"/>
                <w:sz w:val="15"/>
                <w:szCs w:val="15"/>
                <w:color w:val="auto"/>
                <w:w w:val="91"/>
              </w:rPr>
              <w:t>20,474</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$9,753,714</w:t>
            </w:r>
          </w:p>
        </w:tc>
      </w:tr>
      <w:tr>
        <w:trPr>
          <w:trHeight w:val="398"/>
        </w:trPr>
        <w:tc>
          <w:tcPr>
            <w:tcW w:w="2180" w:type="dxa"/>
            <w:vAlign w:val="bottom"/>
            <w:tcBorders>
              <w:bottom w:val="single" w:sz="8" w:color="auto"/>
            </w:tcBorders>
          </w:tcPr>
          <w:p>
            <w:pPr>
              <w:jc w:val="center"/>
              <w:ind w:left="165"/>
              <w:spacing w:after="0"/>
              <w:rPr>
                <w:sz w:val="20"/>
                <w:szCs w:val="20"/>
                <w:color w:val="auto"/>
              </w:rPr>
            </w:pPr>
            <w:r>
              <w:rPr>
                <w:rFonts w:ascii="Arial" w:cs="Arial" w:eastAsia="Arial" w:hAnsi="Arial"/>
                <w:sz w:val="15"/>
                <w:szCs w:val="15"/>
                <w:color w:val="auto"/>
                <w:w w:val="94"/>
              </w:rPr>
              <w:t>May 1 - May 31</w:t>
            </w:r>
          </w:p>
        </w:tc>
        <w:tc>
          <w:tcPr>
            <w:tcW w:w="2340" w:type="dxa"/>
            <w:vAlign w:val="bottom"/>
            <w:tcBorders>
              <w:bottom w:val="single" w:sz="8" w:color="auto"/>
            </w:tcBorders>
          </w:tcPr>
          <w:p>
            <w:pPr>
              <w:jc w:val="center"/>
              <w:ind w:left="205"/>
              <w:spacing w:after="0"/>
              <w:rPr>
                <w:sz w:val="20"/>
                <w:szCs w:val="20"/>
                <w:color w:val="auto"/>
              </w:rPr>
            </w:pPr>
            <w:r>
              <w:rPr>
                <w:rFonts w:ascii="Arial" w:cs="Arial" w:eastAsia="Arial" w:hAnsi="Arial"/>
                <w:sz w:val="15"/>
                <w:szCs w:val="15"/>
                <w:color w:val="auto"/>
                <w:w w:val="91"/>
              </w:rPr>
              <w:t>36,347</w:t>
            </w:r>
          </w:p>
        </w:tc>
        <w:tc>
          <w:tcPr>
            <w:tcW w:w="1960" w:type="dxa"/>
            <w:vAlign w:val="bottom"/>
            <w:tcBorders>
              <w:bottom w:val="single" w:sz="8" w:color="auto"/>
            </w:tcBorders>
          </w:tcPr>
          <w:p>
            <w:pPr>
              <w:jc w:val="center"/>
              <w:ind w:left="325"/>
              <w:spacing w:after="0"/>
              <w:rPr>
                <w:sz w:val="20"/>
                <w:szCs w:val="20"/>
                <w:color w:val="auto"/>
              </w:rPr>
            </w:pPr>
            <w:r>
              <w:rPr>
                <w:rFonts w:ascii="Arial" w:cs="Arial" w:eastAsia="Arial" w:hAnsi="Arial"/>
                <w:sz w:val="15"/>
                <w:szCs w:val="15"/>
                <w:color w:val="auto"/>
                <w:w w:val="87"/>
              </w:rPr>
              <w:t>$12.00</w:t>
            </w:r>
          </w:p>
        </w:tc>
        <w:tc>
          <w:tcPr>
            <w:tcW w:w="2660" w:type="dxa"/>
            <w:vAlign w:val="bottom"/>
            <w:tcBorders>
              <w:bottom w:val="single" w:sz="8" w:color="auto"/>
            </w:tcBorders>
          </w:tcPr>
          <w:p>
            <w:pPr>
              <w:jc w:val="center"/>
              <w:ind w:left="285"/>
              <w:spacing w:after="0"/>
              <w:rPr>
                <w:sz w:val="20"/>
                <w:szCs w:val="20"/>
                <w:color w:val="auto"/>
              </w:rPr>
            </w:pPr>
            <w:r>
              <w:rPr>
                <w:rFonts w:ascii="Arial" w:cs="Arial" w:eastAsia="Arial" w:hAnsi="Arial"/>
                <w:sz w:val="15"/>
                <w:szCs w:val="15"/>
                <w:color w:val="auto"/>
                <w:w w:val="91"/>
              </w:rPr>
              <w:t>36,347</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$9,318,353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All purchases were made under the publicly announced $10 million repurchase plan authorized by the Board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Submission of Matters to a Vote of Security Holders</w:t>
      </w:r>
    </w:p>
    <w:p>
      <w:pPr>
        <w:spacing w:after="0" w:line="238" w:lineRule="exact"/>
        <w:rPr>
          <w:sz w:val="20"/>
          <w:szCs w:val="20"/>
          <w:color w:val="auto"/>
        </w:rPr>
      </w:pPr>
    </w:p>
    <w:p>
      <w:pPr>
        <w:ind w:right="620"/>
        <w:spacing w:after="0" w:line="263" w:lineRule="auto"/>
        <w:rPr>
          <w:sz w:val="20"/>
          <w:szCs w:val="20"/>
          <w:color w:val="auto"/>
        </w:rPr>
      </w:pPr>
      <w:r>
        <w:rPr>
          <w:rFonts w:ascii="Arial" w:cs="Arial" w:eastAsia="Arial" w:hAnsi="Arial"/>
          <w:sz w:val="15"/>
          <w:szCs w:val="15"/>
          <w:color w:val="auto"/>
        </w:rPr>
        <w:t>The Company’s Annual Meeting of Stockholders was held on May 18, 2006. As of March 31, 2006, the record date for the meeting, there were 17,197,598 shares of common stock outstanding and entitled to vote at the meeting. There were present at said meeting, in person or by proxy, stockholders holding 16,343,518 shares of common stock, constituting approximately 95% of the shares of common stock outstanding and entitled to vote, which constituted a quorum.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3" w:name="page24"/>
    <w:bookmarkEnd w:id="23"/>
    <w:p>
      <w:pPr>
        <w:ind w:right="220"/>
        <w:spacing w:after="0" w:line="275" w:lineRule="auto"/>
        <w:rPr>
          <w:sz w:val="20"/>
          <w:szCs w:val="20"/>
          <w:color w:val="auto"/>
        </w:rPr>
      </w:pPr>
      <w:r>
        <w:rPr>
          <w:rFonts w:ascii="Arial" w:cs="Arial" w:eastAsia="Arial" w:hAnsi="Arial"/>
          <w:sz w:val="15"/>
          <w:szCs w:val="15"/>
          <w:color w:val="auto"/>
        </w:rPr>
        <w:t>The first matter voted upon at the meeting was the election of Roderick R. Baty and Robert M. Aiken, Jr. as Class II Directors to serve for three-year terms each. The vote was 13,973,322 and 15,945,815 For and 2,370,196 and 397,703 Withheld for Messrs Baty and Aiken,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nominees were elected to serve until the 2009 Annual Meeting of Stockholders and until their successors are duly elected and qualified. In addition to the foregoing directors, Michael 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Werner and Richard G. Fanelli are serving terms that will expire in 2007, and G. Ronald Morris and Steven T. Warshaw are serving terms that will expire in 2008.</w:t>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The second matter voted upon at the meeting was the ratification of PricewaterhouseCooopers LLP as the Company’s registered independent public accounting firm for the fiscal year ending December 31, 2006. The vote was 14,383,170 For, 1,960,348 Against and 0 abstentions.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18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5"/>
                <w:szCs w:val="15"/>
                <w:color w:val="auto"/>
              </w:rPr>
              <w:t>10.1</w:t>
            </w:r>
          </w:p>
        </w:tc>
        <w:tc>
          <w:tcPr>
            <w:tcW w:w="8480" w:type="dxa"/>
            <w:vAlign w:val="bottom"/>
          </w:tcPr>
          <w:p>
            <w:pPr>
              <w:ind w:left="340"/>
              <w:spacing w:after="0"/>
              <w:rPr>
                <w:sz w:val="20"/>
                <w:szCs w:val="20"/>
                <w:color w:val="auto"/>
              </w:rPr>
            </w:pPr>
            <w:r>
              <w:rPr>
                <w:rFonts w:ascii="Arial" w:cs="Arial" w:eastAsia="Arial" w:hAnsi="Arial"/>
                <w:sz w:val="15"/>
                <w:szCs w:val="15"/>
                <w:color w:val="auto"/>
                <w:w w:val="93"/>
              </w:rPr>
              <w:t>Consent and Amendment No. 7 dated March 20, 2006 to the Credit Agreement dated May 1, 2003, among NN, Inc. and NN Europe</w:t>
            </w:r>
          </w:p>
        </w:tc>
      </w:tr>
      <w:tr>
        <w:trPr>
          <w:trHeight w:val="181"/>
        </w:trPr>
        <w:tc>
          <w:tcPr>
            <w:tcW w:w="5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5"/>
                <w:szCs w:val="15"/>
                <w:color w:val="auto"/>
                <w:w w:val="96"/>
              </w:rPr>
              <w:t>APS as Borrower, the subsidiaries as Guarantors, the Lenders as identified therein, AmSouth Bank as Administrative Agent and</w:t>
            </w:r>
          </w:p>
        </w:tc>
      </w:tr>
      <w:tr>
        <w:trPr>
          <w:trHeight w:val="190"/>
        </w:trPr>
        <w:tc>
          <w:tcPr>
            <w:tcW w:w="580" w:type="dxa"/>
            <w:vAlign w:val="bottom"/>
          </w:tcPr>
          <w:p>
            <w:pPr>
              <w:spacing w:after="0"/>
              <w:rPr>
                <w:sz w:val="16"/>
                <w:szCs w:val="16"/>
                <w:color w:val="auto"/>
              </w:rPr>
            </w:pPr>
          </w:p>
        </w:tc>
        <w:tc>
          <w:tcPr>
            <w:tcW w:w="8480" w:type="dxa"/>
            <w:vAlign w:val="bottom"/>
          </w:tcPr>
          <w:p>
            <w:pPr>
              <w:ind w:left="300"/>
              <w:spacing w:after="0"/>
              <w:rPr>
                <w:sz w:val="20"/>
                <w:szCs w:val="20"/>
                <w:color w:val="auto"/>
              </w:rPr>
            </w:pPr>
            <w:r>
              <w:rPr>
                <w:rFonts w:ascii="Arial" w:cs="Arial" w:eastAsia="Arial" w:hAnsi="Arial"/>
                <w:sz w:val="15"/>
                <w:szCs w:val="15"/>
                <w:color w:val="auto"/>
              </w:rPr>
              <w:t>SunTrust Bank as Documentation Agent and Euro Loan Agent.</w:t>
            </w:r>
          </w:p>
        </w:tc>
      </w:tr>
      <w:tr>
        <w:trPr>
          <w:trHeight w:val="374"/>
        </w:trPr>
        <w:tc>
          <w:tcPr>
            <w:tcW w:w="580" w:type="dxa"/>
            <w:vAlign w:val="bottom"/>
          </w:tcPr>
          <w:p>
            <w:pPr>
              <w:spacing w:after="0"/>
              <w:rPr>
                <w:sz w:val="20"/>
                <w:szCs w:val="20"/>
                <w:color w:val="auto"/>
              </w:rPr>
            </w:pPr>
            <w:r>
              <w:rPr>
                <w:rFonts w:ascii="Arial" w:cs="Arial" w:eastAsia="Arial" w:hAnsi="Arial"/>
                <w:sz w:val="15"/>
                <w:szCs w:val="15"/>
                <w:color w:val="auto"/>
              </w:rPr>
              <w:t>10.2</w:t>
            </w:r>
          </w:p>
        </w:tc>
        <w:tc>
          <w:tcPr>
            <w:tcW w:w="8480" w:type="dxa"/>
            <w:vAlign w:val="bottom"/>
          </w:tcPr>
          <w:p>
            <w:pPr>
              <w:ind w:left="300"/>
              <w:spacing w:after="0"/>
              <w:rPr>
                <w:sz w:val="20"/>
                <w:szCs w:val="20"/>
                <w:color w:val="auto"/>
              </w:rPr>
            </w:pPr>
            <w:r>
              <w:rPr>
                <w:rFonts w:ascii="Arial" w:cs="Arial" w:eastAsia="Arial" w:hAnsi="Arial"/>
                <w:sz w:val="15"/>
                <w:szCs w:val="15"/>
                <w:color w:val="auto"/>
                <w:w w:val="94"/>
              </w:rPr>
              <w:t>Amendment No. 8 dated as of June 30, 2006 to the Credit Agreement dated May 1, 2003, among NN, Inc. and NN Europe APS as</w:t>
            </w:r>
          </w:p>
        </w:tc>
      </w:tr>
      <w:tr>
        <w:trPr>
          <w:trHeight w:val="181"/>
        </w:trPr>
        <w:tc>
          <w:tcPr>
            <w:tcW w:w="5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5"/>
                <w:szCs w:val="15"/>
                <w:color w:val="auto"/>
                <w:w w:val="90"/>
              </w:rPr>
              <w:t>Borrower, the subsidiaries as Guarantors, the Lenders as identified therein, AmSouth Bank as Administrative Agent and SunTrust Bank</w:t>
            </w:r>
          </w:p>
        </w:tc>
      </w:tr>
      <w:tr>
        <w:trPr>
          <w:trHeight w:val="190"/>
        </w:trPr>
        <w:tc>
          <w:tcPr>
            <w:tcW w:w="580" w:type="dxa"/>
            <w:vAlign w:val="bottom"/>
          </w:tcPr>
          <w:p>
            <w:pPr>
              <w:spacing w:after="0"/>
              <w:rPr>
                <w:sz w:val="16"/>
                <w:szCs w:val="16"/>
                <w:color w:val="auto"/>
              </w:rPr>
            </w:pPr>
          </w:p>
        </w:tc>
        <w:tc>
          <w:tcPr>
            <w:tcW w:w="8480" w:type="dxa"/>
            <w:vAlign w:val="bottom"/>
          </w:tcPr>
          <w:p>
            <w:pPr>
              <w:ind w:left="300"/>
              <w:spacing w:after="0"/>
              <w:rPr>
                <w:sz w:val="20"/>
                <w:szCs w:val="20"/>
                <w:color w:val="auto"/>
              </w:rPr>
            </w:pPr>
            <w:r>
              <w:rPr>
                <w:rFonts w:ascii="Arial" w:cs="Arial" w:eastAsia="Arial" w:hAnsi="Arial"/>
                <w:sz w:val="15"/>
                <w:szCs w:val="15"/>
                <w:color w:val="auto"/>
              </w:rPr>
              <w:t>as Documentation Agent and Euro Loan Agent.</w:t>
            </w:r>
          </w:p>
        </w:tc>
      </w:tr>
      <w:tr>
        <w:trPr>
          <w:trHeight w:val="406"/>
        </w:trPr>
        <w:tc>
          <w:tcPr>
            <w:tcW w:w="580" w:type="dxa"/>
            <w:vAlign w:val="bottom"/>
          </w:tcPr>
          <w:p>
            <w:pPr>
              <w:spacing w:after="0"/>
              <w:rPr>
                <w:sz w:val="20"/>
                <w:szCs w:val="20"/>
                <w:color w:val="auto"/>
              </w:rPr>
            </w:pPr>
            <w:r>
              <w:rPr>
                <w:rFonts w:ascii="Arial" w:cs="Arial" w:eastAsia="Arial" w:hAnsi="Arial"/>
                <w:sz w:val="15"/>
                <w:szCs w:val="15"/>
                <w:color w:val="auto"/>
              </w:rPr>
              <w:t>31.1</w:t>
            </w:r>
          </w:p>
        </w:tc>
        <w:tc>
          <w:tcPr>
            <w:tcW w:w="8480" w:type="dxa"/>
            <w:vAlign w:val="bottom"/>
          </w:tcPr>
          <w:p>
            <w:pPr>
              <w:ind w:left="300"/>
              <w:spacing w:after="0"/>
              <w:rPr>
                <w:sz w:val="20"/>
                <w:szCs w:val="20"/>
                <w:color w:val="auto"/>
              </w:rPr>
            </w:pPr>
            <w:r>
              <w:rPr>
                <w:rFonts w:ascii="Arial" w:cs="Arial" w:eastAsia="Arial" w:hAnsi="Arial"/>
                <w:sz w:val="15"/>
                <w:szCs w:val="15"/>
                <w:color w:val="auto"/>
              </w:rPr>
              <w:t>Certification of Chief Executive Officer pursuant to Section 302 of Sarbanes-Oxley Act.</w:t>
            </w:r>
          </w:p>
        </w:tc>
      </w:tr>
      <w:tr>
        <w:trPr>
          <w:trHeight w:val="406"/>
        </w:trPr>
        <w:tc>
          <w:tcPr>
            <w:tcW w:w="580" w:type="dxa"/>
            <w:vAlign w:val="bottom"/>
          </w:tcPr>
          <w:p>
            <w:pPr>
              <w:spacing w:after="0"/>
              <w:rPr>
                <w:sz w:val="20"/>
                <w:szCs w:val="20"/>
                <w:color w:val="auto"/>
              </w:rPr>
            </w:pPr>
            <w:r>
              <w:rPr>
                <w:rFonts w:ascii="Arial" w:cs="Arial" w:eastAsia="Arial" w:hAnsi="Arial"/>
                <w:sz w:val="15"/>
                <w:szCs w:val="15"/>
                <w:color w:val="auto"/>
              </w:rPr>
              <w:t>31.2</w:t>
            </w:r>
          </w:p>
        </w:tc>
        <w:tc>
          <w:tcPr>
            <w:tcW w:w="8480" w:type="dxa"/>
            <w:vAlign w:val="bottom"/>
          </w:tcPr>
          <w:p>
            <w:pPr>
              <w:ind w:left="300"/>
              <w:spacing w:after="0"/>
              <w:rPr>
                <w:sz w:val="20"/>
                <w:szCs w:val="20"/>
                <w:color w:val="auto"/>
              </w:rPr>
            </w:pPr>
            <w:r>
              <w:rPr>
                <w:rFonts w:ascii="Arial" w:cs="Arial" w:eastAsia="Arial" w:hAnsi="Arial"/>
                <w:sz w:val="15"/>
                <w:szCs w:val="15"/>
                <w:color w:val="auto"/>
              </w:rPr>
              <w:t>Certification of Chief Financial Officer pursuant to Section 302 of Sarbanes-Oxley Act.</w:t>
            </w:r>
          </w:p>
        </w:tc>
      </w:tr>
      <w:tr>
        <w:trPr>
          <w:trHeight w:val="406"/>
        </w:trPr>
        <w:tc>
          <w:tcPr>
            <w:tcW w:w="580" w:type="dxa"/>
            <w:vAlign w:val="bottom"/>
          </w:tcPr>
          <w:p>
            <w:pPr>
              <w:spacing w:after="0"/>
              <w:rPr>
                <w:sz w:val="20"/>
                <w:szCs w:val="20"/>
                <w:color w:val="auto"/>
              </w:rPr>
            </w:pPr>
            <w:r>
              <w:rPr>
                <w:rFonts w:ascii="Arial" w:cs="Arial" w:eastAsia="Arial" w:hAnsi="Arial"/>
                <w:sz w:val="15"/>
                <w:szCs w:val="15"/>
                <w:color w:val="auto"/>
              </w:rPr>
              <w:t>32.1</w:t>
            </w:r>
          </w:p>
        </w:tc>
        <w:tc>
          <w:tcPr>
            <w:tcW w:w="8480" w:type="dxa"/>
            <w:vAlign w:val="bottom"/>
          </w:tcPr>
          <w:p>
            <w:pPr>
              <w:ind w:left="300"/>
              <w:spacing w:after="0"/>
              <w:rPr>
                <w:sz w:val="20"/>
                <w:szCs w:val="20"/>
                <w:color w:val="auto"/>
              </w:rPr>
            </w:pPr>
            <w:r>
              <w:rPr>
                <w:rFonts w:ascii="Arial" w:cs="Arial" w:eastAsia="Arial" w:hAnsi="Arial"/>
                <w:sz w:val="15"/>
                <w:szCs w:val="15"/>
                <w:color w:val="auto"/>
              </w:rPr>
              <w:t>Certification of Chief Executive Officer pursuant to Section 906 of Sarbanes-Oxley Act.</w:t>
            </w:r>
          </w:p>
        </w:tc>
      </w:tr>
      <w:tr>
        <w:trPr>
          <w:trHeight w:val="416"/>
        </w:trPr>
        <w:tc>
          <w:tcPr>
            <w:tcW w:w="580" w:type="dxa"/>
            <w:vAlign w:val="bottom"/>
          </w:tcPr>
          <w:p>
            <w:pPr>
              <w:spacing w:after="0"/>
              <w:rPr>
                <w:sz w:val="20"/>
                <w:szCs w:val="20"/>
                <w:color w:val="auto"/>
              </w:rPr>
            </w:pPr>
            <w:r>
              <w:rPr>
                <w:rFonts w:ascii="Arial" w:cs="Arial" w:eastAsia="Arial" w:hAnsi="Arial"/>
                <w:sz w:val="15"/>
                <w:szCs w:val="15"/>
                <w:color w:val="auto"/>
              </w:rPr>
              <w:t>32.2</w:t>
            </w:r>
          </w:p>
        </w:tc>
        <w:tc>
          <w:tcPr>
            <w:tcW w:w="8480" w:type="dxa"/>
            <w:vAlign w:val="bottom"/>
          </w:tcPr>
          <w:p>
            <w:pPr>
              <w:ind w:left="300"/>
              <w:spacing w:after="0"/>
              <w:rPr>
                <w:sz w:val="20"/>
                <w:szCs w:val="20"/>
                <w:color w:val="auto"/>
              </w:rPr>
            </w:pPr>
            <w:r>
              <w:rPr>
                <w:rFonts w:ascii="Arial" w:cs="Arial" w:eastAsia="Arial" w:hAnsi="Arial"/>
                <w:sz w:val="15"/>
                <w:szCs w:val="15"/>
                <w:color w:val="auto"/>
              </w:rPr>
              <w:t>Certification of Chief Financial Officer pursuant to Section 906 of Sarbanes-Oxley Act</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4" w:name="page25"/>
    <w:bookmarkEnd w:id="24"/>
    <w:p>
      <w:pPr>
        <w:jc w:val="center"/>
        <w:ind w:right="-459"/>
        <w:spacing w:after="0"/>
        <w:rPr>
          <w:sz w:val="20"/>
          <w:szCs w:val="20"/>
          <w:color w:val="auto"/>
        </w:rPr>
      </w:pPr>
      <w:r>
        <w:rPr>
          <w:rFonts w:ascii="Arial" w:cs="Arial" w:eastAsia="Arial" w:hAnsi="Arial"/>
          <w:sz w:val="15"/>
          <w:szCs w:val="15"/>
          <w:b w:val="1"/>
          <w:bCs w:val="1"/>
          <w:color w:val="auto"/>
        </w:rPr>
        <w:t>SIGNATURES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(Registrant)</w:t>
      </w:r>
    </w:p>
    <w:p>
      <w:pPr>
        <w:spacing w:after="0" w:line="179"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66675</wp:posOffset>
            </wp:positionV>
            <wp:extent cx="282257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Roderick R. Baty</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Chairman, President and Chief Executive Officer</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66675</wp:posOffset>
            </wp:positionV>
            <wp:extent cx="282257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James H. Dorton</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Vice President - Corporate Development and</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Chief Financial Officer</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(Principal Financial Officer)</w:t>
      </w:r>
    </w:p>
    <w:p>
      <w:pPr>
        <w:spacing w:after="0" w:line="25"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66675</wp:posOffset>
            </wp:positionV>
            <wp:extent cx="282257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William C. Kelly, Jr.</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Vice President and</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Chief Administrative Officer</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980"/>
          </w:cols>
          <w:pgMar w:left="240" w:top="328" w:right="679" w:bottom="1440" w:gutter="0" w:footer="0" w:header="0"/>
        </w:sectPr>
      </w:pPr>
    </w:p>
    <w:bookmarkStart w:id="25" w:name="page26"/>
    <w:bookmarkEnd w:id="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5"/>
          <w:szCs w:val="15"/>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AND AMENDMENT NO. 7 TO CREDIT AGREEMENT</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color w:val="auto"/>
        </w:rPr>
        <w:t xml:space="preserve">THIS CONSENT AND AMENDMENT NO. 7 TO CREDIT AGREEMENT AND WAIVER </w:t>
      </w:r>
      <w:r>
        <w:rPr>
          <w:rFonts w:ascii="Arial" w:cs="Arial" w:eastAsia="Arial" w:hAnsi="Arial"/>
          <w:sz w:val="15"/>
          <w:szCs w:val="15"/>
          <w:color w:val="auto"/>
        </w:rPr>
        <w:t>(this “</w:t>
      </w:r>
      <w:r>
        <w:rPr>
          <w:rFonts w:ascii="Arial" w:cs="Arial" w:eastAsia="Arial" w:hAnsi="Arial"/>
          <w:sz w:val="15"/>
          <w:szCs w:val="15"/>
          <w:u w:val="single" w:color="auto"/>
          <w:color w:val="auto"/>
        </w:rPr>
        <w:t>Amendment</w:t>
      </w:r>
      <w:r>
        <w:rPr>
          <w:rFonts w:ascii="Arial" w:cs="Arial" w:eastAsia="Arial" w:hAnsi="Arial"/>
          <w:sz w:val="15"/>
          <w:szCs w:val="15"/>
          <w:color w:val="auto"/>
        </w:rPr>
        <w:t>”), dated as of March 20, 2006, is made and entered into on the terms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conditions hereinafter set forth, by and among NN, INC., a Delaware corporation (“</w:t>
      </w:r>
      <w:r>
        <w:rPr>
          <w:rFonts w:ascii="Arial" w:cs="Arial" w:eastAsia="Arial" w:hAnsi="Arial"/>
          <w:sz w:val="15"/>
          <w:szCs w:val="15"/>
          <w:u w:val="single" w:color="auto"/>
          <w:color w:val="auto"/>
        </w:rPr>
        <w:t>Domestic Borrower</w:t>
      </w:r>
      <w:r>
        <w:rPr>
          <w:rFonts w:ascii="Arial" w:cs="Arial" w:eastAsia="Arial" w:hAnsi="Arial"/>
          <w:sz w:val="15"/>
          <w:szCs w:val="15"/>
          <w:color w:val="auto"/>
        </w:rPr>
        <w:t>”), NN EUROPE ApS, a Denmark limited liability company (successor by name change to NN Euroball ApS) (“</w:t>
      </w:r>
      <w:r>
        <w:rPr>
          <w:rFonts w:ascii="Arial" w:cs="Arial" w:eastAsia="Arial" w:hAnsi="Arial"/>
          <w:sz w:val="15"/>
          <w:szCs w:val="15"/>
          <w:u w:val="single" w:color="auto"/>
          <w:color w:val="auto"/>
        </w:rPr>
        <w:t>Euro Borrower</w:t>
      </w:r>
      <w:r>
        <w:rPr>
          <w:rFonts w:ascii="Arial" w:cs="Arial" w:eastAsia="Arial" w:hAnsi="Arial"/>
          <w:sz w:val="15"/>
          <w:szCs w:val="15"/>
          <w:color w:val="auto"/>
        </w:rPr>
        <w:t>”; Domestic Borrower and Euro Borrower are sometimes hereinafter individually and collectively referred to as the “</w:t>
      </w:r>
      <w:r>
        <w:rPr>
          <w:rFonts w:ascii="Arial" w:cs="Arial" w:eastAsia="Arial" w:hAnsi="Arial"/>
          <w:sz w:val="15"/>
          <w:szCs w:val="15"/>
          <w:u w:val="single" w:color="auto"/>
          <w:color w:val="auto"/>
        </w:rPr>
        <w:t>Borrower</w:t>
      </w:r>
      <w:r>
        <w:rPr>
          <w:rFonts w:ascii="Arial" w:cs="Arial" w:eastAsia="Arial" w:hAnsi="Arial"/>
          <w:sz w:val="15"/>
          <w:szCs w:val="15"/>
          <w:color w:val="auto"/>
        </w:rPr>
        <w:t>”), all subsidiaries (except for the Euro Borrower) of the Domestic Borrower who are now or hereafter become parties to the Credit Agreement, as hereinafter defined (the “</w:t>
      </w:r>
      <w:r>
        <w:rPr>
          <w:rFonts w:ascii="Arial" w:cs="Arial" w:eastAsia="Arial" w:hAnsi="Arial"/>
          <w:sz w:val="15"/>
          <w:szCs w:val="15"/>
          <w:u w:val="single" w:color="auto"/>
          <w:color w:val="auto"/>
        </w:rPr>
        <w:t>Domestic Guarantors</w:t>
      </w:r>
      <w:r>
        <w:rPr>
          <w:rFonts w:ascii="Arial" w:cs="Arial" w:eastAsia="Arial" w:hAnsi="Arial"/>
          <w:sz w:val="15"/>
          <w:szCs w:val="15"/>
          <w:color w:val="auto"/>
        </w:rPr>
        <w:t>”), the several lenders who are now or hereafter become parties to the Credit Agreement (the “</w:t>
      </w:r>
      <w:r>
        <w:rPr>
          <w:rFonts w:ascii="Arial" w:cs="Arial" w:eastAsia="Arial" w:hAnsi="Arial"/>
          <w:sz w:val="15"/>
          <w:szCs w:val="15"/>
          <w:u w:val="single" w:color="auto"/>
          <w:color w:val="auto"/>
        </w:rPr>
        <w:t>Lenders</w:t>
      </w:r>
      <w:r>
        <w:rPr>
          <w:rFonts w:ascii="Arial" w:cs="Arial" w:eastAsia="Arial" w:hAnsi="Arial"/>
          <w:sz w:val="15"/>
          <w:szCs w:val="15"/>
          <w:color w:val="auto"/>
        </w:rPr>
        <w:t>”), AMSOUTH BANK, an Alabama state bank, individually and as administrative agent for the Lenders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SUNTRUST BANK, as documentation agent and euro loan agent for the Lenders (in such capacity, the “</w:t>
      </w:r>
      <w:r>
        <w:rPr>
          <w:rFonts w:ascii="Arial" w:cs="Arial" w:eastAsia="Arial" w:hAnsi="Arial"/>
          <w:sz w:val="15"/>
          <w:szCs w:val="15"/>
          <w:u w:val="single" w:color="auto"/>
          <w:color w:val="auto"/>
        </w:rPr>
        <w:t>Euro Loan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238" w:lineRule="exact"/>
        <w:rPr>
          <w:sz w:val="20"/>
          <w:szCs w:val="20"/>
          <w:color w:val="auto"/>
        </w:rPr>
      </w:pPr>
    </w:p>
    <w:p>
      <w:pPr>
        <w:jc w:val="both"/>
        <w:ind w:firstLine="532"/>
        <w:spacing w:after="0" w:line="255" w:lineRule="auto"/>
        <w:tabs>
          <w:tab w:leader="none" w:pos="698" w:val="left"/>
        </w:tabs>
        <w:numPr>
          <w:ilvl w:val="0"/>
          <w:numId w:val="4"/>
        </w:numPr>
        <w:rPr>
          <w:rFonts w:ascii="Arial" w:cs="Arial" w:eastAsia="Arial" w:hAnsi="Arial"/>
          <w:sz w:val="15"/>
          <w:szCs w:val="15"/>
          <w:color w:val="auto"/>
        </w:rPr>
      </w:pPr>
      <w:r>
        <w:rPr>
          <w:rFonts w:ascii="Arial" w:cs="Arial" w:eastAsia="Arial" w:hAnsi="Arial"/>
          <w:sz w:val="15"/>
          <w:szCs w:val="15"/>
          <w:color w:val="auto"/>
        </w:rPr>
        <w:t>Pursuant to that certain Credit Agreement dated as of May 1, 2003, by and among the Borrower, the Domestic Guarantors, the Administrative Agent, the Lenders and the Euro Loan Agent, as amended by that certain Amendment No. 1 to Credit Agreement dated August 1, 2003, that certain Amendment No. 2 to Credit Agreement dated March 12, 2004, that certain Amendment No. 3 to Credit Agreement and Waiver dated March 31, 2004, that certain Amendment No. 4 to Credit Agreement dated November 12, 2004, that certain Amendment No. 5 to Credit Agreement dated March 30, 2005 and that certain Consent and Amendment No. 6 dated October 3, 2005 (as the same heretofore may have been and/or hereafter may be further amended, restated, supplemented, extended, renewed, replaced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207" w:lineRule="exact"/>
        <w:rPr>
          <w:rFonts w:ascii="Arial" w:cs="Arial" w:eastAsia="Arial" w:hAnsi="Arial"/>
          <w:sz w:val="15"/>
          <w:szCs w:val="15"/>
          <w:color w:val="auto"/>
        </w:rPr>
      </w:pPr>
    </w:p>
    <w:p>
      <w:pPr>
        <w:ind w:left="680" w:hanging="1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parties hereto desire to further amend the Credit Agreement in certain respects, as more particularly hereinafter set forth.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AGREEMENTS: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good and valuable consideration, the receipt and sufficiency of which are hereby acknowledged, the parties hereto agree as follows:</w:t>
      </w:r>
    </w:p>
    <w:p>
      <w:pPr>
        <w:spacing w:after="0" w:line="234" w:lineRule="exact"/>
        <w:rPr>
          <w:sz w:val="20"/>
          <w:szCs w:val="20"/>
          <w:color w:val="auto"/>
        </w:rPr>
      </w:pPr>
    </w:p>
    <w:p>
      <w:pPr>
        <w:ind w:left="720" w:hanging="188"/>
        <w:spacing w:after="0"/>
        <w:tabs>
          <w:tab w:leader="none" w:pos="7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Clause (h) of Section 9.4 of the Credit Agreement is hereby amended by deleting the existing clause (h) and substituting the following therefore</w:t>
      </w:r>
    </w:p>
    <w:p>
      <w:pPr>
        <w:spacing w:after="0" w:line="237" w:lineRule="exact"/>
        <w:rPr>
          <w:rFonts w:ascii="Arial" w:cs="Arial" w:eastAsia="Arial" w:hAnsi="Arial"/>
          <w:sz w:val="15"/>
          <w:szCs w:val="15"/>
          <w:b w:val="1"/>
          <w:bCs w:val="1"/>
          <w:color w:val="auto"/>
        </w:rPr>
      </w:pPr>
    </w:p>
    <w:p>
      <w:pPr>
        <w:ind w:left="1280" w:hanging="206"/>
        <w:spacing w:after="0"/>
        <w:tabs>
          <w:tab w:leader="none" w:pos="12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additional advances to, and other Investments in Non-Guarantor Subsidiaries in an aggregate outstanding amount not to exceed $6,000,000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2745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ind w:left="20" w:right="320" w:firstLine="542"/>
        <w:spacing w:after="0" w:line="281" w:lineRule="auto"/>
        <w:rPr>
          <w:sz w:val="20"/>
          <w:szCs w:val="20"/>
          <w:color w:val="auto"/>
        </w:rPr>
      </w:pPr>
      <w:r>
        <w:rPr>
          <w:rFonts w:ascii="Arial" w:cs="Arial" w:eastAsia="Arial" w:hAnsi="Arial"/>
          <w:sz w:val="15"/>
          <w:szCs w:val="15"/>
          <w:b w:val="1"/>
          <w:bCs w:val="1"/>
          <w:color w:val="auto"/>
        </w:rPr>
        <w:t xml:space="preserve">2. </w:t>
      </w:r>
      <w:r>
        <w:rPr>
          <w:rFonts w:ascii="Arial" w:cs="Arial" w:eastAsia="Arial" w:hAnsi="Arial"/>
          <w:sz w:val="15"/>
          <w:szCs w:val="15"/>
          <w:b w:val="1"/>
          <w:bCs w:val="1"/>
          <w:u w:val="single" w:color="auto"/>
          <w:color w:val="auto"/>
        </w:rPr>
        <w:t>Schedule 7.1</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7.1</w:t>
      </w:r>
      <w:r>
        <w:rPr>
          <w:rFonts w:ascii="Arial" w:cs="Arial" w:eastAsia="Arial" w:hAnsi="Arial"/>
          <w:sz w:val="15"/>
          <w:szCs w:val="15"/>
          <w:b w:val="1"/>
          <w:bCs w:val="1"/>
          <w:color w:val="auto"/>
        </w:rPr>
        <w:t xml:space="preserve"> </w:t>
      </w:r>
      <w:r>
        <w:rPr>
          <w:rFonts w:ascii="Arial" w:cs="Arial" w:eastAsia="Arial" w:hAnsi="Arial"/>
          <w:sz w:val="15"/>
          <w:szCs w:val="15"/>
          <w:color w:val="auto"/>
        </w:rPr>
        <w:t>to the Credit Agreement,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Capitalization and Jurisdictions of Incorporation and Foreign Qualification</w:t>
      </w:r>
      <w:r>
        <w:rPr>
          <w:rFonts w:ascii="Arial" w:cs="Arial" w:eastAsia="Arial" w:hAnsi="Arial"/>
          <w:sz w:val="15"/>
          <w:szCs w:val="15"/>
          <w:color w:val="auto"/>
        </w:rPr>
        <w:t>, is hereby modified and amended to add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following Non-Guarantor Subsidiary to </w:t>
      </w:r>
      <w:r>
        <w:rPr>
          <w:rFonts w:ascii="Arial" w:cs="Arial" w:eastAsia="Arial" w:hAnsi="Arial"/>
          <w:sz w:val="15"/>
          <w:szCs w:val="15"/>
          <w:u w:val="single" w:color="auto"/>
          <w:color w:val="auto"/>
        </w:rPr>
        <w:t>Schedule 7.1</w:t>
      </w:r>
      <w:r>
        <w:rPr>
          <w:rFonts w:ascii="Arial" w:cs="Arial" w:eastAsia="Arial" w:hAnsi="Arial"/>
          <w:sz w:val="15"/>
          <w:szCs w:val="15"/>
          <w:color w:val="auto"/>
        </w:rPr>
        <w: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Entity</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No. of Shares Outstanding /</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Capitalization as of 12/01/05</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Jurisdiction of Incorporation</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Jurisdiction of Foreign Qualification</w:t>
            </w:r>
          </w:p>
        </w:tc>
      </w:tr>
      <w:tr>
        <w:trPr>
          <w:trHeight w:val="198"/>
        </w:trPr>
        <w:tc>
          <w:tcPr>
            <w:tcW w:w="2740" w:type="dxa"/>
            <w:vAlign w:val="bottom"/>
            <w:tcBorders>
              <w:left w:val="single" w:sz="8" w:color="auto"/>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Ownership</w:t>
            </w:r>
          </w:p>
        </w:tc>
        <w:tc>
          <w:tcPr>
            <w:tcW w:w="208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r>
      <w:tr>
        <w:trPr>
          <w:trHeight w:val="217"/>
        </w:trPr>
        <w:tc>
          <w:tcPr>
            <w:tcW w:w="2740" w:type="dxa"/>
            <w:vAlign w:val="bottom"/>
            <w:tcBorders>
              <w:left w:val="single" w:sz="8" w:color="auto"/>
              <w:bottom w:val="single" w:sz="8" w:color="auto"/>
              <w:right w:val="single" w:sz="8" w:color="auto"/>
            </w:tcBorders>
          </w:tcPr>
          <w:p>
            <w:pPr>
              <w:jc w:val="center"/>
              <w:spacing w:after="0" w:line="205" w:lineRule="exact"/>
              <w:rPr>
                <w:sz w:val="20"/>
                <w:szCs w:val="20"/>
                <w:color w:val="auto"/>
              </w:rPr>
            </w:pPr>
            <w:r>
              <w:rPr>
                <w:rFonts w:ascii="Arial" w:cs="Arial" w:eastAsia="Arial" w:hAnsi="Arial"/>
                <w:sz w:val="14"/>
                <w:szCs w:val="14"/>
                <w:color w:val="auto"/>
                <w:w w:val="97"/>
              </w:rPr>
              <w:t xml:space="preserve">NN Precision Bearing Products C. LTD </w:t>
            </w:r>
            <w:r>
              <w:rPr>
                <w:rFonts w:ascii="Arial" w:cs="Arial" w:eastAsia="Arial" w:hAnsi="Arial"/>
                <w:sz w:val="23"/>
                <w:szCs w:val="23"/>
                <w:color w:val="auto"/>
                <w:w w:val="97"/>
                <w:vertAlign w:val="superscript"/>
              </w:rPr>
              <w:t>4</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2080" w:type="dxa"/>
            <w:vAlign w:val="bottom"/>
            <w:tcBorders>
              <w:bottom w:val="single" w:sz="8" w:color="auto"/>
              <w:right w:val="single" w:sz="8" w:color="auto"/>
            </w:tcBorders>
          </w:tcPr>
          <w:p>
            <w:pPr>
              <w:jc w:val="right"/>
              <w:ind w:right="625"/>
              <w:spacing w:after="0"/>
              <w:rPr>
                <w:sz w:val="20"/>
                <w:szCs w:val="20"/>
                <w:color w:val="auto"/>
              </w:rPr>
            </w:pPr>
            <w:r>
              <w:rPr>
                <w:rFonts w:ascii="Arial" w:cs="Arial" w:eastAsia="Arial" w:hAnsi="Arial"/>
                <w:sz w:val="15"/>
                <w:szCs w:val="15"/>
                <w:color w:val="auto"/>
              </w:rPr>
              <w:t>$ 4,000,000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China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None</w:t>
            </w:r>
          </w:p>
        </w:tc>
      </w:tr>
    </w:tbl>
    <w:p>
      <w:pPr>
        <w:spacing w:after="0" w:line="213" w:lineRule="exact"/>
        <w:rPr>
          <w:sz w:val="20"/>
          <w:szCs w:val="20"/>
          <w:color w:val="auto"/>
        </w:rPr>
      </w:pPr>
    </w:p>
    <w:p>
      <w:pPr>
        <w:ind w:left="1100"/>
        <w:spacing w:after="0"/>
        <w:rPr>
          <w:sz w:val="20"/>
          <w:szCs w:val="20"/>
          <w:color w:val="auto"/>
        </w:rPr>
      </w:pPr>
      <w:r>
        <w:rPr>
          <w:rFonts w:ascii="Arial" w:cs="Arial" w:eastAsia="Arial" w:hAnsi="Arial"/>
          <w:sz w:val="25"/>
          <w:szCs w:val="25"/>
          <w:color w:val="auto"/>
          <w:vertAlign w:val="superscript"/>
        </w:rPr>
        <w:t>4.</w:t>
      </w:r>
      <w:r>
        <w:rPr>
          <w:rFonts w:ascii="Arial" w:cs="Arial" w:eastAsia="Arial" w:hAnsi="Arial"/>
          <w:sz w:val="15"/>
          <w:szCs w:val="15"/>
          <w:color w:val="auto"/>
        </w:rPr>
        <w:t xml:space="preserve"> NN Precision Bearing Products C. LTD is a Non-Guarantor Subsidiary.</w:t>
      </w:r>
    </w:p>
    <w:p>
      <w:pPr>
        <w:spacing w:after="0" w:line="373" w:lineRule="exact"/>
        <w:rPr>
          <w:sz w:val="20"/>
          <w:szCs w:val="20"/>
          <w:color w:val="auto"/>
        </w:rPr>
      </w:pPr>
    </w:p>
    <w:p>
      <w:pPr>
        <w:ind w:left="20" w:right="40" w:firstLine="542"/>
        <w:spacing w:after="0" w:line="255" w:lineRule="auto"/>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b w:val="1"/>
          <w:bCs w:val="1"/>
          <w:u w:val="single" w:color="auto"/>
          <w:color w:val="auto"/>
        </w:rPr>
        <w:t>Consent to Sale of Real Property and Improvements and Application of Proceeds</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has indicated its desire to sell certain outparcel of real property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improvements owned by NN Netherlands B.V. and located in Veenendall, The Netherlands (the "Excess Property"). Borrower represents and warrants to Lenders that the Excess Property is no longer used or useful in the business of Borrower and its Subsidiaries. Borrower expects that the proceeds of the sale of the Excess Property will exceed the limits for sales of assets set forth in </w:t>
      </w:r>
      <w:r>
        <w:rPr>
          <w:rFonts w:ascii="Arial" w:cs="Arial" w:eastAsia="Arial" w:hAnsi="Arial"/>
          <w:sz w:val="15"/>
          <w:szCs w:val="15"/>
          <w:u w:val="single" w:color="auto"/>
          <w:color w:val="auto"/>
        </w:rPr>
        <w:t>subsection 9.3(d)</w:t>
      </w:r>
      <w:r>
        <w:rPr>
          <w:rFonts w:ascii="Arial" w:cs="Arial" w:eastAsia="Arial" w:hAnsi="Arial"/>
          <w:sz w:val="15"/>
          <w:szCs w:val="15"/>
          <w:color w:val="auto"/>
        </w:rPr>
        <w:t xml:space="preserve"> of the Credit Agreement and further has requested that the net proceeds of the sale of the Excess Property be applied to the Loans in a manner other than as provided by the provisions of </w:t>
      </w:r>
      <w:r>
        <w:rPr>
          <w:rFonts w:ascii="Arial" w:cs="Arial" w:eastAsia="Arial" w:hAnsi="Arial"/>
          <w:sz w:val="15"/>
          <w:szCs w:val="15"/>
          <w:u w:val="single" w:color="auto"/>
          <w:color w:val="auto"/>
        </w:rPr>
        <w:t>subsection 3.1.3(b)</w:t>
      </w:r>
      <w:r>
        <w:rPr>
          <w:rFonts w:ascii="Arial" w:cs="Arial" w:eastAsia="Arial" w:hAnsi="Arial"/>
          <w:sz w:val="15"/>
          <w:szCs w:val="15"/>
          <w:color w:val="auto"/>
        </w:rPr>
        <w:t xml:space="preserve"> of the Credit Agreement. Lenders hereby consent to the sale of the Excess Property in the Fiscal Year ending December 31, 2005,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the aggregate Dollar or Dollar Equivalent amount, as applicable, of all sales of assets of the type described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subsection 9.3(d)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Fiscal Year ending December 31, 2005</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(including the sale of the Excess Property) shall not exceed $4,250,000, and all such sales shall be applied against the $10,000,000 limit in </w:t>
      </w:r>
      <w:r>
        <w:rPr>
          <w:rFonts w:ascii="Arial" w:cs="Arial" w:eastAsia="Arial" w:hAnsi="Arial"/>
          <w:sz w:val="15"/>
          <w:szCs w:val="15"/>
          <w:u w:val="single" w:color="auto"/>
          <w:color w:val="auto"/>
        </w:rPr>
        <w:t>subsection 9.3(d)</w:t>
      </w:r>
      <w:r>
        <w:rPr>
          <w:rFonts w:ascii="Arial" w:cs="Arial" w:eastAsia="Arial" w:hAnsi="Arial"/>
          <w:sz w:val="15"/>
          <w:szCs w:val="15"/>
          <w:color w:val="auto"/>
        </w:rPr>
        <w:t xml:space="preserve"> for sales of assets over the term of the Facilities.</w:t>
      </w:r>
    </w:p>
    <w:p>
      <w:pPr>
        <w:spacing w:after="0" w:line="205" w:lineRule="exact"/>
        <w:rPr>
          <w:sz w:val="20"/>
          <w:szCs w:val="20"/>
          <w:color w:val="auto"/>
        </w:rPr>
      </w:pPr>
    </w:p>
    <w:p>
      <w:pPr>
        <w:ind w:left="20" w:right="480" w:firstLine="542"/>
        <w:spacing w:after="0" w:line="281" w:lineRule="auto"/>
        <w:rPr>
          <w:sz w:val="20"/>
          <w:szCs w:val="20"/>
          <w:color w:val="auto"/>
        </w:rPr>
      </w:pPr>
      <w:r>
        <w:rPr>
          <w:rFonts w:ascii="Arial" w:cs="Arial" w:eastAsia="Arial" w:hAnsi="Arial"/>
          <w:sz w:val="15"/>
          <w:szCs w:val="15"/>
          <w:b w:val="1"/>
          <w:bCs w:val="1"/>
          <w:color w:val="auto"/>
        </w:rPr>
        <w:t xml:space="preserve">4. </w:t>
      </w:r>
      <w:r>
        <w:rPr>
          <w:rFonts w:ascii="Arial" w:cs="Arial" w:eastAsia="Arial" w:hAnsi="Arial"/>
          <w:sz w:val="15"/>
          <w:szCs w:val="15"/>
          <w:b w:val="1"/>
          <w:bCs w:val="1"/>
          <w:u w:val="single" w:color="auto"/>
          <w:color w:val="auto"/>
        </w:rPr>
        <w:t>Effectiveness</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shall become effective when the Administrative Agent shall have received counterparts or signature pages executed by the Borrower, the</w:t>
      </w:r>
      <w:r>
        <w:rPr>
          <w:rFonts w:ascii="Arial" w:cs="Arial" w:eastAsia="Arial" w:hAnsi="Arial"/>
          <w:sz w:val="15"/>
          <w:szCs w:val="15"/>
          <w:b w:val="1"/>
          <w:bCs w:val="1"/>
          <w:color w:val="auto"/>
        </w:rPr>
        <w:t xml:space="preserve"> </w:t>
      </w:r>
      <w:r>
        <w:rPr>
          <w:rFonts w:ascii="Arial" w:cs="Arial" w:eastAsia="Arial" w:hAnsi="Arial"/>
          <w:sz w:val="15"/>
          <w:szCs w:val="15"/>
          <w:color w:val="auto"/>
        </w:rPr>
        <w:t>Domestic Guarantors, the Administrative Agent and the Lenders.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b w:val="1"/>
          <w:bCs w:val="1"/>
          <w:u w:val="single" w:color="auto"/>
          <w:color w:val="auto"/>
        </w:rPr>
        <w:t>Representations and Warranties of the Borrower and the Guarantors</w:t>
      </w:r>
      <w:r>
        <w:rPr>
          <w:rFonts w:ascii="Arial" w:cs="Arial" w:eastAsia="Arial" w:hAnsi="Arial"/>
          <w:sz w:val="13"/>
          <w:szCs w:val="13"/>
          <w:b w:val="1"/>
          <w:bCs w:val="1"/>
          <w:color w:val="auto"/>
        </w:rPr>
        <w:t xml:space="preserve">. </w:t>
      </w:r>
      <w:r>
        <w:rPr>
          <w:rFonts w:ascii="Arial" w:cs="Arial" w:eastAsia="Arial" w:hAnsi="Arial"/>
          <w:sz w:val="13"/>
          <w:szCs w:val="13"/>
          <w:color w:val="auto"/>
        </w:rPr>
        <w:t>As an inducement to the Administrative Agent, the Euro Loan Agent and the Lenders to enter into this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Amendment, the Borrower and the Domestic Guarantors hereby represent and warrant to the Administrative Agent, the Euro Loan Agent and the Lenders that, on and as of the date hereof:</w:t>
      </w:r>
    </w:p>
    <w:p>
      <w:pPr>
        <w:spacing w:after="0" w:line="247" w:lineRule="exact"/>
        <w:rPr>
          <w:sz w:val="20"/>
          <w:szCs w:val="20"/>
          <w:color w:val="auto"/>
        </w:rPr>
      </w:pPr>
    </w:p>
    <w:p>
      <w:pPr>
        <w:jc w:val="both"/>
        <w:ind w:left="560" w:firstLine="534"/>
        <w:spacing w:after="0" w:line="263" w:lineRule="auto"/>
        <w:tabs>
          <w:tab w:leader="none" w:pos="1307"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200" w:lineRule="exact"/>
        <w:rPr>
          <w:rFonts w:ascii="Arial" w:cs="Arial" w:eastAsia="Arial" w:hAnsi="Arial"/>
          <w:sz w:val="15"/>
          <w:szCs w:val="15"/>
          <w:color w:val="auto"/>
        </w:rPr>
      </w:pPr>
    </w:p>
    <w:p>
      <w:pPr>
        <w:ind w:left="1300" w:hanging="206"/>
        <w:spacing w:after="0"/>
        <w:tabs>
          <w:tab w:leader="none" w:pos="1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7456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8" w:name="page29"/>
    <w:bookmarkEnd w:id="28"/>
    <w:p>
      <w:pPr>
        <w:ind w:left="720" w:hanging="188"/>
        <w:spacing w:after="0"/>
        <w:tabs>
          <w:tab w:leader="none" w:pos="72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 of Amendment; Continuing Effectiveness of Credit Agreement and Loan Documents</w:t>
      </w:r>
      <w:r>
        <w:rPr>
          <w:rFonts w:ascii="Arial" w:cs="Arial" w:eastAsia="Arial" w:hAnsi="Arial"/>
          <w:sz w:val="15"/>
          <w:szCs w:val="15"/>
          <w:b w:val="1"/>
          <w:bCs w:val="1"/>
          <w:color w:val="auto"/>
        </w:rPr>
        <w:t>.</w:t>
      </w:r>
    </w:p>
    <w:p>
      <w:pPr>
        <w:spacing w:after="0" w:line="237" w:lineRule="exact"/>
        <w:rPr>
          <w:rFonts w:ascii="Arial" w:cs="Arial" w:eastAsia="Arial" w:hAnsi="Arial"/>
          <w:sz w:val="15"/>
          <w:szCs w:val="15"/>
          <w:b w:val="1"/>
          <w:bCs w:val="1"/>
          <w:color w:val="auto"/>
        </w:rPr>
      </w:pPr>
    </w:p>
    <w:p>
      <w:pPr>
        <w:ind w:left="540" w:firstLine="1076"/>
        <w:spacing w:after="0" w:line="259" w:lineRule="auto"/>
        <w:tabs>
          <w:tab w:leader="none" w:pos="1866" w:val="left"/>
        </w:tabs>
        <w:numPr>
          <w:ilvl w:val="1"/>
          <w:numId w:val="7"/>
        </w:numPr>
        <w:rPr>
          <w:rFonts w:ascii="Arial" w:cs="Arial" w:eastAsia="Arial" w:hAnsi="Arial"/>
          <w:sz w:val="15"/>
          <w:szCs w:val="15"/>
          <w:color w:val="auto"/>
        </w:rPr>
      </w:pPr>
      <w:r>
        <w:rPr>
          <w:rFonts w:ascii="Arial" w:cs="Arial" w:eastAsia="Arial" w:hAnsi="Arial"/>
          <w:sz w:val="15"/>
          <w:szCs w:val="15"/>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203" w:lineRule="exact"/>
        <w:rPr>
          <w:rFonts w:ascii="Arial" w:cs="Arial" w:eastAsia="Arial" w:hAnsi="Arial"/>
          <w:sz w:val="15"/>
          <w:szCs w:val="15"/>
          <w:color w:val="auto"/>
        </w:rPr>
      </w:pPr>
    </w:p>
    <w:p>
      <w:pPr>
        <w:ind w:left="540" w:right="380" w:firstLine="1076"/>
        <w:spacing w:after="0" w:line="322" w:lineRule="auto"/>
        <w:tabs>
          <w:tab w:leader="none" w:pos="1872" w:val="left"/>
        </w:tabs>
        <w:numPr>
          <w:ilvl w:val="1"/>
          <w:numId w:val="7"/>
        </w:numPr>
        <w:rPr>
          <w:rFonts w:ascii="Arial" w:cs="Arial" w:eastAsia="Arial" w:hAnsi="Arial"/>
          <w:sz w:val="13"/>
          <w:szCs w:val="13"/>
          <w:color w:val="auto"/>
        </w:rPr>
      </w:pPr>
      <w:r>
        <w:rPr>
          <w:rFonts w:ascii="Arial" w:cs="Arial" w:eastAsia="Arial" w:hAnsi="Arial"/>
          <w:sz w:val="13"/>
          <w:szCs w:val="13"/>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 other Loan Documents and all terms, conditions and provisions thereof shall continue in full force and effect in all respects.</w:t>
      </w:r>
    </w:p>
    <w:p>
      <w:pPr>
        <w:spacing w:after="0" w:line="161" w:lineRule="exact"/>
        <w:rPr>
          <w:rFonts w:ascii="Arial" w:cs="Arial" w:eastAsia="Arial" w:hAnsi="Arial"/>
          <w:sz w:val="13"/>
          <w:szCs w:val="13"/>
          <w:color w:val="auto"/>
        </w:rPr>
      </w:pPr>
    </w:p>
    <w:p>
      <w:pPr>
        <w:ind w:left="720" w:hanging="188"/>
        <w:spacing w:after="0"/>
        <w:tabs>
          <w:tab w:leader="none" w:pos="7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Amendment may be executed in multiple counterparts or copies, each of which shall be deemed an original hereof for all purposes. One or more</w:t>
      </w:r>
    </w:p>
    <w:p>
      <w:pPr>
        <w:spacing w:after="0" w:line="33" w:lineRule="exact"/>
        <w:rPr>
          <w:rFonts w:ascii="Arial" w:cs="Arial" w:eastAsia="Arial" w:hAnsi="Arial"/>
          <w:sz w:val="14"/>
          <w:szCs w:val="14"/>
          <w:b w:val="1"/>
          <w:bCs w:val="1"/>
          <w:color w:val="auto"/>
        </w:rPr>
      </w:pPr>
    </w:p>
    <w:p>
      <w:pPr>
        <w:ind w:right="20"/>
        <w:spacing w:after="0" w:line="274" w:lineRule="auto"/>
        <w:rPr>
          <w:rFonts w:ascii="Arial" w:cs="Arial" w:eastAsia="Arial" w:hAnsi="Arial"/>
          <w:sz w:val="14"/>
          <w:szCs w:val="14"/>
          <w:b w:val="1"/>
          <w:bCs w:val="1"/>
          <w:color w:val="auto"/>
        </w:rPr>
      </w:pPr>
      <w:r>
        <w:rPr>
          <w:rFonts w:ascii="Arial" w:cs="Arial" w:eastAsia="Arial" w:hAnsi="Arial"/>
          <w:sz w:val="14"/>
          <w:szCs w:val="14"/>
          <w:color w:val="auto"/>
        </w:rPr>
        <w:t>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90" w:lineRule="exact"/>
        <w:rPr>
          <w:rFonts w:ascii="Arial" w:cs="Arial" w:eastAsia="Arial" w:hAnsi="Arial"/>
          <w:sz w:val="14"/>
          <w:szCs w:val="14"/>
          <w:b w:val="1"/>
          <w:bCs w:val="1"/>
          <w:color w:val="auto"/>
        </w:rPr>
      </w:pPr>
    </w:p>
    <w:p>
      <w:pPr>
        <w:ind w:left="720" w:hanging="188"/>
        <w:spacing w:after="0"/>
        <w:tabs>
          <w:tab w:leader="none" w:pos="72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237" w:lineRule="exact"/>
        <w:rPr>
          <w:rFonts w:ascii="Arial" w:cs="Arial" w:eastAsia="Arial" w:hAnsi="Arial"/>
          <w:sz w:val="15"/>
          <w:szCs w:val="15"/>
          <w:b w:val="1"/>
          <w:bCs w:val="1"/>
          <w:color w:val="auto"/>
        </w:rPr>
      </w:pPr>
    </w:p>
    <w:p>
      <w:pPr>
        <w:ind w:left="540" w:right="280" w:firstLine="1076"/>
        <w:spacing w:after="0" w:line="275" w:lineRule="auto"/>
        <w:tabs>
          <w:tab w:leader="none" w:pos="1863" w:val="left"/>
        </w:tabs>
        <w:numPr>
          <w:ilvl w:val="1"/>
          <w:numId w:val="7"/>
        </w:numPr>
        <w:rPr>
          <w:rFonts w:ascii="Arial" w:cs="Arial" w:eastAsia="Arial" w:hAnsi="Arial"/>
          <w:sz w:val="15"/>
          <w:szCs w:val="15"/>
          <w:color w:val="auto"/>
        </w:rPr>
      </w:pPr>
      <w:r>
        <w:rPr>
          <w:rFonts w:ascii="Arial" w:cs="Arial" w:eastAsia="Arial" w:hAnsi="Arial"/>
          <w:sz w:val="15"/>
          <w:szCs w:val="15"/>
          <w:color w:val="auto"/>
        </w:rPr>
        <w:t>This Amendment shall be governed by, construed and enforced in accordance with the laws of the State of Tennessee, without reference to the conflicts or choice of law principles thereof.</w:t>
      </w:r>
    </w:p>
    <w:p>
      <w:pPr>
        <w:spacing w:after="0" w:line="191" w:lineRule="exact"/>
        <w:rPr>
          <w:rFonts w:ascii="Arial" w:cs="Arial" w:eastAsia="Arial" w:hAnsi="Arial"/>
          <w:sz w:val="15"/>
          <w:szCs w:val="15"/>
          <w:color w:val="auto"/>
        </w:rPr>
      </w:pPr>
    </w:p>
    <w:p>
      <w:pPr>
        <w:ind w:left="540" w:right="440" w:firstLine="1076"/>
        <w:spacing w:after="0" w:line="275" w:lineRule="auto"/>
        <w:tabs>
          <w:tab w:leader="none" w:pos="1872"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520" w:firstLine="1076"/>
        <w:spacing w:after="0" w:line="275" w:lineRule="auto"/>
        <w:tabs>
          <w:tab w:leader="none" w:pos="1318"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91" w:lineRule="exact"/>
        <w:rPr>
          <w:rFonts w:ascii="Arial" w:cs="Arial" w:eastAsia="Arial" w:hAnsi="Arial"/>
          <w:sz w:val="15"/>
          <w:szCs w:val="15"/>
          <w:color w:val="auto"/>
        </w:rPr>
      </w:pPr>
    </w:p>
    <w:p>
      <w:pPr>
        <w:ind w:firstLine="1076"/>
        <w:spacing w:after="0" w:line="263" w:lineRule="auto"/>
        <w:tabs>
          <w:tab w:leader="none" w:pos="1332"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55880</wp:posOffset>
            </wp:positionV>
            <wp:extent cx="72745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800"/>
          </w:cols>
          <w:pgMar w:left="78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Amendment to be duly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ind w:left="20"/>
              <w:spacing w:after="0"/>
              <w:rPr>
                <w:sz w:val="20"/>
                <w:szCs w:val="20"/>
                <w:color w:val="auto"/>
              </w:rPr>
            </w:pPr>
            <w:r>
              <w:rPr>
                <w:rFonts w:ascii="Arial" w:cs="Arial" w:eastAsia="Arial" w:hAnsi="Arial"/>
                <w:sz w:val="15"/>
                <w:szCs w:val="15"/>
                <w:b w:val="1"/>
                <w:bCs w:val="1"/>
                <w:color w:val="auto"/>
              </w:rPr>
              <w:t>BORROWER:</w:t>
            </w:r>
          </w:p>
        </w:tc>
        <w:tc>
          <w:tcPr>
            <w:tcW w:w="7060" w:type="dxa"/>
            <w:vAlign w:val="bottom"/>
            <w:gridSpan w:val="3"/>
          </w:tcPr>
          <w:p>
            <w:pPr>
              <w:ind w:left="2360"/>
              <w:spacing w:after="0"/>
              <w:rPr>
                <w:sz w:val="20"/>
                <w:szCs w:val="20"/>
                <w:color w:val="auto"/>
              </w:rPr>
            </w:pPr>
            <w:r>
              <w:rPr>
                <w:rFonts w:ascii="Arial" w:cs="Arial" w:eastAsia="Arial" w:hAnsi="Arial"/>
                <w:sz w:val="15"/>
                <w:szCs w:val="15"/>
                <w:b w:val="1"/>
                <w:bCs w:val="1"/>
                <w:color w:val="auto"/>
              </w:rPr>
              <w:t>NN, INC.</w:t>
            </w:r>
            <w:r>
              <w:rPr>
                <w:rFonts w:ascii="Arial" w:cs="Arial" w:eastAsia="Arial" w:hAnsi="Arial"/>
                <w:sz w:val="15"/>
                <w:szCs w:val="15"/>
                <w:color w:val="auto"/>
              </w:rPr>
              <w:t>,</w:t>
            </w:r>
          </w:p>
        </w:tc>
        <w:tc>
          <w:tcPr>
            <w:tcW w:w="1080" w:type="dxa"/>
            <w:vAlign w:val="bottom"/>
          </w:tcPr>
          <w:p>
            <w:pPr>
              <w:spacing w:after="0"/>
              <w:rPr>
                <w:sz w:val="16"/>
                <w:szCs w:val="16"/>
                <w:color w:val="auto"/>
              </w:rPr>
            </w:pPr>
          </w:p>
        </w:tc>
      </w:tr>
      <w:tr>
        <w:trPr>
          <w:trHeight w:val="190"/>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Delaware corporation</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William C. Kelly, Jr.</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Name: William C. Kelly, Jr.</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Title: Secretary, Treasurer and Chief Administrative</w:t>
            </w:r>
          </w:p>
        </w:tc>
        <w:tc>
          <w:tcPr>
            <w:tcW w:w="1080" w:type="dxa"/>
            <w:vAlign w:val="bottom"/>
          </w:tcPr>
          <w:p>
            <w:pPr>
              <w:spacing w:after="0"/>
              <w:rPr>
                <w:sz w:val="16"/>
                <w:szCs w:val="16"/>
                <w:color w:val="auto"/>
              </w:rPr>
            </w:pPr>
          </w:p>
        </w:tc>
      </w:tr>
      <w:tr>
        <w:trPr>
          <w:trHeight w:val="203"/>
        </w:trPr>
        <w:tc>
          <w:tcPr>
            <w:tcW w:w="3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Pr>
          <w:p>
            <w:pPr>
              <w:ind w:left="400"/>
              <w:spacing w:after="0"/>
              <w:rPr>
                <w:sz w:val="20"/>
                <w:szCs w:val="20"/>
                <w:color w:val="auto"/>
              </w:rPr>
            </w:pPr>
            <w:r>
              <w:rPr>
                <w:rFonts w:ascii="Arial" w:cs="Arial" w:eastAsia="Arial" w:hAnsi="Arial"/>
                <w:sz w:val="15"/>
                <w:szCs w:val="15"/>
                <w:color w:val="auto"/>
              </w:rPr>
              <w:t>Officer</w:t>
            </w:r>
          </w:p>
        </w:tc>
        <w:tc>
          <w:tcPr>
            <w:tcW w:w="1080" w:type="dxa"/>
            <w:vAlign w:val="bottom"/>
          </w:tcPr>
          <w:p>
            <w:pPr>
              <w:spacing w:after="0"/>
              <w:rPr>
                <w:sz w:val="17"/>
                <w:szCs w:val="17"/>
                <w:color w:val="auto"/>
              </w:rPr>
            </w:pPr>
          </w:p>
        </w:tc>
      </w:tr>
      <w:tr>
        <w:trPr>
          <w:trHeight w:val="799"/>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NN EUROPE ApS</w:t>
            </w:r>
            <w:r>
              <w:rPr>
                <w:rFonts w:ascii="Arial" w:cs="Arial" w:eastAsia="Arial" w:hAnsi="Arial"/>
                <w:sz w:val="15"/>
                <w:szCs w:val="15"/>
                <w:color w:val="auto"/>
              </w:rPr>
              <w:t>, a Denmark limited liability company</w:t>
            </w:r>
          </w:p>
        </w:tc>
        <w:tc>
          <w:tcPr>
            <w:tcW w:w="1080" w:type="dxa"/>
            <w:vAlign w:val="bottom"/>
          </w:tcPr>
          <w:p>
            <w:pPr>
              <w:spacing w:after="0"/>
              <w:rPr>
                <w:sz w:val="24"/>
                <w:szCs w:val="24"/>
                <w:color w:val="auto"/>
              </w:rPr>
            </w:pPr>
          </w:p>
        </w:tc>
      </w:tr>
      <w:tr>
        <w:trPr>
          <w:trHeight w:val="194"/>
        </w:trPr>
        <w:tc>
          <w:tcPr>
            <w:tcW w:w="3300" w:type="dxa"/>
            <w:vAlign w:val="bottom"/>
          </w:tcPr>
          <w:p>
            <w:pPr>
              <w:spacing w:after="0"/>
              <w:rPr>
                <w:sz w:val="16"/>
                <w:szCs w:val="16"/>
                <w:color w:val="auto"/>
              </w:rPr>
            </w:pPr>
          </w:p>
        </w:tc>
        <w:tc>
          <w:tcPr>
            <w:tcW w:w="7060" w:type="dxa"/>
            <w:vAlign w:val="bottom"/>
            <w:gridSpan w:val="3"/>
          </w:tcPr>
          <w:p>
            <w:pPr>
              <w:ind w:left="2360"/>
              <w:spacing w:after="0"/>
              <w:rPr>
                <w:sz w:val="20"/>
                <w:szCs w:val="20"/>
                <w:color w:val="auto"/>
              </w:rPr>
            </w:pPr>
            <w:r>
              <w:rPr>
                <w:rFonts w:ascii="Arial" w:cs="Arial" w:eastAsia="Arial" w:hAnsi="Arial"/>
                <w:sz w:val="15"/>
                <w:szCs w:val="15"/>
                <w:b w:val="1"/>
                <w:bCs w:val="1"/>
                <w:color w:val="auto"/>
              </w:rPr>
              <w:t>(successor by name change to NN Euroball ApS</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William C. Kelly, Jr.</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60" w:type="dxa"/>
            <w:vAlign w:val="bottom"/>
            <w:tcBorders>
              <w:bottom w:val="single" w:sz="8" w:color="808080"/>
            </w:tcBorders>
            <w:gridSpan w:val="2"/>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Name: William C. Kelly, Jr.</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Title: Secretary, Treasurer and Chief Administrative</w:t>
            </w:r>
          </w:p>
        </w:tc>
        <w:tc>
          <w:tcPr>
            <w:tcW w:w="1080" w:type="dxa"/>
            <w:vAlign w:val="bottom"/>
          </w:tcPr>
          <w:p>
            <w:pPr>
              <w:spacing w:after="0"/>
              <w:rPr>
                <w:sz w:val="16"/>
                <w:szCs w:val="16"/>
                <w:color w:val="auto"/>
              </w:rPr>
            </w:pPr>
          </w:p>
        </w:tc>
      </w:tr>
      <w:tr>
        <w:trPr>
          <w:trHeight w:val="203"/>
        </w:trPr>
        <w:tc>
          <w:tcPr>
            <w:tcW w:w="3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Pr>
          <w:p>
            <w:pPr>
              <w:ind w:left="380"/>
              <w:spacing w:after="0"/>
              <w:rPr>
                <w:sz w:val="20"/>
                <w:szCs w:val="20"/>
                <w:color w:val="auto"/>
              </w:rPr>
            </w:pPr>
            <w:r>
              <w:rPr>
                <w:rFonts w:ascii="Arial" w:cs="Arial" w:eastAsia="Arial" w:hAnsi="Arial"/>
                <w:sz w:val="15"/>
                <w:szCs w:val="15"/>
                <w:color w:val="auto"/>
              </w:rPr>
              <w:t>Officer</w:t>
            </w:r>
          </w:p>
        </w:tc>
        <w:tc>
          <w:tcPr>
            <w:tcW w:w="1080" w:type="dxa"/>
            <w:vAlign w:val="bottom"/>
          </w:tcPr>
          <w:p>
            <w:pPr>
              <w:spacing w:after="0"/>
              <w:rPr>
                <w:sz w:val="17"/>
                <w:szCs w:val="17"/>
                <w:color w:val="auto"/>
              </w:rPr>
            </w:pPr>
          </w:p>
        </w:tc>
      </w:tr>
      <w:tr>
        <w:trPr>
          <w:trHeight w:val="803"/>
        </w:trPr>
        <w:tc>
          <w:tcPr>
            <w:tcW w:w="3300" w:type="dxa"/>
            <w:vAlign w:val="bottom"/>
          </w:tcPr>
          <w:p>
            <w:pPr>
              <w:ind w:left="20"/>
              <w:spacing w:after="0"/>
              <w:rPr>
                <w:sz w:val="20"/>
                <w:szCs w:val="20"/>
                <w:color w:val="auto"/>
              </w:rPr>
            </w:pPr>
            <w:r>
              <w:rPr>
                <w:rFonts w:ascii="Arial" w:cs="Arial" w:eastAsia="Arial" w:hAnsi="Arial"/>
                <w:sz w:val="15"/>
                <w:szCs w:val="15"/>
                <w:b w:val="1"/>
                <w:bCs w:val="1"/>
                <w:color w:val="auto"/>
              </w:rPr>
              <w:t>DOMESTIC GUARANTORS</w:t>
            </w:r>
            <w:r>
              <w:rPr>
                <w:rFonts w:ascii="Arial" w:cs="Arial" w:eastAsia="Arial" w:hAnsi="Arial"/>
                <w:sz w:val="15"/>
                <w:szCs w:val="15"/>
                <w:color w:val="auto"/>
              </w:rPr>
              <w:t>:</w:t>
            </w: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INDUSTRIAL MOLDING GP, LLC,</w:t>
            </w:r>
          </w:p>
        </w:tc>
        <w:tc>
          <w:tcPr>
            <w:tcW w:w="1080" w:type="dxa"/>
            <w:vAlign w:val="bottom"/>
          </w:tcPr>
          <w:p>
            <w:pPr>
              <w:spacing w:after="0"/>
              <w:rPr>
                <w:sz w:val="24"/>
                <w:szCs w:val="24"/>
                <w:color w:val="auto"/>
              </w:rPr>
            </w:pPr>
          </w:p>
        </w:tc>
      </w:tr>
      <w:tr>
        <w:trPr>
          <w:trHeight w:val="190"/>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Delaware limited liability company</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Roderick Baty</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Name: Roderick Baty</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Title: Manager</w:t>
            </w:r>
          </w:p>
        </w:tc>
        <w:tc>
          <w:tcPr>
            <w:tcW w:w="1080" w:type="dxa"/>
            <w:vAlign w:val="bottom"/>
          </w:tcPr>
          <w:p>
            <w:pPr>
              <w:spacing w:after="0"/>
              <w:rPr>
                <w:sz w:val="16"/>
                <w:szCs w:val="16"/>
                <w:color w:val="auto"/>
              </w:rPr>
            </w:pPr>
          </w:p>
        </w:tc>
      </w:tr>
      <w:tr>
        <w:trPr>
          <w:trHeight w:val="103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INDUSTRIAL MOLDING LP, LLC,</w:t>
            </w:r>
          </w:p>
        </w:tc>
        <w:tc>
          <w:tcPr>
            <w:tcW w:w="1080" w:type="dxa"/>
            <w:vAlign w:val="bottom"/>
          </w:tcPr>
          <w:p>
            <w:pPr>
              <w:spacing w:after="0"/>
              <w:rPr>
                <w:sz w:val="24"/>
                <w:szCs w:val="24"/>
                <w:color w:val="auto"/>
              </w:rPr>
            </w:pPr>
          </w:p>
        </w:tc>
      </w:tr>
      <w:tr>
        <w:trPr>
          <w:trHeight w:val="187"/>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Tennessee limited liability company</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William C. Kelly, Jr.</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60" w:type="dxa"/>
            <w:vAlign w:val="bottom"/>
            <w:tcBorders>
              <w:bottom w:val="single" w:sz="8" w:color="808080"/>
            </w:tcBorders>
            <w:gridSpan w:val="2"/>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Name: William C. Kelly, Jr.</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Title: Manager</w:t>
            </w:r>
          </w:p>
        </w:tc>
        <w:tc>
          <w:tcPr>
            <w:tcW w:w="1080" w:type="dxa"/>
            <w:vAlign w:val="bottom"/>
          </w:tcPr>
          <w:p>
            <w:pPr>
              <w:spacing w:after="0"/>
              <w:rPr>
                <w:sz w:val="16"/>
                <w:szCs w:val="16"/>
                <w:color w:val="auto"/>
              </w:rPr>
            </w:pPr>
          </w:p>
        </w:tc>
      </w:tr>
      <w:tr>
        <w:trPr>
          <w:trHeight w:val="392"/>
        </w:trPr>
        <w:tc>
          <w:tcPr>
            <w:tcW w:w="3300" w:type="dxa"/>
            <w:vAlign w:val="bottom"/>
          </w:tcPr>
          <w:p>
            <w:pPr>
              <w:spacing w:after="0"/>
              <w:rPr>
                <w:sz w:val="24"/>
                <w:szCs w:val="24"/>
                <w:color w:val="auto"/>
              </w:rPr>
            </w:pPr>
          </w:p>
        </w:tc>
        <w:tc>
          <w:tcPr>
            <w:tcW w:w="7060" w:type="dxa"/>
            <w:vAlign w:val="bottom"/>
            <w:gridSpan w:val="3"/>
          </w:tcPr>
          <w:p>
            <w:pPr>
              <w:ind w:left="1320"/>
              <w:spacing w:after="0"/>
              <w:rPr>
                <w:sz w:val="20"/>
                <w:szCs w:val="20"/>
                <w:color w:val="auto"/>
              </w:rPr>
            </w:pPr>
            <w:r>
              <w:rPr>
                <w:rFonts w:ascii="Arial" w:cs="Arial" w:eastAsia="Arial" w:hAnsi="Arial"/>
                <w:sz w:val="15"/>
                <w:szCs w:val="15"/>
                <w:b w:val="1"/>
                <w:bCs w:val="1"/>
                <w:color w:val="auto"/>
              </w:rPr>
              <w:t>[Signatures Continued Next Page]</w:t>
            </w:r>
          </w:p>
        </w:tc>
        <w:tc>
          <w:tcPr>
            <w:tcW w:w="1080" w:type="dxa"/>
            <w:vAlign w:val="bottom"/>
          </w:tcPr>
          <w:p>
            <w:pPr>
              <w:spacing w:after="0"/>
              <w:rPr>
                <w:sz w:val="24"/>
                <w:szCs w:val="24"/>
                <w:color w:val="auto"/>
              </w:rPr>
            </w:pPr>
          </w:p>
        </w:tc>
      </w:tr>
      <w:tr>
        <w:trPr>
          <w:trHeight w:val="153"/>
        </w:trPr>
        <w:tc>
          <w:tcPr>
            <w:tcW w:w="3300" w:type="dxa"/>
            <w:vAlign w:val="bottom"/>
          </w:tcPr>
          <w:p>
            <w:pPr>
              <w:spacing w:after="0"/>
              <w:rPr>
                <w:sz w:val="13"/>
                <w:szCs w:val="13"/>
                <w:color w:val="auto"/>
              </w:rPr>
            </w:pPr>
          </w:p>
        </w:tc>
        <w:tc>
          <w:tcPr>
            <w:tcW w:w="2600" w:type="dxa"/>
            <w:vAlign w:val="bottom"/>
          </w:tcPr>
          <w:p>
            <w:pPr>
              <w:ind w:left="238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84"/>
        </w:trPr>
        <w:tc>
          <w:tcPr>
            <w:tcW w:w="3300" w:type="dxa"/>
            <w:vAlign w:val="bottom"/>
            <w:tcBorders>
              <w:bottom w:val="single" w:sz="8" w:color="808080"/>
            </w:tcBorders>
          </w:tcPr>
          <w:p>
            <w:pPr>
              <w:spacing w:after="0"/>
              <w:rPr>
                <w:sz w:val="7"/>
                <w:szCs w:val="7"/>
                <w:color w:val="auto"/>
              </w:rPr>
            </w:pPr>
          </w:p>
        </w:tc>
        <w:tc>
          <w:tcPr>
            <w:tcW w:w="26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6564630</wp:posOffset>
            </wp:positionH>
            <wp:positionV relativeFrom="paragraph">
              <wp:posOffset>-5109845</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-5109845</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-3647440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-3647440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-2185035</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-2185035</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-708025</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-708025</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757" w:right="219" w:bottom="1440" w:gutter="0" w:footer="0" w:header="0"/>
        </w:sectPr>
      </w:pPr>
    </w:p>
    <w:bookmarkStart w:id="31" w:name="page32"/>
    <w:bookmarkEnd w:id="31"/>
    <w:p>
      <w:pPr>
        <w:ind w:left="4420"/>
        <w:spacing w:after="0"/>
        <w:rPr>
          <w:sz w:val="20"/>
          <w:szCs w:val="20"/>
          <w:color w:val="auto"/>
        </w:rPr>
      </w:pPr>
      <w:r>
        <w:rPr>
          <w:rFonts w:ascii="Arial" w:cs="Arial" w:eastAsia="Arial" w:hAnsi="Arial"/>
          <w:sz w:val="15"/>
          <w:szCs w:val="15"/>
          <w:b w:val="1"/>
          <w:bCs w:val="1"/>
          <w:color w:val="auto"/>
        </w:rPr>
        <w:t>INDUSTRIAL MOLDING LP, LLC</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Tennessee limited liability company</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By: Industrial Molding GP, LLC, a Delaware limited</w:t>
      </w:r>
    </w:p>
    <w:p>
      <w:pPr>
        <w:spacing w:after="0" w:line="29"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liability company, its general partner</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Roderick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Roderick Baty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Manager</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DELTA RUBBER COMPANY,</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Connecticut corporation</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Paul N. Fortier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66675</wp:posOffset>
            </wp:positionV>
            <wp:extent cx="282257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Name: Paul Fortier</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KUGELFERTIGUNG ELTMANN GmbH,</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German Company</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William C. Kelly, Jr.</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Wolfgang Bartel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Wolfgang Bartel</w:t>
      </w:r>
    </w:p>
    <w:p>
      <w:pPr>
        <w:spacing w:after="0" w:line="18"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right="2859" w:hanging="8"/>
        <w:spacing w:after="0" w:line="281" w:lineRule="auto"/>
        <w:tabs>
          <w:tab w:leader="none" w:pos="4675"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NETHERLANDS B.V., </w:t>
      </w:r>
      <w:r>
        <w:rPr>
          <w:rFonts w:ascii="Arial" w:cs="Arial" w:eastAsia="Arial" w:hAnsi="Arial"/>
          <w:sz w:val="14"/>
          <w:szCs w:val="14"/>
          <w:color w:val="auto"/>
        </w:rPr>
        <w:t>a Dutch company</w:t>
      </w: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William C. Kelly, Jr.</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[Signatures Continued Next Page</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55880</wp:posOffset>
            </wp:positionV>
            <wp:extent cx="727456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983" w:right="1440" w:bottom="1440" w:gutter="0" w:footer="0" w:header="0"/>
        </w:sectPr>
      </w:pPr>
    </w:p>
    <w:bookmarkStart w:id="32" w:name="page33"/>
    <w:bookmarkEnd w:id="32"/>
    <w:p>
      <w:pPr>
        <w:ind w:left="5600"/>
        <w:spacing w:after="0"/>
        <w:rPr>
          <w:sz w:val="20"/>
          <w:szCs w:val="20"/>
          <w:color w:val="auto"/>
        </w:rPr>
      </w:pPr>
      <w:r>
        <w:rPr>
          <w:rFonts w:ascii="Arial" w:cs="Arial" w:eastAsia="Arial" w:hAnsi="Arial"/>
          <w:sz w:val="15"/>
          <w:szCs w:val="15"/>
          <w:b w:val="1"/>
          <w:bCs w:val="1"/>
          <w:color w:val="auto"/>
        </w:rPr>
        <w:t>NN EUROBALL IRELAND LIMITED</w:t>
      </w:r>
      <w:r>
        <w:rPr>
          <w:rFonts w:ascii="Arial" w:cs="Arial" w:eastAsia="Arial" w:hAnsi="Arial"/>
          <w:sz w:val="15"/>
          <w:szCs w:val="15"/>
          <w:color w:val="auto"/>
        </w:rPr>
        <w:t>,</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an Irish company</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Roderick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66675</wp:posOffset>
            </wp:positionV>
            <wp:extent cx="282257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Name: Roderick Baty</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Director</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NN HOLDINGS, B.V.,</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 Dutch company</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William C. Kelly, Jr.</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Director of NN Netherlands B.V., the Director</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of NN Holdings B.V.</w:t>
      </w:r>
    </w:p>
    <w:p>
      <w:pPr>
        <w:spacing w:after="0" w:line="200" w:lineRule="exact"/>
        <w:rPr>
          <w:sz w:val="20"/>
          <w:szCs w:val="20"/>
          <w:color w:val="auto"/>
        </w:rPr>
      </w:pPr>
    </w:p>
    <w:p>
      <w:pPr>
        <w:spacing w:after="0" w:line="388"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NN SLOVAKIA, s.r.o.</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William C. Kelly, Jr.</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Director</w:t>
      </w:r>
    </w:p>
    <w:p>
      <w:pPr>
        <w:spacing w:after="0" w:line="379" w:lineRule="exact"/>
        <w:rPr>
          <w:sz w:val="20"/>
          <w:szCs w:val="20"/>
          <w:color w:val="auto"/>
        </w:rPr>
      </w:pPr>
    </w:p>
    <w:p>
      <w:pPr>
        <w:spacing w:after="0"/>
        <w:tabs>
          <w:tab w:leader="none" w:pos="5580" w:val="left"/>
        </w:tabs>
        <w:rPr>
          <w:sz w:val="20"/>
          <w:szCs w:val="20"/>
          <w:color w:val="auto"/>
        </w:rPr>
      </w:pPr>
      <w:r>
        <w:rPr>
          <w:rFonts w:ascii="Arial" w:cs="Arial" w:eastAsia="Arial" w:hAnsi="Arial"/>
          <w:sz w:val="15"/>
          <w:szCs w:val="15"/>
          <w:b w:val="1"/>
          <w:bCs w:val="1"/>
          <w:color w:val="auto"/>
        </w:rPr>
        <w:t>LENDERS:</w:t>
      </w:r>
      <w:r>
        <w:rPr>
          <w:sz w:val="20"/>
          <w:szCs w:val="20"/>
          <w:color w:val="auto"/>
        </w:rPr>
        <w:tab/>
      </w:r>
      <w:r>
        <w:rPr>
          <w:rFonts w:ascii="Arial" w:cs="Arial" w:eastAsia="Arial" w:hAnsi="Arial"/>
          <w:sz w:val="15"/>
          <w:szCs w:val="15"/>
          <w:b w:val="1"/>
          <w:bCs w:val="1"/>
          <w:color w:val="auto"/>
        </w:rPr>
        <w:t>AMSOUTH BANK</w:t>
      </w:r>
      <w:r>
        <w:rPr>
          <w:rFonts w:ascii="Arial" w:cs="Arial" w:eastAsia="Arial" w:hAnsi="Arial"/>
          <w:sz w:val="15"/>
          <w:szCs w:val="15"/>
          <w:color w:val="auto"/>
        </w:rPr>
        <w:t>, as a Lender</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Robert 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66675</wp:posOffset>
            </wp:positionV>
            <wp:extent cx="282257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Name: Robert T. Page</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V.P.</w:t>
      </w:r>
    </w:p>
    <w:p>
      <w:pPr>
        <w:spacing w:after="0" w:line="379" w:lineRule="exact"/>
        <w:rPr>
          <w:sz w:val="20"/>
          <w:szCs w:val="20"/>
          <w:color w:val="auto"/>
        </w:rPr>
      </w:pPr>
    </w:p>
    <w:p>
      <w:pPr>
        <w:jc w:val="right"/>
        <w:ind w:right="79"/>
        <w:spacing w:after="0"/>
        <w:rPr>
          <w:sz w:val="20"/>
          <w:szCs w:val="20"/>
          <w:color w:val="auto"/>
        </w:rPr>
      </w:pPr>
      <w:r>
        <w:rPr>
          <w:rFonts w:ascii="Arial" w:cs="Arial" w:eastAsia="Arial" w:hAnsi="Arial"/>
          <w:sz w:val="15"/>
          <w:szCs w:val="15"/>
          <w:b w:val="1"/>
          <w:bCs w:val="1"/>
          <w:color w:val="auto"/>
        </w:rPr>
        <w:t>FIRST TENNESSEE BANK NATIONAL ASSOCIATION</w:t>
      </w:r>
      <w:r>
        <w:rPr>
          <w:rFonts w:ascii="Arial" w:cs="Arial" w:eastAsia="Arial" w:hAnsi="Arial"/>
          <w:sz w:val="15"/>
          <w:szCs w:val="15"/>
          <w:color w:val="auto"/>
        </w:rPr>
        <w:t>, as a Lender</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Vincent K. Hickam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Vincent K. Hickam</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[Signatures Continued Next Page]</w:t>
      </w: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27456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199"/>
          </w:cols>
          <w:pgMar w:left="260" w:top="509" w:right="1440" w:bottom="1440" w:gutter="0" w:footer="0" w:header="0"/>
        </w:sectPr>
      </w:pPr>
    </w:p>
    <w:bookmarkStart w:id="33" w:name="page34"/>
    <w:bookmarkEnd w:id="33"/>
    <w:p>
      <w:pPr>
        <w:ind w:left="4420"/>
        <w:spacing w:after="0"/>
        <w:rPr>
          <w:sz w:val="20"/>
          <w:szCs w:val="20"/>
          <w:color w:val="auto"/>
        </w:rPr>
      </w:pPr>
      <w:r>
        <w:rPr>
          <w:rFonts w:ascii="Arial" w:cs="Arial" w:eastAsia="Arial" w:hAnsi="Arial"/>
          <w:sz w:val="14"/>
          <w:szCs w:val="14"/>
          <w:b w:val="1"/>
          <w:bCs w:val="1"/>
          <w:color w:val="auto"/>
        </w:rPr>
        <w:t xml:space="preserve">REGIONS BANK </w:t>
      </w:r>
      <w:r>
        <w:rPr>
          <w:rFonts w:ascii="Arial" w:cs="Arial" w:eastAsia="Arial" w:hAnsi="Arial"/>
          <w:sz w:val="14"/>
          <w:szCs w:val="14"/>
          <w:color w:val="auto"/>
        </w:rPr>
        <w:t>(successor to UNION PLANTERS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BANK, NATIONAL ASSOCIATION), as a Lender</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Vice President</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INTEGRA BANK, N.A.</w:t>
      </w:r>
      <w:r>
        <w:rPr>
          <w:rFonts w:ascii="Arial" w:cs="Arial" w:eastAsia="Arial" w:hAnsi="Arial"/>
          <w:sz w:val="18"/>
          <w:szCs w:val="18"/>
          <w:color w:val="auto"/>
        </w:rPr>
        <w:t>, as a Lender</w:t>
      </w:r>
    </w:p>
    <w:p>
      <w:pPr>
        <w:spacing w:after="0" w:line="36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Jeffrey D.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66675</wp:posOffset>
            </wp:positionV>
            <wp:extent cx="282257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Name: Jeffrey D. Jackson</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SUNTRUST BANK</w:t>
      </w:r>
      <w:r>
        <w:rPr>
          <w:rFonts w:ascii="Arial" w:cs="Arial" w:eastAsia="Arial" w:hAnsi="Arial"/>
          <w:sz w:val="13"/>
          <w:szCs w:val="13"/>
          <w:color w:val="auto"/>
        </w:rPr>
        <w:t>, as a Lender and Euro Loan Agent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Robert C. Chadwell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66675</wp:posOffset>
            </wp:positionV>
            <wp:extent cx="282257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Name: Robert C. Chadwell</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55880</wp:posOffset>
            </wp:positionV>
            <wp:extent cx="727456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8 TO CREDIT AGREEMENT</w:t>
      </w:r>
    </w:p>
    <w:p>
      <w:pPr>
        <w:spacing w:after="0" w:line="234" w:lineRule="exact"/>
        <w:rPr>
          <w:sz w:val="20"/>
          <w:szCs w:val="20"/>
          <w:color w:val="auto"/>
        </w:rPr>
      </w:pPr>
    </w:p>
    <w:p>
      <w:pPr>
        <w:jc w:val="both"/>
        <w:ind w:firstLine="542"/>
        <w:spacing w:after="0" w:line="279" w:lineRule="auto"/>
        <w:rPr>
          <w:sz w:val="20"/>
          <w:szCs w:val="20"/>
          <w:color w:val="auto"/>
        </w:rPr>
      </w:pPr>
      <w:r>
        <w:rPr>
          <w:rFonts w:ascii="Arial" w:cs="Arial" w:eastAsia="Arial" w:hAnsi="Arial"/>
          <w:sz w:val="14"/>
          <w:szCs w:val="14"/>
          <w:b w:val="1"/>
          <w:bCs w:val="1"/>
          <w:color w:val="auto"/>
        </w:rPr>
        <w:t xml:space="preserve">THIS AMENDMENT NO. 8 TO CREDIT AGREEMENT </w:t>
      </w:r>
      <w:r>
        <w:rPr>
          <w:rFonts w:ascii="Arial" w:cs="Arial" w:eastAsia="Arial" w:hAnsi="Arial"/>
          <w:sz w:val="14"/>
          <w:szCs w:val="14"/>
          <w:color w:val="auto"/>
        </w:rPr>
        <w:t>(this “</w:t>
      </w:r>
      <w:r>
        <w:rPr>
          <w:rFonts w:ascii="Arial" w:cs="Arial" w:eastAsia="Arial" w:hAnsi="Arial"/>
          <w:sz w:val="14"/>
          <w:szCs w:val="14"/>
          <w:u w:val="single" w:color="auto"/>
          <w:color w:val="auto"/>
        </w:rPr>
        <w:t>Amendment</w:t>
      </w:r>
      <w:r>
        <w:rPr>
          <w:rFonts w:ascii="Arial" w:cs="Arial" w:eastAsia="Arial" w:hAnsi="Arial"/>
          <w:sz w:val="14"/>
          <w:szCs w:val="14"/>
          <w:color w:val="auto"/>
        </w:rPr>
        <w:t>”), dated as of June 30, 2006, is made and entered into on the terms and conditions hereinafter set</w:t>
      </w:r>
      <w:r>
        <w:rPr>
          <w:rFonts w:ascii="Arial" w:cs="Arial" w:eastAsia="Arial" w:hAnsi="Arial"/>
          <w:sz w:val="14"/>
          <w:szCs w:val="14"/>
          <w:b w:val="1"/>
          <w:bCs w:val="1"/>
          <w:color w:val="auto"/>
        </w:rPr>
        <w:t xml:space="preserve"> </w:t>
      </w:r>
      <w:r>
        <w:rPr>
          <w:rFonts w:ascii="Arial" w:cs="Arial" w:eastAsia="Arial" w:hAnsi="Arial"/>
          <w:sz w:val="14"/>
          <w:szCs w:val="14"/>
          <w:color w:val="auto"/>
        </w:rPr>
        <w:t>forth, by and among NN, INC., a Delaware corporation (“</w:t>
      </w:r>
      <w:r>
        <w:rPr>
          <w:rFonts w:ascii="Arial" w:cs="Arial" w:eastAsia="Arial" w:hAnsi="Arial"/>
          <w:sz w:val="14"/>
          <w:szCs w:val="14"/>
          <w:u w:val="single" w:color="auto"/>
          <w:color w:val="auto"/>
        </w:rPr>
        <w:t>Domestic Borrower</w:t>
      </w:r>
      <w:r>
        <w:rPr>
          <w:rFonts w:ascii="Arial" w:cs="Arial" w:eastAsia="Arial" w:hAnsi="Arial"/>
          <w:sz w:val="14"/>
          <w:szCs w:val="14"/>
          <w:color w:val="auto"/>
        </w:rPr>
        <w:t>”), NN EUROPE ApS, a Denmark limited liability company (successor by name change to NN Euroball ApS) (“</w:t>
      </w:r>
      <w:r>
        <w:rPr>
          <w:rFonts w:ascii="Arial" w:cs="Arial" w:eastAsia="Arial" w:hAnsi="Arial"/>
          <w:sz w:val="14"/>
          <w:szCs w:val="14"/>
          <w:u w:val="single" w:color="auto"/>
          <w:color w:val="auto"/>
        </w:rPr>
        <w:t>Euro Borrower</w:t>
      </w:r>
      <w:r>
        <w:rPr>
          <w:rFonts w:ascii="Arial" w:cs="Arial" w:eastAsia="Arial" w:hAnsi="Arial"/>
          <w:sz w:val="14"/>
          <w:szCs w:val="14"/>
          <w:color w:val="auto"/>
        </w:rPr>
        <w:t>”; Domestic Borrower and Euro Borrower are sometimes hereinafter individually and collectively referred to as the “</w:t>
      </w:r>
      <w:r>
        <w:rPr>
          <w:rFonts w:ascii="Arial" w:cs="Arial" w:eastAsia="Arial" w:hAnsi="Arial"/>
          <w:sz w:val="14"/>
          <w:szCs w:val="14"/>
          <w:u w:val="single" w:color="auto"/>
          <w:color w:val="auto"/>
        </w:rPr>
        <w:t>Borrower</w:t>
      </w:r>
      <w:r>
        <w:rPr>
          <w:rFonts w:ascii="Arial" w:cs="Arial" w:eastAsia="Arial" w:hAnsi="Arial"/>
          <w:sz w:val="14"/>
          <w:szCs w:val="14"/>
          <w:color w:val="auto"/>
        </w:rPr>
        <w:t>”), all subsidiaries (except for the Euro Borrower) of the Domestic Borrower who are now or hereafter become parties to the Credit Agreement, as hereinafter defined (the “</w:t>
      </w:r>
      <w:r>
        <w:rPr>
          <w:rFonts w:ascii="Arial" w:cs="Arial" w:eastAsia="Arial" w:hAnsi="Arial"/>
          <w:sz w:val="14"/>
          <w:szCs w:val="14"/>
          <w:u w:val="single" w:color="auto"/>
          <w:color w:val="auto"/>
        </w:rPr>
        <w:t>Domestic Guarantors</w:t>
      </w:r>
      <w:r>
        <w:rPr>
          <w:rFonts w:ascii="Arial" w:cs="Arial" w:eastAsia="Arial" w:hAnsi="Arial"/>
          <w:sz w:val="14"/>
          <w:szCs w:val="14"/>
          <w:color w:val="auto"/>
        </w:rPr>
        <w:t>”), the several lenders who are now or hereafter become parties to the Credit Agreement (the “</w:t>
      </w:r>
      <w:r>
        <w:rPr>
          <w:rFonts w:ascii="Arial" w:cs="Arial" w:eastAsia="Arial" w:hAnsi="Arial"/>
          <w:sz w:val="14"/>
          <w:szCs w:val="14"/>
          <w:u w:val="single" w:color="auto"/>
          <w:color w:val="auto"/>
        </w:rPr>
        <w:t>Lenders</w:t>
      </w:r>
      <w:r>
        <w:rPr>
          <w:rFonts w:ascii="Arial" w:cs="Arial" w:eastAsia="Arial" w:hAnsi="Arial"/>
          <w:sz w:val="14"/>
          <w:szCs w:val="14"/>
          <w:color w:val="auto"/>
        </w:rPr>
        <w:t>”), AMSOUTH BANK, an Alabama state bank, individually and as administrative agent for the Lenders (in such capacity,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and SUNTRUST BANK, as documentation agent and euro loan agent for the Lenders (in such capacity, the “</w:t>
      </w:r>
      <w:r>
        <w:rPr>
          <w:rFonts w:ascii="Arial" w:cs="Arial" w:eastAsia="Arial" w:hAnsi="Arial"/>
          <w:sz w:val="14"/>
          <w:szCs w:val="14"/>
          <w:u w:val="single" w:color="auto"/>
          <w:color w:val="auto"/>
        </w:rPr>
        <w:t>Euro Loan Agent</w:t>
      </w:r>
      <w:r>
        <w:rPr>
          <w:rFonts w:ascii="Arial" w:cs="Arial" w:eastAsia="Arial" w:hAnsi="Arial"/>
          <w:sz w:val="14"/>
          <w:szCs w:val="14"/>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272" w:lineRule="exact"/>
        <w:rPr>
          <w:sz w:val="20"/>
          <w:szCs w:val="20"/>
          <w:color w:val="auto"/>
        </w:rPr>
      </w:pPr>
    </w:p>
    <w:p>
      <w:pPr>
        <w:jc w:val="both"/>
        <w:ind w:firstLine="532"/>
        <w:spacing w:after="0" w:line="279" w:lineRule="auto"/>
        <w:tabs>
          <w:tab w:leader="none" w:pos="11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Pursuant to that certain Credit Agreement dated as of May 1, 2003, by and among the Borrower, the Domestic Guarantors, the Administrative Agent, the Lenders and the Euro Loan Agent, as amended by that certain Amendment No. 1 to Credit Agreement dated August 1, 2003, that certain Amendment No. 2 to Credit Agreement dated March 12, 2004, that certain Amendment No. 3 to Credit Agreement and Waiver dated March 31, 2004, that certain Amendment No. 4 to Credit Agreement dated November 12, 2004, that certain Amendment No. 5 to Credit Agreement dated March 30, 2005, that certain Consent and Amendment No. 6 to Credit Agreement dated October 3, 2005, and that certain Consent and Amendment No. 7 to Credit Agreement dated March 20, 2006 (as the same heretofore may have been and/or hereafter may be further amended, restated, supplemented, extended, renewed, replaced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225" w:lineRule="exact"/>
        <w:rPr>
          <w:rFonts w:ascii="Arial" w:cs="Arial" w:eastAsia="Arial" w:hAnsi="Arial"/>
          <w:sz w:val="14"/>
          <w:szCs w:val="14"/>
          <w:color w:val="auto"/>
        </w:rPr>
      </w:pPr>
    </w:p>
    <w:p>
      <w:pPr>
        <w:ind w:left="1100" w:hanging="568"/>
        <w:spacing w:after="0"/>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parties hereto desire to further amend the Credit Agreement in certain respects, as more particularly hereinafter set forth.</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AGREEMENTS: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good and valuable consideration, the receipt and sufficiency of which are hereby acknowledged, the parties hereto agree as follows:</w:t>
      </w:r>
    </w:p>
    <w:p>
      <w:pPr>
        <w:spacing w:after="0" w:line="268" w:lineRule="exact"/>
        <w:rPr>
          <w:sz w:val="20"/>
          <w:szCs w:val="20"/>
          <w:color w:val="auto"/>
        </w:rPr>
      </w:pPr>
    </w:p>
    <w:p>
      <w:pPr>
        <w:ind w:right="40" w:firstLine="532"/>
        <w:spacing w:after="0" w:line="302" w:lineRule="auto"/>
        <w:tabs>
          <w:tab w:leader="none" w:pos="1016"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Current Maturities of Long-Term Debt</w:t>
      </w:r>
      <w:r>
        <w:rPr>
          <w:rFonts w:ascii="Arial" w:cs="Arial" w:eastAsia="Arial" w:hAnsi="Arial"/>
          <w:sz w:val="14"/>
          <w:szCs w:val="14"/>
          <w:b w:val="1"/>
          <w:bCs w:val="1"/>
          <w:color w:val="auto"/>
        </w:rPr>
        <w:t xml:space="preserve">. </w:t>
      </w:r>
      <w:r>
        <w:rPr>
          <w:rFonts w:ascii="Arial" w:cs="Arial" w:eastAsia="Arial" w:hAnsi="Arial"/>
          <w:sz w:val="14"/>
          <w:szCs w:val="14"/>
          <w:color w:val="auto"/>
        </w:rPr>
        <w:t>The Credit Agreement is hereby amended in all respects necessary to reflect that, for Fiscal Quarters ending June 30, 2006,</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September 30, 2006 and December 31, 2006, the aggregate outstanding principal amount of the Revolving Loans made by any Lender to Borrower pursuant to the Credit Agreement shall be excluded from Current Maturities of Long-Term Debt for the purposes of calculating the Fixed Charge Coverage Ratio under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172720</wp:posOffset>
            </wp:positionV>
            <wp:extent cx="727456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6" w:name="page37"/>
    <w:bookmarkEnd w:id="36"/>
    <w:p>
      <w:pPr>
        <w:ind w:right="180" w:firstLine="532"/>
        <w:spacing w:after="0" w:line="297" w:lineRule="auto"/>
        <w:tabs>
          <w:tab w:leader="none" w:pos="101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Effectiveness</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shall become effective when the Administrative Agent shall have received counterparts or signature pages executed by the Borrower, the</w:t>
      </w:r>
      <w:r>
        <w:rPr>
          <w:rFonts w:ascii="Arial" w:cs="Arial" w:eastAsia="Arial" w:hAnsi="Arial"/>
          <w:sz w:val="15"/>
          <w:szCs w:val="15"/>
          <w:b w:val="1"/>
          <w:bCs w:val="1"/>
          <w:color w:val="auto"/>
        </w:rPr>
        <w:t xml:space="preserve"> </w:t>
      </w:r>
      <w:r>
        <w:rPr>
          <w:rFonts w:ascii="Arial" w:cs="Arial" w:eastAsia="Arial" w:hAnsi="Arial"/>
          <w:sz w:val="15"/>
          <w:szCs w:val="15"/>
          <w:color w:val="auto"/>
        </w:rPr>
        <w:t>Domestic Guarantors, the Administrative Agent and the Requisite Lenders.</w:t>
      </w:r>
    </w:p>
    <w:p>
      <w:pPr>
        <w:spacing w:after="0" w:line="205" w:lineRule="exact"/>
        <w:rPr>
          <w:rFonts w:ascii="Arial" w:cs="Arial" w:eastAsia="Arial" w:hAnsi="Arial"/>
          <w:sz w:val="15"/>
          <w:szCs w:val="15"/>
          <w:b w:val="1"/>
          <w:bCs w:val="1"/>
          <w:color w:val="auto"/>
        </w:rPr>
      </w:pPr>
    </w:p>
    <w:p>
      <w:pPr>
        <w:ind w:right="60" w:firstLine="532"/>
        <w:spacing w:after="0" w:line="274" w:lineRule="auto"/>
        <w:tabs>
          <w:tab w:leader="none" w:pos="101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Representations and Warranties of the Borrower and the Guarantors</w:t>
      </w:r>
      <w:r>
        <w:rPr>
          <w:rFonts w:ascii="Arial" w:cs="Arial" w:eastAsia="Arial" w:hAnsi="Arial"/>
          <w:sz w:val="15"/>
          <w:szCs w:val="15"/>
          <w:b w:val="1"/>
          <w:bCs w:val="1"/>
          <w:color w:val="auto"/>
        </w:rPr>
        <w:t xml:space="preserve">. </w:t>
      </w:r>
      <w:r>
        <w:rPr>
          <w:rFonts w:ascii="Arial" w:cs="Arial" w:eastAsia="Arial" w:hAnsi="Arial"/>
          <w:sz w:val="15"/>
          <w:szCs w:val="15"/>
          <w:color w:val="auto"/>
        </w:rPr>
        <w:t>As an inducement to the Administrative Agent, the Euro Loan Agent and the Lenders to enter</w:t>
      </w:r>
      <w:r>
        <w:rPr>
          <w:rFonts w:ascii="Arial" w:cs="Arial" w:eastAsia="Arial" w:hAnsi="Arial"/>
          <w:sz w:val="15"/>
          <w:szCs w:val="15"/>
          <w:b w:val="1"/>
          <w:bCs w:val="1"/>
          <w:color w:val="auto"/>
        </w:rPr>
        <w:t xml:space="preserve"> </w:t>
      </w:r>
      <w:r>
        <w:rPr>
          <w:rFonts w:ascii="Arial" w:cs="Arial" w:eastAsia="Arial" w:hAnsi="Arial"/>
          <w:sz w:val="15"/>
          <w:szCs w:val="15"/>
          <w:color w:val="auto"/>
        </w:rPr>
        <w:t>into this Amendment, the Borrower and the Domestic Guarantors hereby represent and warrant to the Administrative Agent, the Euro Loan Agent and the Lenders that, on and as of the date hereof:</w:t>
      </w:r>
    </w:p>
    <w:p>
      <w:pPr>
        <w:spacing w:after="0" w:line="226" w:lineRule="exact"/>
        <w:rPr>
          <w:rFonts w:ascii="Arial" w:cs="Arial" w:eastAsia="Arial" w:hAnsi="Arial"/>
          <w:sz w:val="15"/>
          <w:szCs w:val="15"/>
          <w:b w:val="1"/>
          <w:bCs w:val="1"/>
          <w:color w:val="auto"/>
        </w:rPr>
      </w:pPr>
    </w:p>
    <w:p>
      <w:pPr>
        <w:jc w:val="both"/>
        <w:ind w:left="540" w:firstLine="534"/>
        <w:spacing w:after="0" w:line="271" w:lineRule="auto"/>
        <w:tabs>
          <w:tab w:leader="none" w:pos="1712" w:val="left"/>
        </w:tabs>
        <w:numPr>
          <w:ilvl w:val="1"/>
          <w:numId w:val="12"/>
        </w:numPr>
        <w:rPr>
          <w:rFonts w:ascii="Arial" w:cs="Arial" w:eastAsia="Arial" w:hAnsi="Arial"/>
          <w:sz w:val="15"/>
          <w:szCs w:val="15"/>
          <w:color w:val="auto"/>
        </w:rPr>
      </w:pPr>
      <w:r>
        <w:rPr>
          <w:rFonts w:ascii="Arial" w:cs="Arial" w:eastAsia="Arial" w:hAnsi="Arial"/>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228" w:lineRule="exact"/>
        <w:rPr>
          <w:rFonts w:ascii="Arial" w:cs="Arial" w:eastAsia="Arial" w:hAnsi="Arial"/>
          <w:sz w:val="15"/>
          <w:szCs w:val="15"/>
          <w:color w:val="auto"/>
        </w:rPr>
      </w:pPr>
    </w:p>
    <w:p>
      <w:pPr>
        <w:ind w:left="1700" w:hanging="626"/>
        <w:spacing w:after="0"/>
        <w:tabs>
          <w:tab w:leader="none" w:pos="17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w:t>
      </w:r>
    </w:p>
    <w:p>
      <w:pPr>
        <w:spacing w:after="0" w:line="275" w:lineRule="exact"/>
        <w:rPr>
          <w:rFonts w:ascii="Arial" w:cs="Arial" w:eastAsia="Arial" w:hAnsi="Arial"/>
          <w:sz w:val="15"/>
          <w:szCs w:val="15"/>
          <w:color w:val="auto"/>
        </w:rPr>
      </w:pPr>
    </w:p>
    <w:p>
      <w:pPr>
        <w:ind w:left="1000" w:hanging="468"/>
        <w:spacing w:after="0"/>
        <w:tabs>
          <w:tab w:leader="none" w:pos="100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 of Amendment; Continuing Effectiveness of Credit Agreement and Loan Documents</w:t>
      </w:r>
      <w:r>
        <w:rPr>
          <w:rFonts w:ascii="Arial" w:cs="Arial" w:eastAsia="Arial" w:hAnsi="Arial"/>
          <w:sz w:val="15"/>
          <w:szCs w:val="15"/>
          <w:b w:val="1"/>
          <w:bCs w:val="1"/>
          <w:color w:val="auto"/>
        </w:rPr>
        <w:t>.</w:t>
      </w:r>
    </w:p>
    <w:p>
      <w:pPr>
        <w:spacing w:after="0" w:line="283" w:lineRule="exact"/>
        <w:rPr>
          <w:rFonts w:ascii="Arial" w:cs="Arial" w:eastAsia="Arial" w:hAnsi="Arial"/>
          <w:sz w:val="15"/>
          <w:szCs w:val="15"/>
          <w:b w:val="1"/>
          <w:bCs w:val="1"/>
          <w:color w:val="auto"/>
        </w:rPr>
      </w:pPr>
    </w:p>
    <w:p>
      <w:pPr>
        <w:ind w:left="540" w:firstLine="1076"/>
        <w:spacing w:after="0" w:line="264" w:lineRule="auto"/>
        <w:tabs>
          <w:tab w:leader="none" w:pos="2152" w:val="left"/>
        </w:tabs>
        <w:numPr>
          <w:ilvl w:val="2"/>
          <w:numId w:val="12"/>
        </w:numPr>
        <w:rPr>
          <w:rFonts w:ascii="Arial" w:cs="Arial" w:eastAsia="Arial" w:hAnsi="Arial"/>
          <w:sz w:val="15"/>
          <w:szCs w:val="15"/>
          <w:color w:val="auto"/>
        </w:rPr>
      </w:pPr>
      <w:r>
        <w:rPr>
          <w:rFonts w:ascii="Arial" w:cs="Arial" w:eastAsia="Arial" w:hAnsi="Arial"/>
          <w:sz w:val="15"/>
          <w:szCs w:val="15"/>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234" w:lineRule="exact"/>
        <w:rPr>
          <w:rFonts w:ascii="Arial" w:cs="Arial" w:eastAsia="Arial" w:hAnsi="Arial"/>
          <w:sz w:val="15"/>
          <w:szCs w:val="15"/>
          <w:color w:val="auto"/>
        </w:rPr>
      </w:pPr>
    </w:p>
    <w:p>
      <w:pPr>
        <w:ind w:left="540" w:right="80" w:firstLine="1076"/>
        <w:spacing w:after="0" w:line="299" w:lineRule="auto"/>
        <w:tabs>
          <w:tab w:leader="none" w:pos="2160" w:val="left"/>
        </w:tabs>
        <w:numPr>
          <w:ilvl w:val="2"/>
          <w:numId w:val="12"/>
        </w:numPr>
        <w:rPr>
          <w:rFonts w:ascii="Arial" w:cs="Arial" w:eastAsia="Arial" w:hAnsi="Arial"/>
          <w:sz w:val="14"/>
          <w:szCs w:val="14"/>
          <w:color w:val="auto"/>
        </w:rPr>
      </w:pPr>
      <w:r>
        <w:rPr>
          <w:rFonts w:ascii="Arial" w:cs="Arial" w:eastAsia="Arial" w:hAnsi="Arial"/>
          <w:sz w:val="14"/>
          <w:szCs w:val="14"/>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 other Loan Documents and all terms, conditions and provisions thereof shall continue in full force and effect in all respects.</w:t>
      </w:r>
    </w:p>
    <w:p>
      <w:pPr>
        <w:spacing w:after="0" w:line="207" w:lineRule="exact"/>
        <w:rPr>
          <w:rFonts w:ascii="Arial" w:cs="Arial" w:eastAsia="Arial" w:hAnsi="Arial"/>
          <w:sz w:val="14"/>
          <w:szCs w:val="14"/>
          <w:color w:val="auto"/>
        </w:rPr>
      </w:pPr>
    </w:p>
    <w:p>
      <w:pPr>
        <w:ind w:right="20" w:firstLine="532"/>
        <w:spacing w:after="0" w:line="278" w:lineRule="auto"/>
        <w:tabs>
          <w:tab w:leader="none" w:pos="1016"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 xml:space="preserve">. </w:t>
      </w:r>
      <w:r>
        <w:rPr>
          <w:rFonts w:ascii="Arial" w:cs="Arial" w:eastAsia="Arial" w:hAnsi="Arial"/>
          <w:sz w:val="14"/>
          <w:szCs w:val="14"/>
          <w:color w:val="auto"/>
        </w:rPr>
        <w:t>This Amendment may be executed in multiple counterparts or copies, each of which shall be deemed an original hereof for all purposes.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59" w:right="239" w:bottom="1440" w:gutter="0" w:footer="0" w:header="0"/>
        </w:sectPr>
      </w:pPr>
    </w:p>
    <w:bookmarkStart w:id="37" w:name="page38"/>
    <w:bookmarkEnd w:id="37"/>
    <w:p>
      <w:pPr>
        <w:ind w:left="468" w:hanging="468"/>
        <w:spacing w:after="0"/>
        <w:tabs>
          <w:tab w:leader="none" w:pos="468"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283" w:lineRule="exact"/>
        <w:rPr>
          <w:rFonts w:ascii="Arial" w:cs="Arial" w:eastAsia="Arial" w:hAnsi="Arial"/>
          <w:sz w:val="15"/>
          <w:szCs w:val="15"/>
          <w:b w:val="1"/>
          <w:bCs w:val="1"/>
          <w:color w:val="auto"/>
        </w:rPr>
      </w:pPr>
    </w:p>
    <w:p>
      <w:pPr>
        <w:ind w:left="8" w:firstLine="1076"/>
        <w:spacing w:after="0" w:line="291" w:lineRule="auto"/>
        <w:tabs>
          <w:tab w:leader="none" w:pos="16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This Amendment shall be governed by, construed and enforced in accordance with the laws of the State of Tennessee, without reference to the conflicts or choice of law principles thereof.</w:t>
      </w:r>
    </w:p>
    <w:p>
      <w:pPr>
        <w:spacing w:after="0" w:line="213" w:lineRule="exact"/>
        <w:rPr>
          <w:rFonts w:ascii="Arial" w:cs="Arial" w:eastAsia="Arial" w:hAnsi="Arial"/>
          <w:sz w:val="15"/>
          <w:szCs w:val="15"/>
          <w:color w:val="auto"/>
        </w:rPr>
      </w:pPr>
    </w:p>
    <w:p>
      <w:pPr>
        <w:ind w:left="8" w:right="160" w:firstLine="1076"/>
        <w:spacing w:after="0" w:line="291" w:lineRule="auto"/>
        <w:tabs>
          <w:tab w:leader="none" w:pos="1628"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213" w:lineRule="exact"/>
        <w:rPr>
          <w:rFonts w:ascii="Arial" w:cs="Arial" w:eastAsia="Arial" w:hAnsi="Arial"/>
          <w:sz w:val="15"/>
          <w:szCs w:val="15"/>
          <w:color w:val="auto"/>
        </w:rPr>
      </w:pPr>
    </w:p>
    <w:p>
      <w:pPr>
        <w:ind w:left="8" w:right="300" w:firstLine="1076"/>
        <w:spacing w:after="0" w:line="291" w:lineRule="auto"/>
        <w:tabs>
          <w:tab w:leader="none" w:pos="16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213" w:lineRule="exact"/>
        <w:rPr>
          <w:rFonts w:ascii="Arial" w:cs="Arial" w:eastAsia="Arial" w:hAnsi="Arial"/>
          <w:sz w:val="15"/>
          <w:szCs w:val="15"/>
          <w:color w:val="auto"/>
        </w:rPr>
      </w:pPr>
    </w:p>
    <w:p>
      <w:pPr>
        <w:jc w:val="both"/>
        <w:ind w:left="8" w:right="80" w:firstLine="1076"/>
        <w:spacing w:after="0" w:line="271" w:lineRule="auto"/>
        <w:tabs>
          <w:tab w:leader="none" w:pos="1628" w:val="left"/>
        </w:tabs>
        <w:numPr>
          <w:ilvl w:val="1"/>
          <w:numId w:val="13"/>
        </w:numPr>
        <w:rPr>
          <w:rFonts w:ascii="Arial" w:cs="Arial" w:eastAsia="Arial" w:hAnsi="Arial"/>
          <w:sz w:val="15"/>
          <w:szCs w:val="15"/>
          <w:color w:val="auto"/>
        </w:rPr>
      </w:pPr>
      <w:r>
        <w:rPr>
          <w:rFonts w:ascii="Arial" w:cs="Arial" w:eastAsia="Arial" w:hAnsi="Arial"/>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48"/>
        <w:spacing w:after="0"/>
        <w:rPr>
          <w:sz w:val="20"/>
          <w:szCs w:val="20"/>
          <w:color w:val="auto"/>
        </w:rPr>
      </w:pPr>
      <w:r>
        <w:rPr>
          <w:rFonts w:ascii="Arial" w:cs="Arial" w:eastAsia="Arial" w:hAnsi="Arial"/>
          <w:sz w:val="15"/>
          <w:szCs w:val="15"/>
          <w:b w:val="1"/>
          <w:bCs w:val="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2"/>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55880</wp:posOffset>
            </wp:positionV>
            <wp:extent cx="727456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888"/>
          </w:cols>
          <w:pgMar w:left="772" w:top="159" w:right="239" w:bottom="1440" w:gutter="0" w:footer="0" w:header="0"/>
        </w:sectPr>
      </w:pPr>
    </w:p>
    <w:bookmarkStart w:id="38" w:name="page39"/>
    <w:bookmarkEnd w:id="38"/>
    <w:p>
      <w:pPr>
        <w:ind w:left="54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Amendment to be duly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ind w:left="20"/>
              <w:spacing w:after="0"/>
              <w:rPr>
                <w:sz w:val="20"/>
                <w:szCs w:val="20"/>
                <w:color w:val="auto"/>
              </w:rPr>
            </w:pPr>
            <w:r>
              <w:rPr>
                <w:rFonts w:ascii="Arial" w:cs="Arial" w:eastAsia="Arial" w:hAnsi="Arial"/>
                <w:sz w:val="15"/>
                <w:szCs w:val="15"/>
                <w:b w:val="1"/>
                <w:bCs w:val="1"/>
                <w:color w:val="auto"/>
              </w:rPr>
              <w:t>BORROWER:</w:t>
            </w:r>
          </w:p>
        </w:tc>
        <w:tc>
          <w:tcPr>
            <w:tcW w:w="7060" w:type="dxa"/>
            <w:vAlign w:val="bottom"/>
            <w:gridSpan w:val="3"/>
          </w:tcPr>
          <w:p>
            <w:pPr>
              <w:ind w:left="2360"/>
              <w:spacing w:after="0"/>
              <w:rPr>
                <w:sz w:val="20"/>
                <w:szCs w:val="20"/>
                <w:color w:val="auto"/>
              </w:rPr>
            </w:pPr>
            <w:r>
              <w:rPr>
                <w:rFonts w:ascii="Arial" w:cs="Arial" w:eastAsia="Arial" w:hAnsi="Arial"/>
                <w:sz w:val="15"/>
                <w:szCs w:val="15"/>
                <w:b w:val="1"/>
                <w:bCs w:val="1"/>
                <w:color w:val="auto"/>
              </w:rPr>
              <w:t>NN, INC.</w:t>
            </w:r>
            <w:r>
              <w:rPr>
                <w:rFonts w:ascii="Arial" w:cs="Arial" w:eastAsia="Arial" w:hAnsi="Arial"/>
                <w:sz w:val="15"/>
                <w:szCs w:val="15"/>
                <w:color w:val="auto"/>
              </w:rPr>
              <w:t>,</w:t>
            </w:r>
          </w:p>
        </w:tc>
        <w:tc>
          <w:tcPr>
            <w:tcW w:w="1080" w:type="dxa"/>
            <w:vAlign w:val="bottom"/>
          </w:tcPr>
          <w:p>
            <w:pPr>
              <w:spacing w:after="0"/>
              <w:rPr>
                <w:sz w:val="16"/>
                <w:szCs w:val="16"/>
                <w:color w:val="auto"/>
              </w:rPr>
            </w:pPr>
          </w:p>
        </w:tc>
      </w:tr>
      <w:tr>
        <w:trPr>
          <w:trHeight w:val="190"/>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Delaware corporation</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Roderick R. Baty</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Name: Roderick R. Baty</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Title: Director</w:t>
            </w:r>
          </w:p>
        </w:tc>
        <w:tc>
          <w:tcPr>
            <w:tcW w:w="1080" w:type="dxa"/>
            <w:vAlign w:val="bottom"/>
          </w:tcPr>
          <w:p>
            <w:pPr>
              <w:spacing w:after="0"/>
              <w:rPr>
                <w:sz w:val="16"/>
                <w:szCs w:val="16"/>
                <w:color w:val="auto"/>
              </w:rPr>
            </w:pPr>
          </w:p>
        </w:tc>
      </w:tr>
      <w:tr>
        <w:trPr>
          <w:trHeight w:val="803"/>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NN EUROPE ApS</w:t>
            </w:r>
            <w:r>
              <w:rPr>
                <w:rFonts w:ascii="Arial" w:cs="Arial" w:eastAsia="Arial" w:hAnsi="Arial"/>
                <w:sz w:val="15"/>
                <w:szCs w:val="15"/>
                <w:color w:val="auto"/>
              </w:rPr>
              <w:t>, a Denmark limited liability company</w:t>
            </w:r>
          </w:p>
        </w:tc>
        <w:tc>
          <w:tcPr>
            <w:tcW w:w="1080" w:type="dxa"/>
            <w:vAlign w:val="bottom"/>
          </w:tcPr>
          <w:p>
            <w:pPr>
              <w:spacing w:after="0"/>
              <w:rPr>
                <w:sz w:val="24"/>
                <w:szCs w:val="24"/>
                <w:color w:val="auto"/>
              </w:rPr>
            </w:pPr>
          </w:p>
        </w:tc>
      </w:tr>
      <w:tr>
        <w:trPr>
          <w:trHeight w:val="190"/>
        </w:trPr>
        <w:tc>
          <w:tcPr>
            <w:tcW w:w="3300" w:type="dxa"/>
            <w:vAlign w:val="bottom"/>
          </w:tcPr>
          <w:p>
            <w:pPr>
              <w:spacing w:after="0"/>
              <w:rPr>
                <w:sz w:val="16"/>
                <w:szCs w:val="16"/>
                <w:color w:val="auto"/>
              </w:rPr>
            </w:pPr>
          </w:p>
        </w:tc>
        <w:tc>
          <w:tcPr>
            <w:tcW w:w="7060" w:type="dxa"/>
            <w:vAlign w:val="bottom"/>
            <w:gridSpan w:val="3"/>
          </w:tcPr>
          <w:p>
            <w:pPr>
              <w:ind w:left="2360"/>
              <w:spacing w:after="0"/>
              <w:rPr>
                <w:sz w:val="20"/>
                <w:szCs w:val="20"/>
                <w:color w:val="auto"/>
              </w:rPr>
            </w:pPr>
            <w:r>
              <w:rPr>
                <w:rFonts w:ascii="Arial" w:cs="Arial" w:eastAsia="Arial" w:hAnsi="Arial"/>
                <w:sz w:val="15"/>
                <w:szCs w:val="15"/>
                <w:color w:val="auto"/>
              </w:rPr>
              <w:t>(successor by name change to NN Euroball ApS</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Nicola Trombetti</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Name: Nicola Trombetti</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Title: NN Europe Managing Director</w:t>
            </w:r>
          </w:p>
        </w:tc>
        <w:tc>
          <w:tcPr>
            <w:tcW w:w="1080" w:type="dxa"/>
            <w:vAlign w:val="bottom"/>
          </w:tcPr>
          <w:p>
            <w:pPr>
              <w:spacing w:after="0"/>
              <w:rPr>
                <w:sz w:val="16"/>
                <w:szCs w:val="16"/>
                <w:color w:val="auto"/>
              </w:rPr>
            </w:pPr>
          </w:p>
        </w:tc>
      </w:tr>
      <w:tr>
        <w:trPr>
          <w:trHeight w:val="807"/>
        </w:trPr>
        <w:tc>
          <w:tcPr>
            <w:tcW w:w="3300" w:type="dxa"/>
            <w:vAlign w:val="bottom"/>
          </w:tcPr>
          <w:p>
            <w:pPr>
              <w:ind w:left="20"/>
              <w:spacing w:after="0"/>
              <w:rPr>
                <w:sz w:val="20"/>
                <w:szCs w:val="20"/>
                <w:color w:val="auto"/>
              </w:rPr>
            </w:pPr>
            <w:r>
              <w:rPr>
                <w:rFonts w:ascii="Arial" w:cs="Arial" w:eastAsia="Arial" w:hAnsi="Arial"/>
                <w:sz w:val="15"/>
                <w:szCs w:val="15"/>
                <w:b w:val="1"/>
                <w:bCs w:val="1"/>
                <w:color w:val="auto"/>
              </w:rPr>
              <w:t>DOMESTIC GUARANTORS</w:t>
            </w:r>
            <w:r>
              <w:rPr>
                <w:rFonts w:ascii="Arial" w:cs="Arial" w:eastAsia="Arial" w:hAnsi="Arial"/>
                <w:sz w:val="15"/>
                <w:szCs w:val="15"/>
                <w:color w:val="auto"/>
              </w:rPr>
              <w:t>:</w:t>
            </w: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INDUSTRIAL MOLDING GP, LLC,</w:t>
            </w:r>
          </w:p>
        </w:tc>
        <w:tc>
          <w:tcPr>
            <w:tcW w:w="1080" w:type="dxa"/>
            <w:vAlign w:val="bottom"/>
          </w:tcPr>
          <w:p>
            <w:pPr>
              <w:spacing w:after="0"/>
              <w:rPr>
                <w:sz w:val="24"/>
                <w:szCs w:val="24"/>
                <w:color w:val="auto"/>
              </w:rPr>
            </w:pPr>
          </w:p>
        </w:tc>
      </w:tr>
      <w:tr>
        <w:trPr>
          <w:trHeight w:val="187"/>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Delaware limited liability company</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Roderick R. Baty</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Name: Roderick R. Baty</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5"/>
                <w:szCs w:val="15"/>
                <w:color w:val="auto"/>
              </w:rPr>
              <w:t>Title: Manager</w:t>
            </w:r>
          </w:p>
        </w:tc>
        <w:tc>
          <w:tcPr>
            <w:tcW w:w="1080" w:type="dxa"/>
            <w:vAlign w:val="bottom"/>
          </w:tcPr>
          <w:p>
            <w:pPr>
              <w:spacing w:after="0"/>
              <w:rPr>
                <w:sz w:val="16"/>
                <w:szCs w:val="16"/>
                <w:color w:val="auto"/>
              </w:rPr>
            </w:pPr>
          </w:p>
        </w:tc>
      </w:tr>
      <w:tr>
        <w:trPr>
          <w:trHeight w:val="807"/>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b w:val="1"/>
                <w:bCs w:val="1"/>
                <w:color w:val="auto"/>
              </w:rPr>
              <w:t>INDUSTRIAL MOLDING LP, LLC,</w:t>
            </w:r>
          </w:p>
        </w:tc>
        <w:tc>
          <w:tcPr>
            <w:tcW w:w="1080" w:type="dxa"/>
            <w:vAlign w:val="bottom"/>
          </w:tcPr>
          <w:p>
            <w:pPr>
              <w:spacing w:after="0"/>
              <w:rPr>
                <w:sz w:val="24"/>
                <w:szCs w:val="24"/>
                <w:color w:val="auto"/>
              </w:rPr>
            </w:pPr>
          </w:p>
        </w:tc>
      </w:tr>
      <w:tr>
        <w:trPr>
          <w:trHeight w:val="187"/>
        </w:trPr>
        <w:tc>
          <w:tcPr>
            <w:tcW w:w="3300" w:type="dxa"/>
            <w:vAlign w:val="bottom"/>
          </w:tcPr>
          <w:p>
            <w:pPr>
              <w:spacing w:after="0"/>
              <w:rPr>
                <w:sz w:val="16"/>
                <w:szCs w:val="16"/>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a Tennessee limited liability company</w:t>
            </w:r>
          </w:p>
        </w:tc>
        <w:tc>
          <w:tcPr>
            <w:tcW w:w="1080" w:type="dxa"/>
            <w:vAlign w:val="bottom"/>
          </w:tcPr>
          <w:p>
            <w:pPr>
              <w:spacing w:after="0"/>
              <w:rPr>
                <w:sz w:val="16"/>
                <w:szCs w:val="16"/>
                <w:color w:val="auto"/>
              </w:rPr>
            </w:pPr>
          </w:p>
        </w:tc>
      </w:tr>
      <w:tr>
        <w:trPr>
          <w:trHeight w:val="542"/>
        </w:trPr>
        <w:tc>
          <w:tcPr>
            <w:tcW w:w="3300" w:type="dxa"/>
            <w:vAlign w:val="bottom"/>
          </w:tcPr>
          <w:p>
            <w:pPr>
              <w:spacing w:after="0"/>
              <w:rPr>
                <w:sz w:val="24"/>
                <w:szCs w:val="24"/>
                <w:color w:val="auto"/>
              </w:rPr>
            </w:pPr>
          </w:p>
        </w:tc>
        <w:tc>
          <w:tcPr>
            <w:tcW w:w="7060" w:type="dxa"/>
            <w:vAlign w:val="bottom"/>
            <w:gridSpan w:val="3"/>
          </w:tcPr>
          <w:p>
            <w:pPr>
              <w:ind w:left="2320"/>
              <w:spacing w:after="0"/>
              <w:rPr>
                <w:sz w:val="20"/>
                <w:szCs w:val="20"/>
                <w:color w:val="auto"/>
              </w:rPr>
            </w:pPr>
            <w:r>
              <w:rPr>
                <w:rFonts w:ascii="Arial" w:cs="Arial" w:eastAsia="Arial" w:hAnsi="Arial"/>
                <w:sz w:val="15"/>
                <w:szCs w:val="15"/>
                <w:color w:val="auto"/>
              </w:rPr>
              <w:t>By: /s/ William C. Kelly, Jr.</w:t>
            </w:r>
          </w:p>
        </w:tc>
        <w:tc>
          <w:tcPr>
            <w:tcW w:w="108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60" w:type="dxa"/>
            <w:vAlign w:val="bottom"/>
            <w:tcBorders>
              <w:bottom w:val="single" w:sz="8" w:color="808080"/>
            </w:tcBorders>
            <w:gridSpan w:val="2"/>
          </w:tcPr>
          <w:p>
            <w:pPr>
              <w:spacing w:after="0"/>
              <w:rPr>
                <w:sz w:val="8"/>
                <w:szCs w:val="8"/>
                <w:color w:val="auto"/>
              </w:rPr>
            </w:pPr>
          </w:p>
        </w:tc>
        <w:tc>
          <w:tcPr>
            <w:tcW w:w="1080" w:type="dxa"/>
            <w:vAlign w:val="bottom"/>
          </w:tcPr>
          <w:p>
            <w:pPr>
              <w:spacing w:after="0"/>
              <w:rPr>
                <w:sz w:val="8"/>
                <w:szCs w:val="8"/>
                <w:color w:val="auto"/>
              </w:rPr>
            </w:pPr>
          </w:p>
        </w:tc>
      </w:tr>
      <w:tr>
        <w:trPr>
          <w:trHeight w:val="256"/>
        </w:trPr>
        <w:tc>
          <w:tcPr>
            <w:tcW w:w="3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Name: William C. Kelly, Jr.</w:t>
            </w:r>
          </w:p>
        </w:tc>
        <w:tc>
          <w:tcPr>
            <w:tcW w:w="1080" w:type="dxa"/>
            <w:vAlign w:val="bottom"/>
          </w:tcPr>
          <w:p>
            <w:pPr>
              <w:spacing w:after="0"/>
              <w:rPr>
                <w:sz w:val="22"/>
                <w:szCs w:val="22"/>
                <w:color w:val="auto"/>
              </w:rPr>
            </w:pPr>
          </w:p>
        </w:tc>
      </w:tr>
      <w:tr>
        <w:trPr>
          <w:trHeight w:val="190"/>
        </w:trPr>
        <w:tc>
          <w:tcPr>
            <w:tcW w:w="3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Title: Manager</w:t>
            </w:r>
          </w:p>
        </w:tc>
        <w:tc>
          <w:tcPr>
            <w:tcW w:w="1080" w:type="dxa"/>
            <w:vAlign w:val="bottom"/>
          </w:tcPr>
          <w:p>
            <w:pPr>
              <w:spacing w:after="0"/>
              <w:rPr>
                <w:sz w:val="16"/>
                <w:szCs w:val="16"/>
                <w:color w:val="auto"/>
              </w:rPr>
            </w:pPr>
          </w:p>
        </w:tc>
      </w:tr>
      <w:tr>
        <w:trPr>
          <w:trHeight w:val="1084"/>
        </w:trPr>
        <w:tc>
          <w:tcPr>
            <w:tcW w:w="3300" w:type="dxa"/>
            <w:vAlign w:val="bottom"/>
          </w:tcPr>
          <w:p>
            <w:pPr>
              <w:spacing w:after="0"/>
              <w:rPr>
                <w:sz w:val="24"/>
                <w:szCs w:val="24"/>
                <w:color w:val="auto"/>
              </w:rPr>
            </w:pPr>
          </w:p>
        </w:tc>
        <w:tc>
          <w:tcPr>
            <w:tcW w:w="7060" w:type="dxa"/>
            <w:vAlign w:val="bottom"/>
            <w:gridSpan w:val="3"/>
          </w:tcPr>
          <w:p>
            <w:pPr>
              <w:ind w:left="1320"/>
              <w:spacing w:after="0"/>
              <w:rPr>
                <w:sz w:val="20"/>
                <w:szCs w:val="20"/>
                <w:color w:val="auto"/>
              </w:rPr>
            </w:pPr>
            <w:r>
              <w:rPr>
                <w:rFonts w:ascii="Arial" w:cs="Arial" w:eastAsia="Arial" w:hAnsi="Arial"/>
                <w:sz w:val="15"/>
                <w:szCs w:val="15"/>
                <w:b w:val="1"/>
                <w:bCs w:val="1"/>
                <w:color w:val="auto"/>
              </w:rPr>
              <w:t>[Signatures Continued Next Page]</w:t>
            </w:r>
          </w:p>
        </w:tc>
        <w:tc>
          <w:tcPr>
            <w:tcW w:w="1080" w:type="dxa"/>
            <w:vAlign w:val="bottom"/>
          </w:tcPr>
          <w:p>
            <w:pPr>
              <w:spacing w:after="0"/>
              <w:rPr>
                <w:sz w:val="24"/>
                <w:szCs w:val="24"/>
                <w:color w:val="auto"/>
              </w:rPr>
            </w:pPr>
          </w:p>
        </w:tc>
      </w:tr>
      <w:tr>
        <w:trPr>
          <w:trHeight w:val="568"/>
        </w:trPr>
        <w:tc>
          <w:tcPr>
            <w:tcW w:w="3300" w:type="dxa"/>
            <w:vAlign w:val="bottom"/>
          </w:tcPr>
          <w:p>
            <w:pPr>
              <w:spacing w:after="0"/>
              <w:rPr>
                <w:sz w:val="24"/>
                <w:szCs w:val="24"/>
                <w:color w:val="auto"/>
              </w:rPr>
            </w:pPr>
          </w:p>
        </w:tc>
        <w:tc>
          <w:tcPr>
            <w:tcW w:w="2600" w:type="dxa"/>
            <w:vAlign w:val="bottom"/>
          </w:tcPr>
          <w:p>
            <w:pPr>
              <w:ind w:left="2380"/>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4"/>
        </w:trPr>
        <w:tc>
          <w:tcPr>
            <w:tcW w:w="3300" w:type="dxa"/>
            <w:vAlign w:val="bottom"/>
            <w:tcBorders>
              <w:bottom w:val="single" w:sz="8" w:color="808080"/>
            </w:tcBorders>
          </w:tcPr>
          <w:p>
            <w:pPr>
              <w:spacing w:after="0"/>
              <w:rPr>
                <w:sz w:val="7"/>
                <w:szCs w:val="7"/>
                <w:color w:val="auto"/>
              </w:rPr>
            </w:pPr>
          </w:p>
        </w:tc>
        <w:tc>
          <w:tcPr>
            <w:tcW w:w="26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6564630</wp:posOffset>
            </wp:positionH>
            <wp:positionV relativeFrom="paragraph">
              <wp:posOffset>-5410835</wp:posOffset>
            </wp:positionV>
            <wp:extent cx="127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-5410835</wp:posOffset>
            </wp:positionV>
            <wp:extent cx="127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-4077335</wp:posOffset>
            </wp:positionV>
            <wp:extent cx="127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-4077335</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-2744470</wp:posOffset>
            </wp:positionV>
            <wp:extent cx="12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-2744470</wp:posOffset>
            </wp:positionV>
            <wp:extent cx="12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-1410970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-1410970</wp:posOffset>
            </wp:positionV>
            <wp:extent cx="127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757" w:right="219" w:bottom="1440" w:gutter="0" w:footer="0" w:header="0"/>
        </w:sectPr>
      </w:pPr>
    </w:p>
    <w:bookmarkStart w:id="39" w:name="page40"/>
    <w:bookmarkEnd w:id="39"/>
    <w:p>
      <w:pPr>
        <w:ind w:left="4420"/>
        <w:spacing w:after="0"/>
        <w:rPr>
          <w:sz w:val="20"/>
          <w:szCs w:val="20"/>
          <w:color w:val="auto"/>
        </w:rPr>
      </w:pPr>
      <w:r>
        <w:rPr>
          <w:rFonts w:ascii="Arial" w:cs="Arial" w:eastAsia="Arial" w:hAnsi="Arial"/>
          <w:sz w:val="15"/>
          <w:szCs w:val="15"/>
          <w:b w:val="1"/>
          <w:bCs w:val="1"/>
          <w:color w:val="auto"/>
        </w:rPr>
        <w:t>INDUSTRIAL MOLDING LP, LLC</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Tennessee limited liability company</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By: Industrial Molding GP, LLC, a Delaware limited</w:t>
      </w:r>
    </w:p>
    <w:p>
      <w:pPr>
        <w:spacing w:after="0" w:line="29"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liability company, its general partner</w:t>
      </w: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Roderick R. Baty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Manager</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DELTA RUBBER COMPANY,</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Connecticut corporation</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Paul N. Fortier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Paul N. Fortier</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V.P./G.M.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KUGELFERTIGUNG ELTMANN GmbH,</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a German Company</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Dirk Offergeld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Dirk Offergeld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Wolfgang Bartel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Wolfgang Bartel</w:t>
      </w:r>
    </w:p>
    <w:p>
      <w:pPr>
        <w:spacing w:after="0" w:line="18"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Director</w:t>
      </w:r>
    </w:p>
    <w:p>
      <w:pPr>
        <w:spacing w:after="0" w:line="175" w:lineRule="exact"/>
        <w:rPr>
          <w:sz w:val="20"/>
          <w:szCs w:val="20"/>
          <w:color w:val="auto"/>
        </w:rPr>
      </w:pPr>
    </w:p>
    <w:p>
      <w:pPr>
        <w:ind w:left="4420" w:right="2859" w:hanging="8"/>
        <w:spacing w:after="0" w:line="281" w:lineRule="auto"/>
        <w:tabs>
          <w:tab w:leader="none" w:pos="4675"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NETHERLANDS B.V., </w:t>
      </w:r>
      <w:r>
        <w:rPr>
          <w:rFonts w:ascii="Arial" w:cs="Arial" w:eastAsia="Arial" w:hAnsi="Arial"/>
          <w:sz w:val="14"/>
          <w:szCs w:val="14"/>
          <w:color w:val="auto"/>
        </w:rPr>
        <w:t>a Dutch company</w:t>
      </w: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Joop van Voorthuijsen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Joop van Voorthuijsen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 Continued Next Page]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55880</wp:posOffset>
            </wp:positionV>
            <wp:extent cx="727456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983" w:right="1440" w:bottom="1440" w:gutter="0" w:footer="0" w:header="0"/>
        </w:sectPr>
      </w:pPr>
    </w:p>
    <w:bookmarkStart w:id="40" w:name="page41"/>
    <w:bookmarkEnd w:id="40"/>
    <w:p>
      <w:pPr>
        <w:ind w:left="5600"/>
        <w:spacing w:after="0"/>
        <w:rPr>
          <w:sz w:val="20"/>
          <w:szCs w:val="20"/>
          <w:color w:val="auto"/>
        </w:rPr>
      </w:pPr>
      <w:r>
        <w:rPr>
          <w:rFonts w:ascii="Arial" w:cs="Arial" w:eastAsia="Arial" w:hAnsi="Arial"/>
          <w:sz w:val="15"/>
          <w:szCs w:val="15"/>
          <w:b w:val="1"/>
          <w:bCs w:val="1"/>
          <w:color w:val="auto"/>
        </w:rPr>
        <w:t>NN EUROBALL IRELAND LIMITED</w:t>
      </w:r>
      <w:r>
        <w:rPr>
          <w:rFonts w:ascii="Arial" w:cs="Arial" w:eastAsia="Arial" w:hAnsi="Arial"/>
          <w:sz w:val="18"/>
          <w:szCs w:val="18"/>
          <w:color w:val="auto"/>
        </w:rPr>
        <w:t>,</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an Irish company</w:t>
      </w: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Roderick R. Baty</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Director</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NN HOLDINGS, B.V.,</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 Dutch company</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Joop van Voorthuijsen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Joop van Voorthuijsen</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Managing Director</w:t>
      </w:r>
    </w:p>
    <w:p>
      <w:pPr>
        <w:spacing w:after="0" w:line="200" w:lineRule="exact"/>
        <w:rPr>
          <w:sz w:val="20"/>
          <w:szCs w:val="20"/>
          <w:color w:val="auto"/>
        </w:rPr>
      </w:pPr>
    </w:p>
    <w:p>
      <w:pPr>
        <w:spacing w:after="0" w:line="382"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NN SLOVAKIA, s.r.o.</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William C. Kelly, Jr.</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Director</w:t>
      </w:r>
    </w:p>
    <w:p>
      <w:pPr>
        <w:spacing w:after="0" w:line="379" w:lineRule="exact"/>
        <w:rPr>
          <w:sz w:val="20"/>
          <w:szCs w:val="20"/>
          <w:color w:val="auto"/>
        </w:rPr>
      </w:pPr>
    </w:p>
    <w:p>
      <w:pPr>
        <w:spacing w:after="0"/>
        <w:tabs>
          <w:tab w:leader="none" w:pos="5580" w:val="left"/>
        </w:tabs>
        <w:rPr>
          <w:sz w:val="20"/>
          <w:szCs w:val="20"/>
          <w:color w:val="auto"/>
        </w:rPr>
      </w:pPr>
      <w:r>
        <w:rPr>
          <w:rFonts w:ascii="Arial" w:cs="Arial" w:eastAsia="Arial" w:hAnsi="Arial"/>
          <w:sz w:val="15"/>
          <w:szCs w:val="15"/>
          <w:b w:val="1"/>
          <w:bCs w:val="1"/>
          <w:color w:val="auto"/>
        </w:rPr>
        <w:t>LENDERS:</w:t>
      </w:r>
      <w:r>
        <w:rPr>
          <w:sz w:val="20"/>
          <w:szCs w:val="20"/>
          <w:color w:val="auto"/>
        </w:rPr>
        <w:tab/>
      </w:r>
      <w:r>
        <w:rPr>
          <w:rFonts w:ascii="Arial" w:cs="Arial" w:eastAsia="Arial" w:hAnsi="Arial"/>
          <w:sz w:val="15"/>
          <w:szCs w:val="15"/>
          <w:b w:val="1"/>
          <w:bCs w:val="1"/>
          <w:color w:val="auto"/>
        </w:rPr>
        <w:t>AMSOUTH BANK</w:t>
      </w:r>
      <w:r>
        <w:rPr>
          <w:rFonts w:ascii="Arial" w:cs="Arial" w:eastAsia="Arial" w:hAnsi="Arial"/>
          <w:sz w:val="15"/>
          <w:szCs w:val="15"/>
          <w:color w:val="auto"/>
        </w:rPr>
        <w:t>, as a Lender</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Ludolf H. Roell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66675</wp:posOffset>
            </wp:positionV>
            <wp:extent cx="282257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Name: Ludolf H. Roell</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Title: SVP</w:t>
      </w:r>
    </w:p>
    <w:p>
      <w:pPr>
        <w:spacing w:after="0" w:line="379" w:lineRule="exact"/>
        <w:rPr>
          <w:sz w:val="20"/>
          <w:szCs w:val="20"/>
          <w:color w:val="auto"/>
        </w:rPr>
      </w:pPr>
    </w:p>
    <w:p>
      <w:pPr>
        <w:jc w:val="right"/>
        <w:ind w:right="79"/>
        <w:spacing w:after="0"/>
        <w:rPr>
          <w:sz w:val="20"/>
          <w:szCs w:val="20"/>
          <w:color w:val="auto"/>
        </w:rPr>
      </w:pPr>
      <w:r>
        <w:rPr>
          <w:rFonts w:ascii="Arial" w:cs="Arial" w:eastAsia="Arial" w:hAnsi="Arial"/>
          <w:sz w:val="15"/>
          <w:szCs w:val="15"/>
          <w:b w:val="1"/>
          <w:bCs w:val="1"/>
          <w:color w:val="auto"/>
        </w:rPr>
        <w:t>FIRST TENNESSEE BANK NATIONAL ASSOCIATION</w:t>
      </w:r>
      <w:r>
        <w:rPr>
          <w:rFonts w:ascii="Arial" w:cs="Arial" w:eastAsia="Arial" w:hAnsi="Arial"/>
          <w:sz w:val="15"/>
          <w:szCs w:val="15"/>
          <w:color w:val="auto"/>
        </w:rPr>
        <w:t>, as a Lender</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 /s/ Vincent K. Hickam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66675</wp:posOffset>
            </wp:positionV>
            <wp:extent cx="283019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Name: Vincent K. Hickam</w:t>
      </w:r>
    </w:p>
    <w:p>
      <w:pPr>
        <w:spacing w:after="0" w:line="1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Title: EVP</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[Signatures Continued Next Page]</w:t>
      </w: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27456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199"/>
          </w:cols>
          <w:pgMar w:left="260" w:top="301" w:right="1440" w:bottom="1440" w:gutter="0" w:footer="0" w:header="0"/>
        </w:sectPr>
      </w:pPr>
    </w:p>
    <w:bookmarkStart w:id="41" w:name="page42"/>
    <w:bookmarkEnd w:id="41"/>
    <w:p>
      <w:pPr>
        <w:ind w:left="4420"/>
        <w:spacing w:after="0"/>
        <w:rPr>
          <w:sz w:val="20"/>
          <w:szCs w:val="20"/>
          <w:color w:val="auto"/>
        </w:rPr>
      </w:pPr>
      <w:r>
        <w:rPr>
          <w:rFonts w:ascii="Arial" w:cs="Arial" w:eastAsia="Arial" w:hAnsi="Arial"/>
          <w:sz w:val="14"/>
          <w:szCs w:val="14"/>
          <w:b w:val="1"/>
          <w:bCs w:val="1"/>
          <w:color w:val="auto"/>
        </w:rPr>
        <w:t xml:space="preserve">REGIONS BANK </w:t>
      </w:r>
      <w:r>
        <w:rPr>
          <w:rFonts w:ascii="Arial" w:cs="Arial" w:eastAsia="Arial" w:hAnsi="Arial"/>
          <w:sz w:val="14"/>
          <w:szCs w:val="14"/>
          <w:color w:val="auto"/>
        </w:rPr>
        <w:t>(successor to UNION PLANTERS</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BANK, NATIONAL ASSOCIATION), as a Lender</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Carol 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66675</wp:posOffset>
            </wp:positionV>
            <wp:extent cx="283019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0195" cy="19685"/>
                    </a:xfrm>
                    <a:prstGeom prst="rect">
                      <a:avLst/>
                    </a:prstGeom>
                    <a:noFill/>
                  </pic:spPr>
                </pic:pic>
              </a:graphicData>
            </a:graphic>
          </wp:anchor>
        </w:drawing>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Name: Carol S. Geraghty</w:t>
      </w:r>
    </w:p>
    <w:p>
      <w:pPr>
        <w:spacing w:after="0" w:line="18"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Title: Vice President</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INTEGRA BANK, N.A.</w:t>
      </w:r>
      <w:r>
        <w:rPr>
          <w:rFonts w:ascii="Arial" w:cs="Arial" w:eastAsia="Arial" w:hAnsi="Arial"/>
          <w:sz w:val="18"/>
          <w:szCs w:val="18"/>
          <w:color w:val="auto"/>
        </w:rPr>
        <w:t>, as a Lender</w:t>
      </w:r>
    </w:p>
    <w:p>
      <w:pPr>
        <w:spacing w:after="0" w:line="36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Jeffrey D.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66675</wp:posOffset>
            </wp:positionV>
            <wp:extent cx="282257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Name: Jeffrey D. Jackson</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SUNTRUST BANK</w:t>
      </w:r>
      <w:r>
        <w:rPr>
          <w:rFonts w:ascii="Arial" w:cs="Arial" w:eastAsia="Arial" w:hAnsi="Arial"/>
          <w:sz w:val="13"/>
          <w:szCs w:val="13"/>
          <w:color w:val="auto"/>
        </w:rPr>
        <w:t>, as a Lender and Euro Loan Agent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By: /s/ Robert C. Chadwell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66675</wp:posOffset>
            </wp:positionV>
            <wp:extent cx="282257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5"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Name: Robert C. Chadwell</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62865</wp:posOffset>
            </wp:positionV>
            <wp:extent cx="7274560"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42" w:name="page43"/>
    <w:bookmarkEnd w:id="42"/>
    <w:p>
      <w:pPr>
        <w:ind w:left="10290"/>
        <w:spacing w:after="0"/>
        <w:rPr>
          <w:sz w:val="20"/>
          <w:szCs w:val="20"/>
          <w:color w:val="auto"/>
        </w:rPr>
      </w:pPr>
      <w:r>
        <w:rPr>
          <w:rFonts w:ascii="Arial" w:cs="Arial" w:eastAsia="Arial" w:hAnsi="Arial"/>
          <w:sz w:val="18"/>
          <w:szCs w:val="18"/>
          <w:b w:val="1"/>
          <w:bCs w:val="1"/>
          <w:color w:val="auto"/>
        </w:rPr>
        <w:t>Exhibit 31.1</w:t>
      </w:r>
    </w:p>
    <w:p>
      <w:pPr>
        <w:spacing w:after="0" w:line="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Roderick R. Baty, certify that:</w:t>
      </w:r>
    </w:p>
    <w:p>
      <w:pPr>
        <w:spacing w:after="0" w:line="268" w:lineRule="exact"/>
        <w:rPr>
          <w:sz w:val="20"/>
          <w:szCs w:val="20"/>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79" w:lineRule="exact"/>
        <w:rPr>
          <w:rFonts w:ascii="Arial" w:cs="Arial" w:eastAsia="Arial" w:hAnsi="Arial"/>
          <w:sz w:val="15"/>
          <w:szCs w:val="15"/>
          <w:color w:val="auto"/>
        </w:rPr>
      </w:pPr>
    </w:p>
    <w:p>
      <w:pPr>
        <w:ind w:left="10" w:right="300" w:hanging="10"/>
        <w:spacing w:after="0" w:line="291" w:lineRule="auto"/>
        <w:tabs>
          <w:tab w:leader="none" w:pos="4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5"/>
          <w:szCs w:val="15"/>
          <w:color w:val="auto"/>
        </w:rPr>
      </w:pPr>
    </w:p>
    <w:p>
      <w:pPr>
        <w:ind w:left="10" w:right="400" w:hanging="10"/>
        <w:spacing w:after="0" w:line="291" w:lineRule="auto"/>
        <w:tabs>
          <w:tab w:leader="none" w:pos="4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42" w:lineRule="exact"/>
        <w:rPr>
          <w:rFonts w:ascii="Arial" w:cs="Arial" w:eastAsia="Arial" w:hAnsi="Arial"/>
          <w:sz w:val="13"/>
          <w:szCs w:val="13"/>
          <w:color w:val="auto"/>
        </w:rPr>
      </w:pPr>
    </w:p>
    <w:p>
      <w:pPr>
        <w:ind w:left="1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233" w:lineRule="exact"/>
        <w:rPr>
          <w:rFonts w:ascii="Arial" w:cs="Arial" w:eastAsia="Arial" w:hAnsi="Arial"/>
          <w:sz w:val="13"/>
          <w:szCs w:val="13"/>
          <w:color w:val="auto"/>
        </w:rPr>
      </w:pPr>
    </w:p>
    <w:p>
      <w:pPr>
        <w:jc w:val="both"/>
        <w:ind w:left="1630" w:hanging="246"/>
        <w:spacing w:after="0" w:line="263"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jc w:val="both"/>
        <w:ind w:left="1630" w:hanging="255"/>
        <w:spacing w:after="0" w:line="263"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5"/>
          <w:szCs w:val="15"/>
          <w:color w:val="auto"/>
        </w:rPr>
      </w:pPr>
    </w:p>
    <w:p>
      <w:pPr>
        <w:ind w:left="1630" w:right="20" w:hanging="246"/>
        <w:spacing w:after="0" w:line="275"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jc w:val="both"/>
        <w:ind w:left="1630" w:hanging="255"/>
        <w:spacing w:after="0" w:line="263"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4" w:lineRule="exact"/>
        <w:rPr>
          <w:rFonts w:ascii="Arial" w:cs="Arial" w:eastAsia="Arial" w:hAnsi="Arial"/>
          <w:sz w:val="15"/>
          <w:szCs w:val="15"/>
          <w:color w:val="auto"/>
        </w:rPr>
      </w:pPr>
    </w:p>
    <w:p>
      <w:pPr>
        <w:ind w:left="10" w:right="80" w:hanging="10"/>
        <w:spacing w:after="0" w:line="291" w:lineRule="auto"/>
        <w:tabs>
          <w:tab w:leader="none" w:pos="4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5"/>
          <w:szCs w:val="15"/>
          <w:color w:val="auto"/>
        </w:rPr>
      </w:pPr>
    </w:p>
    <w:p>
      <w:pPr>
        <w:ind w:left="1630" w:right="20" w:hanging="246"/>
        <w:spacing w:after="0" w:line="275"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630" w:hanging="255"/>
        <w:spacing w:after="0" w:line="275" w:lineRule="auto"/>
        <w:tabs>
          <w:tab w:leader="none" w:pos="163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66675</wp:posOffset>
            </wp:positionV>
            <wp:extent cx="282257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30"/>
        <w:spacing w:after="0"/>
        <w:rPr>
          <w:sz w:val="20"/>
          <w:szCs w:val="20"/>
          <w:color w:val="auto"/>
        </w:rPr>
      </w:pPr>
      <w:r>
        <w:rPr>
          <w:rFonts w:ascii="Arial" w:cs="Arial" w:eastAsia="Arial" w:hAnsi="Arial"/>
          <w:sz w:val="15"/>
          <w:szCs w:val="15"/>
          <w:color w:val="auto"/>
        </w:rPr>
        <w:t>Roderick R. Baty</w:t>
      </w:r>
    </w:p>
    <w:p>
      <w:pPr>
        <w:spacing w:after="0" w:line="18" w:lineRule="exact"/>
        <w:rPr>
          <w:sz w:val="20"/>
          <w:szCs w:val="20"/>
          <w:color w:val="auto"/>
        </w:rPr>
      </w:pPr>
    </w:p>
    <w:p>
      <w:pPr>
        <w:ind w:left="5930"/>
        <w:spacing w:after="0"/>
        <w:rPr>
          <w:sz w:val="20"/>
          <w:szCs w:val="20"/>
          <w:color w:val="auto"/>
        </w:rPr>
      </w:pPr>
      <w:r>
        <w:rPr>
          <w:rFonts w:ascii="Arial" w:cs="Arial" w:eastAsia="Arial" w:hAnsi="Arial"/>
          <w:sz w:val="15"/>
          <w:szCs w:val="15"/>
          <w:color w:val="auto"/>
        </w:rPr>
        <w:t>Title: Chairman, President and Chief Executive Officer</w:t>
      </w:r>
    </w:p>
    <w:p>
      <w:pPr>
        <w:sectPr>
          <w:pgSz w:w="11900" w:h="16838" w:orient="portrait"/>
          <w:cols w:equalWidth="0" w:num="1">
            <w:col w:w="11450"/>
          </w:cols>
          <w:pgMar w:left="230" w:top="331" w:right="219" w:bottom="1440" w:gutter="0" w:footer="0" w:header="0"/>
        </w:sectPr>
      </w:pPr>
    </w:p>
    <w:bookmarkStart w:id="43" w:name="page44"/>
    <w:bookmarkEnd w:id="43"/>
    <w:p>
      <w:pPr>
        <w:ind w:left="9810"/>
        <w:spacing w:after="0"/>
        <w:rPr>
          <w:sz w:val="20"/>
          <w:szCs w:val="20"/>
          <w:color w:val="auto"/>
        </w:rPr>
      </w:pPr>
      <w:r>
        <w:rPr>
          <w:rFonts w:ascii="Arial" w:cs="Arial" w:eastAsia="Arial" w:hAnsi="Arial"/>
          <w:sz w:val="15"/>
          <w:szCs w:val="15"/>
          <w:b w:val="1"/>
          <w:bCs w:val="1"/>
          <w:color w:val="auto"/>
        </w:rPr>
        <w:t>Exhibit 31.2</w:t>
      </w:r>
    </w:p>
    <w:p>
      <w:pPr>
        <w:spacing w:after="0" w:line="23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CERTIFICATION PURSUANT TO SECTION 302 OF SARBANES-OXLEY ACT OF 2002</w:t>
      </w:r>
    </w:p>
    <w:p>
      <w:pPr>
        <w:spacing w:after="0" w:line="238" w:lineRule="exact"/>
        <w:rPr>
          <w:sz w:val="20"/>
          <w:szCs w:val="20"/>
          <w:color w:val="auto"/>
        </w:rPr>
      </w:pPr>
    </w:p>
    <w:p>
      <w:pPr>
        <w:ind w:left="10"/>
        <w:spacing w:after="0"/>
        <w:rPr>
          <w:sz w:val="20"/>
          <w:szCs w:val="20"/>
          <w:color w:val="auto"/>
        </w:rPr>
      </w:pPr>
      <w:r>
        <w:rPr>
          <w:rFonts w:ascii="Arial" w:cs="Arial" w:eastAsia="Arial" w:hAnsi="Arial"/>
          <w:sz w:val="15"/>
          <w:szCs w:val="15"/>
          <w:color w:val="auto"/>
        </w:rPr>
        <w:t>I, James H. Dorton, certify that:</w:t>
      </w:r>
    </w:p>
    <w:p>
      <w:pPr>
        <w:spacing w:after="0" w:line="268" w:lineRule="exact"/>
        <w:rPr>
          <w:sz w:val="20"/>
          <w:szCs w:val="20"/>
          <w:color w:val="auto"/>
        </w:rPr>
      </w:pPr>
    </w:p>
    <w:p>
      <w:pPr>
        <w:ind w:left="470" w:hanging="470"/>
        <w:spacing w:after="0"/>
        <w:tabs>
          <w:tab w:leader="none" w:pos="47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79" w:lineRule="exact"/>
        <w:rPr>
          <w:rFonts w:ascii="Arial" w:cs="Arial" w:eastAsia="Arial" w:hAnsi="Arial"/>
          <w:sz w:val="15"/>
          <w:szCs w:val="15"/>
          <w:color w:val="auto"/>
        </w:rPr>
      </w:pPr>
    </w:p>
    <w:p>
      <w:pPr>
        <w:ind w:left="10" w:right="300" w:hanging="10"/>
        <w:spacing w:after="0" w:line="291" w:lineRule="auto"/>
        <w:tabs>
          <w:tab w:leader="none" w:pos="4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5"/>
          <w:szCs w:val="15"/>
          <w:color w:val="auto"/>
        </w:rPr>
      </w:pPr>
    </w:p>
    <w:p>
      <w:pPr>
        <w:ind w:left="10" w:right="400" w:hanging="10"/>
        <w:spacing w:after="0" w:line="291" w:lineRule="auto"/>
        <w:tabs>
          <w:tab w:leader="none" w:pos="4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10" w:right="20" w:hanging="10"/>
        <w:spacing w:after="0" w:line="275" w:lineRule="auto"/>
        <w:tabs>
          <w:tab w:leader="none" w:pos="38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5"/>
          <w:szCs w:val="15"/>
          <w:color w:val="auto"/>
        </w:rPr>
      </w:pPr>
    </w:p>
    <w:p>
      <w:pPr>
        <w:spacing w:after="0" w:line="217" w:lineRule="exact"/>
        <w:rPr>
          <w:rFonts w:ascii="Arial" w:cs="Arial" w:eastAsia="Arial" w:hAnsi="Arial"/>
          <w:sz w:val="15"/>
          <w:szCs w:val="15"/>
          <w:color w:val="auto"/>
        </w:rPr>
      </w:pPr>
    </w:p>
    <w:p>
      <w:pPr>
        <w:jc w:val="both"/>
        <w:ind w:left="1630" w:hanging="246"/>
        <w:spacing w:after="0" w:line="263"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jc w:val="both"/>
        <w:ind w:left="1630" w:hanging="255"/>
        <w:spacing w:after="0" w:line="263"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5"/>
          <w:szCs w:val="15"/>
          <w:color w:val="auto"/>
        </w:rPr>
      </w:pPr>
    </w:p>
    <w:p>
      <w:pPr>
        <w:ind w:left="1630" w:right="20" w:hanging="246"/>
        <w:spacing w:after="0" w:line="275"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jc w:val="both"/>
        <w:ind w:left="1630" w:hanging="255"/>
        <w:spacing w:after="0" w:line="263"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5"/>
          <w:szCs w:val="15"/>
          <w:color w:val="auto"/>
        </w:rPr>
      </w:pPr>
    </w:p>
    <w:p>
      <w:pPr>
        <w:ind w:left="10" w:firstLine="532"/>
        <w:spacing w:after="0" w:line="275" w:lineRule="auto"/>
        <w:tabs>
          <w:tab w:leader="none" w:pos="702"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5"/>
          <w:szCs w:val="15"/>
          <w:color w:val="auto"/>
        </w:rPr>
      </w:pPr>
    </w:p>
    <w:p>
      <w:pPr>
        <w:ind w:left="1630" w:right="20" w:hanging="246"/>
        <w:spacing w:after="0" w:line="275"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630" w:hanging="255"/>
        <w:spacing w:after="0" w:line="275" w:lineRule="auto"/>
        <w:tabs>
          <w:tab w:leader="none" w:pos="1630" w:val="left"/>
        </w:tabs>
        <w:numPr>
          <w:ilvl w:val="2"/>
          <w:numId w:val="1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66675</wp:posOffset>
            </wp:positionV>
            <wp:extent cx="282257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30"/>
        <w:spacing w:after="0"/>
        <w:rPr>
          <w:sz w:val="20"/>
          <w:szCs w:val="20"/>
          <w:color w:val="auto"/>
        </w:rPr>
      </w:pPr>
      <w:r>
        <w:rPr>
          <w:rFonts w:ascii="Arial" w:cs="Arial" w:eastAsia="Arial" w:hAnsi="Arial"/>
          <w:sz w:val="15"/>
          <w:szCs w:val="15"/>
          <w:color w:val="auto"/>
        </w:rPr>
        <w:t>James H. Dorton</w:t>
      </w:r>
    </w:p>
    <w:p>
      <w:pPr>
        <w:spacing w:after="0" w:line="18" w:lineRule="exact"/>
        <w:rPr>
          <w:sz w:val="20"/>
          <w:szCs w:val="20"/>
          <w:color w:val="auto"/>
        </w:rPr>
      </w:pPr>
    </w:p>
    <w:p>
      <w:pPr>
        <w:ind w:left="5930"/>
        <w:spacing w:after="0"/>
        <w:rPr>
          <w:sz w:val="20"/>
          <w:szCs w:val="20"/>
          <w:color w:val="auto"/>
        </w:rPr>
      </w:pPr>
      <w:r>
        <w:rPr>
          <w:rFonts w:ascii="Arial" w:cs="Arial" w:eastAsia="Arial" w:hAnsi="Arial"/>
          <w:sz w:val="15"/>
          <w:szCs w:val="15"/>
          <w:color w:val="auto"/>
        </w:rPr>
        <w:t>Title: Vice President - Corporate Development and Chief Financial Officer</w:t>
      </w:r>
    </w:p>
    <w:p>
      <w:pPr>
        <w:sectPr>
          <w:pgSz w:w="11900" w:h="16838" w:orient="portrait"/>
          <w:cols w:equalWidth="0" w:num="1">
            <w:col w:w="11450"/>
          </w:cols>
          <w:pgMar w:left="230" w:top="125" w:right="21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32.1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EXECUTIVE OFFICER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66675</wp:posOffset>
            </wp:positionV>
            <wp:extent cx="282257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2575" cy="19685"/>
                    </a:xfrm>
                    <a:prstGeom prst="rect">
                      <a:avLst/>
                    </a:prstGeom>
                    <a:noFill/>
                  </pic:spPr>
                </pic:pic>
              </a:graphicData>
            </a:graphic>
          </wp:anchor>
        </w:drawing>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Roderick R. Baty</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Title: Chairman, President and Chief Executive Officer</w:t>
      </w:r>
    </w:p>
    <w:p>
      <w:pPr>
        <w:spacing w:after="0" w:line="200" w:lineRule="exact"/>
        <w:rPr>
          <w:sz w:val="20"/>
          <w:szCs w:val="20"/>
          <w:color w:val="auto"/>
        </w:rPr>
      </w:pPr>
    </w:p>
    <w:p>
      <w:pPr>
        <w:spacing w:after="0" w:line="205"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40"/>
          </w:cols>
          <w:pgMar w:left="240" w:top="125" w:right="21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FINANCIAL OFFICER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 August 9, 2006</w:t>
      </w:r>
      <w:r>
        <w:rPr>
          <w:sz w:val="20"/>
          <w:szCs w:val="20"/>
          <w:color w:val="auto"/>
        </w:rPr>
        <w:tab/>
      </w:r>
      <w:r>
        <w:rPr>
          <w:rFonts w:ascii="Arial" w:cs="Arial" w:eastAsia="Arial" w:hAnsi="Arial"/>
          <w:sz w:val="14"/>
          <w:szCs w:val="14"/>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26035</wp:posOffset>
            </wp:positionV>
            <wp:extent cx="35052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05200" cy="6985"/>
                    </a:xfrm>
                    <a:prstGeom prst="rect">
                      <a:avLst/>
                    </a:prstGeom>
                    <a:noFill/>
                  </pic:spPr>
                </pic:pic>
              </a:graphicData>
            </a:graphic>
          </wp:anchor>
        </w:drawing>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James H. Dorton</w:t>
      </w:r>
    </w:p>
    <w:p>
      <w:pPr>
        <w:spacing w:after="0" w:line="31"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 xml:space="preserve">Title: Vice President - Corporate Develpment and </w:t>
      </w:r>
      <w:r>
        <w:rPr>
          <w:rFonts w:ascii="Arial" w:cs="Arial" w:eastAsia="Arial" w:hAnsi="Arial"/>
          <w:sz w:val="14"/>
          <w:szCs w:val="14"/>
          <w:color w:val="auto"/>
        </w:rPr>
        <w:t>Chief Financial Officer</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lvl w:ilvl="1">
      <w:lvlJc w:val="left"/>
      <w:lvlText w:val="(%2)"/>
      <w:numFmt w:val="lowerLetter"/>
      <w:start w:val="8"/>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6"/>
    </w:lvl>
    <w:lvl w:ilvl="1">
      <w:lvlJc w:val="left"/>
      <w:lvlText w:val="(%2)"/>
      <w:numFmt w:val="lowerLetter"/>
      <w:start w:val="1"/>
    </w:lvl>
  </w:abstractNum>
  <w:abstractNum w:abstractNumId="7">
    <w:nsid w:val="66EF438D"/>
    <w:multiLevelType w:val="hybridMultilevel"/>
    <w:lvl w:ilvl="0">
      <w:lvlJc w:val="left"/>
      <w:lvlText w:val="(%1)"/>
      <w:numFmt w:val="lowerLetter"/>
      <w:start w:val="3"/>
    </w:lvl>
  </w:abstractNum>
  <w:abstractNum w:abstractNumId="8">
    <w:nsid w:val="140E0F76"/>
    <w:multiLevelType w:val="hybridMultilevel"/>
    <w:lvl w:ilvl="0">
      <w:lvlJc w:val="left"/>
      <w:lvlText w:val="%1"/>
      <w:numFmt w:val="upperLetter"/>
      <w:start w:val="40"/>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2">
    <w:nsid w:val="7FDCC233"/>
    <w:multiLevelType w:val="hybridMultilevel"/>
    <w:lvl w:ilvl="0">
      <w:lvlJc w:val="left"/>
      <w:lvlText w:val="%1."/>
      <w:numFmt w:val="decimal"/>
      <w:start w:val="6"/>
    </w:lvl>
    <w:lvl w:ilvl="1">
      <w:lvlJc w:val="left"/>
      <w:lvlText w:val="(%2)"/>
      <w:numFmt w:val="lowerLetter"/>
      <w:start w:val="1"/>
    </w:lvl>
  </w:abstractNum>
  <w:abstractNum w:abstractNumId="13">
    <w:nsid w:val="1BEFD79F"/>
    <w:multiLevelType w:val="hybridMultilevel"/>
    <w:lvl w:ilvl="0">
      <w:lvlJc w:val="left"/>
      <w:lvlText w:val="%1"/>
      <w:numFmt w:val="upperLetter"/>
      <w:start w:val="40"/>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2019-12-14T03:15:54Z</dcterms:created>
  <dcterms:modified xsi:type="dcterms:W3CDTF">2019-12-14T03:15:54Z</dcterms:modified>
</cp:coreProperties>
</file>