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 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 INFORMATION</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Exchange Act of 1934 (Amendment No. __)</w:t>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61" w:lineRule="exact"/>
        <w:rPr>
          <w:rFonts w:ascii="Arial" w:cs="Arial" w:eastAsia="Arial" w:hAnsi="Arial"/>
          <w:sz w:val="16"/>
          <w:szCs w:val="16"/>
          <w:color w:val="auto"/>
        </w:rPr>
      </w:pPr>
    </w:p>
    <w:p>
      <w:pPr>
        <w:ind w:right="5920" w:firstLine="8"/>
        <w:spacing w:after="0" w:line="581" w:lineRule="auto"/>
        <w:tabs>
          <w:tab w:leader="none" w:pos="162"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Confidential, for use of the Commission only (as permitted by Rule 14a-6(e)(2)) x Definitive Proxy Statement</w:t>
      </w: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61" w:lineRule="exact"/>
        <w:rPr>
          <w:rFonts w:ascii="Arial" w:cs="Arial" w:eastAsia="Arial" w:hAnsi="Arial"/>
          <w:sz w:val="16"/>
          <w:szCs w:val="16"/>
          <w:color w:val="auto"/>
        </w:rPr>
      </w:pPr>
    </w:p>
    <w:p>
      <w:pPr>
        <w:ind w:left="180" w:hanging="172"/>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NN,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Registrant as Specified in Its Charter)</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x No fee required.</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o  Fee computed on table below per Exchange Act Rules 14a-6(i)(1) and 0-11.</w:t>
      </w:r>
    </w:p>
    <w:p>
      <w:pPr>
        <w:spacing w:after="0" w:line="233" w:lineRule="exact"/>
        <w:rPr>
          <w:sz w:val="24"/>
          <w:szCs w:val="24"/>
          <w:color w:val="auto"/>
        </w:rPr>
      </w:pPr>
    </w:p>
    <w:p>
      <w:pPr>
        <w:ind w:left="360" w:hanging="352"/>
        <w:spacing w:after="0"/>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8" w:lineRule="exact"/>
        <w:rPr>
          <w:rFonts w:ascii="Arial" w:cs="Arial" w:eastAsia="Arial" w:hAnsi="Arial"/>
          <w:sz w:val="22"/>
          <w:szCs w:val="22"/>
          <w:color w:val="auto"/>
        </w:rPr>
      </w:pPr>
    </w:p>
    <w:p>
      <w:pPr>
        <w:ind w:left="360" w:hanging="352"/>
        <w:spacing w:after="0" w:line="230"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ind w:right="60" w:firstLine="8"/>
        <w:spacing w:after="0" w:line="230"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22"/>
          <w:szCs w:val="22"/>
          <w:color w:val="auto"/>
        </w:rPr>
      </w:pPr>
    </w:p>
    <w:p>
      <w:pPr>
        <w:ind w:left="360" w:hanging="352"/>
        <w:spacing w:after="0" w:line="230"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ind w:left="360" w:hanging="352"/>
        <w:spacing w:after="0"/>
        <w:tabs>
          <w:tab w:leader="none" w:pos="3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15" w:lineRule="exact"/>
        <w:rPr>
          <w:sz w:val="24"/>
          <w:szCs w:val="24"/>
          <w:color w:val="auto"/>
        </w:rPr>
      </w:pPr>
    </w:p>
    <w:p>
      <w:pPr>
        <w:ind w:left="220" w:hanging="212"/>
        <w:spacing w:after="0"/>
        <w:tabs>
          <w:tab w:leader="none" w:pos="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spacing w:after="0" w:line="233" w:lineRule="exact"/>
        <w:rPr>
          <w:rFonts w:ascii="Arial" w:cs="Arial" w:eastAsia="Arial" w:hAnsi="Arial"/>
          <w:sz w:val="22"/>
          <w:szCs w:val="22"/>
          <w:color w:val="auto"/>
        </w:rPr>
      </w:pPr>
    </w:p>
    <w:p>
      <w:pPr>
        <w:ind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3" w:lineRule="exact"/>
        <w:rPr>
          <w:sz w:val="24"/>
          <w:szCs w:val="24"/>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ind w:left="320" w:hanging="312"/>
        <w:spacing w:after="0" w:line="230" w:lineRule="auto"/>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Filing party:</w:t>
      </w: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225425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1461135</wp:posOffset>
            </wp:positionV>
            <wp:extent cx="56578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40"/>
        <w:spacing w:after="0"/>
        <w:rPr>
          <w:sz w:val="20"/>
          <w:szCs w:val="20"/>
          <w:color w:val="auto"/>
        </w:rPr>
      </w:pPr>
      <w:r>
        <w:rPr>
          <w:rFonts w:ascii="Arial" w:cs="Arial" w:eastAsia="Arial" w:hAnsi="Arial"/>
          <w:sz w:val="32"/>
          <w:szCs w:val="32"/>
          <w:b w:val="1"/>
          <w:bCs w:val="1"/>
          <w:color w:val="auto"/>
        </w:rPr>
        <w:t>NN, Inc.</w:t>
      </w:r>
    </w:p>
    <w:p>
      <w:pPr>
        <w:spacing w:after="0" w:line="28" w:lineRule="exact"/>
        <w:rPr>
          <w:sz w:val="20"/>
          <w:szCs w:val="20"/>
          <w:color w:val="auto"/>
        </w:rPr>
      </w:pPr>
    </w:p>
    <w:tbl>
      <w:tblPr>
        <w:tblLayout w:type="fixed"/>
        <w:tblInd w:w="900" w:type="dxa"/>
        <w:tblCellMar>
          <w:top w:w="0" w:type="dxa"/>
          <w:left w:w="0" w:type="dxa"/>
          <w:bottom w:w="0" w:type="dxa"/>
          <w:right w:w="0" w:type="dxa"/>
        </w:tblCellMar>
      </w:tblPr>
      <w:tr>
        <w:trPr>
          <w:trHeight w:val="260"/>
        </w:trPr>
        <w:tc>
          <w:tcPr>
            <w:tcW w:w="16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w w:val="95"/>
              </w:rPr>
              <w:t>Corporate Office</w:t>
            </w:r>
          </w:p>
        </w:tc>
        <w:tc>
          <w:tcPr>
            <w:tcW w:w="1480" w:type="dxa"/>
            <w:vAlign w:val="bottom"/>
            <w:tcBorders>
              <w:bottom w:val="single" w:sz="8" w:color="auto"/>
            </w:tcBorders>
          </w:tcPr>
          <w:p>
            <w:pPr>
              <w:spacing w:after="0"/>
              <w:rPr>
                <w:sz w:val="22"/>
                <w:szCs w:val="22"/>
                <w:color w:val="auto"/>
              </w:rPr>
            </w:pPr>
          </w:p>
        </w:tc>
        <w:tc>
          <w:tcPr>
            <w:tcW w:w="7440" w:type="dxa"/>
            <w:vAlign w:val="bottom"/>
            <w:tcBorders>
              <w:bottom w:val="single" w:sz="8" w:color="auto"/>
            </w:tcBorders>
          </w:tcPr>
          <w:p>
            <w:pPr>
              <w:ind w:left="5160"/>
              <w:spacing w:after="0"/>
              <w:rPr>
                <w:sz w:val="20"/>
                <w:szCs w:val="20"/>
                <w:color w:val="auto"/>
              </w:rPr>
            </w:pPr>
            <w:r>
              <w:rPr>
                <w:rFonts w:ascii="Arial" w:cs="Arial" w:eastAsia="Arial" w:hAnsi="Arial"/>
                <w:sz w:val="22"/>
                <w:szCs w:val="22"/>
                <w:color w:val="auto"/>
              </w:rPr>
              <w:t>www.nnbr.com</w:t>
            </w:r>
          </w:p>
        </w:tc>
      </w:tr>
      <w:tr>
        <w:trPr>
          <w:trHeight w:val="270"/>
        </w:trPr>
        <w:tc>
          <w:tcPr>
            <w:tcW w:w="1600" w:type="dxa"/>
            <w:vAlign w:val="bottom"/>
          </w:tcPr>
          <w:p>
            <w:pPr>
              <w:ind w:left="80"/>
              <w:spacing w:after="0"/>
              <w:rPr>
                <w:sz w:val="20"/>
                <w:szCs w:val="20"/>
                <w:color w:val="auto"/>
              </w:rPr>
            </w:pPr>
            <w:r>
              <w:rPr>
                <w:rFonts w:ascii="Arial" w:cs="Arial" w:eastAsia="Arial" w:hAnsi="Arial"/>
                <w:sz w:val="18"/>
                <w:szCs w:val="18"/>
                <w:color w:val="auto"/>
              </w:rPr>
              <w:t>2000 Waters Edge</w:t>
            </w:r>
          </w:p>
        </w:tc>
        <w:tc>
          <w:tcPr>
            <w:tcW w:w="1480" w:type="dxa"/>
            <w:vAlign w:val="bottom"/>
          </w:tcPr>
          <w:p>
            <w:pPr>
              <w:ind w:left="120"/>
              <w:spacing w:after="0"/>
              <w:rPr>
                <w:sz w:val="20"/>
                <w:szCs w:val="20"/>
                <w:color w:val="auto"/>
              </w:rPr>
            </w:pPr>
            <w:r>
              <w:rPr>
                <w:rFonts w:ascii="Arial" w:cs="Arial" w:eastAsia="Arial" w:hAnsi="Arial"/>
                <w:sz w:val="18"/>
                <w:szCs w:val="18"/>
                <w:color w:val="auto"/>
              </w:rPr>
              <w:t>Building C, Suite</w:t>
            </w:r>
          </w:p>
        </w:tc>
        <w:tc>
          <w:tcPr>
            <w:tcW w:w="7440" w:type="dxa"/>
            <w:vAlign w:val="bottom"/>
          </w:tcPr>
          <w:p>
            <w:pPr>
              <w:spacing w:after="0"/>
              <w:rPr>
                <w:sz w:val="20"/>
                <w:szCs w:val="20"/>
                <w:color w:val="auto"/>
              </w:rPr>
            </w:pPr>
            <w:r>
              <w:rPr>
                <w:rFonts w:ascii="Arial" w:cs="Arial" w:eastAsia="Arial" w:hAnsi="Arial"/>
                <w:sz w:val="18"/>
                <w:szCs w:val="18"/>
                <w:color w:val="auto"/>
              </w:rPr>
              <w:t>Johnson City, TN 37604</w:t>
            </w:r>
          </w:p>
        </w:tc>
      </w:tr>
      <w:tr>
        <w:trPr>
          <w:trHeight w:val="161"/>
        </w:trPr>
        <w:tc>
          <w:tcPr>
            <w:tcW w:w="1600" w:type="dxa"/>
            <w:vAlign w:val="bottom"/>
          </w:tcPr>
          <w:p>
            <w:pPr>
              <w:spacing w:after="0" w:line="161" w:lineRule="exact"/>
              <w:rPr>
                <w:sz w:val="20"/>
                <w:szCs w:val="20"/>
                <w:color w:val="auto"/>
              </w:rPr>
            </w:pPr>
            <w:r>
              <w:rPr>
                <w:rFonts w:ascii="Arial" w:cs="Arial" w:eastAsia="Arial" w:hAnsi="Arial"/>
                <w:sz w:val="18"/>
                <w:szCs w:val="18"/>
                <w:color w:val="auto"/>
              </w:rPr>
              <w:t>Drive •</w:t>
            </w:r>
          </w:p>
        </w:tc>
        <w:tc>
          <w:tcPr>
            <w:tcW w:w="1480" w:type="dxa"/>
            <w:vAlign w:val="bottom"/>
          </w:tcPr>
          <w:p>
            <w:pPr>
              <w:ind w:left="80"/>
              <w:spacing w:after="0" w:line="161" w:lineRule="exact"/>
              <w:rPr>
                <w:sz w:val="20"/>
                <w:szCs w:val="20"/>
                <w:color w:val="auto"/>
              </w:rPr>
            </w:pPr>
            <w:r>
              <w:rPr>
                <w:rFonts w:ascii="Arial" w:cs="Arial" w:eastAsia="Arial" w:hAnsi="Arial"/>
                <w:sz w:val="18"/>
                <w:szCs w:val="18"/>
                <w:color w:val="auto"/>
              </w:rPr>
              <w:t>12 •</w:t>
            </w:r>
          </w:p>
        </w:tc>
        <w:tc>
          <w:tcPr>
            <w:tcW w:w="7440" w:type="dxa"/>
            <w:vAlign w:val="bottom"/>
          </w:tcPr>
          <w:p>
            <w:pPr>
              <w:spacing w:after="0"/>
              <w:rPr>
                <w:sz w:val="14"/>
                <w:szCs w:val="14"/>
                <w:color w:val="auto"/>
              </w:rPr>
            </w:pPr>
          </w:p>
        </w:tc>
      </w:tr>
      <w:tr>
        <w:trPr>
          <w:trHeight w:val="244"/>
        </w:trPr>
        <w:tc>
          <w:tcPr>
            <w:tcW w:w="1600" w:type="dxa"/>
            <w:vAlign w:val="bottom"/>
          </w:tcPr>
          <w:p>
            <w:pPr>
              <w:ind w:left="40"/>
              <w:spacing w:after="0"/>
              <w:rPr>
                <w:sz w:val="20"/>
                <w:szCs w:val="20"/>
                <w:color w:val="auto"/>
              </w:rPr>
            </w:pPr>
            <w:r>
              <w:rPr>
                <w:rFonts w:ascii="Arial" w:cs="Arial" w:eastAsia="Arial" w:hAnsi="Arial"/>
                <w:sz w:val="18"/>
                <w:szCs w:val="18"/>
                <w:color w:val="auto"/>
              </w:rPr>
              <w:t>423-743-9151</w:t>
            </w:r>
          </w:p>
        </w:tc>
        <w:tc>
          <w:tcPr>
            <w:tcW w:w="1480" w:type="dxa"/>
            <w:vAlign w:val="bottom"/>
          </w:tcPr>
          <w:p>
            <w:pPr>
              <w:ind w:left="180"/>
              <w:spacing w:after="0"/>
              <w:rPr>
                <w:sz w:val="20"/>
                <w:szCs w:val="20"/>
                <w:color w:val="auto"/>
              </w:rPr>
            </w:pPr>
            <w:r>
              <w:rPr>
                <w:rFonts w:ascii="Arial" w:cs="Arial" w:eastAsia="Arial" w:hAnsi="Arial"/>
                <w:sz w:val="18"/>
                <w:szCs w:val="18"/>
                <w:color w:val="auto"/>
                <w:w w:val="90"/>
              </w:rPr>
              <w:t>fax 423-743-2670</w:t>
            </w:r>
          </w:p>
        </w:tc>
        <w:tc>
          <w:tcPr>
            <w:tcW w:w="7440" w:type="dxa"/>
            <w:vAlign w:val="bottom"/>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April 9,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are cordially invited to attend the 2010 Annual Meeting of NN, Inc., which will be held on May 20, 2010, at 10:00 a.m., local time, at the Renaissance Suites Charlotte Hotel, 2800 Coliseum Centre Drive, Charlotte, North Carolina 28217.</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business to be conducted at the Annual Meeting is described in the attached Notice of Meeting and Proxy Statement. You are urged to read the Proxy Statement carefully before completing the enclosed proxy card.</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 Management will not conduct a formal presentation at this year’s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/s/Roderick R. Baty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Roderick R. Baty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 Building C, Suite 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TN 37604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NOTICE OF ANNUAL MEETING OF SHAREHOLDERS</w:t>
      </w:r>
    </w:p>
    <w:p>
      <w:pPr>
        <w:spacing w:after="0" w:line="200" w:lineRule="exact"/>
        <w:rPr>
          <w:sz w:val="20"/>
          <w:szCs w:val="20"/>
          <w:color w:val="auto"/>
        </w:rPr>
      </w:pPr>
    </w:p>
    <w:p>
      <w:pPr>
        <w:spacing w:after="0" w:line="29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Notice is hereby given that the Annual Meeting of Shareholders of NN, Inc., a Delaware corporation, will be held on May 20, 2010, at 10:00 a.m., local time, at Renaissance Suites Charlotte Hotel, 2800 Coliseum Centre Drive, Charlotte, North Carolina 28217, for the following purposes:</w:t>
      </w:r>
    </w:p>
    <w:p>
      <w:pPr>
        <w:spacing w:after="0" w:line="174" w:lineRule="exact"/>
        <w:rPr>
          <w:sz w:val="20"/>
          <w:szCs w:val="20"/>
          <w:color w:val="auto"/>
        </w:rPr>
      </w:pPr>
    </w:p>
    <w:p>
      <w:pPr>
        <w:ind w:left="1300" w:hanging="29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Class III directors, to serve for a term of three years;</w:t>
      </w:r>
    </w:p>
    <w:p>
      <w:pPr>
        <w:spacing w:after="0" w:line="23" w:lineRule="exact"/>
        <w:rPr>
          <w:rFonts w:ascii="Arial" w:cs="Arial" w:eastAsia="Arial" w:hAnsi="Arial"/>
          <w:sz w:val="18"/>
          <w:szCs w:val="18"/>
          <w:color w:val="auto"/>
        </w:rPr>
      </w:pPr>
    </w:p>
    <w:p>
      <w:pPr>
        <w:ind w:left="1300" w:hanging="295"/>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the Company’s registered independent public accounting firm for the fiscal year ending December 31, 2010; and</w:t>
      </w:r>
    </w:p>
    <w:p>
      <w:pPr>
        <w:spacing w:after="0" w:line="210" w:lineRule="exact"/>
        <w:rPr>
          <w:rFonts w:ascii="Arial" w:cs="Arial" w:eastAsia="Arial" w:hAnsi="Arial"/>
          <w:sz w:val="18"/>
          <w:szCs w:val="18"/>
          <w:color w:val="auto"/>
        </w:rPr>
      </w:pPr>
    </w:p>
    <w:p>
      <w:pPr>
        <w:ind w:left="1300" w:hanging="29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conduct such other business as properly may come before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A VOTE FOR THESE PROPOSALS.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these matters are contained in the accompanying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Holders of record of Common Stock at the close of business on March 26, 2010, are entitled to notice of and to vote at the Annual Meeting.</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/s/William C. Kelly, Jr.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William C. Kelly, Jr.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Secretary, and Chief Administrative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Johnson City,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2010 ANNUAL MEETING OF SHAREHOLDERS</w:t>
      </w:r>
    </w:p>
    <w:p>
      <w:pPr>
        <w:spacing w:after="0" w:line="200" w:lineRule="exact"/>
        <w:rPr>
          <w:sz w:val="20"/>
          <w:szCs w:val="20"/>
          <w:color w:val="auto"/>
        </w:rPr>
      </w:pPr>
    </w:p>
    <w:p>
      <w:pPr>
        <w:spacing w:after="0" w:line="29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Proxies are being solicited by the board of directors of NN, Inc. (the "Company"), in connection with the annual meeting of shareholders to be held on May 20, 2010 at the </w:t>
      </w:r>
      <w:r>
        <w:rPr>
          <w:rFonts w:ascii="Arial" w:cs="Arial" w:eastAsia="Arial" w:hAnsi="Arial"/>
          <w:sz w:val="16"/>
          <w:szCs w:val="16"/>
          <w:b w:val="1"/>
          <w:bCs w:val="1"/>
          <w:color w:val="auto"/>
        </w:rPr>
        <w:t>Renaissance Charlotte Suites Hotel, 2800 Coliseum Centre Drive, Charlotte, North Carolina 28217</w:t>
      </w:r>
      <w:r>
        <w:rPr>
          <w:rFonts w:ascii="Arial" w:cs="Arial" w:eastAsia="Arial" w:hAnsi="Arial"/>
          <w:sz w:val="16"/>
          <w:szCs w:val="16"/>
          <w:color w:val="auto"/>
        </w:rPr>
        <w:t xml:space="preserve"> (the "Annual Meeting"), for the purpose of considering and acting upon the matters set forth in the foregoing Notice of Annual Meeting of Shareholders (the "Notice"). Shareholders of record of the Company's common stock, par value $0.01 per share ("Common Stock"), as of the close of business on March 26, 2010, will be entitled to vote at the meeting. On March 26, 2010 (the "Record Date"), 16,516,924 shares of Common Stock were issued and outstanding.</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mailing address of the Company's executive office is 2000 Waters Edge Drive, Building C, Suite 12, Johnson City, Tennessee 37604. This Proxy Statement and the form of proxy were mailed to shareholders on or about April 9,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Quorum; Proxies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of shareholders at the Annual Meeting. A quorum for the conduct of business is established when the holders of at least a majority of the outstanding shares of Common Stock entitled to vote in the election of directors is present at the meeting or is represented by proxy. Representatives of the Company will serve as inspectors of election for the Annual Meeting.</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PricewaterhouseCoopers LLP to serve as the Company's registered independent public accounting firm for 2010.</w:t>
      </w:r>
    </w:p>
    <w:p>
      <w:pPr>
        <w:spacing w:after="0" w:line="1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Required Vote</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Directors are elected by a plurality of the votes cast in person or by proxy. Abstentions and broker non-votes will not be taken into account in determining the outcome of the election.</w:t>
      </w:r>
    </w:p>
    <w:p>
      <w:pPr>
        <w:spacing w:after="0" w:line="2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Proposal II: </w:t>
      </w:r>
      <w:r>
        <w:rPr>
          <w:rFonts w:ascii="Arial" w:cs="Arial" w:eastAsia="Arial" w:hAnsi="Arial"/>
          <w:sz w:val="17"/>
          <w:szCs w:val="17"/>
          <w:i w:val="1"/>
          <w:iCs w:val="1"/>
          <w:color w:val="auto"/>
        </w:rPr>
        <w:t>Ratification of Registered Independent Public Accounting Firm.</w:t>
      </w:r>
      <w:r>
        <w:rPr>
          <w:rFonts w:ascii="Arial" w:cs="Arial" w:eastAsia="Arial" w:hAnsi="Arial"/>
          <w:sz w:val="17"/>
          <w:szCs w:val="17"/>
          <w:color w:val="auto"/>
        </w:rPr>
        <w:t xml:space="preserve"> To be approved, this matter must receive the affirmative vote of the majority of the shares present in person or by proxy and entitled to vote on the matter. Abstentions will have the effect of “no” votes on this matter. A broker non-vote will not be considered present and will not be entitled to vote on non-routine items and will have no impact on the vote for this proposal.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Shareholder Proposals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shareholder proposal intended to be presented at next year's Annual Meeting must be received by the Company at its executive offices not later than December 15, 2010 in order to be considered for inclusion in the Company's proxy statement and form of proxy for such meeting. These proposals should be sent to NN, Inc., Attention: Secretary, 2000 Waters Edge Drive, Building C, Suite 12, Johnson City, Tennessee 37604. Proposals of shareholders not intended for inclusion in the Company’s 2011 proxy statement must be received by the Company in writing no later than February 28, 2011 in order to preclude the Company’s use of its discretionary proxy voting authority to vote on the proposal or nominee if the proponent is present at the 2011 annual meeting.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PROPOSAL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3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Two Class III directors will be elected to the board of directors at the Annual Meeting. The Company has nominated for election Richard G. Fanelli and Michael E. Werner, each a current director of the Company. The nominees have both indicated a willingness to continue to serve as directors if elected, but if either of them should decline or be unable to serve, the persons named as proxies intend to vote all shares in favor of the election of such other persons who may be nominated as replacements by the board of directors. The Company takes into account diversity considerations in determining the slate of nominees and believes as a group the nominees bring a diverse range of perspective to the board.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BOARD OF DIRECTORS RECOMMENDS A VOTE “FOR” THIS PROPOSAL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 Registered Independent Public Accounting Firm</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firm of PricewaterhouseCoopers LLP has been selected by the Audit Committee of the board of directors as the Company's registered independent public accounting firm for 2010. Although it is not required to do so, the Board has determined that it is desirable to seek shareholders' ratification of the selection of PricewaterhouseCoopers LLP. If the shareholders should not ratify the appointment of PricewaterhouseCoopers LLP, the Audit Committee will reconsider the appointment.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Information about the Directors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board of directors consists of 6 directors. The board has determined that each of the directors, with the exception of Mr. Baty, qualifies as “independent” as defined by the Nasdaq rules. In making this determination, the board has concluded that none of these members has a relationship which, in the opinion of the board, would interfere with the exercise of independent judgment in carrying out the responsibilities of a director. .</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Term</w:t>
            </w:r>
          </w:p>
        </w:tc>
        <w:tc>
          <w:tcPr>
            <w:tcW w:w="4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Name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Since</w:t>
            </w: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Expires</w:t>
            </w:r>
          </w:p>
        </w:tc>
        <w:tc>
          <w:tcPr>
            <w:tcW w:w="416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Positions with the Company</w:t>
            </w:r>
          </w:p>
        </w:tc>
      </w:tr>
      <w:tr>
        <w:trPr>
          <w:trHeight w:val="418"/>
        </w:trPr>
        <w:tc>
          <w:tcPr>
            <w:tcW w:w="184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2010</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 – nominee for re-election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2010</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 – nominee for re-election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1994</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4"/>
              </w:rPr>
              <w:t>2011</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1997</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84"/>
              </w:rPr>
              <w:t>2011</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2003</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2012</w:t>
            </w:r>
          </w:p>
        </w:tc>
        <w:tc>
          <w:tcPr>
            <w:tcW w:w="41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160" w:type="dxa"/>
            <w:vAlign w:val="bottom"/>
          </w:tcPr>
          <w:p>
            <w:pPr>
              <w:ind w:left="140"/>
              <w:spacing w:after="0"/>
              <w:rPr>
                <w:sz w:val="20"/>
                <w:szCs w:val="20"/>
                <w:color w:val="auto"/>
              </w:rPr>
            </w:pPr>
            <w:r>
              <w:rPr>
                <w:rFonts w:ascii="Arial" w:cs="Arial" w:eastAsia="Arial" w:hAnsi="Arial"/>
                <w:sz w:val="18"/>
                <w:szCs w:val="18"/>
                <w:color w:val="auto"/>
              </w:rPr>
              <w:t>Chairman of the Board, Chief Executive Officer,</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Roderick R. Baty</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1995</w:t>
            </w:r>
          </w:p>
        </w:tc>
        <w:tc>
          <w:tcPr>
            <w:tcW w:w="980" w:type="dxa"/>
            <w:vAlign w:val="bottom"/>
          </w:tcPr>
          <w:p>
            <w:pPr>
              <w:jc w:val="center"/>
              <w:ind w:left="10"/>
              <w:spacing w:after="0"/>
              <w:rPr>
                <w:sz w:val="20"/>
                <w:szCs w:val="20"/>
                <w:color w:val="auto"/>
              </w:rPr>
            </w:pPr>
            <w:r>
              <w:rPr>
                <w:rFonts w:ascii="Arial" w:cs="Arial" w:eastAsia="Arial" w:hAnsi="Arial"/>
                <w:sz w:val="18"/>
                <w:szCs w:val="18"/>
                <w:color w:val="auto"/>
                <w:w w:val="89"/>
              </w:rPr>
              <w:t>2012</w:t>
            </w:r>
          </w:p>
        </w:tc>
        <w:tc>
          <w:tcPr>
            <w:tcW w:w="4160" w:type="dxa"/>
            <w:vAlign w:val="bottom"/>
          </w:tcPr>
          <w:p>
            <w:pPr>
              <w:ind w:left="140"/>
              <w:spacing w:after="0"/>
              <w:rPr>
                <w:sz w:val="20"/>
                <w:szCs w:val="20"/>
                <w:color w:val="auto"/>
              </w:rPr>
            </w:pPr>
            <w:r>
              <w:rPr>
                <w:rFonts w:ascii="Arial" w:cs="Arial" w:eastAsia="Arial" w:hAnsi="Arial"/>
                <w:sz w:val="18"/>
                <w:szCs w:val="18"/>
                <w:color w:val="auto"/>
              </w:rPr>
              <w:t>President and Director</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Richard G. Fanelli retired in 2000 from Enthone-OMI, Inc., where he spent the majority of his career. Enthone-OMI, Inc. is a global specialty chemical company that develops, produces and markets high performance coatings for metals and plastics for the electronics, automotive, aerospace and telecommunications industries. Mr. Fanelli served as President and Chief Executive Officer of Enthone-OMI, Inc. from 1992 to his retirement in 2000. Prior to this position, Mr. Fanelli served as President of Enthone-OMI – Europe from 1991 to 1992. From 1989 to 1991, he served as Executive Vice President and Chief Operating Officer of Enthone-OMI– North America. Prior to this position, Mr. Fanelli held a variety of positions within Enthone-OMI, Inc. including positions in sales and marketing and general management.</w:t>
      </w:r>
    </w:p>
    <w:p>
      <w:pPr>
        <w:spacing w:after="0" w:line="22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Michael E. Werner retired in 2009 from Werner &amp;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 Ronald Morris retired in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22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Steven T. Warshaw retired in 2005 from M Cubed Technologies, a developer and manufacturer of advanced composite materials and ultra-precise electronic components and modules. Mr. Warshaw had served as President and Chief Executive Officer of M Cubed Technologies since July 2002.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Mr. Warshaw serves on the board of directors of Park Electrochemical Corp., a publicly held company.</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Robert M. Aiken, Jr. retired in December 2003 as President of RMA Consulting, Inc., a management consulting firm he founded in 1998. Prior to this position, Mr. Aiken served as Executive Vice President and Chief Financial Officer of Sunoco, an independent refiner and marketer of petroleum and petrochemical products. Mr. Aiken held this position from 1996 and served as Senior Vice President and Chief Financial Officer from 1990 to 1996. From 1970 to 1990 Mr. Aiken held various financial positions within Sunoco, Inc. Prior to Mr. Aiken joining Sunoco, he held positions with Coopers and Lybrand and earlier with Hershey Foods.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 w:name="page8"/>
    <w:bookmarkEnd w:id="7"/>
    <w:p>
      <w:pPr>
        <w:ind w:right="240"/>
        <w:spacing w:after="0" w:line="259" w:lineRule="auto"/>
        <w:rPr>
          <w:sz w:val="20"/>
          <w:szCs w:val="20"/>
          <w:color w:val="auto"/>
        </w:rPr>
      </w:pPr>
      <w:r>
        <w:rPr>
          <w:rFonts w:ascii="Arial" w:cs="Arial" w:eastAsia="Arial" w:hAnsi="Arial"/>
          <w:sz w:val="18"/>
          <w:szCs w:val="18"/>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Group from 1985 to 1990.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Directors who are not employees of the Company are paid an annual retainer of $25,000 and a fee of $1,000 for each board meeting attended, $750 for each committee meeting attended and $500 for each teleconference meeting attended. Additionally, committee chairs are paid an annual retainer of</w:t>
      </w:r>
    </w:p>
    <w:p>
      <w:pPr>
        <w:ind w:right="20"/>
        <w:spacing w:after="0" w:line="254" w:lineRule="auto"/>
        <w:rPr>
          <w:sz w:val="20"/>
          <w:szCs w:val="20"/>
          <w:color w:val="auto"/>
        </w:rPr>
      </w:pPr>
      <w:r>
        <w:rPr>
          <w:rFonts w:ascii="Arial" w:cs="Arial" w:eastAsia="Arial" w:hAnsi="Arial"/>
          <w:sz w:val="18"/>
          <w:szCs w:val="18"/>
          <w:color w:val="auto"/>
        </w:rPr>
        <w:t>$3,250.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The Company also reimburses all directors for out-of-pocket expenses incurred in attending board and committee meetings. Director compensation is reviewed and approved by the Compensation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the compensation our directors received during 2009.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 For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Pension Value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Non-equity</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Earned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or Paid</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in Cash</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w:t>
            </w:r>
          </w:p>
        </w:tc>
        <w:tc>
          <w:tcPr>
            <w:tcW w:w="12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Compensation</w:t>
            </w:r>
          </w:p>
        </w:tc>
        <w:tc>
          <w:tcPr>
            <w:tcW w:w="1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Compen-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460" w:type="dxa"/>
            <w:vAlign w:val="bottom"/>
          </w:tcPr>
          <w:p>
            <w:pPr>
              <w:ind w:left="520"/>
              <w:spacing w:after="0"/>
              <w:rPr>
                <w:sz w:val="20"/>
                <w:szCs w:val="20"/>
                <w:color w:val="auto"/>
              </w:rPr>
            </w:pPr>
            <w:r>
              <w:rPr>
                <w:rFonts w:ascii="Arial" w:cs="Arial" w:eastAsia="Arial" w:hAnsi="Arial"/>
                <w:sz w:val="18"/>
                <w:szCs w:val="18"/>
                <w:b w:val="1"/>
                <w:bCs w:val="1"/>
                <w:color w:val="auto"/>
              </w:rPr>
              <w:t>Name</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($)(1)</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($)(2)</w:t>
            </w:r>
          </w:p>
        </w:tc>
        <w:tc>
          <w:tcPr>
            <w:tcW w:w="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tion ($)</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Earnings ($)</w:t>
            </w: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sation ($)</w:t>
            </w: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 ($)</w:t>
            </w:r>
          </w:p>
        </w:tc>
      </w:tr>
      <w:tr>
        <w:trPr>
          <w:trHeight w:val="202"/>
        </w:trPr>
        <w:tc>
          <w:tcPr>
            <w:tcW w:w="20" w:type="dxa"/>
            <w:vAlign w:val="bottom"/>
          </w:tcPr>
          <w:p>
            <w:pPr>
              <w:spacing w:after="0"/>
              <w:rPr>
                <w:sz w:val="17"/>
                <w:szCs w:val="17"/>
                <w:color w:val="auto"/>
              </w:rPr>
            </w:pPr>
          </w:p>
        </w:tc>
        <w:tc>
          <w:tcPr>
            <w:tcW w:w="14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Robert M. Aiken,</w:t>
            </w: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Jr.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34,230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43,470</w:t>
            </w:r>
          </w:p>
        </w:tc>
      </w:tr>
      <w:tr>
        <w:trPr>
          <w:trHeight w:val="216"/>
        </w:trPr>
        <w:tc>
          <w:tcPr>
            <w:tcW w:w="2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w w:val="97"/>
              </w:rPr>
              <w:t>Richard G. Fanelli</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32,220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25,775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67,235</w:t>
            </w:r>
          </w:p>
        </w:tc>
      </w:tr>
      <w:tr>
        <w:trPr>
          <w:trHeight w:val="216"/>
        </w:trPr>
        <w:tc>
          <w:tcPr>
            <w:tcW w:w="2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G. Ronald Morris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120,655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166,995</w:t>
            </w:r>
          </w:p>
        </w:tc>
      </w:tr>
      <w:tr>
        <w:trPr>
          <w:trHeight w:val="216"/>
        </w:trPr>
        <w:tc>
          <w:tcPr>
            <w:tcW w:w="2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w w:val="89"/>
              </w:rPr>
              <w:t>Steven T. Warshaw</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36,180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45,420</w:t>
            </w:r>
          </w:p>
        </w:tc>
      </w:tr>
      <w:tr>
        <w:trPr>
          <w:trHeight w:val="230"/>
        </w:trPr>
        <w:tc>
          <w:tcPr>
            <w:tcW w:w="2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w w:val="94"/>
              </w:rPr>
              <w:t>Michael E. Werner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24,860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66,710</w:t>
            </w:r>
          </w:p>
        </w:tc>
      </w:tr>
    </w:tbl>
    <w:p>
      <w:pPr>
        <w:spacing w:after="0" w:line="200" w:lineRule="exact"/>
        <w:rPr>
          <w:sz w:val="20"/>
          <w:szCs w:val="20"/>
          <w:color w:val="auto"/>
        </w:rPr>
      </w:pPr>
    </w:p>
    <w:p>
      <w:pPr>
        <w:spacing w:after="0" w:line="272" w:lineRule="exact"/>
        <w:rPr>
          <w:sz w:val="20"/>
          <w:szCs w:val="20"/>
          <w:color w:val="auto"/>
        </w:rPr>
      </w:pPr>
    </w:p>
    <w:p>
      <w:pPr>
        <w:jc w:val="both"/>
        <w:ind w:left="660" w:hanging="304"/>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Due to the economic conditions the Company experienced in the fourth quarter of 2008 and throughout most of 2009, the Company’s board of directors voluntarily elected to reduce the annual retainer and meeting fees by 20% beginning January 1, 2009. Due to improving economic conditions and cash flows, on November 18, 2009, the Compensation Committee of the board reinstated the board’s retainer and the meeting fees to normal levels and elected to repay in 2010 a portion of the amounts not paid in 2009. Only amounts not paid during the period January 1, 2009 to June 30, 2009 will be repaid.</w:t>
      </w:r>
    </w:p>
    <w:p>
      <w:pPr>
        <w:spacing w:after="0" w:line="215" w:lineRule="exact"/>
        <w:rPr>
          <w:rFonts w:ascii="Arial" w:cs="Arial" w:eastAsia="Arial" w:hAnsi="Arial"/>
          <w:sz w:val="18"/>
          <w:szCs w:val="18"/>
          <w:color w:val="auto"/>
        </w:rPr>
      </w:pPr>
    </w:p>
    <w:p>
      <w:pPr>
        <w:jc w:val="both"/>
        <w:ind w:left="660" w:hanging="304"/>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represent the market value, as calculated under U.S. Generally Accepted Accounting Principles related to stock based compensation, of 12,000 shares of stock options awarded Messrs. Aiken, Fanelli, Morris, Warshaw and Werner. On March 25, 2009, the Company awarded 232,000 options to purchase the Company’s stock to five non-employee directors and ten executive officers and other key employees. The market value of these shares on the date of grant was $1.30 per share. The shares granted to non-employee directors vest 100% on the first anniversary of the date of grant and are exercisable at the closing market price of the date of grant. The aggregate amount of vested stock options held by Messrs. Aiken, Fanelli, Morris, Warshaw and Werner on December 31, 2009 was 53,000, 23,000, 66,000, 66,000 and 66,000, respectively.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sets forth information with respect to nonqualified deferred compensation during 2009.</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0" w:type="dxa"/>
            <w:vAlign w:val="bottom"/>
            <w:gridSpan w:val="8"/>
          </w:tcPr>
          <w:p>
            <w:pPr>
              <w:ind w:left="540"/>
              <w:spacing w:after="0"/>
              <w:rPr>
                <w:sz w:val="20"/>
                <w:szCs w:val="20"/>
                <w:color w:val="auto"/>
              </w:rPr>
            </w:pPr>
            <w:r>
              <w:rPr>
                <w:rFonts w:ascii="Arial" w:cs="Arial" w:eastAsia="Arial" w:hAnsi="Arial"/>
                <w:sz w:val="18"/>
                <w:szCs w:val="18"/>
                <w:b w:val="1"/>
                <w:bCs w:val="1"/>
                <w:color w:val="auto"/>
                <w:w w:val="91"/>
              </w:rPr>
              <w:t>Nonqualified Deferred Compensation For 2009</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Director</w:t>
            </w: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Registrant</w:t>
            </w:r>
          </w:p>
        </w:tc>
        <w:tc>
          <w:tcPr>
            <w:tcW w:w="16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Earnings</w:t>
            </w:r>
          </w:p>
        </w:tc>
        <w:tc>
          <w:tcPr>
            <w:tcW w:w="6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Contributions</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Contributions</w:t>
            </w:r>
          </w:p>
        </w:tc>
        <w:tc>
          <w:tcPr>
            <w:tcW w:w="16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in Last FY</w:t>
            </w: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Withdrawals/Distri-</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Last FYE</w:t>
            </w:r>
          </w:p>
        </w:tc>
      </w:tr>
      <w:tr>
        <w:trPr>
          <w:trHeight w:val="234"/>
        </w:trPr>
        <w:tc>
          <w:tcPr>
            <w:tcW w:w="20" w:type="dxa"/>
            <w:vAlign w:val="bottom"/>
          </w:tcPr>
          <w:p>
            <w:pPr>
              <w:spacing w:after="0"/>
              <w:rPr>
                <w:sz w:val="20"/>
                <w:szCs w:val="20"/>
                <w:color w:val="auto"/>
              </w:rPr>
            </w:pPr>
          </w:p>
        </w:tc>
        <w:tc>
          <w:tcPr>
            <w:tcW w:w="2200" w:type="dxa"/>
            <w:vAlign w:val="bottom"/>
          </w:tcPr>
          <w:p>
            <w:pPr>
              <w:ind w:left="1200"/>
              <w:spacing w:after="0"/>
              <w:rPr>
                <w:sz w:val="20"/>
                <w:szCs w:val="20"/>
                <w:color w:val="auto"/>
              </w:rPr>
            </w:pPr>
            <w:r>
              <w:rPr>
                <w:rFonts w:ascii="Arial" w:cs="Arial" w:eastAsia="Arial" w:hAnsi="Arial"/>
                <w:sz w:val="18"/>
                <w:szCs w:val="18"/>
                <w:b w:val="1"/>
                <w:bCs w:val="1"/>
                <w:color w:val="auto"/>
              </w:rPr>
              <w:t>Name</w:t>
            </w:r>
          </w:p>
        </w:tc>
        <w:tc>
          <w:tcPr>
            <w:tcW w:w="6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in Last FY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in Last FY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butions ($)</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7"/>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418"/>
        </w:trPr>
        <w:tc>
          <w:tcPr>
            <w:tcW w:w="222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25,775</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76,152</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120,655</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357,778</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24,860</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335,079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5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consists of Robert M. Aiken, Jr. who serves as Chairman, G. Ronald Morris and Steven T. Warshaw.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members of the Audit Committee are independent as defined in the Nasdaq rules and Mr. Aiken has been designated as the “audit committee financial expert” as defined by Item 407(d) of Regulation S-K. Among other matters described in its charter, the Audit Committee is responsible for engaging the registered independent public accounting firm to conduct the annual audit of the books and accounts of the Company and for reviewing the effectiveness of the internal auditing, accounting and financial controls of the Company with the registered independent public accounting firm and the Company's internal financial and accounting staff. 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6"/>
          <w:szCs w:val="16"/>
          <w:i w:val="1"/>
          <w:iCs w:val="1"/>
          <w:color w:val="auto"/>
        </w:rPr>
        <w:t>www.nnbr.com</w:t>
      </w:r>
      <w:r>
        <w:rPr>
          <w:rFonts w:ascii="Arial" w:cs="Arial" w:eastAsia="Arial" w:hAnsi="Arial"/>
          <w:sz w:val="16"/>
          <w:szCs w:val="16"/>
          <w:color w:val="auto"/>
        </w:rPr>
        <w:t>. The Audit Committee met five times in 2009.</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Compensation Committee consists of Steven T. Warshaw who serves as Chairman, Michael E Werner and Richard 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Fanelli. All members of the Compensation Committee are independent as defined by Nasdaq rules. The Compensation Committee annually reviews and approves corporate goals and objectives relative to the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Incentive Plan. In April 2003, the Compensation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7"/>
          <w:szCs w:val="17"/>
          <w:i w:val="1"/>
          <w:iCs w:val="1"/>
          <w:color w:val="auto"/>
        </w:rPr>
        <w:t>www.nnbr.com.</w:t>
      </w:r>
      <w:r>
        <w:rPr>
          <w:rFonts w:ascii="Arial" w:cs="Arial" w:eastAsia="Arial" w:hAnsi="Arial"/>
          <w:sz w:val="17"/>
          <w:szCs w:val="17"/>
          <w:color w:val="auto"/>
        </w:rPr>
        <w:t xml:space="preserve"> The functions of the Compensation Committee are discussed in further detail in the section entitled "Report of the Compensation Committee" herein. The Compensation Committee met three times in 2009.</w:t>
      </w:r>
    </w:p>
    <w:p>
      <w:pPr>
        <w:spacing w:after="0" w:line="20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Governance Committee. </w:t>
      </w:r>
      <w:r>
        <w:rPr>
          <w:rFonts w:ascii="Arial" w:cs="Arial" w:eastAsia="Arial" w:hAnsi="Arial"/>
          <w:sz w:val="17"/>
          <w:szCs w:val="17"/>
          <w:color w:val="auto"/>
        </w:rPr>
        <w:t>The Governance Committee was formed in 2002. The Committee consists of Richard G. Fanelli who serves as Chairman, Michael</w:t>
      </w:r>
      <w:r>
        <w:rPr>
          <w:rFonts w:ascii="Arial" w:cs="Arial" w:eastAsia="Arial" w:hAnsi="Arial"/>
          <w:sz w:val="17"/>
          <w:szCs w:val="17"/>
          <w:i w:val="1"/>
          <w:iCs w:val="1"/>
          <w:color w:val="auto"/>
        </w:rPr>
        <w:t xml:space="preserve"> </w:t>
      </w:r>
      <w:r>
        <w:rPr>
          <w:rFonts w:ascii="Arial" w:cs="Arial" w:eastAsia="Arial" w:hAnsi="Arial"/>
          <w:sz w:val="17"/>
          <w:szCs w:val="17"/>
          <w:color w:val="auto"/>
        </w:rPr>
        <w:t>E. Werner, and G. Ronald Morris. All members of the Governance Committee are independent as defined by Nasdaq rules.</w:t>
      </w:r>
    </w:p>
    <w:p>
      <w:pPr>
        <w:spacing w:after="0" w:line="17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provided in its charter, the Governance Committee is responsible for reviewing and recommending qualified candidates for membership on the board of directors. The Committee seeks input from the Chairman of the board, other board members, and professional search firms, if applicable. The Committee will also consider and evaluate any qualified candidates recommended by shareholders. In accordance with the board's governance principles, the Committee seeks to establish a board that will bring to the Company a broad and diverse range of experience, knowledge and professional judgment. The Committee believes that the board should have collective competency, knowledge and experience with respect to corporate governance, business, finance and accounting, economics, industry knowledge, manufacturing, technology, legal and government affairs, risk management and international operations, among other things.</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 candidate's competencies, experience and knowledge should enable him or her to contribute significantly to the governance of a complex, multi-million dollar business enterprise. The candidate should be independent in judgment and not represent the interests of particular constituencies. The Committee will review a candidate's qualifications and any potential conflicts they may have with the Company's interests. In evaluating director nominees, including candidates submitted by shareholders, the Governance Committee will consider the candidate's experience, integrity, ability to make independent analytical inquiries, understanding of the Company's business environment and willingness to devote adequate time to board duties. The Governance Committee will also consider whether a candidate meets the definition of "independent director" under Nasdaq rules.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color w:val="auto"/>
        </w:rPr>
        <w:t xml:space="preserve">Shareholders who wish to recommend director candidates for the 2011 Annual Meeting of Shareholders should notify the Secretary in writing at NN, Inc., 2000 Waters Edge Drive, Building C, Suite 12, Johnson City, Tennessee 37604. This notification must be received by the Company by December 15, 2010 and must provide information about the nominee's qualifications for board membership. This requirement does not apply to the deadline for submitting shareholder proposals for inclusion in the Proxy Statement (see "Submission of Shareholder Proposals" on page 2), nor does it apply to questions a shareholder may want to ask at the Annual Meeting. The Governance Committee Charter lists the qualifications against which a nominee will be judged. A copy of the Charter can be obtained by writing to the Secretary at the address set forth above. Alternatively, a copy of the Charter is available on the Company's website, </w:t>
      </w:r>
      <w:r>
        <w:rPr>
          <w:rFonts w:ascii="Arial" w:cs="Arial" w:eastAsia="Arial" w:hAnsi="Arial"/>
          <w:sz w:val="18"/>
          <w:szCs w:val="18"/>
          <w:i w:val="1"/>
          <w:iCs w:val="1"/>
          <w:color w:val="auto"/>
        </w:rPr>
        <w:t>www.nnbr.com</w:t>
      </w:r>
      <w:r>
        <w:rPr>
          <w:rFonts w:ascii="Arial" w:cs="Arial" w:eastAsia="Arial" w:hAnsi="Arial"/>
          <w:sz w:val="18"/>
          <w:szCs w:val="18"/>
          <w:color w:val="auto"/>
        </w:rPr>
        <w:t>. The Committee will evaluate any director candidate nominated by shareholders according to the criteria discussed above and, based on the results of that evaluation, will determine whether to include the candidate in its recommended slate of director nominees in the Proxy Statement.</w:t>
      </w:r>
    </w:p>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retains discretion to vote proxies it receives with respect to director nominations or any other business proposals received after December 15, 2010. The Company retains discretion to vote proxies it receives with respect to such proposals received prior to December 15, 2010 provided (a) the Company includes in its proxy statement advice on the nature of the proposal and how it intends to exercise its voting discretion, and (b) the proponent does not issue its own proxy statement.</w:t>
      </w:r>
    </w:p>
    <w:p>
      <w:pPr>
        <w:spacing w:after="0" w:line="21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has not paid any third party a fee to assist in the process of identifying or evaluating director candidates. No shareholder or group of shareholders who beneficially owned more than 5% of the Common Stock for at least one year at the time of such recommendation have recommended candidates for election to the board of directors.</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Additionally, the Governance Committee is responsible for overseeing the process of providing information to the board, developing corporate governance principles applicable to the Company and oversight and annual evaluation of the board of directors. In October 2002, the Governance Committee adopted a statement of Principles of Corporate Governance. In April 2003, the Governance Committee presented to the board and the board approved a written charter.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www.nnbr.com</w:t>
      </w:r>
      <w:r>
        <w:rPr>
          <w:rFonts w:ascii="Arial" w:cs="Arial" w:eastAsia="Arial" w:hAnsi="Arial"/>
          <w:sz w:val="18"/>
          <w:szCs w:val="18"/>
          <w:color w:val="auto"/>
        </w:rPr>
        <w:t>. The Governance Committee met two times in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25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board of directors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board and its committees oversee risks associated with their respective principal areas of focus. The full board is responsible for strategic, financial and execution risks and exposures associated with the annual operating plan, the five-year strategic plan, acquisitions and divestitures, senior management succession planning and general risk oversight. The Audit Committee is responsible for risk and exposures associated with financial, accounting, legal and regulatory matters. The Audit Committee oversees that management has established a process to assure an adequate system of internal controls and maintains the reliability of the accounting policies and financial reporting and disclosures of the Company. The Company’s Vice President and Chief Compliance Officer is responsible for corporate risk management and reports directly to the Audit Committee on financial, accounting and regulatory matters. The Governance Committee is responsible for the oversight of corporate governance and the selection of the candidates for the board of directors and the evaluation of the board members. The Compensation Committee is responsible for evaluating, approving and monitoring the executive compensation plans, policies and programs of the Company and to oversee other significant human resource issues.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held eleven meetings in 2009. All current directors attended at least 75% of the aggregate of the total number of meetings of the Board and the total number of meetings held by all committees of the board on which they served. While the Company does not have a policy requiring attendance by members of the board of directors at the Annual Meeting, all of the current directors attended the 2009 Annual Meeting.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Communicating with the Board</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Interested parties may contact the board of directors by sending correspondence to the attention of the Secretary, NN, Inc., 2000 Waters Edge Drive, Building C, Suite 12, Johnson City, Tennessee 37604. Any mail received by the Secretary with the exception of improper commercial solicitations will be forwarded to the members of the board of directors (or committee members, as appropriate) for their further action, if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shows, as of March 26, 2010, the beneficial ownership of Common Stock by each director and nominee, each executive officer named in the Summary Compensation Table (the "Named Executive Officers"), and all directors and executive officers as a group, in each case as reported to the Company by such persons.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Name and Address of</w:t>
            </w:r>
          </w:p>
        </w:tc>
        <w:tc>
          <w:tcPr>
            <w:tcW w:w="23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Number of Shares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r>
      <w:tr>
        <w:trPr>
          <w:trHeight w:val="241"/>
        </w:trPr>
        <w:tc>
          <w:tcPr>
            <w:tcW w:w="20" w:type="dxa"/>
            <w:vAlign w:val="bottom"/>
          </w:tcPr>
          <w:p>
            <w:pPr>
              <w:spacing w:after="0"/>
              <w:rPr>
                <w:sz w:val="20"/>
                <w:szCs w:val="20"/>
                <w:color w:val="auto"/>
              </w:rPr>
            </w:pPr>
          </w:p>
        </w:tc>
        <w:tc>
          <w:tcPr>
            <w:tcW w:w="46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2"/>
              </w:rPr>
              <w:t>Beneficial Owner (1)</w:t>
            </w:r>
          </w:p>
        </w:tc>
        <w:tc>
          <w:tcPr>
            <w:tcW w:w="23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1"/>
              </w:rPr>
              <w:t>Beneficially Owned (2)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Beneficially Owned (2)</w:t>
            </w: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Roderick R. Baty</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339,195</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(3)</w:t>
            </w: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2.1%</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Frank T. Gentry III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110,061</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(4)</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Nicola Trombetti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71,834</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(5)</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James H. Dorton</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65,500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(6)</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James O. Anderson</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48,945</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(7)</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Michael E. Werner</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93,287</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(8)</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 Ronald Morris</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93,000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90"/>
              </w:rPr>
              <w:t>(9)</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Steven T. Warshaw</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90,000</w:t>
            </w: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93"/>
              </w:rPr>
              <w:t>(10)</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Robert M. Aiken, Jr.</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79,000</w:t>
            </w:r>
          </w:p>
        </w:tc>
        <w:tc>
          <w:tcPr>
            <w:tcW w:w="600" w:type="dxa"/>
            <w:vAlign w:val="bottom"/>
          </w:tcPr>
          <w:p>
            <w:pPr>
              <w:jc w:val="center"/>
              <w:ind w:right="30"/>
              <w:spacing w:after="0"/>
              <w:rPr>
                <w:sz w:val="20"/>
                <w:szCs w:val="20"/>
                <w:color w:val="auto"/>
              </w:rPr>
            </w:pPr>
            <w:r>
              <w:rPr>
                <w:rFonts w:ascii="Arial" w:cs="Arial" w:eastAsia="Arial" w:hAnsi="Arial"/>
                <w:sz w:val="18"/>
                <w:szCs w:val="18"/>
                <w:color w:val="auto"/>
                <w:w w:val="87"/>
              </w:rPr>
              <w:t>(11)</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Richard G. Fanelli</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47,000</w:t>
            </w:r>
          </w:p>
        </w:tc>
        <w:tc>
          <w:tcPr>
            <w:tcW w:w="600" w:type="dxa"/>
            <w:vAlign w:val="bottom"/>
          </w:tcPr>
          <w:p>
            <w:pPr>
              <w:jc w:val="center"/>
              <w:ind w:right="50"/>
              <w:spacing w:after="0"/>
              <w:rPr>
                <w:sz w:val="20"/>
                <w:szCs w:val="20"/>
                <w:color w:val="auto"/>
              </w:rPr>
            </w:pPr>
            <w:r>
              <w:rPr>
                <w:rFonts w:ascii="Arial" w:cs="Arial" w:eastAsia="Arial" w:hAnsi="Arial"/>
                <w:sz w:val="18"/>
                <w:szCs w:val="18"/>
                <w:color w:val="auto"/>
                <w:w w:val="93"/>
              </w:rPr>
              <w:t>(12)</w:t>
            </w: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w w:val="98"/>
              </w:rPr>
              <w:t>All directors and executive officers as a group (14 persons)</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1,255,882</w:t>
            </w:r>
          </w:p>
        </w:tc>
        <w:tc>
          <w:tcPr>
            <w:tcW w:w="6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7.6%</w:t>
            </w:r>
          </w:p>
        </w:tc>
      </w:tr>
    </w:tbl>
    <w:p>
      <w:pPr>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7" w:lineRule="exact"/>
        <w:rPr>
          <w:rFonts w:ascii="Arial" w:cs="Arial" w:eastAsia="Arial" w:hAnsi="Arial"/>
          <w:sz w:val="18"/>
          <w:szCs w:val="18"/>
          <w:color w:val="auto"/>
        </w:rPr>
      </w:pPr>
    </w:p>
    <w:p>
      <w:pPr>
        <w:ind w:left="660" w:hanging="30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address of the beneficial owner is c/o NN, Inc., 2000 Waters Edge Drive, Building C, Suite 12, Johnson City, Tennessee 37604.</w:t>
      </w:r>
    </w:p>
    <w:p>
      <w:pPr>
        <w:spacing w:after="0" w:line="252"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Includes shares of Common Stock subject to options exercisable within 60 days of March 26, 2010.</w:t>
      </w:r>
    </w:p>
    <w:p>
      <w:pPr>
        <w:spacing w:after="0" w:line="197" w:lineRule="exact"/>
        <w:rPr>
          <w:rFonts w:ascii="Arial" w:cs="Arial" w:eastAsia="Arial" w:hAnsi="Arial"/>
          <w:sz w:val="18"/>
          <w:szCs w:val="18"/>
          <w:color w:val="auto"/>
        </w:rPr>
      </w:pPr>
    </w:p>
    <w:p>
      <w:pPr>
        <w:ind w:left="660" w:hanging="30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288,800 shares of Common Stock subject to presently exercisable options.</w:t>
      </w:r>
    </w:p>
    <w:p>
      <w:pPr>
        <w:spacing w:after="0" w:line="252"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61,500 shares of Common Stock subject to presently exercisable options and 31,561 shares of Common stock owned by Mr. Gentry’s spouse.</w:t>
      </w:r>
    </w:p>
    <w:p>
      <w:pPr>
        <w:spacing w:after="0" w:line="197" w:lineRule="exact"/>
        <w:rPr>
          <w:rFonts w:ascii="Arial" w:cs="Arial" w:eastAsia="Arial" w:hAnsi="Arial"/>
          <w:sz w:val="18"/>
          <w:szCs w:val="18"/>
          <w:color w:val="auto"/>
        </w:rPr>
      </w:pPr>
    </w:p>
    <w:p>
      <w:pPr>
        <w:ind w:left="660" w:hanging="30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68,500 shares of Common Stock subject to presently exercisable options.</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45,500 shares of Common Stock subject to presently exercisable options.</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33,945 shares of Common Stock subject to presently exercisable options.</w:t>
      </w:r>
    </w:p>
    <w:p>
      <w:pPr>
        <w:spacing w:after="0" w:line="252" w:lineRule="exact"/>
        <w:rPr>
          <w:rFonts w:ascii="Arial" w:cs="Arial" w:eastAsia="Arial" w:hAnsi="Arial"/>
          <w:sz w:val="18"/>
          <w:szCs w:val="18"/>
          <w:color w:val="auto"/>
        </w:rPr>
      </w:pPr>
    </w:p>
    <w:p>
      <w:pPr>
        <w:ind w:left="660" w:hanging="30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78,000 shares of Common Stock subject to presently exercisable options and 5,287 shares of Common stock owned by Mr. Werner’s spouse.</w:t>
      </w:r>
    </w:p>
    <w:p>
      <w:pPr>
        <w:spacing w:after="0" w:line="197" w:lineRule="exact"/>
        <w:rPr>
          <w:rFonts w:ascii="Arial" w:cs="Arial" w:eastAsia="Arial" w:hAnsi="Arial"/>
          <w:sz w:val="18"/>
          <w:szCs w:val="18"/>
          <w:color w:val="auto"/>
        </w:rPr>
      </w:pPr>
    </w:p>
    <w:p>
      <w:pPr>
        <w:ind w:left="660" w:hanging="304"/>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78,000 shares of Common Stock subject to presently exercisable options.</w:t>
      </w:r>
    </w:p>
    <w:p>
      <w:pPr>
        <w:spacing w:after="0" w:line="252" w:lineRule="exact"/>
        <w:rPr>
          <w:rFonts w:ascii="Arial" w:cs="Arial" w:eastAsia="Arial" w:hAnsi="Arial"/>
          <w:sz w:val="18"/>
          <w:szCs w:val="18"/>
          <w:color w:val="auto"/>
        </w:rPr>
      </w:pPr>
    </w:p>
    <w:p>
      <w:pPr>
        <w:ind w:left="660" w:hanging="393"/>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78,000 shares of Common Stock subject to presently exercisable options.</w:t>
      </w:r>
    </w:p>
    <w:p>
      <w:pPr>
        <w:spacing w:after="0" w:line="252" w:lineRule="exact"/>
        <w:rPr>
          <w:rFonts w:ascii="Arial" w:cs="Arial" w:eastAsia="Arial" w:hAnsi="Arial"/>
          <w:sz w:val="18"/>
          <w:szCs w:val="18"/>
          <w:color w:val="auto"/>
        </w:rPr>
      </w:pPr>
    </w:p>
    <w:p>
      <w:pPr>
        <w:ind w:left="660" w:hanging="387"/>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65,000 shares of Common Stock subject to presently exercisable options.</w:t>
      </w:r>
    </w:p>
    <w:p>
      <w:pPr>
        <w:spacing w:after="0" w:line="252" w:lineRule="exact"/>
        <w:rPr>
          <w:rFonts w:ascii="Arial" w:cs="Arial" w:eastAsia="Arial" w:hAnsi="Arial"/>
          <w:sz w:val="18"/>
          <w:szCs w:val="18"/>
          <w:color w:val="auto"/>
        </w:rPr>
      </w:pPr>
    </w:p>
    <w:p>
      <w:pPr>
        <w:ind w:left="660" w:hanging="393"/>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35,000 shares of Common Stock subject to presently exercisable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the number of shares of the Company's Common Stock beneficially owned by the only parties known to the Company's management to own more than 5% of the Company's Common Stock, based on 16,267,924 shares of Common Stock outstanding on December 31, 2009.</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ind w:left="1700"/>
              <w:spacing w:after="0"/>
              <w:rPr>
                <w:sz w:val="20"/>
                <w:szCs w:val="20"/>
                <w:color w:val="auto"/>
              </w:rPr>
            </w:pPr>
            <w:r>
              <w:rPr>
                <w:rFonts w:ascii="Arial" w:cs="Arial" w:eastAsia="Arial" w:hAnsi="Arial"/>
                <w:sz w:val="18"/>
                <w:szCs w:val="18"/>
                <w:b w:val="1"/>
                <w:bCs w:val="1"/>
                <w:color w:val="auto"/>
              </w:rPr>
              <w:t>Name and Address of</w:t>
            </w:r>
          </w:p>
        </w:tc>
        <w:tc>
          <w:tcPr>
            <w:tcW w:w="302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Number of Shares</w:t>
            </w:r>
          </w:p>
        </w:tc>
        <w:tc>
          <w:tcPr>
            <w:tcW w:w="960" w:type="dxa"/>
            <w:vAlign w:val="bottom"/>
          </w:tcPr>
          <w:p>
            <w:pPr>
              <w:spacing w:after="0"/>
              <w:rPr>
                <w:sz w:val="18"/>
                <w:szCs w:val="18"/>
                <w:color w:val="auto"/>
              </w:rPr>
            </w:pPr>
          </w:p>
        </w:tc>
        <w:tc>
          <w:tcPr>
            <w:tcW w:w="28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Percentage</w:t>
            </w:r>
          </w:p>
        </w:tc>
      </w:tr>
      <w:tr>
        <w:trPr>
          <w:trHeight w:val="241"/>
        </w:trPr>
        <w:tc>
          <w:tcPr>
            <w:tcW w:w="464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Beneficial Owner</w:t>
            </w:r>
          </w:p>
        </w:tc>
        <w:tc>
          <w:tcPr>
            <w:tcW w:w="302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b w:val="1"/>
                <w:bCs w:val="1"/>
                <w:color w:val="auto"/>
                <w:w w:val="89"/>
              </w:rPr>
              <w:t>Beneficially Owned</w:t>
            </w:r>
          </w:p>
        </w:tc>
        <w:tc>
          <w:tcPr>
            <w:tcW w:w="9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Beneficially Owned</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Dimensional Fund Advisors LP</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1299 Ocean Avenue</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Santa Monica, CA 90401</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1,376,522</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8.5%</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Royce &amp; Associates, LLC</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1414 Avenue of the Americas</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New York, NY 10019</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1,369,350</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8.4%</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FMR LLC</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82 Devonshire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Boston, MA 02109</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1,265,039</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7.8%</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Wells Capital Management Incorporated</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525 Market Street</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10th Floor</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San Francisco, CA 94104</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89"/>
              </w:rPr>
              <w:t>1,082,995</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(4)</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6.8%</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RBF Capital, LLC</w:t>
            </w:r>
          </w:p>
        </w:tc>
        <w:tc>
          <w:tcPr>
            <w:tcW w:w="3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35 Sycamore Avenue</w:t>
            </w:r>
          </w:p>
        </w:tc>
        <w:tc>
          <w:tcPr>
            <w:tcW w:w="3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Mill Valley, CA 94941</w:t>
            </w:r>
          </w:p>
        </w:tc>
        <w:tc>
          <w:tcPr>
            <w:tcW w:w="3020" w:type="dxa"/>
            <w:vAlign w:val="bottom"/>
          </w:tcPr>
          <w:p>
            <w:pPr>
              <w:jc w:val="center"/>
              <w:ind w:left="210"/>
              <w:spacing w:after="0"/>
              <w:rPr>
                <w:sz w:val="20"/>
                <w:szCs w:val="20"/>
                <w:color w:val="auto"/>
              </w:rPr>
            </w:pPr>
            <w:r>
              <w:rPr>
                <w:rFonts w:ascii="Arial" w:cs="Arial" w:eastAsia="Arial" w:hAnsi="Arial"/>
                <w:sz w:val="18"/>
                <w:szCs w:val="18"/>
                <w:color w:val="auto"/>
                <w:w w:val="92"/>
              </w:rPr>
              <w:t>915,373</w:t>
            </w:r>
          </w:p>
        </w:tc>
        <w:tc>
          <w:tcPr>
            <w:tcW w:w="960" w:type="dxa"/>
            <w:vAlign w:val="bottom"/>
          </w:tcPr>
          <w:p>
            <w:pPr>
              <w:jc w:val="right"/>
              <w:ind w:right="450"/>
              <w:spacing w:after="0"/>
              <w:rPr>
                <w:sz w:val="20"/>
                <w:szCs w:val="20"/>
                <w:color w:val="auto"/>
              </w:rPr>
            </w:pPr>
            <w:r>
              <w:rPr>
                <w:rFonts w:ascii="Arial" w:cs="Arial" w:eastAsia="Arial" w:hAnsi="Arial"/>
                <w:sz w:val="18"/>
                <w:szCs w:val="18"/>
                <w:color w:val="auto"/>
              </w:rPr>
              <w:t>(5)</w:t>
            </w:r>
          </w:p>
        </w:tc>
        <w:tc>
          <w:tcPr>
            <w:tcW w:w="2800" w:type="dxa"/>
            <w:vAlign w:val="bottom"/>
          </w:tcPr>
          <w:p>
            <w:pPr>
              <w:jc w:val="center"/>
              <w:ind w:right="130"/>
              <w:spacing w:after="0"/>
              <w:rPr>
                <w:sz w:val="20"/>
                <w:szCs w:val="20"/>
                <w:color w:val="auto"/>
              </w:rPr>
            </w:pPr>
            <w:r>
              <w:rPr>
                <w:rFonts w:ascii="Arial" w:cs="Arial" w:eastAsia="Arial" w:hAnsi="Arial"/>
                <w:sz w:val="18"/>
                <w:szCs w:val="18"/>
                <w:color w:val="auto"/>
                <w:w w:val="92"/>
              </w:rPr>
              <w:t>5.6%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95" w:lineRule="exact"/>
        <w:rPr>
          <w:sz w:val="20"/>
          <w:szCs w:val="20"/>
          <w:color w:val="auto"/>
        </w:rPr>
      </w:pPr>
    </w:p>
    <w:p>
      <w:pPr>
        <w:ind w:left="660" w:hanging="304"/>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based on Schedule 13G filed on February 8, 2010 with the Securities and Exchange Commission by Dimensional Fund Advisors LP.</w:t>
      </w:r>
    </w:p>
    <w:p>
      <w:pPr>
        <w:spacing w:after="0" w:line="263" w:lineRule="exact"/>
        <w:rPr>
          <w:rFonts w:ascii="Arial" w:cs="Arial" w:eastAsia="Arial" w:hAnsi="Arial"/>
          <w:sz w:val="17"/>
          <w:szCs w:val="17"/>
          <w:color w:val="auto"/>
        </w:rPr>
      </w:pPr>
    </w:p>
    <w:p>
      <w:pPr>
        <w:ind w:left="660" w:hanging="304"/>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based on Schedule 13G filed on January 26, 2010 with the Securities and Exchange Commission by Royce &amp; Associates, LLC.</w:t>
      </w:r>
    </w:p>
    <w:p>
      <w:pPr>
        <w:spacing w:after="0" w:line="263" w:lineRule="exact"/>
        <w:rPr>
          <w:rFonts w:ascii="Arial" w:cs="Arial" w:eastAsia="Arial" w:hAnsi="Arial"/>
          <w:sz w:val="17"/>
          <w:szCs w:val="17"/>
          <w:color w:val="auto"/>
        </w:rPr>
      </w:pPr>
    </w:p>
    <w:p>
      <w:pPr>
        <w:ind w:left="660" w:hanging="30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based on Schedule 13G filed on February 16, 2010 with the Securities and Exchange Commission by FMR LLC.</w:t>
      </w:r>
    </w:p>
    <w:p>
      <w:pPr>
        <w:spacing w:after="0" w:line="252" w:lineRule="exact"/>
        <w:rPr>
          <w:rFonts w:ascii="Arial" w:cs="Arial" w:eastAsia="Arial" w:hAnsi="Arial"/>
          <w:sz w:val="18"/>
          <w:szCs w:val="18"/>
          <w:color w:val="auto"/>
        </w:rPr>
      </w:pPr>
    </w:p>
    <w:p>
      <w:pPr>
        <w:ind w:left="660" w:hanging="304"/>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based on Schedule 13G filed on January 25, 2010 with the Securities and Exchange Commission by Wells Fargo &amp; Company, on behalf of Wells Capital Management Incorporated, Wells Fargo Funds Management, LLC and Wells Fargo Bank, National Association, its subsidiaries.</w:t>
      </w:r>
    </w:p>
    <w:p>
      <w:pPr>
        <w:spacing w:after="0" w:line="150" w:lineRule="exact"/>
        <w:rPr>
          <w:rFonts w:ascii="Arial" w:cs="Arial" w:eastAsia="Arial" w:hAnsi="Arial"/>
          <w:sz w:val="16"/>
          <w:szCs w:val="16"/>
          <w:color w:val="auto"/>
        </w:rPr>
      </w:pPr>
    </w:p>
    <w:p>
      <w:pPr>
        <w:ind w:left="660" w:hanging="30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based on Schedule 13G filed on February 20, 2010 with the Securities and Exchange Commission by RBF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These persons also are required by SEC regulations to furnish the Company with copies of all filed reports.</w:t>
      </w:r>
    </w:p>
    <w:p>
      <w:pPr>
        <w:spacing w:after="0" w:line="17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Based solely on its review of the copies of these reports furnished to the Company for the year ended December 31, 2008, the Company is not aware of any instance of noncompliance with Section 16(a) by its directors, executive officers or owners of more than 10% of the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Principles</w:t>
      </w:r>
    </w:p>
    <w:p>
      <w:pPr>
        <w:spacing w:after="0" w:line="25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51" w:lineRule="exact"/>
        <w:rPr>
          <w:sz w:val="20"/>
          <w:szCs w:val="20"/>
          <w:color w:val="auto"/>
        </w:rPr>
      </w:pPr>
    </w:p>
    <w:p>
      <w:pPr>
        <w:ind w:left="1300" w:hanging="13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the long-term success of the Company;</w:t>
      </w:r>
    </w:p>
    <w:p>
      <w:pPr>
        <w:spacing w:after="0" w:line="252"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the Company's competitors;</w:t>
      </w:r>
    </w:p>
    <w:p>
      <w:pPr>
        <w:spacing w:after="0" w:line="197" w:lineRule="exact"/>
        <w:rPr>
          <w:rFonts w:ascii="Arial" w:cs="Arial" w:eastAsia="Arial" w:hAnsi="Arial"/>
          <w:sz w:val="18"/>
          <w:szCs w:val="18"/>
          <w:color w:val="auto"/>
        </w:rPr>
      </w:pPr>
    </w:p>
    <w:p>
      <w:pPr>
        <w:ind w:left="1300" w:hanging="13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the Company's and the individual's performance; and</w:t>
      </w:r>
    </w:p>
    <w:p>
      <w:pPr>
        <w:spacing w:after="0" w:line="252" w:lineRule="exact"/>
        <w:rPr>
          <w:rFonts w:ascii="Arial" w:cs="Arial" w:eastAsia="Arial" w:hAnsi="Arial"/>
          <w:sz w:val="18"/>
          <w:szCs w:val="18"/>
          <w:color w:val="auto"/>
        </w:rPr>
      </w:pPr>
    </w:p>
    <w:p>
      <w:pPr>
        <w:ind w:left="1300" w:hanging="13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directly aligning the interests of management with the interests of the shareholders through stock-based compensation arrangements.</w:t>
      </w:r>
    </w:p>
    <w:p>
      <w:pPr>
        <w:spacing w:after="0" w:line="26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2009, the components of the Company's executive compensation arrangements consisted of salary, stock option award opportunities, restricted stock opportunities and long-term incentive plan opportunities pursuant to the Incentive Plan. Due to the economic situation the Company expected to face during 2009, the Company’s board of directors suspended the opportunity for the earning of cash bonuses for 2009. Reinstatement of the opportunity to earn cash bonuses will be at an appropriate time as determined by the Company’s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5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believes the interests of the Company and its shareholders are best served by developing and maintaining compensation policies that are consistent and competitive with peer group companies. The Company, therefore, periodically retains the services of an outside compensation consulting firm to conduct peer group benchmarking of public industrial companies of similar size, manufacturing capabilities and market segments and utilizes this information to aid in establishing a competitive compensation program for the Company. The following criteria are utilized as a basis for this program: performance (revenue growth, earnings per share growth, return on net assets, return on equity and total shareholder return), executive pay, annual incentive/bonus, benefits, stock option award opportunities and long-term incentive plan opportunities. The most recent benchmarking study conducted by Mercer, an outside consulting firm, in August 2007 included the following companies: Central Steel and Wire Co., Astec Industries, Inc., Cascade Corporation, Esco Technologies, Keystone Consolidated Industries, Haynes International, Kaydon, WHX Corporation, Northwest Pipe Company, Claymont Steel Holdings, Hardinge Inc., RBC Bearings, Gorman-Rupp Company, Webco Industries and Universal Stainless &amp; Alloy Products. Additionally, the study utilized relevant published compensation surveys to develop total market data for executive management positions within the Company.</w:t>
      </w:r>
    </w:p>
    <w:p>
      <w:pPr>
        <w:spacing w:after="0" w:line="196"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current executive compensation structure includes a formal salary grade structure that establishes five levels of executive compensation within the Company. In addition, a formal annual incentive bonus plan includes threshold, target and maximum awards based upon pre-established financial performance criteria.</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Salary</w:t>
      </w:r>
    </w:p>
    <w:p>
      <w:pPr>
        <w:spacing w:after="0" w:line="2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salary levels for the Company’s executive officers and other direct reports of the Chief Executive Officer are reviewed and determined annually by the Compensation Committee. Salaries are established and adjusted based upon three factors: individual performance, financial performance of the Company and peer group and total market data established by the compensation studies performed by an outside compensation consulting firm. It is the policy of the Company to compensate executives in a targeted range of approximately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market of total direct compensation. For fiscal year 2009, the Company’s board of directors suspended salary increases for executive officers and employees due to the economic conditions the Company</w:t>
      </w:r>
    </w:p>
    <w:p>
      <w:pPr>
        <w:spacing w:after="0" w:line="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experienced. Reinstatement of salary increases will be at an appropriate time as determined by the Company’s board of directors. Direct compensation is defined as base salary, bonus, stock option award opportunities and long-term incentive plan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Bonus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Annual bonus payments are made contingent on achieving certain goals and objectives as defined in a formalized plan. At the beginning of each fiscal year, the Compensation Committee establishes net income goals for each operating business unit and the consolidated results of the Company based upon the Board of Director approved annual business plan. The Committee then sets certain threshold, target and maximum bonus payment percentages for each executive officer dependent upon the executive’s salary level and base compensation. The Compensation Committee, at its discretion, may make adjustments to the net income goals and set additional strategic goals based on certain factors as it feels appropriate and may grant bonuses using other criteria at its sole discretion.</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fiscal year 2008, the Company’s formal bonus plan established consolidated threshold net income at $13.7 million, consolidated target net income at $15.2 million and consolidated maximum net income $18.2 million. Beginning for fiscal year 2008, the Company’s formal bonus plan included working capital improvement goals. Improvements in accounts receivable and inventory levels of consolidated threshold reductions of $4.0 million and $2.0 million, respectively, consolidated target reductions of $4.4 million and $2.2 million, respectively, and consolidated maximum reductions of $5.4 million and $2.6 million, respectively. Net income goals and working capital improvement goals accounted for 80% and 20% of the total bonus opportunity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For fiscal year 2009, the Company’s board of directors suspended the opportunity to earn cash bonuses for all executive officers and employees due to the economic conditions the Company experienced. Reinstatement of the cash bonus opportunity will be at an appropriate time as determined by the Company’s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bonuses paid to Named Executive Officers for 2008 are set forth in the Summary Compensation Table.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Incentive Plan which was adopted by the board of directors on April 8, 2005 and approved by the shareholders on May 18, 2005 reserves 1.0 million shares of Common Stock for the issuance of options and stock appreciation rights and 300,000 shares of restricted stock, restricted stock units, performance shares and stock awards to directors, executive officers and other key employees. This Incentive Plan replaced the NN, Inc. Stock Incentive Plan which was adopted on March 2, 1994 and expired on March 2, 2004. Stock options granted under the former plan prior to its expiration are exercisable upon vesting for a period of ten years after the date of grant.</w:t>
      </w:r>
    </w:p>
    <w:p>
      <w:pPr>
        <w:spacing w:after="0" w:line="215" w:lineRule="exact"/>
        <w:rPr>
          <w:sz w:val="20"/>
          <w:szCs w:val="20"/>
          <w:color w:val="auto"/>
        </w:rPr>
      </w:pPr>
    </w:p>
    <w:p>
      <w:pPr>
        <w:ind w:right="820"/>
        <w:spacing w:after="0" w:line="291" w:lineRule="auto"/>
        <w:rPr>
          <w:sz w:val="20"/>
          <w:szCs w:val="20"/>
          <w:color w:val="auto"/>
        </w:rPr>
      </w:pPr>
      <w:r>
        <w:rPr>
          <w:rFonts w:ascii="Arial" w:cs="Arial" w:eastAsia="Arial" w:hAnsi="Arial"/>
          <w:sz w:val="16"/>
          <w:szCs w:val="16"/>
          <w:color w:val="auto"/>
        </w:rPr>
        <w:t>Stock options and restricted share grants to the Company’s executive officers and managers are generally reviewed and determined annually by the Compensation Committee. With respect to options and restricted shares awarded, the Committee utilizes a structure based upon the</w:t>
      </w:r>
    </w:p>
    <w:p>
      <w:pPr>
        <w:ind w:right="240"/>
        <w:spacing w:after="0" w:line="277" w:lineRule="auto"/>
        <w:rPr>
          <w:sz w:val="20"/>
          <w:szCs w:val="20"/>
          <w:color w:val="auto"/>
        </w:rPr>
      </w:pPr>
      <w:r>
        <w:rPr>
          <w:rFonts w:ascii="Arial" w:cs="Arial" w:eastAsia="Arial" w:hAnsi="Arial"/>
          <w:sz w:val="17"/>
          <w:szCs w:val="17"/>
          <w:color w:val="auto"/>
        </w:rPr>
        <w:t>following: recommendations from the independent compensation review, Mr. Baty’s recommendations (other than for himself) and rewards to officers and other key employees for superior performance and to provide financial incentives for officers and employees to continue to perform in a superior manner. The Company awarded 232,000 options to fifteen directors, executive officers and other key employees during 2009.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Company's decisions regarding compensation of its Chief Executive Officer are guided by the same policies and considerations that govern compensation of the Company's other executive officers. Mr. Baty’s salary is established and adjusted based upon three factors: individual performance, financial performance of the Company and peer group and total market data established by compensation studies performed by an outside compensation consulting firm. The Compensation Committee reviews and evaluates Mr. Baty’s individual performance annually on the basis of his actual performance in comparison to written financial and strategic objectives established at the beginning of the year by Mr. Baty and the Committee. The Compensation Committee also evaluates Mr. Baty based upon the financial performance of the Company as compared to the Company’s annual business plan and compares Mr. Baty’s compensation to the peer companies at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of market of total direct compensation. For fiscal year 2009, the Company’s board of directors suspended salary increases for executive officers and employees due to the economic conditions the Company experienced. Reinstatement of salary increases will be at an appropriate time as determined by the Company’s board of directors. Direct compensation is defined as base salary, bonus, stock option award opportunities and long-term incentive plan opportunities. Additionally, on an annual basis, Mr. Baty prepares a written succession plan that is reviewed by the Compensation Committee. This plan includes a plan of succession for Mr. Baty and the executive management of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Compliance with Internal Revenue Code Section 162(m)</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No compensation paid to the executive officers in 2009 exceeded the limit imposed by Section 162(m).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sets forth for the year ended December 31, 2009 information concerning the compensation paid for services rendered in all capacities by the Company to its Chief Executive Officer and Chief Financial Officer and to each of the other three most highly compensated executive officers of the Company whose annual salary and bonus in 2009 exceeded $100,000.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2009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Name and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Principal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Salary ($)</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Stock</w:t>
            </w:r>
          </w:p>
        </w:tc>
      </w:tr>
      <w:tr>
        <w:trPr>
          <w:trHeight w:val="241"/>
        </w:trPr>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Position</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Year</w:t>
            </w: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9"/>
              </w:rPr>
              <w:t xml:space="preserve">Awards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w:t>
            </w:r>
          </w:p>
        </w:tc>
      </w:tr>
      <w:tr>
        <w:trPr>
          <w:trHeight w:val="414"/>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Roderick R. Baty</w:t>
            </w: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Chairman/Chief</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351,312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Executive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Officer</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420,774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1480" w:type="dxa"/>
            <w:vAlign w:val="bottom"/>
          </w:tcPr>
          <w:p>
            <w:pPr>
              <w:spacing w:after="0"/>
              <w:rPr>
                <w:sz w:val="20"/>
                <w:szCs w:val="20"/>
                <w:color w:val="auto"/>
              </w:rPr>
            </w:pPr>
            <w:r>
              <w:rPr>
                <w:rFonts w:ascii="Arial" w:cs="Arial" w:eastAsia="Arial" w:hAnsi="Arial"/>
                <w:sz w:val="18"/>
                <w:szCs w:val="18"/>
                <w:b w:val="1"/>
                <w:bCs w:val="1"/>
                <w:color w:val="auto"/>
              </w:rPr>
              <w:t>James H. Dorton</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Vice President -</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Chief</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219,717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Financial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Officer</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250,006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1480" w:type="dxa"/>
            <w:vAlign w:val="bottom"/>
          </w:tcPr>
          <w:p>
            <w:pPr>
              <w:spacing w:after="0"/>
              <w:rPr>
                <w:sz w:val="20"/>
                <w:szCs w:val="20"/>
                <w:color w:val="auto"/>
              </w:rPr>
            </w:pPr>
            <w:r>
              <w:rPr>
                <w:rFonts w:ascii="Arial" w:cs="Arial" w:eastAsia="Arial" w:hAnsi="Arial"/>
                <w:sz w:val="18"/>
                <w:szCs w:val="18"/>
                <w:b w:val="1"/>
                <w:bCs w:val="1"/>
                <w:color w:val="auto"/>
              </w:rPr>
              <w:t>Nicola Trombetti</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Vice President -</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General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Manager,</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370,029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NN Europe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397,126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1480" w:type="dxa"/>
            <w:vAlign w:val="bottom"/>
          </w:tcPr>
          <w:p>
            <w:pPr>
              <w:spacing w:after="0"/>
              <w:rPr>
                <w:sz w:val="20"/>
                <w:szCs w:val="20"/>
                <w:color w:val="auto"/>
              </w:rPr>
            </w:pPr>
            <w:r>
              <w:rPr>
                <w:rFonts w:ascii="Arial" w:cs="Arial" w:eastAsia="Arial" w:hAnsi="Arial"/>
                <w:sz w:val="18"/>
                <w:szCs w:val="18"/>
                <w:b w:val="1"/>
                <w:bCs w:val="1"/>
                <w:color w:val="auto"/>
              </w:rPr>
              <w:t>Frank T. Gentry</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III</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w w:val="97"/>
              </w:rPr>
              <w:t>Vice President –</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Managing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Metal Bearing</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244,298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Components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218,800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1480" w:type="dxa"/>
            <w:vAlign w:val="bottom"/>
          </w:tcPr>
          <w:p>
            <w:pPr>
              <w:spacing w:after="0"/>
              <w:rPr>
                <w:sz w:val="20"/>
                <w:szCs w:val="20"/>
                <w:color w:val="auto"/>
              </w:rPr>
            </w:pPr>
            <w:r>
              <w:rPr>
                <w:rFonts w:ascii="Arial" w:cs="Arial" w:eastAsia="Arial" w:hAnsi="Arial"/>
                <w:sz w:val="18"/>
                <w:szCs w:val="18"/>
                <w:b w:val="1"/>
                <w:bCs w:val="1"/>
                <w:color w:val="auto"/>
              </w:rPr>
              <w:t>James O.</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Anderson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w w:val="97"/>
              </w:rPr>
              <w:t>Vice President –</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198,808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480" w:type="dxa"/>
            <w:vAlign w:val="bottom"/>
          </w:tcPr>
          <w:p>
            <w:pPr>
              <w:ind w:left="100"/>
              <w:spacing w:after="0"/>
              <w:rPr>
                <w:sz w:val="20"/>
                <w:szCs w:val="20"/>
                <w:color w:val="auto"/>
              </w:rPr>
            </w:pPr>
            <w:r>
              <w:rPr>
                <w:rFonts w:ascii="Arial" w:cs="Arial" w:eastAsia="Arial" w:hAnsi="Arial"/>
                <w:sz w:val="18"/>
                <w:szCs w:val="18"/>
                <w:b w:val="1"/>
                <w:bCs w:val="1"/>
                <w:color w:val="auto"/>
              </w:rPr>
              <w:t>Plastics &amp;</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Rubber Div.</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2008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215,000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Non-equity</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Change in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Nonqualified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Compen-</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8"/>
                <w:szCs w:val="18"/>
                <w:color w:val="auto"/>
              </w:rPr>
            </w:pPr>
          </w:p>
        </w:tc>
      </w:tr>
      <w:tr>
        <w:trPr>
          <w:trHeight w:val="216"/>
        </w:trPr>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Awards ($)</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sation</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Earnings</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4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)(4)(5)(6)(7)</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648"/>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34,650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14,984</w:t>
            </w:r>
          </w:p>
        </w:tc>
        <w:tc>
          <w:tcPr>
            <w:tcW w:w="900" w:type="dxa"/>
            <w:vAlign w:val="bottom"/>
          </w:tcPr>
          <w:p>
            <w:pPr>
              <w:jc w:val="right"/>
              <w:spacing w:after="0"/>
              <w:rPr>
                <w:sz w:val="20"/>
                <w:szCs w:val="20"/>
                <w:color w:val="auto"/>
              </w:rPr>
            </w:pPr>
            <w:r>
              <w:rPr>
                <w:rFonts w:ascii="Arial" w:cs="Arial" w:eastAsia="Arial" w:hAnsi="Arial"/>
                <w:sz w:val="18"/>
                <w:szCs w:val="18"/>
                <w:color w:val="auto"/>
              </w:rPr>
              <w:t>424,796</w:t>
            </w:r>
          </w:p>
        </w:tc>
      </w:tr>
      <w:tr>
        <w:trPr>
          <w:trHeight w:val="432"/>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81,900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24,940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14,942</w:t>
            </w:r>
          </w:p>
        </w:tc>
        <w:tc>
          <w:tcPr>
            <w:tcW w:w="900" w:type="dxa"/>
            <w:vAlign w:val="bottom"/>
          </w:tcPr>
          <w:p>
            <w:pPr>
              <w:jc w:val="right"/>
              <w:spacing w:after="0"/>
              <w:rPr>
                <w:sz w:val="20"/>
                <w:szCs w:val="20"/>
                <w:color w:val="auto"/>
              </w:rPr>
            </w:pPr>
            <w:r>
              <w:rPr>
                <w:rFonts w:ascii="Arial" w:cs="Arial" w:eastAsia="Arial" w:hAnsi="Arial"/>
                <w:sz w:val="18"/>
                <w:szCs w:val="18"/>
                <w:color w:val="auto"/>
              </w:rPr>
              <w:t>542,556</w:t>
            </w:r>
          </w:p>
        </w:tc>
      </w:tr>
      <w:tr>
        <w:trPr>
          <w:trHeight w:val="864"/>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15,400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9,533</w:t>
            </w:r>
          </w:p>
        </w:tc>
        <w:tc>
          <w:tcPr>
            <w:tcW w:w="900" w:type="dxa"/>
            <w:vAlign w:val="bottom"/>
          </w:tcPr>
          <w:p>
            <w:pPr>
              <w:jc w:val="right"/>
              <w:spacing w:after="0"/>
              <w:rPr>
                <w:sz w:val="20"/>
                <w:szCs w:val="20"/>
                <w:color w:val="auto"/>
              </w:rPr>
            </w:pPr>
            <w:r>
              <w:rPr>
                <w:rFonts w:ascii="Arial" w:cs="Arial" w:eastAsia="Arial" w:hAnsi="Arial"/>
                <w:sz w:val="18"/>
                <w:szCs w:val="18"/>
                <w:color w:val="auto"/>
              </w:rPr>
              <w:t>255,250</w:t>
            </w:r>
          </w:p>
        </w:tc>
      </w:tr>
      <w:tr>
        <w:trPr>
          <w:trHeight w:val="432"/>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10,550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14,327</w:t>
            </w:r>
          </w:p>
        </w:tc>
        <w:tc>
          <w:tcPr>
            <w:tcW w:w="900" w:type="dxa"/>
            <w:vAlign w:val="bottom"/>
          </w:tcPr>
          <w:p>
            <w:pPr>
              <w:jc w:val="right"/>
              <w:spacing w:after="0"/>
              <w:rPr>
                <w:sz w:val="20"/>
                <w:szCs w:val="20"/>
                <w:color w:val="auto"/>
              </w:rPr>
            </w:pPr>
            <w:r>
              <w:rPr>
                <w:rFonts w:ascii="Arial" w:cs="Arial" w:eastAsia="Arial" w:hAnsi="Arial"/>
                <w:sz w:val="18"/>
                <w:szCs w:val="18"/>
                <w:color w:val="auto"/>
              </w:rPr>
              <w:t>307,643</w:t>
            </w:r>
          </w:p>
        </w:tc>
      </w:tr>
      <w:tr>
        <w:trPr>
          <w:trHeight w:val="1066"/>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13,578</w:t>
            </w:r>
          </w:p>
        </w:tc>
        <w:tc>
          <w:tcPr>
            <w:tcW w:w="900" w:type="dxa"/>
            <w:vAlign w:val="bottom"/>
          </w:tcPr>
          <w:p>
            <w:pPr>
              <w:jc w:val="right"/>
              <w:spacing w:after="0"/>
              <w:rPr>
                <w:sz w:val="20"/>
                <w:szCs w:val="20"/>
                <w:color w:val="auto"/>
              </w:rPr>
            </w:pPr>
            <w:r>
              <w:rPr>
                <w:rFonts w:ascii="Arial" w:cs="Arial" w:eastAsia="Arial" w:hAnsi="Arial"/>
                <w:sz w:val="18"/>
                <w:szCs w:val="18"/>
                <w:color w:val="auto"/>
              </w:rPr>
              <w:t>383,607</w:t>
            </w:r>
          </w:p>
        </w:tc>
      </w:tr>
      <w:tr>
        <w:trPr>
          <w:trHeight w:val="230"/>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43,821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15,300</w:t>
            </w:r>
          </w:p>
        </w:tc>
        <w:tc>
          <w:tcPr>
            <w:tcW w:w="900" w:type="dxa"/>
            <w:vAlign w:val="bottom"/>
          </w:tcPr>
          <w:p>
            <w:pPr>
              <w:jc w:val="right"/>
              <w:spacing w:after="0"/>
              <w:rPr>
                <w:sz w:val="20"/>
                <w:szCs w:val="20"/>
                <w:color w:val="auto"/>
              </w:rPr>
            </w:pPr>
            <w:r>
              <w:rPr>
                <w:rFonts w:ascii="Arial" w:cs="Arial" w:eastAsia="Arial" w:hAnsi="Arial"/>
                <w:sz w:val="18"/>
                <w:szCs w:val="18"/>
                <w:color w:val="auto"/>
              </w:rPr>
              <w:t>489,007</w:t>
            </w:r>
          </w:p>
        </w:tc>
      </w:tr>
      <w:tr>
        <w:trPr>
          <w:trHeight w:val="1498"/>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15,540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14,486</w:t>
            </w:r>
          </w:p>
        </w:tc>
        <w:tc>
          <w:tcPr>
            <w:tcW w:w="900" w:type="dxa"/>
            <w:vAlign w:val="bottom"/>
          </w:tcPr>
          <w:p>
            <w:pPr>
              <w:jc w:val="right"/>
              <w:spacing w:after="0"/>
              <w:rPr>
                <w:sz w:val="20"/>
                <w:szCs w:val="20"/>
                <w:color w:val="auto"/>
              </w:rPr>
            </w:pPr>
            <w:r>
              <w:rPr>
                <w:rFonts w:ascii="Arial" w:cs="Arial" w:eastAsia="Arial" w:hAnsi="Arial"/>
                <w:sz w:val="18"/>
                <w:szCs w:val="18"/>
                <w:color w:val="auto"/>
              </w:rPr>
              <w:t>284,784</w:t>
            </w:r>
          </w:p>
        </w:tc>
      </w:tr>
      <w:tr>
        <w:trPr>
          <w:trHeight w:val="230"/>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90,640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14,209</w:t>
            </w:r>
          </w:p>
        </w:tc>
        <w:tc>
          <w:tcPr>
            <w:tcW w:w="900" w:type="dxa"/>
            <w:vAlign w:val="bottom"/>
          </w:tcPr>
          <w:p>
            <w:pPr>
              <w:jc w:val="right"/>
              <w:spacing w:after="0"/>
              <w:rPr>
                <w:sz w:val="20"/>
                <w:szCs w:val="20"/>
                <w:color w:val="auto"/>
              </w:rPr>
            </w:pPr>
            <w:r>
              <w:rPr>
                <w:rFonts w:ascii="Arial" w:cs="Arial" w:eastAsia="Arial" w:hAnsi="Arial"/>
                <w:sz w:val="18"/>
                <w:szCs w:val="18"/>
                <w:color w:val="auto"/>
              </w:rPr>
              <w:t>356,409</w:t>
            </w:r>
          </w:p>
        </w:tc>
      </w:tr>
      <w:tr>
        <w:trPr>
          <w:trHeight w:val="864"/>
        </w:trPr>
        <w:tc>
          <w:tcPr>
            <w:tcW w:w="880" w:type="dxa"/>
            <w:vAlign w:val="bottom"/>
          </w:tcPr>
          <w:p>
            <w:pPr>
              <w:jc w:val="right"/>
              <w:spacing w:after="0"/>
              <w:rPr>
                <w:sz w:val="20"/>
                <w:szCs w:val="20"/>
                <w:color w:val="auto"/>
              </w:rPr>
            </w:pPr>
            <w:r>
              <w:rPr>
                <w:rFonts w:ascii="Arial" w:cs="Arial" w:eastAsia="Arial" w:hAnsi="Arial"/>
                <w:sz w:val="18"/>
                <w:szCs w:val="18"/>
                <w:color w:val="auto"/>
              </w:rPr>
              <w:t>11,550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12,010</w:t>
            </w:r>
          </w:p>
        </w:tc>
        <w:tc>
          <w:tcPr>
            <w:tcW w:w="900" w:type="dxa"/>
            <w:vAlign w:val="bottom"/>
          </w:tcPr>
          <w:p>
            <w:pPr>
              <w:jc w:val="right"/>
              <w:spacing w:after="0"/>
              <w:rPr>
                <w:sz w:val="20"/>
                <w:szCs w:val="20"/>
                <w:color w:val="auto"/>
              </w:rPr>
            </w:pPr>
            <w:r>
              <w:rPr>
                <w:rFonts w:ascii="Arial" w:cs="Arial" w:eastAsia="Arial" w:hAnsi="Arial"/>
                <w:sz w:val="18"/>
                <w:szCs w:val="18"/>
                <w:color w:val="auto"/>
              </w:rPr>
              <w:t>230,318</w:t>
            </w:r>
          </w:p>
        </w:tc>
      </w:tr>
      <w:tr>
        <w:trPr>
          <w:trHeight w:val="432"/>
        </w:trPr>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8,600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12,585</w:t>
            </w:r>
          </w:p>
        </w:tc>
        <w:tc>
          <w:tcPr>
            <w:tcW w:w="900" w:type="dxa"/>
            <w:vAlign w:val="bottom"/>
          </w:tcPr>
          <w:p>
            <w:pPr>
              <w:jc w:val="right"/>
              <w:spacing w:after="0"/>
              <w:rPr>
                <w:sz w:val="20"/>
                <w:szCs w:val="20"/>
                <w:color w:val="auto"/>
              </w:rPr>
            </w:pPr>
            <w:r>
              <w:rPr>
                <w:rFonts w:ascii="Arial" w:cs="Arial" w:eastAsia="Arial" w:hAnsi="Arial"/>
                <w:sz w:val="18"/>
                <w:szCs w:val="18"/>
                <w:color w:val="auto"/>
              </w:rPr>
              <w:t>268,945</w:t>
            </w:r>
          </w:p>
        </w:tc>
      </w:tr>
    </w:tbl>
    <w:p>
      <w:pPr>
        <w:spacing w:after="0" w:line="200" w:lineRule="exact"/>
        <w:rPr>
          <w:sz w:val="20"/>
          <w:szCs w:val="20"/>
          <w:color w:val="auto"/>
        </w:rPr>
      </w:pPr>
    </w:p>
    <w:p>
      <w:pPr>
        <w:sectPr>
          <w:pgSz w:w="11900" w:h="16838" w:orient="portrait"/>
          <w:cols w:equalWidth="0" w:num="2">
            <w:col w:w="5360" w:space="220"/>
            <w:col w:w="5840"/>
          </w:cols>
          <w:pgMar w:left="240" w:top="121" w:right="23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52" w:lineRule="exact"/>
        <w:rPr>
          <w:sz w:val="20"/>
          <w:szCs w:val="20"/>
          <w:color w:val="auto"/>
        </w:rPr>
      </w:pPr>
    </w:p>
    <w:p>
      <w:pPr>
        <w:jc w:val="both"/>
        <w:ind w:left="660" w:hanging="304"/>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the economic conditions the Company experienced in the fourth quarter of 2008 and throughout most of 2009, the Company’s executive management voluntarily elected to reduce their base salaries. Mr. Baty’s base salary was reduced by 20% effective November 17, 2008. Base salaries for Messrs. Dorton, Trombetti, Gentry and Anderson were reduced by 15% effective February 9, 2009. Due to improving economic conditions and cash flows, on November 18, 2009, the Compensation Committee of the board restored base salaries to the original levels. Additionally, the Compensation Committee elected to repay in 2010 a portion equal to approximately 40% of the reduced 2009 salaries to all management and salaried employees.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both"/>
        <w:ind w:left="660" w:hanging="304"/>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Generally, bonuses earned in one fiscal year are paid in the first quarter of the next year. However, because of the economic environment and the resulting efforts of the Company to conserve cash during 2009, the payment of bonuses earned in fiscal 2008 was deferred until economic conditions improved. The Company’s board of directors approved the payment of bonuses earned in fiscal year 2008 to be paid on December 12, 2009. With the exception of Mr. Gentry, all bonuses earned in 2008 for the above Named Executives relate to achievement of established working capital objectives. Mr. Gentry achieved both net income and working capital objectives. For fiscal year 2009, the Company’s board of directors elected to suspend the bonus program for all executive officers and employees. The bonus program will be suspended until such time as deemed appropriate by the Company’s board of directors.</w:t>
      </w:r>
    </w:p>
    <w:p>
      <w:pPr>
        <w:spacing w:after="0" w:line="216" w:lineRule="exact"/>
        <w:rPr>
          <w:rFonts w:ascii="Arial" w:cs="Arial" w:eastAsia="Arial" w:hAnsi="Arial"/>
          <w:sz w:val="18"/>
          <w:szCs w:val="18"/>
          <w:color w:val="auto"/>
        </w:rPr>
      </w:pPr>
    </w:p>
    <w:p>
      <w:pPr>
        <w:jc w:val="both"/>
        <w:ind w:left="660" w:hanging="304"/>
        <w:spacing w:after="0" w:line="27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represent the market value, as calculated under U.S. Generally Accepted Accounting Principles related to stock based compensation, of 45,000 shares of stock options awarded Mr. Baty and 20,000 shares each awarded Messrs. Dorton, Gentry and Anderson. On March 25, 2009, the Company awarded 232,000 options to purchase the Company’s stock to five non-employee directors and ten executive officers and other key employees. The market value of these shares on the date of grant was $1.30 per share. The shares granted to officers and other key employees vest over a period of three years beginning on the first anniversary of the date of grant and are exercisable at the closing market price of the date of grant. The shares granted to non-employee directors vest 100% on the anniversary date of the grant and are exercisable at the closing market price of the date of grant. The assumptions used to calculate the value of these option awards are set forth under Note 8 of the Notes to Consolidated Financial Statements included in the Company’s Annual Report on Form 10-K for the year ended December 31, 2009 filed with the Commission on March 31, 2010.</w:t>
      </w:r>
    </w:p>
    <w:p>
      <w:pPr>
        <w:spacing w:after="0" w:line="208" w:lineRule="exact"/>
        <w:rPr>
          <w:rFonts w:ascii="Arial" w:cs="Arial" w:eastAsia="Arial" w:hAnsi="Arial"/>
          <w:sz w:val="17"/>
          <w:szCs w:val="17"/>
          <w:color w:val="auto"/>
        </w:rPr>
      </w:pPr>
    </w:p>
    <w:p>
      <w:pPr>
        <w:ind w:left="660" w:hanging="30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$9,000 for a car allowance for each of Messrs. Baty, Dorton, Gentry and Anderson.</w:t>
      </w:r>
    </w:p>
    <w:p>
      <w:pPr>
        <w:spacing w:after="0" w:line="252" w:lineRule="exact"/>
        <w:rPr>
          <w:rFonts w:ascii="Arial" w:cs="Arial" w:eastAsia="Arial" w:hAnsi="Arial"/>
          <w:sz w:val="18"/>
          <w:szCs w:val="18"/>
          <w:color w:val="auto"/>
        </w:rPr>
      </w:pPr>
    </w:p>
    <w:p>
      <w:pPr>
        <w:jc w:val="both"/>
        <w:ind w:left="660" w:hanging="30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$4,900, $4,900, and $2,730 in Company matching contributions under a “401(k)” savings plan for Messrs. Baty, Gentry and Anderson, respectively. This plan is open to substantially all of the Company’s U.S. employees and officers who have met certain service and age requirements.</w:t>
      </w:r>
    </w:p>
    <w:p>
      <w:pPr>
        <w:spacing w:after="0" w:line="208" w:lineRule="exact"/>
        <w:rPr>
          <w:rFonts w:ascii="Arial" w:cs="Arial" w:eastAsia="Arial" w:hAnsi="Arial"/>
          <w:sz w:val="18"/>
          <w:szCs w:val="18"/>
          <w:color w:val="auto"/>
        </w:rPr>
      </w:pPr>
    </w:p>
    <w:p>
      <w:pPr>
        <w:ind w:left="660" w:right="20" w:hanging="30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include $1,084, $533, $586 and $281 in premiums paid by the Company for supplemental life insurance for the benefit of Messrs. Baty, Dorton, Gentry and Anderson, respectively.</w:t>
      </w:r>
    </w:p>
    <w:p>
      <w:pPr>
        <w:spacing w:after="0" w:line="197" w:lineRule="exact"/>
        <w:rPr>
          <w:rFonts w:ascii="Arial" w:cs="Arial" w:eastAsia="Arial" w:hAnsi="Arial"/>
          <w:sz w:val="18"/>
          <w:szCs w:val="18"/>
          <w:color w:val="auto"/>
        </w:rPr>
      </w:pPr>
    </w:p>
    <w:p>
      <w:pPr>
        <w:ind w:left="660" w:hanging="304"/>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include $1,578 for a travel indemnity paid to Mr. Trombetti by the Company and $12,000 estimated use of a Company owned car.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options granted during 2008 to the Named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7"/>
          </w:tcPr>
          <w:p>
            <w:pPr>
              <w:jc w:val="center"/>
              <w:ind w:right="250"/>
              <w:spacing w:after="0"/>
              <w:rPr>
                <w:sz w:val="20"/>
                <w:szCs w:val="20"/>
                <w:color w:val="auto"/>
              </w:rPr>
            </w:pPr>
            <w:r>
              <w:rPr>
                <w:rFonts w:ascii="Arial" w:cs="Arial" w:eastAsia="Arial" w:hAnsi="Arial"/>
                <w:sz w:val="18"/>
                <w:szCs w:val="18"/>
                <w:b w:val="1"/>
                <w:bCs w:val="1"/>
                <w:color w:val="auto"/>
                <w:w w:val="90"/>
              </w:rPr>
              <w:t>Grants of Plan-Based Awards For 2009</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1"/>
        </w:trPr>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Estimated Future payouts</w:t>
            </w:r>
          </w:p>
        </w:tc>
        <w:tc>
          <w:tcPr>
            <w:tcW w:w="220" w:type="dxa"/>
            <w:vAlign w:val="bottom"/>
          </w:tcPr>
          <w:p>
            <w:pPr>
              <w:spacing w:after="0"/>
              <w:rPr>
                <w:sz w:val="24"/>
                <w:szCs w:val="24"/>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Estimated Future Payouts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Under Non-Equity Incentive</w:t>
            </w:r>
          </w:p>
        </w:tc>
        <w:tc>
          <w:tcPr>
            <w:tcW w:w="220" w:type="dxa"/>
            <w:vAlign w:val="bottom"/>
          </w:tcPr>
          <w:p>
            <w:pPr>
              <w:spacing w:after="0"/>
              <w:rPr>
                <w:sz w:val="18"/>
                <w:szCs w:val="18"/>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Under Equity Incentive Plan</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1"/>
        </w:trPr>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Plan Awards</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98"/>
        </w:trPr>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All</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6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or Base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 of</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of Stock</w:t>
            </w:r>
          </w:p>
        </w:tc>
        <w:tc>
          <w:tcPr>
            <w:tcW w:w="1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Fair</w:t>
            </w:r>
          </w:p>
        </w:tc>
      </w:tr>
      <w:tr>
        <w:trPr>
          <w:trHeight w:val="216"/>
        </w:trPr>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Thres-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Maxi-</w:t>
            </w:r>
          </w:p>
        </w:tc>
        <w:tc>
          <w:tcPr>
            <w:tcW w:w="2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Thres-</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Target</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Maxi-</w:t>
            </w: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1"/>
              </w:rPr>
              <w:t>or Units</w:t>
            </w:r>
          </w:p>
        </w:tc>
        <w:tc>
          <w:tcPr>
            <w:tcW w:w="2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Awards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1180" w:type="dxa"/>
            <w:vAlign w:val="bottom"/>
          </w:tcPr>
          <w:p>
            <w:pPr>
              <w:ind w:left="420"/>
              <w:spacing w:after="0"/>
              <w:rPr>
                <w:sz w:val="20"/>
                <w:szCs w:val="20"/>
                <w:color w:val="auto"/>
              </w:rPr>
            </w:pPr>
            <w:r>
              <w:rPr>
                <w:rFonts w:ascii="Arial" w:cs="Arial" w:eastAsia="Arial" w:hAnsi="Arial"/>
                <w:sz w:val="18"/>
                <w:szCs w:val="18"/>
                <w:b w:val="1"/>
                <w:bCs w:val="1"/>
                <w:color w:val="auto"/>
              </w:rPr>
              <w:t>Name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Grant Date</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hold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u w:val="single" w:color="auto"/>
                <w:color w:val="auto"/>
                <w:w w:val="93"/>
              </w:rPr>
              <w:t>Target($</w:t>
            </w:r>
            <w:r>
              <w:rPr>
                <w:rFonts w:ascii="Arial" w:cs="Arial" w:eastAsia="Arial" w:hAnsi="Arial"/>
                <w:sz w:val="18"/>
                <w:szCs w:val="18"/>
                <w:b w:val="1"/>
                <w:bCs w:val="1"/>
                <w:color w:val="auto"/>
                <w:w w:val="93"/>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mum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w:t>
            </w: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 xml:space="preserve">hold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 xml:space="preserve">mum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8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(#)(2)</w:t>
            </w:r>
          </w:p>
        </w:tc>
        <w:tc>
          <w:tcPr>
            <w:tcW w:w="10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r>
      <w:tr>
        <w:trPr>
          <w:trHeight w:val="27"/>
        </w:trPr>
        <w:tc>
          <w:tcPr>
            <w:tcW w:w="1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Mr. Baty</w:t>
            </w: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0" w:type="dxa"/>
            <w:vAlign w:val="bottom"/>
          </w:tcPr>
          <w:p>
            <w:pPr>
              <w:jc w:val="center"/>
              <w:ind w:left="47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45,000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80" w:type="dxa"/>
            <w:vAlign w:val="bottom"/>
          </w:tcPr>
          <w:p>
            <w:pPr>
              <w:jc w:val="right"/>
              <w:spacing w:after="0"/>
              <w:rPr>
                <w:sz w:val="20"/>
                <w:szCs w:val="20"/>
                <w:color w:val="auto"/>
              </w:rPr>
            </w:pPr>
            <w:r>
              <w:rPr>
                <w:rFonts w:ascii="Arial" w:cs="Arial" w:eastAsia="Arial" w:hAnsi="Arial"/>
                <w:sz w:val="18"/>
                <w:szCs w:val="18"/>
                <w:color w:val="auto"/>
              </w:rPr>
              <w:t>34,650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Mr. Dorton</w:t>
            </w: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left="4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8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Mr. Trombetti</w:t>
            </w: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left="4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Mr. Gentry</w:t>
            </w: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left="4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8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Mr. Anderson</w:t>
            </w:r>
          </w:p>
        </w:tc>
        <w:tc>
          <w:tcPr>
            <w:tcW w:w="112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center"/>
              <w:ind w:left="4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15,000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680" w:type="dxa"/>
            <w:vAlign w:val="bottom"/>
          </w:tcPr>
          <w:p>
            <w:pPr>
              <w:jc w:val="right"/>
              <w:spacing w:after="0"/>
              <w:rPr>
                <w:sz w:val="20"/>
                <w:szCs w:val="20"/>
                <w:color w:val="auto"/>
              </w:rPr>
            </w:pPr>
            <w:r>
              <w:rPr>
                <w:rFonts w:ascii="Arial" w:cs="Arial" w:eastAsia="Arial" w:hAnsi="Arial"/>
                <w:sz w:val="18"/>
                <w:szCs w:val="18"/>
                <w:color w:val="auto"/>
              </w:rPr>
              <w:t>11,550</w:t>
            </w:r>
          </w:p>
        </w:tc>
      </w:tr>
    </w:tbl>
    <w:p>
      <w:pPr>
        <w:spacing w:after="0" w:line="229" w:lineRule="exact"/>
        <w:rPr>
          <w:sz w:val="20"/>
          <w:szCs w:val="20"/>
          <w:color w:val="auto"/>
        </w:rPr>
      </w:pPr>
    </w:p>
    <w:p>
      <w:pPr>
        <w:jc w:val="both"/>
        <w:ind w:left="660" w:hanging="304"/>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the market value, as calculated under U.S. Generally Accepted Accounting Principles related to stock based compensation, of 45,000 shares, 20,000 shares, 0 shares, 20,000 shares and 15,000 shares of stock options awarded Messrs. Baty, Dorton, Trombetti, Gentry and Anderson, respectively. On March 25, 2009, the Company awarded 232,000 options to purchase the Company’s stock to five non-employee directors and ten executive officers and other key employees. The market value of these shares on the date of grant was $1.30 per share. The shares granted to officers and other key employees vest over a period of three years beginning on the first anniversary of the date of grant and are exercisable at the closing market price of the date of grant.</w:t>
      </w:r>
    </w:p>
    <w:p>
      <w:pPr>
        <w:spacing w:after="0" w:line="220" w:lineRule="exact"/>
        <w:rPr>
          <w:rFonts w:ascii="Arial" w:cs="Arial" w:eastAsia="Arial" w:hAnsi="Arial"/>
          <w:sz w:val="18"/>
          <w:szCs w:val="18"/>
          <w:color w:val="auto"/>
        </w:rPr>
      </w:pPr>
    </w:p>
    <w:p>
      <w:pPr>
        <w:ind w:left="660" w:hanging="30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23, 2008, the Company’s board of directors voted to terminate the 2007 long-term incentive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sets forth information with respect to outstanding equity awards as of December 31, 2009.</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 2009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Option Rewards</w:t>
            </w:r>
          </w:p>
        </w:tc>
        <w:tc>
          <w:tcPr>
            <w:tcW w:w="1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Stock Rewards</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Market or</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Units or</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Securities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Shares or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Underlying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Units of</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Units of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Rights</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Rights</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Unexercised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Unexercised</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Stock That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Stock That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That Have</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That Have</w:t>
            </w: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Options (#)</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Options (#)</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Unearned</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Exercise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Have Not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Have Not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Not Vested</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Not Vested</w:t>
            </w:r>
          </w:p>
        </w:tc>
      </w:tr>
      <w:tr>
        <w:trPr>
          <w:trHeight w:val="234"/>
        </w:trPr>
        <w:tc>
          <w:tcPr>
            <w:tcW w:w="1120" w:type="dxa"/>
            <w:vAlign w:val="bottom"/>
          </w:tcPr>
          <w:p>
            <w:pPr>
              <w:ind w:left="340"/>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Exercisable(1)</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Unexercisable(1)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Price ($)</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Vested (#)</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Mr. Baty</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66,300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10/10/2010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75,000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9/17/2011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40,000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3/1/2014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8/19/2015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26,250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8/14/2016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17,500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8,750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5/25/2017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3/6/2018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3/25/2019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Mr. Dorton</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8/19/2015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11,250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8/14/2016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5/25/2017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3/6/2018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3/25/2019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Mr. Trombetti</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10,000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10.67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5/28/2013</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13,000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3/1/2014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8/19/2015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11,250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8/14/2016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5/25/2017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3/6/2018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Mr. Gentry</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16,000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3/1/2014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8/19/2015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11,250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8/14/2016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3,750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5/25/2017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3/6/02018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3/25/2019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Mr. Anderson</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7,945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8/19/2015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8,000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8/14/2016</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6,666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3,334</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5/25/2017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4,000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3/6/2018</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15,000</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3/25/2019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hanging="30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options vest by one-third on each anniversary date over a three-year period beginning on the first anniversary date of grant.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sets forth information with respect to option exercises and stock vesting as of December 31,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020" w:type="dxa"/>
            <w:vAlign w:val="bottom"/>
            <w:gridSpan w:val="5"/>
          </w:tcPr>
          <w:p>
            <w:pPr>
              <w:ind w:left="340"/>
              <w:spacing w:after="0"/>
              <w:rPr>
                <w:sz w:val="20"/>
                <w:szCs w:val="20"/>
                <w:color w:val="auto"/>
              </w:rPr>
            </w:pPr>
            <w:r>
              <w:rPr>
                <w:rFonts w:ascii="Arial" w:cs="Arial" w:eastAsia="Arial" w:hAnsi="Arial"/>
                <w:sz w:val="18"/>
                <w:szCs w:val="18"/>
                <w:b w:val="1"/>
                <w:bCs w:val="1"/>
                <w:color w:val="auto"/>
                <w:w w:val="89"/>
              </w:rPr>
              <w:t>Option Exercises and Stock Vested During 2009</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ind w:left="680"/>
              <w:spacing w:after="0"/>
              <w:rPr>
                <w:sz w:val="20"/>
                <w:szCs w:val="20"/>
                <w:color w:val="auto"/>
              </w:rPr>
            </w:pPr>
            <w:r>
              <w:rPr>
                <w:rFonts w:ascii="Arial" w:cs="Arial" w:eastAsia="Arial" w:hAnsi="Arial"/>
                <w:sz w:val="18"/>
                <w:szCs w:val="18"/>
                <w:b w:val="1"/>
                <w:bCs w:val="1"/>
                <w:color w:val="auto"/>
              </w:rPr>
              <w:t>Option Awards</w:t>
            </w:r>
          </w:p>
        </w:tc>
        <w:tc>
          <w:tcPr>
            <w:tcW w:w="250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Stock Awards</w:t>
            </w:r>
          </w:p>
        </w:tc>
      </w:tr>
      <w:tr>
        <w:trPr>
          <w:trHeight w:val="198"/>
        </w:trPr>
        <w:tc>
          <w:tcPr>
            <w:tcW w:w="3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40" w:type="dxa"/>
            <w:vAlign w:val="bottom"/>
            <w:tcBorders>
              <w:top w:val="single" w:sz="8" w:color="auto"/>
            </w:tcBorders>
          </w:tcPr>
          <w:p>
            <w:pPr>
              <w:spacing w:after="0"/>
              <w:rPr>
                <w:sz w:val="17"/>
                <w:szCs w:val="17"/>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Acquired on</w:t>
            </w: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Realized 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Acquired 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Realized on</w:t>
            </w:r>
          </w:p>
        </w:tc>
      </w:tr>
      <w:tr>
        <w:trPr>
          <w:trHeight w:val="241"/>
        </w:trPr>
        <w:tc>
          <w:tcPr>
            <w:tcW w:w="354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Name</w:t>
            </w:r>
          </w:p>
        </w:tc>
        <w:tc>
          <w:tcPr>
            <w:tcW w:w="2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 (#)</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 ($)</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Mr. Baty</w:t>
            </w:r>
          </w:p>
        </w:tc>
        <w:tc>
          <w:tcPr>
            <w:tcW w:w="3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Mr. Dorton</w:t>
            </w:r>
          </w:p>
        </w:tc>
        <w:tc>
          <w:tcPr>
            <w:tcW w:w="3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Mr. Trombetti</w:t>
            </w:r>
          </w:p>
        </w:tc>
        <w:tc>
          <w:tcPr>
            <w:tcW w:w="3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Mr. Gentry</w:t>
            </w:r>
          </w:p>
        </w:tc>
        <w:tc>
          <w:tcPr>
            <w:tcW w:w="3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Mr. Anderson</w:t>
            </w:r>
          </w:p>
        </w:tc>
        <w:tc>
          <w:tcPr>
            <w:tcW w:w="3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25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Messrs. Baty, Dorton, Gentry and Anderson have written employment agreements to serve in their respective positions that extend automatically for successive one-year terms unless either party gives notice of termination. The Company may terminate each executive’s employment with or without cause, but if terminated without cause, the executive would continue to receive his annual salary, paid on a monthly basis, for one year from the date of termination. Additionally, Messrs. Baty, Dorton, Gentry and Anderson have a written change of control agreement. These agreements state if an executive’s employment is terminated within two years following a change of control as defined in the document that each executive will receive a lump sum payment equal to a multiple of his annual salary plus a multiple of his median bonus available at his specific target percentage. The multiple for each of the executive officers salary is as follows: Mr. Baty – 2.5, Mr. Dorton – 2.0, Mr. Gentry – 2.0 and Mr. Anderson – 2.0. The percentage for each of the executive officers bonus is Mr. Baty - 60%, Mr. Dorton - 45%, Mr. Gentry - 45% and Mr. Anderson – 45%. Additionally, some benefits will continue to be paid by the Company to each executive officer for a period of time of 12 months. Each of Messrs. Baty, Dorton, Gentry and Anderson has also agreed to a non-competition agreement that ends two years after the conclusion of his employment with the Company.</w:t>
      </w: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shows the compensation these officers would have received under the employment agreements had a change in control occurred as of December 31, 2009</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ind w:left="190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1"/>
              </w:rPr>
              <w:t>Compensation($</w:t>
            </w:r>
            <w:r>
              <w:rPr>
                <w:rFonts w:ascii="Arial" w:cs="Arial" w:eastAsia="Arial" w:hAnsi="Arial"/>
                <w:sz w:val="18"/>
                <w:szCs w:val="18"/>
                <w:b w:val="1"/>
                <w:bCs w:val="1"/>
                <w:color w:val="auto"/>
                <w:w w:val="91"/>
              </w:rPr>
              <w:t>)</w:t>
            </w:r>
          </w:p>
        </w:tc>
      </w:tr>
      <w:tr>
        <w:trPr>
          <w:trHeight w:val="27"/>
        </w:trPr>
        <w:tc>
          <w:tcPr>
            <w:tcW w:w="20" w:type="dxa"/>
            <w:vAlign w:val="bottom"/>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r>
      <w:tr>
        <w:trPr>
          <w:trHeight w:val="418"/>
        </w:trPr>
        <w:tc>
          <w:tcPr>
            <w:tcW w:w="4300" w:type="dxa"/>
            <w:vAlign w:val="bottom"/>
            <w:gridSpan w:val="2"/>
          </w:tcPr>
          <w:p>
            <w:pPr>
              <w:spacing w:after="0"/>
              <w:rPr>
                <w:sz w:val="20"/>
                <w:szCs w:val="20"/>
                <w:color w:val="auto"/>
              </w:rPr>
            </w:pPr>
            <w:r>
              <w:rPr>
                <w:rFonts w:ascii="Arial" w:cs="Arial" w:eastAsia="Arial" w:hAnsi="Arial"/>
                <w:sz w:val="18"/>
                <w:szCs w:val="18"/>
                <w:color w:val="auto"/>
              </w:rPr>
              <w:t>Mr. Baty</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1,603,564</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Mr. Dorton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625,064</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Mr. Gentry</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664,877</w:t>
            </w: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Mr. Anderson</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539,314</w:t>
            </w: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w:t>
      </w:r>
    </w:p>
    <w:p>
      <w:pPr>
        <w:spacing w:after="0" w:line="252" w:lineRule="exact"/>
        <w:rPr>
          <w:sz w:val="20"/>
          <w:szCs w:val="20"/>
          <w:color w:val="auto"/>
        </w:rPr>
      </w:pPr>
    </w:p>
    <w:p>
      <w:pPr>
        <w:ind w:left="1300" w:hanging="13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reviewed and discussed the section in this proxy statement entitled “Compensation Discussion and Analysis” with management and</w:t>
      </w:r>
    </w:p>
    <w:p>
      <w:pPr>
        <w:spacing w:after="0" w:line="275" w:lineRule="exact"/>
        <w:rPr>
          <w:rFonts w:ascii="Arial" w:cs="Arial" w:eastAsia="Arial" w:hAnsi="Arial"/>
          <w:sz w:val="16"/>
          <w:szCs w:val="16"/>
          <w:color w:val="auto"/>
        </w:rPr>
      </w:pPr>
    </w:p>
    <w:p>
      <w:pPr>
        <w:ind w:left="1300" w:hanging="13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review and discussions referred to above, the Compensation Committee recommended to the Board of directors that the Compensation Discussion and Analysis be included in this proxy statement.</w:t>
      </w: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Members of the Compensation Committee: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G. Fanelli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E. Werner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compensation decisions during the fiscal year ended December 31, 2009 for each of the Named Executive Officers were made by the Compensation Committee, consisting of Messrs. Warshaw, Fanelli and Werner, none of whom is or was an officer or employee of the Company during the last fiscal year.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 to Shareholders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registered independent public accounting firm has responsibility for the audit of those statements. Each of the members of the Audit Committee meets the independence requirements of the Nasdaq rules.</w:t>
      </w:r>
    </w:p>
    <w:p>
      <w:pPr>
        <w:spacing w:after="0" w:line="21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Audit Committee has reviewed and discussed with the Company’s management and PricewaterhouseCoopers LLP, the Company’s registered independent public accounting firm, the audited financial statements of the Company for 2009; has discussed with PricewaterhouseCoopers LLP matters required to be discussed by the Statement on Auditing Standards No. 61, as amended, as adopted by the Public Company Accounting Oversight Board in Rule 3200T; has received from the registered independent public accounting firm the written disclosures and letter required by PCAOP Rule 3526; and has discussed with the registered independent public accounting firm their independence, including whether PricewaterhouseCoopers LLP’s provision of non-audit services to the Company was compatible with maintaining PricewaterhouseCoopers LLP’s independence. Based on the review and discussions described above, the Audit Committee recommended to the Company’s board of directors that the audited financial statements be included in the Company’s Annual Report on Form 10-K for the fiscal year ended December 31, 2009 for filing with the Securities and Exchange Commission.</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Audit Committee originally adopted a written charter in June 2000. This charter, which has been amended, is subject to review and reassessment at least annually. This revised charter is included on the Company's website at </w:t>
      </w:r>
      <w:r>
        <w:rPr>
          <w:rFonts w:ascii="Arial" w:cs="Arial" w:eastAsia="Arial" w:hAnsi="Arial"/>
          <w:sz w:val="18"/>
          <w:szCs w:val="18"/>
          <w:i w:val="1"/>
          <w:iCs w:val="1"/>
          <w:color w:val="auto"/>
        </w:rPr>
        <w:t>www.nnbr.com</w:t>
      </w:r>
      <w:r>
        <w:rPr>
          <w:rFonts w:ascii="Arial" w:cs="Arial" w:eastAsia="Arial" w:hAnsi="Arial"/>
          <w:sz w:val="18"/>
          <w:szCs w:val="18"/>
          <w:color w:val="auto"/>
        </w:rPr>
        <w:t>.</w:t>
      </w:r>
    </w:p>
    <w:p>
      <w:pPr>
        <w:spacing w:after="0" w:line="19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Members of the Audit Committee:</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Robert M. Aiken, Jr.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 Ronald Morris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Steven T. Warshaw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Paid to Independent Registered Accounting Firm</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2009 PricewaterhouseCoopers LLP not only acted as the registered independent public accounting firm for the Company (work related to auditing the annual financial statements for fiscal year 2009 and reviewing the financial statements included in our Forms 10-Q) but also rendered on our behalf other services, including tax-related services and other accounting and auditing services. The following table sets forth the aggregate fees billed by PricewaterhouseCoopers LLP for audit services rendered in connection with the financial statements and reports for fiscal years 2009 and 2008 and for other services rendered during fiscal years 2009 and 2008 on our behalf, as well as all expenses incurred in connection with these services, which have been or will be billed to us.</w:t>
      </w:r>
    </w:p>
    <w:p>
      <w:pPr>
        <w:spacing w:after="0" w:line="216"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2008</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Audit Fees</w:t>
            </w:r>
          </w:p>
        </w:tc>
        <w:tc>
          <w:tcPr>
            <w:tcW w:w="2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$1,284,351</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$1,346,149</w:t>
            </w: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Tax Consulting and Compliance 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401,028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368,886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1,685,379</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1,715,035</w:t>
            </w:r>
          </w:p>
        </w:tc>
      </w:tr>
      <w:tr>
        <w:trPr>
          <w:trHeight w:val="21"/>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56" w:lineRule="exact"/>
        <w:rPr>
          <w:sz w:val="20"/>
          <w:szCs w:val="20"/>
          <w:color w:val="auto"/>
        </w:rPr>
      </w:pPr>
    </w:p>
    <w:p>
      <w:pPr>
        <w:ind w:right="200" w:firstLine="45"/>
        <w:spacing w:after="0" w:line="276" w:lineRule="auto"/>
        <w:rPr>
          <w:sz w:val="20"/>
          <w:szCs w:val="20"/>
          <w:color w:val="auto"/>
        </w:rPr>
      </w:pPr>
      <w:r>
        <w:rPr>
          <w:rFonts w:ascii="Arial" w:cs="Arial" w:eastAsia="Arial" w:hAnsi="Arial"/>
          <w:sz w:val="17"/>
          <w:szCs w:val="17"/>
          <w:color w:val="auto"/>
        </w:rPr>
        <w:t>The Audit Committee pre-approves all audit and permissible non-audit services to be provided to the Company by its registered independent public accounting firm prior to commencement of services. The Audit Committee Chairman has the authority to pre-approve such services up to a specified fee amount and these pre-approved decisions are presented to the full Audit Committee at its next scheduled meeting. Since the effective date of the Securities and Exchange Commission’s rules regarding strengthening auditor independence, all of the audit, audit-related and tax services by PricewaterhouseCoopers LLP were pre-approved in accordance with the Audit Committee’s policies and procedures.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Except as described below, the Company did not engage in any transaction with a related person as defined under the rules of the Securities and Exchange Commission. While the board of directors currently does not have a written policy with respect to approval of transactions with related parties, it is the policy of the board to approve any transactions with related persons. Any approvals would be reflected in the minutes of the meeting of the board of directors at which the board approved the transaction. Other than the transaction described below, the Company has not engaged in a related party transaction in the last six years.</w:t>
      </w:r>
    </w:p>
    <w:p>
      <w:pPr>
        <w:spacing w:after="0" w:line="21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part of the board-approved acquisition of Whirlaway Corporation on November 30, 2006, the Company entered into operating leases covering two of the Whirlaway manufacturing facilities with a company owned by Thomas Zupan, who is now an executive officer of the Company. The terms of the leases are at prevailing market rates of the rental market in which the facilities are located. The rent payments in 2008 and 2009 to Mr. Zupan were $0.6 million and $0.6 million, respectively. The total future rental payments will be $1.3 million over 2 years or $0.6 million per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2009 Annual Report to Shareholders, which includes its Annual Report on Form 10-K for the year ended December 31, 2009, is being mailed together with this Proxy Statement. Exhibits to the Annual Report on Form 10-K may be obtained by contacting the Secretary of the Company at 2000 Waters Edge Drive, Building C, Suite 12, Johnson City, Tennessee 37604.</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Notwithstanding anything to the contrary set forth in the Company’s previous filings under the Securities Act of 1933, as amended,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20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88" w:lineRule="exact"/>
        <w:rPr>
          <w:sz w:val="20"/>
          <w:szCs w:val="20"/>
          <w:color w:val="auto"/>
        </w:rPr>
      </w:pPr>
    </w:p>
    <w:p>
      <w:pPr>
        <w:ind w:left="8280"/>
        <w:spacing w:after="0"/>
        <w:rPr>
          <w:sz w:val="20"/>
          <w:szCs w:val="20"/>
          <w:color w:val="auto"/>
        </w:rPr>
      </w:pPr>
      <w:r>
        <w:rPr>
          <w:rFonts w:ascii="Arial" w:cs="Arial" w:eastAsia="Arial" w:hAnsi="Arial"/>
          <w:sz w:val="22"/>
          <w:szCs w:val="22"/>
          <w:u w:val="single" w:color="auto"/>
          <w:color w:val="auto"/>
        </w:rPr>
        <w:t>/s/William C. Kel ly, Jr.</w:t>
      </w:r>
    </w:p>
    <w:p>
      <w:pPr>
        <w:spacing w:after="0" w:line="1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William C. Kelly, Jr.</w:t>
      </w:r>
    </w:p>
    <w:p>
      <w:pPr>
        <w:spacing w:after="0" w:line="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Vice President, Secretary and Chief Administrative Officer</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800735</wp:posOffset>
            </wp:positionV>
            <wp:extent cx="7250430" cy="7343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7343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8028305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5248275" cy="6791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248275" cy="679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4323080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5248275" cy="3395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248275" cy="3395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6072505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6860540" cy="5145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3860165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5248275" cy="3395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248275" cy="3395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248275" cy="3395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248275" cy="3395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lvl w:ilvl="1">
      <w:lvlJc w:val="left"/>
      <w:lvlText w:val="(%2)"/>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2019-12-10T12:12:59Z</dcterms:created>
  <dcterms:modified xsi:type="dcterms:W3CDTF">2019-12-10T12:12:59Z</dcterms:modified>
</cp:coreProperties>
</file>