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7)</w:t>
      </w:r>
    </w:p>
    <w:p>
      <w:pPr>
        <w:spacing w:after="0" w:line="25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and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1,082,995</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803,895</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1,103,395</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6.78 %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NN INC</w:t>
      </w:r>
    </w:p>
    <w:p>
      <w:pPr>
        <w:spacing w:after="0" w:line="80" w:lineRule="exact"/>
        <w:rPr>
          <w:rFonts w:ascii="Arial" w:cs="Arial" w:eastAsia="Arial" w:hAnsi="Arial"/>
          <w:sz w:val="22"/>
          <w:szCs w:val="22"/>
          <w:color w:val="auto"/>
        </w:rPr>
      </w:pPr>
    </w:p>
    <w:p>
      <w:pPr>
        <w:jc w:val="both"/>
        <w:ind w:left="700" w:right="533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2000 Waters Edge Dr., Johnson City, TN 37604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15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and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240" w:right="1299" w:hanging="936"/>
        <w:spacing w:after="0" w:line="251" w:lineRule="auto"/>
        <w:tabs>
          <w:tab w:leader="none" w:pos="794"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226" w:right="1440" w:bottom="0" w:gutter="0" w:footer="0" w:header="0"/>
        </w:sectPr>
      </w:pPr>
    </w:p>
    <w:bookmarkStart w:id="2" w:name="page3"/>
    <w:bookmarkEnd w:id="2"/>
    <w:p>
      <w:pPr>
        <w:ind w:left="1240" w:right="1559" w:hanging="900"/>
        <w:spacing w:after="0" w:line="251" w:lineRule="auto"/>
        <w:tabs>
          <w:tab w:leader="none" w:pos="794"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240.13d-1(b)(1)(ii) (F);</w:t>
      </w:r>
    </w:p>
    <w:p>
      <w:pPr>
        <w:spacing w:after="0" w:line="65" w:lineRule="exact"/>
        <w:rPr>
          <w:sz w:val="20"/>
          <w:szCs w:val="20"/>
          <w:color w:val="auto"/>
        </w:rPr>
      </w:pPr>
    </w:p>
    <w:p>
      <w:pPr>
        <w:ind w:left="300"/>
        <w:spacing w:after="0"/>
        <w:tabs>
          <w:tab w:leader="none" w:pos="760" w:val="left"/>
          <w:tab w:leader="none" w:pos="1220" w:val="left"/>
        </w:tabs>
        <w:rPr>
          <w:sz w:val="20"/>
          <w:szCs w:val="20"/>
          <w:color w:val="auto"/>
        </w:rPr>
      </w:pPr>
      <w:r>
        <w:rPr>
          <w:rFonts w:ascii="Arial" w:cs="Arial" w:eastAsia="Arial" w:hAnsi="Arial"/>
          <w:sz w:val="22"/>
          <w:szCs w:val="22"/>
          <w:color w:val="auto"/>
        </w:rPr>
        <w:t>(g)</w:t>
        <w:tab/>
        <w:t>[X</w:t>
      </w:r>
      <w:r>
        <w:rPr>
          <w:sz w:val="20"/>
          <w:szCs w:val="20"/>
          <w:color w:val="auto"/>
        </w:rPr>
        <w:tab/>
      </w:r>
      <w:r>
        <w:rPr>
          <w:rFonts w:ascii="Arial" w:cs="Arial" w:eastAsia="Arial" w:hAnsi="Arial"/>
          <w:sz w:val="19"/>
          <w:szCs w:val="19"/>
          <w:color w:val="auto"/>
        </w:rPr>
        <w:t>A parent holding company or control person in accordance with 240.13d-1(b)(1)(ii)(G);</w:t>
      </w:r>
    </w:p>
    <w:p>
      <w:pPr>
        <w:spacing w:after="0" w:line="8" w:lineRule="exact"/>
        <w:rPr>
          <w:sz w:val="20"/>
          <w:szCs w:val="20"/>
          <w:color w:val="auto"/>
        </w:rPr>
      </w:pPr>
    </w:p>
    <w:p>
      <w:pPr>
        <w:ind w:left="780"/>
        <w:spacing w:after="0"/>
        <w:rPr>
          <w:sz w:val="20"/>
          <w:szCs w:val="20"/>
          <w:color w:val="auto"/>
        </w:rPr>
      </w:pPr>
      <w:r>
        <w:rPr>
          <w:rFonts w:ascii="Arial" w:cs="Arial" w:eastAsia="Arial" w:hAnsi="Arial"/>
          <w:sz w:val="22"/>
          <w:szCs w:val="22"/>
          <w:color w:val="auto"/>
        </w:rPr>
        <w:t>]</w:t>
      </w:r>
    </w:p>
    <w:p>
      <w:pPr>
        <w:spacing w:after="0" w:line="80" w:lineRule="exact"/>
        <w:rPr>
          <w:sz w:val="20"/>
          <w:szCs w:val="20"/>
          <w:color w:val="auto"/>
        </w:rPr>
      </w:pPr>
    </w:p>
    <w:p>
      <w:pPr>
        <w:ind w:left="1240" w:right="1459" w:hanging="936"/>
        <w:spacing w:after="0" w:line="251"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240" w:right="1719" w:hanging="888"/>
        <w:spacing w:after="0" w:line="239" w:lineRule="auto"/>
        <w:tabs>
          <w:tab w:leader="none" w:pos="794"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24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2"/>
        </w:numPr>
        <w:rPr>
          <w:rFonts w:ascii="Arial" w:cs="Arial" w:eastAsia="Arial" w:hAnsi="Arial"/>
          <w:sz w:val="22"/>
          <w:szCs w:val="22"/>
          <w:color w:val="auto"/>
        </w:rPr>
      </w:pPr>
      <w:r>
        <w:rPr>
          <w:rFonts w:ascii="Arial" w:cs="Arial" w:eastAsia="Arial" w:hAnsi="Arial"/>
          <w:sz w:val="22"/>
          <w:szCs w:val="22"/>
          <w:color w:val="auto"/>
        </w:rPr>
        <w:t>[ ]   Group, in accordance with 240.13d-1(b)(1)(ii)(J).</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1,103,395</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6.78%</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vote or to direct the vote 1,082,995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803,895</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 ].</w:t>
      </w:r>
    </w:p>
    <w:p>
      <w:pPr>
        <w:sectPr>
          <w:pgSz w:w="11900" w:h="16838" w:orient="portrait"/>
          <w:cols w:equalWidth="0" w:num="1">
            <w:col w:w="10159"/>
          </w:cols>
          <w:pgMar w:left="300" w:top="159"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59"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January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Date</w:t>
      </w:r>
    </w:p>
    <w:p>
      <w:pPr>
        <w:sectPr>
          <w:pgSz w:w="11900" w:h="16838" w:orient="portrait"/>
          <w:cols w:equalWidth="0" w:num="1">
            <w:col w:w="10159"/>
          </w:cols>
          <w:pgMar w:left="300" w:top="159" w:right="1440" w:bottom="0" w:gutter="0" w:footer="0" w:header="0"/>
          <w:type w:val="continuous"/>
        </w:sectPr>
      </w:pPr>
    </w:p>
    <w:bookmarkStart w:id="3" w:name="page4"/>
    <w:bookmarkEnd w:id="3"/>
    <w:p>
      <w:pPr>
        <w:ind w:left="3700"/>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24765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52"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Bank, N.A. (2)</w:t>
      </w:r>
    </w:p>
    <w:p>
      <w:pPr>
        <w:spacing w:after="0" w:line="230" w:lineRule="auto"/>
        <w:rPr>
          <w:sz w:val="20"/>
          <w:szCs w:val="20"/>
          <w:color w:val="auto"/>
        </w:rPr>
      </w:pPr>
      <w:r>
        <w:rPr>
          <w:rFonts w:ascii="Arial" w:cs="Arial" w:eastAsia="Arial" w:hAnsi="Arial"/>
          <w:sz w:val="22"/>
          <w:szCs w:val="22"/>
          <w:color w:val="auto"/>
        </w:rPr>
        <w:t>Wells Fargo Funds Management, LLC (1)</w:t>
      </w:r>
    </w:p>
    <w:p>
      <w:pPr>
        <w:spacing w:after="0" w:line="231" w:lineRule="auto"/>
        <w:rPr>
          <w:sz w:val="20"/>
          <w:szCs w:val="20"/>
          <w:color w:val="auto"/>
        </w:rPr>
      </w:pPr>
      <w:r>
        <w:rPr>
          <w:rFonts w:ascii="Arial" w:cs="Arial" w:eastAsia="Arial" w:hAnsi="Arial"/>
          <w:sz w:val="22"/>
          <w:szCs w:val="22"/>
          <w:color w:val="auto"/>
        </w:rPr>
        <w:t>Evergreen Investment Management Company, LLC. (1)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Wachovia Bank, National Association (2)</w:t>
      </w:r>
    </w:p>
    <w:p>
      <w:pPr>
        <w:spacing w:after="0" w:line="215" w:lineRule="exact"/>
        <w:rPr>
          <w:sz w:val="20"/>
          <w:szCs w:val="20"/>
          <w:color w:val="auto"/>
        </w:rPr>
      </w:pPr>
    </w:p>
    <w:p>
      <w:pPr>
        <w:ind w:left="300" w:hanging="298"/>
        <w:spacing w:after="0"/>
        <w:tabs>
          <w:tab w:leader="none" w:pos="3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14"/>
        </w:numPr>
        <w:rPr>
          <w:rFonts w:ascii="Arial" w:cs="Arial" w:eastAsia="Arial" w:hAnsi="Arial"/>
          <w:sz w:val="22"/>
          <w:szCs w:val="22"/>
          <w:color w:val="auto"/>
        </w:rPr>
      </w:pPr>
      <w:r>
        <w:rPr>
          <w:rFonts w:ascii="Arial" w:cs="Arial" w:eastAsia="Arial" w:hAnsi="Arial"/>
          <w:sz w:val="22"/>
          <w:szCs w:val="22"/>
          <w:color w:val="auto"/>
        </w:rPr>
        <w:t>Classified as a bank in accordance with Regulation 13d-1(b)(1)(ii)(B).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upperLetter"/>
      <w:start w:val="24"/>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2"/>
    </w:lvl>
  </w:abstractNum>
  <w:abstractNum w:abstractNumId="3">
    <w:nsid w:val="5BD062C2"/>
    <w:multiLevelType w:val="hybridMultilevel"/>
    <w:lvl w:ilvl="0">
      <w:lvlJc w:val="left"/>
      <w:lvlText w:val="%1."/>
      <w:numFmt w:val="decimal"/>
      <w:start w:val="2"/>
    </w:lvl>
    <w:lvl w:ilvl="1">
      <w:lvlJc w:val="left"/>
      <w:lvlText w:val="(%2)"/>
      <w:numFmt w:val="lowerLetter"/>
      <w:start w:val="1"/>
    </w:lvl>
  </w:abstractNum>
  <w:abstractNum w:abstractNumId="4">
    <w:nsid w:val="12200854"/>
    <w:multiLevelType w:val="hybridMultilevel"/>
    <w:lvl w:ilvl="0">
      <w:lvlJc w:val="left"/>
      <w:lvlText w:val="%1."/>
      <w:numFmt w:val="decimal"/>
      <w:start w:val="3"/>
    </w:lvl>
  </w:abstractNum>
  <w:abstractNum w:abstractNumId="5">
    <w:nsid w:val="4DB127F8"/>
    <w:multiLevelType w:val="hybridMultilevel"/>
    <w:lvl w:ilvl="0">
      <w:lvlJc w:val="left"/>
      <w:lvlText w:val="%1"/>
      <w:numFmt w:val="decimal"/>
      <w:start w:val="1"/>
    </w:lvl>
    <w:lvl w:ilvl="1">
      <w:lvlJc w:val="left"/>
      <w:lvlText w:val="%2."/>
      <w:numFmt w:val="decimal"/>
      <w:start w:val="8"/>
    </w:lvl>
  </w:abstractNum>
  <w:abstractNum w:abstractNumId="6">
    <w:nsid w:val="216231B"/>
    <w:multiLevelType w:val="hybridMultilevel"/>
    <w:lvl w:ilvl="0">
      <w:lvlJc w:val="left"/>
      <w:lvlText w:val="%1."/>
      <w:numFmt w:val="decimal"/>
      <w:start w:val="9"/>
    </w:lvl>
    <w:lvl w:ilvl="1">
      <w:lvlJc w:val="left"/>
      <w:lvlText w:val="%2"/>
      <w:numFmt w:val="decimal"/>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6"/>
    </w:lvl>
  </w:abstractNum>
  <w:abstractNum w:abstractNumId="11">
    <w:nsid w:val="3352255A"/>
    <w:multiLevelType w:val="hybridMultilevel"/>
    <w:lvl w:ilvl="0">
      <w:lvlJc w:val="left"/>
      <w:lvlText w:val="(%1)"/>
      <w:numFmt w:val="lowerLetter"/>
      <w:start w:val="8"/>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2019-12-10T12:27:04Z</dcterms:created>
  <dcterms:modified xsi:type="dcterms:W3CDTF">2019-12-10T12:27:04Z</dcterms:modified>
</cp:coreProperties>
</file>