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John Barrett</w:t>
              <w:br/>
              <w:t>Corre Partners Management, LLC, 12 East 49th Street, 40th Floor,</w:t>
              <w:br/>
              <w:t>New York, NY, 10017</w:t>
              <w:br/>
              <w:t>646-863-7152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Corre Opportunities Qualified Master Fund, LP</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1,958,637.00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1,958,637.00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1,958,637.00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3.7 %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Corre Partners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2,153,637.00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2,153,637.00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2,153,637.00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Corre Partners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2,153,637.00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2,153,637.00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2,153,637.00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John Barrett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2,153,637.00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2,153,637.00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2,153,637.00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name of the issuer is NN, Inc., a Delaware corporation (the "Issuer"). The address of the Issuer's principal executive offices is 6210 Ardrey Kell Road, Suite 120, Charlotte, North Carolina 28277. This Schedule 13D amendment relates to the Issuer's common stock, par value $0.01 per share (the "Shares").</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 LLC, a Delaware limited liability company (the "Investment Adviser"), which has been delegated investment authority over the assets of the Fund by the General Partner; and (iv) Mr. John Barrett, who serves as a managing member of the General Partner and the Investment Adviser; and (each, a "Reporting Person" and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(b), (c) The Fund is principally engaged in the business of investing in securities. The principal business address of the Fund is 12 East 49th Street, 40th Floor, New York, NY 10017. The General Partner is principally engaged in the business of serving as general partner and/or managing member to private investment vehicles, including the Fund. The principal business address of the General Partner is 12 East 49th Street, 40th Floor, New York, NY 10017. The Investment Adviser is an investment adviser registered with the Securities and Exchange Commission (the "SEC") that is principally engaged in the business of providing investment management services to private investment vehicles, including the Fund. The principal business address of the Investment Adviser is 12 East 49th Street, 40th Floor, New York, NY 10017. Mr. Barrett is the owner and managing member of the General Partner and the Investment Adviser. The business address of Mr. Barrett is 12 East 49th Street, 40th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None of the Reporting Persons have,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Mr. Barrett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funds for the purchase of the 1,958,637 Shares beneficially owned by the Fund came from the working capital of the Fund, which is the direct owner of the Shares. The funds for the purchase of the 2,153,637 Shares beneficially owned by the other Reporting Persons (which include the 1,958,637 Shares directly owned by the Fund) came from the working capital of the Fund and other private investment vehicles managed by the Investment Adviser, which are the direct owners of such Shares. No borrowed funds were used to purchase the Shares, other than any borrowed funds used for working capital purposes (including certain leverage arrangements) in the ordinary course of business.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Reporting Persons originally acquired the Shares for investment purposes. The Reporting Persons have had discussions with certain representatives of the Issuer and management of the Issuer. 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As of the date hereof (i) the Fund may be deemed to be the beneficial owner of 1,958,637 Shares, constituting 3.7% of the Shares in the aggregate and (ii) each of the General Partner, the Investment Adviser and Mr. Barrett may be deemed to be the beneficial owner of 2,153,637 Shares, constituting 4.0% of the Shares in the aggregate, in each case based upon 52,773,512 Shares outstanding at April 27, 2026, as determined based on reports by the Issuer and as adjusted to include warrants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Fund has the sole power to vote or direct the vote of 0 Shares; has the shared power to vote or direct the vote of 1,958,637 Shares; has the sole power to dispose or direct the disposition of 0 Shares; and has the shared power to dispose or direct the disposition of 1,958,637 Shares. The General Partner has the sole power to vote or direct the vote of 0 Shares; has the shared power to vote or direct the vote of 2,153,637 Shares; has the sole power to dispose or direct the disposition of 0 Shares; and has the shared power to dispose or direct the disposition of 2,153,637 Shares. The Investment Adviser has the sole power to vote or direct the vote of 0 Shares; has the shared power to vote or direct the vote of 2,153,637 Shares; has the sole power to dispose or direct the disposition of 0 Shares; and has the shared power to dispose or direct the disposition of 2,153,637 Shares. Mr. Barrett has the sole power to vote or direct the vote of 0 Shares; has the shared power to vote or direct the vote of 2,153,637 Shares; has the sole power to dispose or direct the disposition of 0 Shares; and has the shared power to dispose or direct the disposition of 2,153,637 Shares.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transactions by the Reporting Persons in the securities of the Issuer since the last Schedule 13D are set forth in Exhibit B. All such transactions were carried out in open market transactions.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Except as set forth in this Schedule 13D, no person has the right to receive or the power to direct receipt of dividends from, or the proceeds of sale of, securities covered by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As of June 30, 2026, the Reporting Persons have ceased to be the beneficial owners of more than five percent (5%) of the Shares. The filing of this Schedule 13D amendment constitutes an exit filing for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 The Warrants are exercisable, in full or in part, at any time prior to the seventh anniversary of their issuance, at an exercise price of $11.03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 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 The Reporting Persons do not have any contract, arrangement, understanding or relationship with any person with respect to securities of the Issuer that is not described above and/or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A: Joint Filing Agreement Exhibit B: Schedule of Transactions in Shares Exhibit C: Securities Purchase Agreement (incorporated by reference to Exhibit 10.1 to the Form 8-K filed with the SEC by the Issuer on December 11, 2019) Exhibit D: Common Stock Purchase Warrant (incorporated by reference to Exhibit 4.1 to the Form 8-K filed with the SEC by the Issuer on December 11, 2019) Exhibit E: Registration Rights Agreement (incorporated by reference to Exhibit 10.2 to the Form 8-K filed with the SEC by the Issuer on December 11, 2019)</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Corre Opportunities Qualified Master Fund,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Corre Opportunities Qualified Master Fund, LP*, By: Corre Partners Advisors, LLC, its general partner, /s/ John Barrett</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John Barrett,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Corre Partners Advisors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Corre Partners Advisors, LLC*, /s/ John Barrett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John Barrett,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Corre Partners Management, LLC</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Corre Partners Management, LLC*, /s/ John Barrett</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John Barrett,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John Barrett</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John Barrett*</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John Barrett</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tc>
      </w:tr>
    </w:tbl>
    <w:p>
      <w:pPr>
        <w:pStyle w:val="TextBody"/>
        <w:bidi w:val="0"/>
        <w:jc w:val="right"/>
        <w:rPr>
          <w:rFonts w:ascii="Times New Roman;Times;Serif" w:hAnsi="Times New Roman;Times;Serif"/>
          <w:b w:val="false"/>
          <w:i w:val="false"/>
          <w:caps w:val="false"/>
          <w:smallCaps w:val="false"/>
          <w:sz w:val="24"/>
        </w:rPr>
      </w:pPr>
      <w:bookmarkStart w:id="26" w:name="p15023291_ex-a.htm"/>
      <w:bookmarkStart w:id="27" w:name="ksp15023291_exa"/>
      <w:bookmarkEnd w:id="26"/>
      <w:bookmarkEnd w:id="27"/>
      <w:r>
        <w:rPr>
          <w:rFonts w:ascii="Times New Roman;Times;Serif" w:hAnsi="Times New Roman;Times;Serif"/>
          <w:b w:val="false"/>
          <w:i w:val="false"/>
          <w:caps w:val="false"/>
          <w:smallCaps w:val="false"/>
          <w:sz w:val="24"/>
        </w:rPr>
        <w:t>Exhibit A</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agree that this Schedule 13D amendment, dated July 1, 2026, relating to the common stock, par value $0.01 per share, of NN, Inc. shall be filed on behalf of the undersigned.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340" w:type="dxa"/>
        <w:jc w:val="left"/>
        <w:tblInd w:w="0" w:type="dxa"/>
        <w:tblLayout w:type="fixed"/>
        <w:tblCellMar>
          <w:top w:w="0" w:type="dxa"/>
          <w:left w:w="0" w:type="dxa"/>
          <w:bottom w:w="0" w:type="dxa"/>
          <w:right w:w="0" w:type="dxa"/>
        </w:tblCellMar>
      </w:tblPr>
      <w:tblGrid>
        <w:gridCol w:w="75"/>
        <w:gridCol w:w="1190"/>
        <w:gridCol w:w="75"/>
      </w:tblGrid>
      <w:tr>
        <w:trPr/>
        <w:tc>
          <w:tcPr>
            <w:tcW w:w="7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left"/>
              <w:rPr/>
            </w:pPr>
            <w:r>
              <w:rPr/>
              <w:t>July 1,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(Date)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75"/>
        <w:gridCol w:w="5465"/>
      </w:tblGrid>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Corre Opportunities Qualified Master Fund, LP</w:t>
            </w:r>
          </w:p>
          <w:p>
            <w:pPr>
              <w:pStyle w:val="TableContents"/>
              <w:bidi w:val="0"/>
              <w:spacing w:before="0" w:after="283"/>
              <w:ind w:left="0" w:right="0" w:firstLine="36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Corre Partners Advisors, LLC, its general partner</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By:  /</w:t>
            </w:r>
            <w:r>
              <w:rPr>
                <w:u w:val="single"/>
              </w:rPr>
              <w:t>s/ John Barrett</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 John Barrett</w:t>
            </w:r>
          </w:p>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Corre Partners Advisors, LLC</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By:  </w:t>
            </w:r>
            <w:r>
              <w:rPr>
                <w:u w:val="single"/>
              </w:rPr>
              <w:t>/s/ John Barrett</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 John Barrett</w:t>
            </w:r>
          </w:p>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Corre Partners Management, LLC</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By:  </w:t>
            </w:r>
            <w:r>
              <w:rPr>
                <w:u w:val="single"/>
              </w:rPr>
              <w:t>/s/ John Barrett</w:t>
            </w:r>
          </w:p>
        </w:tc>
      </w:tr>
      <w:tr>
        <w:trPr/>
        <w:tc>
          <w:tcPr>
            <w:tcW w:w="7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465" w:type="dxa"/>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 John Barrett</w:t>
            </w:r>
          </w:p>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John Barrett</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u w:val="single"/>
              </w:rPr>
            </w:pPr>
            <w:r>
              <w:rPr>
                <w:u w:val="single"/>
              </w:rPr>
              <w:t>/s/ John Barrett</w:t>
            </w:r>
          </w:p>
        </w:tc>
      </w:tr>
    </w:tbl>
    <w:p>
      <w:pPr>
        <w:pStyle w:val="TextBody"/>
        <w:bidi w:val="0"/>
        <w:jc w:val="right"/>
        <w:rPr>
          <w:rFonts w:ascii="Times New Roman;Times;Serif" w:hAnsi="Times New Roman;Times;Serif"/>
          <w:b w:val="false"/>
          <w:i w:val="false"/>
          <w:caps w:val="false"/>
          <w:smallCaps w:val="false"/>
          <w:sz w:val="24"/>
        </w:rPr>
      </w:pPr>
      <w:bookmarkStart w:id="28" w:name="p15023291_ex-b.htm"/>
      <w:bookmarkStart w:id="29" w:name="ksp15023291_exb"/>
      <w:bookmarkEnd w:id="28"/>
      <w:bookmarkEnd w:id="29"/>
      <w:r>
        <w:rPr>
          <w:rFonts w:ascii="Times New Roman;Times;Serif" w:hAnsi="Times New Roman;Times;Serif"/>
          <w:b w:val="false"/>
          <w:i w:val="false"/>
          <w:caps w:val="false"/>
          <w:smallCaps w:val="false"/>
          <w:sz w:val="24"/>
        </w:rPr>
        <w:t>Exhibit B</w:t>
      </w:r>
      <w:r>
        <w:br w:type="page"/>
      </w:r>
    </w:p>
    <w:p>
      <w:pPr>
        <w:pStyle w:val="TextBody"/>
        <w:bidi w:val="0"/>
        <w:jc w:val="left"/>
        <w:rPr>
          <w:caps w:val="false"/>
          <w:smallCaps w:val="false"/>
        </w:rPr>
      </w:pPr>
      <w:r>
        <w:rPr>
          <w:caps w:val="false"/>
          <w:smallCaps w:val="false"/>
        </w:rPr>
        <w:t> </w:t>
      </w:r>
    </w:p>
    <w:p>
      <w:pPr>
        <w:pStyle w:val="TextBody"/>
        <w:bidi w:val="0"/>
        <w:ind w:left="36" w:right="36"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of Transactions in Shares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3431"/>
        <w:gridCol w:w="2357"/>
        <w:gridCol w:w="1466"/>
        <w:gridCol w:w="1184"/>
      </w:tblGrid>
      <w:tr>
        <w:trPr/>
        <w:tc>
          <w:tcPr>
            <w:tcW w:w="1767" w:type="dxa"/>
            <w:tcBorders/>
            <w:vAlign w:val="center"/>
          </w:tcPr>
          <w:p>
            <w:pPr>
              <w:pStyle w:val="TableContents"/>
              <w:bidi w:val="0"/>
              <w:spacing w:before="0" w:after="283"/>
              <w:jc w:val="center"/>
              <w:rPr>
                <w:u w:val="single"/>
              </w:rPr>
            </w:pPr>
            <w:r>
              <w:rPr>
                <w:u w:val="single"/>
              </w:rPr>
              <w:t>Date of Transaction</w:t>
            </w:r>
          </w:p>
        </w:tc>
        <w:tc>
          <w:tcPr>
            <w:tcW w:w="3431" w:type="dxa"/>
            <w:tcBorders/>
            <w:vAlign w:val="center"/>
          </w:tcPr>
          <w:p>
            <w:pPr>
              <w:pStyle w:val="TableContents"/>
              <w:bidi w:val="0"/>
              <w:spacing w:before="0" w:after="283"/>
              <w:jc w:val="center"/>
              <w:rPr>
                <w:u w:val="single"/>
              </w:rPr>
            </w:pPr>
            <w:r>
              <w:rPr>
                <w:u w:val="single"/>
              </w:rPr>
              <w:t>Title of Class</w:t>
            </w:r>
          </w:p>
        </w:tc>
        <w:tc>
          <w:tcPr>
            <w:tcW w:w="2357" w:type="dxa"/>
            <w:tcBorders/>
            <w:vAlign w:val="center"/>
          </w:tcPr>
          <w:p>
            <w:pPr>
              <w:pStyle w:val="TableContents"/>
              <w:bidi w:val="0"/>
              <w:spacing w:before="0" w:after="283"/>
              <w:jc w:val="center"/>
              <w:rPr>
                <w:u w:val="single"/>
              </w:rPr>
            </w:pPr>
            <w:r>
              <w:rPr>
                <w:u w:val="single"/>
              </w:rPr>
              <w:t>Number of Shares Acquired</w:t>
            </w:r>
          </w:p>
        </w:tc>
        <w:tc>
          <w:tcPr>
            <w:tcW w:w="1466" w:type="dxa"/>
            <w:tcBorders/>
            <w:vAlign w:val="center"/>
          </w:tcPr>
          <w:p>
            <w:pPr>
              <w:pStyle w:val="TableContents"/>
              <w:bidi w:val="0"/>
              <w:spacing w:before="0" w:after="283"/>
              <w:jc w:val="center"/>
              <w:rPr>
                <w:u w:val="single"/>
              </w:rPr>
            </w:pPr>
            <w:r>
              <w:rPr>
                <w:u w:val="single"/>
              </w:rPr>
              <w:t>Number of</w:t>
              <w:br/>
              <w:t>Shares Disposed</w:t>
            </w:r>
          </w:p>
        </w:tc>
        <w:tc>
          <w:tcPr>
            <w:tcW w:w="1184" w:type="dxa"/>
            <w:tcBorders/>
            <w:vAlign w:val="center"/>
          </w:tcPr>
          <w:p>
            <w:pPr>
              <w:pStyle w:val="TableContents"/>
              <w:bidi w:val="0"/>
              <w:spacing w:before="0" w:after="283"/>
              <w:jc w:val="center"/>
              <w:rPr>
                <w:u w:val="single"/>
              </w:rPr>
            </w:pPr>
            <w:r>
              <w:rPr>
                <w:u w:val="single"/>
              </w:rPr>
              <w:t>Price Per</w:t>
              <w:br/>
              <w:t>Share</w:t>
            </w:r>
          </w:p>
        </w:tc>
      </w:tr>
      <w:tr>
        <w:trPr/>
        <w:tc>
          <w:tcPr>
            <w:tcW w:w="1767" w:type="dxa"/>
            <w:tcBorders/>
            <w:vAlign w:val="center"/>
          </w:tcPr>
          <w:p>
            <w:pPr>
              <w:pStyle w:val="TableContents"/>
              <w:bidi w:val="0"/>
              <w:spacing w:before="0" w:after="283"/>
              <w:jc w:val="left"/>
              <w:rPr/>
            </w:pPr>
            <w:r>
              <w:rPr/>
              <w:t>6/01/2026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52,906 (1)</w:t>
            </w:r>
          </w:p>
        </w:tc>
        <w:tc>
          <w:tcPr>
            <w:tcW w:w="1184" w:type="dxa"/>
            <w:tcBorders/>
            <w:vAlign w:val="center"/>
          </w:tcPr>
          <w:p>
            <w:pPr>
              <w:pStyle w:val="TableContents"/>
              <w:bidi w:val="0"/>
              <w:spacing w:before="0" w:after="283"/>
              <w:jc w:val="right"/>
              <w:rPr/>
            </w:pPr>
            <w:r>
              <w:rPr/>
              <w:t>$3.1128 (3)</w:t>
            </w:r>
          </w:p>
        </w:tc>
      </w:tr>
      <w:tr>
        <w:trPr/>
        <w:tc>
          <w:tcPr>
            <w:tcW w:w="1767" w:type="dxa"/>
            <w:tcBorders/>
            <w:vAlign w:val="center"/>
          </w:tcPr>
          <w:p>
            <w:pPr>
              <w:pStyle w:val="TableContents"/>
              <w:bidi w:val="0"/>
              <w:spacing w:before="0" w:after="283"/>
              <w:jc w:val="left"/>
              <w:rPr/>
            </w:pPr>
            <w:r>
              <w:rPr/>
              <w:t>6/01/2026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18,741 (2)</w:t>
            </w:r>
          </w:p>
        </w:tc>
        <w:tc>
          <w:tcPr>
            <w:tcW w:w="1184" w:type="dxa"/>
            <w:tcBorders/>
            <w:vAlign w:val="center"/>
          </w:tcPr>
          <w:p>
            <w:pPr>
              <w:pStyle w:val="TableContents"/>
              <w:bidi w:val="0"/>
              <w:spacing w:before="0" w:after="283"/>
              <w:jc w:val="right"/>
              <w:rPr/>
            </w:pPr>
            <w:r>
              <w:rPr/>
              <w:t>$3.1128 (3)</w:t>
            </w:r>
          </w:p>
        </w:tc>
      </w:tr>
      <w:tr>
        <w:trPr/>
        <w:tc>
          <w:tcPr>
            <w:tcW w:w="1767" w:type="dxa"/>
            <w:tcBorders/>
            <w:vAlign w:val="center"/>
          </w:tcPr>
          <w:p>
            <w:pPr>
              <w:pStyle w:val="TableContents"/>
              <w:bidi w:val="0"/>
              <w:spacing w:before="0" w:after="283"/>
              <w:jc w:val="left"/>
              <w:rPr/>
            </w:pPr>
            <w:r>
              <w:rPr/>
              <w:t>6/02/2026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40,504 (1)</w:t>
            </w:r>
          </w:p>
        </w:tc>
        <w:tc>
          <w:tcPr>
            <w:tcW w:w="1184" w:type="dxa"/>
            <w:tcBorders/>
            <w:vAlign w:val="center"/>
          </w:tcPr>
          <w:p>
            <w:pPr>
              <w:pStyle w:val="TableContents"/>
              <w:bidi w:val="0"/>
              <w:spacing w:before="0" w:after="283"/>
              <w:jc w:val="right"/>
              <w:rPr/>
            </w:pPr>
            <w:r>
              <w:rPr/>
              <w:t>$3.1696 (4)</w:t>
            </w:r>
          </w:p>
        </w:tc>
      </w:tr>
      <w:tr>
        <w:trPr/>
        <w:tc>
          <w:tcPr>
            <w:tcW w:w="1767" w:type="dxa"/>
            <w:tcBorders/>
            <w:vAlign w:val="center"/>
          </w:tcPr>
          <w:p>
            <w:pPr>
              <w:pStyle w:val="TableContents"/>
              <w:bidi w:val="0"/>
              <w:spacing w:before="0" w:after="283"/>
              <w:jc w:val="left"/>
              <w:rPr/>
            </w:pPr>
            <w:r>
              <w:rPr/>
              <w:t>6/02/2026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14,348 (2)</w:t>
            </w:r>
          </w:p>
        </w:tc>
        <w:tc>
          <w:tcPr>
            <w:tcW w:w="1184" w:type="dxa"/>
            <w:tcBorders/>
            <w:vAlign w:val="center"/>
          </w:tcPr>
          <w:p>
            <w:pPr>
              <w:pStyle w:val="TableContents"/>
              <w:bidi w:val="0"/>
              <w:spacing w:before="0" w:after="283"/>
              <w:jc w:val="right"/>
              <w:rPr/>
            </w:pPr>
            <w:r>
              <w:rPr/>
              <w:t>$3.1696 (4)</w:t>
            </w:r>
          </w:p>
        </w:tc>
      </w:tr>
      <w:tr>
        <w:trPr/>
        <w:tc>
          <w:tcPr>
            <w:tcW w:w="1767" w:type="dxa"/>
            <w:tcBorders/>
            <w:vAlign w:val="center"/>
          </w:tcPr>
          <w:p>
            <w:pPr>
              <w:pStyle w:val="TableContents"/>
              <w:bidi w:val="0"/>
              <w:spacing w:before="0" w:after="283"/>
              <w:jc w:val="left"/>
              <w:rPr/>
            </w:pPr>
            <w:r>
              <w:rPr/>
              <w:t>6/03/2026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2,678 (1)</w:t>
            </w:r>
          </w:p>
        </w:tc>
        <w:tc>
          <w:tcPr>
            <w:tcW w:w="1184" w:type="dxa"/>
            <w:tcBorders/>
            <w:vAlign w:val="center"/>
          </w:tcPr>
          <w:p>
            <w:pPr>
              <w:pStyle w:val="TableContents"/>
              <w:bidi w:val="0"/>
              <w:spacing w:before="0" w:after="283"/>
              <w:jc w:val="right"/>
              <w:rPr/>
            </w:pPr>
            <w:r>
              <w:rPr/>
              <w:t>$3.1081 (5)</w:t>
            </w:r>
          </w:p>
        </w:tc>
      </w:tr>
      <w:tr>
        <w:trPr/>
        <w:tc>
          <w:tcPr>
            <w:tcW w:w="1767" w:type="dxa"/>
            <w:tcBorders/>
            <w:vAlign w:val="center"/>
          </w:tcPr>
          <w:p>
            <w:pPr>
              <w:pStyle w:val="TableContents"/>
              <w:bidi w:val="0"/>
              <w:spacing w:before="0" w:after="283"/>
              <w:jc w:val="left"/>
              <w:rPr/>
            </w:pPr>
            <w:r>
              <w:rPr/>
              <w:t>6/03/2026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949 (2)</w:t>
            </w:r>
          </w:p>
        </w:tc>
        <w:tc>
          <w:tcPr>
            <w:tcW w:w="1184" w:type="dxa"/>
            <w:tcBorders/>
            <w:vAlign w:val="center"/>
          </w:tcPr>
          <w:p>
            <w:pPr>
              <w:pStyle w:val="TableContents"/>
              <w:bidi w:val="0"/>
              <w:spacing w:before="0" w:after="283"/>
              <w:jc w:val="right"/>
              <w:rPr/>
            </w:pPr>
            <w:r>
              <w:rPr/>
              <w:t>$3.1081 (5)</w:t>
            </w:r>
          </w:p>
        </w:tc>
      </w:tr>
      <w:tr>
        <w:trPr/>
        <w:tc>
          <w:tcPr>
            <w:tcW w:w="1767" w:type="dxa"/>
            <w:tcBorders/>
            <w:vAlign w:val="center"/>
          </w:tcPr>
          <w:p>
            <w:pPr>
              <w:pStyle w:val="TableContents"/>
              <w:bidi w:val="0"/>
              <w:spacing w:before="0" w:after="283"/>
              <w:jc w:val="left"/>
              <w:rPr/>
            </w:pPr>
            <w:r>
              <w:rPr/>
              <w:t>6/04/2026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7,879 (1)</w:t>
            </w:r>
          </w:p>
        </w:tc>
        <w:tc>
          <w:tcPr>
            <w:tcW w:w="1184" w:type="dxa"/>
            <w:tcBorders/>
            <w:vAlign w:val="center"/>
          </w:tcPr>
          <w:p>
            <w:pPr>
              <w:pStyle w:val="TableContents"/>
              <w:bidi w:val="0"/>
              <w:spacing w:before="0" w:after="283"/>
              <w:jc w:val="right"/>
              <w:rPr/>
            </w:pPr>
            <w:r>
              <w:rPr/>
              <w:t>$3.0475 (6)</w:t>
            </w:r>
          </w:p>
        </w:tc>
      </w:tr>
      <w:tr>
        <w:trPr/>
        <w:tc>
          <w:tcPr>
            <w:tcW w:w="1767" w:type="dxa"/>
            <w:tcBorders/>
            <w:vAlign w:val="center"/>
          </w:tcPr>
          <w:p>
            <w:pPr>
              <w:pStyle w:val="TableContents"/>
              <w:bidi w:val="0"/>
              <w:spacing w:before="0" w:after="283"/>
              <w:jc w:val="left"/>
              <w:rPr/>
            </w:pPr>
            <w:r>
              <w:rPr/>
              <w:t>6/04/2026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2,791 (2)</w:t>
            </w:r>
          </w:p>
        </w:tc>
        <w:tc>
          <w:tcPr>
            <w:tcW w:w="1184" w:type="dxa"/>
            <w:tcBorders/>
            <w:vAlign w:val="center"/>
          </w:tcPr>
          <w:p>
            <w:pPr>
              <w:pStyle w:val="TableContents"/>
              <w:bidi w:val="0"/>
              <w:spacing w:before="0" w:after="283"/>
              <w:jc w:val="right"/>
              <w:rPr/>
            </w:pPr>
            <w:r>
              <w:rPr/>
              <w:t>$3.0475 (6)</w:t>
            </w:r>
          </w:p>
        </w:tc>
      </w:tr>
      <w:tr>
        <w:trPr/>
        <w:tc>
          <w:tcPr>
            <w:tcW w:w="1767" w:type="dxa"/>
            <w:tcBorders/>
            <w:vAlign w:val="center"/>
          </w:tcPr>
          <w:p>
            <w:pPr>
              <w:pStyle w:val="TableContents"/>
              <w:bidi w:val="0"/>
              <w:spacing w:before="0" w:after="283"/>
              <w:jc w:val="left"/>
              <w:rPr/>
            </w:pPr>
            <w:r>
              <w:rPr/>
              <w:t>6/05/2026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591(1)</w:t>
            </w:r>
          </w:p>
        </w:tc>
        <w:tc>
          <w:tcPr>
            <w:tcW w:w="1184" w:type="dxa"/>
            <w:tcBorders/>
            <w:vAlign w:val="center"/>
          </w:tcPr>
          <w:p>
            <w:pPr>
              <w:pStyle w:val="TableContents"/>
              <w:bidi w:val="0"/>
              <w:spacing w:before="0" w:after="283"/>
              <w:jc w:val="right"/>
              <w:rPr/>
            </w:pPr>
            <w:r>
              <w:rPr/>
              <w:t>$3.0169 (7)</w:t>
            </w:r>
          </w:p>
        </w:tc>
      </w:tr>
      <w:tr>
        <w:trPr/>
        <w:tc>
          <w:tcPr>
            <w:tcW w:w="1767" w:type="dxa"/>
            <w:tcBorders/>
            <w:vAlign w:val="center"/>
          </w:tcPr>
          <w:p>
            <w:pPr>
              <w:pStyle w:val="TableContents"/>
              <w:bidi w:val="0"/>
              <w:spacing w:before="0" w:after="283"/>
              <w:jc w:val="left"/>
              <w:rPr/>
            </w:pPr>
            <w:r>
              <w:rPr/>
              <w:t>6/05/2026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209 (2)</w:t>
            </w:r>
          </w:p>
        </w:tc>
        <w:tc>
          <w:tcPr>
            <w:tcW w:w="1184" w:type="dxa"/>
            <w:tcBorders/>
            <w:vAlign w:val="center"/>
          </w:tcPr>
          <w:p>
            <w:pPr>
              <w:pStyle w:val="TableContents"/>
              <w:bidi w:val="0"/>
              <w:spacing w:before="0" w:after="283"/>
              <w:jc w:val="right"/>
              <w:rPr/>
            </w:pPr>
            <w:r>
              <w:rPr/>
              <w:t>$3.0169 (7)</w:t>
            </w:r>
          </w:p>
        </w:tc>
      </w:tr>
      <w:tr>
        <w:trPr/>
        <w:tc>
          <w:tcPr>
            <w:tcW w:w="1767" w:type="dxa"/>
            <w:tcBorders/>
            <w:vAlign w:val="center"/>
          </w:tcPr>
          <w:p>
            <w:pPr>
              <w:pStyle w:val="TableContents"/>
              <w:bidi w:val="0"/>
              <w:spacing w:before="0" w:after="283"/>
              <w:jc w:val="left"/>
              <w:rPr/>
            </w:pPr>
            <w:r>
              <w:rPr/>
              <w:t>6/08/2026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1,577 (1)</w:t>
            </w:r>
          </w:p>
        </w:tc>
        <w:tc>
          <w:tcPr>
            <w:tcW w:w="1184" w:type="dxa"/>
            <w:tcBorders/>
            <w:vAlign w:val="center"/>
          </w:tcPr>
          <w:p>
            <w:pPr>
              <w:pStyle w:val="TableContents"/>
              <w:bidi w:val="0"/>
              <w:spacing w:before="0" w:after="283"/>
              <w:jc w:val="right"/>
              <w:rPr/>
            </w:pPr>
            <w:r>
              <w:rPr/>
              <w:t>$2.9165 (8)</w:t>
            </w:r>
          </w:p>
        </w:tc>
      </w:tr>
      <w:tr>
        <w:trPr/>
        <w:tc>
          <w:tcPr>
            <w:tcW w:w="1767" w:type="dxa"/>
            <w:tcBorders/>
            <w:vAlign w:val="center"/>
          </w:tcPr>
          <w:p>
            <w:pPr>
              <w:pStyle w:val="TableContents"/>
              <w:bidi w:val="0"/>
              <w:spacing w:before="0" w:after="283"/>
              <w:jc w:val="left"/>
              <w:rPr/>
            </w:pPr>
            <w:r>
              <w:rPr/>
              <w:t>6/08/2026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558 (2)</w:t>
            </w:r>
          </w:p>
        </w:tc>
        <w:tc>
          <w:tcPr>
            <w:tcW w:w="1184" w:type="dxa"/>
            <w:tcBorders/>
            <w:vAlign w:val="center"/>
          </w:tcPr>
          <w:p>
            <w:pPr>
              <w:pStyle w:val="TableContents"/>
              <w:bidi w:val="0"/>
              <w:spacing w:before="0" w:after="283"/>
              <w:jc w:val="right"/>
              <w:rPr/>
            </w:pPr>
            <w:r>
              <w:rPr/>
              <w:t>$2.9165 (8)</w:t>
            </w:r>
          </w:p>
        </w:tc>
      </w:tr>
      <w:tr>
        <w:trPr/>
        <w:tc>
          <w:tcPr>
            <w:tcW w:w="1767" w:type="dxa"/>
            <w:tcBorders/>
            <w:vAlign w:val="center"/>
          </w:tcPr>
          <w:p>
            <w:pPr>
              <w:pStyle w:val="TableContents"/>
              <w:bidi w:val="0"/>
              <w:spacing w:before="0" w:after="283"/>
              <w:jc w:val="left"/>
              <w:rPr/>
            </w:pPr>
            <w:r>
              <w:rPr/>
              <w:t>6/09/2026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1,786 (1)</w:t>
            </w:r>
          </w:p>
        </w:tc>
        <w:tc>
          <w:tcPr>
            <w:tcW w:w="1184" w:type="dxa"/>
            <w:tcBorders/>
            <w:vAlign w:val="center"/>
          </w:tcPr>
          <w:p>
            <w:pPr>
              <w:pStyle w:val="TableContents"/>
              <w:bidi w:val="0"/>
              <w:spacing w:before="0" w:after="283"/>
              <w:jc w:val="right"/>
              <w:rPr/>
            </w:pPr>
            <w:r>
              <w:rPr/>
              <w:t>$3.0120 (9)</w:t>
            </w:r>
          </w:p>
        </w:tc>
      </w:tr>
      <w:tr>
        <w:trPr/>
        <w:tc>
          <w:tcPr>
            <w:tcW w:w="1767" w:type="dxa"/>
            <w:tcBorders/>
            <w:vAlign w:val="center"/>
          </w:tcPr>
          <w:p>
            <w:pPr>
              <w:pStyle w:val="TableContents"/>
              <w:bidi w:val="0"/>
              <w:spacing w:before="0" w:after="283"/>
              <w:jc w:val="left"/>
              <w:rPr/>
            </w:pPr>
            <w:r>
              <w:rPr/>
              <w:t>6/09/2026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632 (2)</w:t>
            </w:r>
          </w:p>
        </w:tc>
        <w:tc>
          <w:tcPr>
            <w:tcW w:w="1184" w:type="dxa"/>
            <w:tcBorders/>
            <w:vAlign w:val="center"/>
          </w:tcPr>
          <w:p>
            <w:pPr>
              <w:pStyle w:val="TableContents"/>
              <w:bidi w:val="0"/>
              <w:spacing w:before="0" w:after="283"/>
              <w:jc w:val="right"/>
              <w:rPr/>
            </w:pPr>
            <w:r>
              <w:rPr/>
              <w:t>$3.0120 (9)</w:t>
            </w:r>
          </w:p>
        </w:tc>
      </w:tr>
      <w:tr>
        <w:trPr/>
        <w:tc>
          <w:tcPr>
            <w:tcW w:w="1767" w:type="dxa"/>
            <w:tcBorders/>
            <w:vAlign w:val="center"/>
          </w:tcPr>
          <w:p>
            <w:pPr>
              <w:pStyle w:val="TableContents"/>
              <w:bidi w:val="0"/>
              <w:spacing w:before="0" w:after="283"/>
              <w:jc w:val="left"/>
              <w:rPr/>
            </w:pPr>
            <w:r>
              <w:rPr/>
              <w:t>6/11/2026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1,697 (1)</w:t>
            </w:r>
          </w:p>
        </w:tc>
        <w:tc>
          <w:tcPr>
            <w:tcW w:w="1184" w:type="dxa"/>
            <w:tcBorders/>
            <w:vAlign w:val="center"/>
          </w:tcPr>
          <w:p>
            <w:pPr>
              <w:pStyle w:val="TableContents"/>
              <w:bidi w:val="0"/>
              <w:spacing w:before="0" w:after="283"/>
              <w:jc w:val="right"/>
              <w:rPr/>
            </w:pPr>
            <w:r>
              <w:rPr/>
              <w:t>$3.0116 (10)</w:t>
            </w:r>
          </w:p>
        </w:tc>
      </w:tr>
      <w:tr>
        <w:trPr/>
        <w:tc>
          <w:tcPr>
            <w:tcW w:w="1767" w:type="dxa"/>
            <w:tcBorders/>
            <w:vAlign w:val="center"/>
          </w:tcPr>
          <w:p>
            <w:pPr>
              <w:pStyle w:val="TableContents"/>
              <w:bidi w:val="0"/>
              <w:spacing w:before="0" w:after="283"/>
              <w:jc w:val="left"/>
              <w:rPr/>
            </w:pPr>
            <w:r>
              <w:rPr/>
              <w:t>6/11/2026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603 (2)</w:t>
            </w:r>
          </w:p>
        </w:tc>
        <w:tc>
          <w:tcPr>
            <w:tcW w:w="1184" w:type="dxa"/>
            <w:tcBorders/>
            <w:vAlign w:val="center"/>
          </w:tcPr>
          <w:p>
            <w:pPr>
              <w:pStyle w:val="TableContents"/>
              <w:bidi w:val="0"/>
              <w:spacing w:before="0" w:after="283"/>
              <w:jc w:val="right"/>
              <w:rPr/>
            </w:pPr>
            <w:r>
              <w:rPr/>
              <w:t>$3.0116 (10)</w:t>
            </w:r>
          </w:p>
        </w:tc>
      </w:tr>
      <w:tr>
        <w:trPr/>
        <w:tc>
          <w:tcPr>
            <w:tcW w:w="1767" w:type="dxa"/>
            <w:tcBorders/>
            <w:vAlign w:val="center"/>
          </w:tcPr>
          <w:p>
            <w:pPr>
              <w:pStyle w:val="TableContents"/>
              <w:bidi w:val="0"/>
              <w:spacing w:before="0" w:after="283"/>
              <w:jc w:val="left"/>
              <w:rPr/>
            </w:pPr>
            <w:r>
              <w:rPr/>
              <w:t>6/12/2026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14,089 (1)</w:t>
            </w:r>
          </w:p>
        </w:tc>
        <w:tc>
          <w:tcPr>
            <w:tcW w:w="1184" w:type="dxa"/>
            <w:tcBorders/>
            <w:vAlign w:val="center"/>
          </w:tcPr>
          <w:p>
            <w:pPr>
              <w:pStyle w:val="TableContents"/>
              <w:bidi w:val="0"/>
              <w:spacing w:before="0" w:after="283"/>
              <w:jc w:val="right"/>
              <w:rPr/>
            </w:pPr>
            <w:r>
              <w:rPr/>
              <w:t>$3.0464 (11)</w:t>
            </w:r>
          </w:p>
        </w:tc>
      </w:tr>
      <w:tr>
        <w:trPr/>
        <w:tc>
          <w:tcPr>
            <w:tcW w:w="1767" w:type="dxa"/>
            <w:tcBorders/>
            <w:vAlign w:val="center"/>
          </w:tcPr>
          <w:p>
            <w:pPr>
              <w:pStyle w:val="TableContents"/>
              <w:bidi w:val="0"/>
              <w:spacing w:before="0" w:after="283"/>
              <w:jc w:val="left"/>
              <w:rPr/>
            </w:pPr>
            <w:r>
              <w:rPr/>
              <w:t>6/12/2026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5,011 (2)</w:t>
            </w:r>
          </w:p>
        </w:tc>
        <w:tc>
          <w:tcPr>
            <w:tcW w:w="1184" w:type="dxa"/>
            <w:tcBorders/>
            <w:vAlign w:val="center"/>
          </w:tcPr>
          <w:p>
            <w:pPr>
              <w:pStyle w:val="TableContents"/>
              <w:bidi w:val="0"/>
              <w:spacing w:before="0" w:after="283"/>
              <w:jc w:val="right"/>
              <w:rPr/>
            </w:pPr>
            <w:r>
              <w:rPr/>
              <w:t>$3.0464 (11)</w:t>
            </w:r>
          </w:p>
        </w:tc>
      </w:tr>
      <w:tr>
        <w:trPr/>
        <w:tc>
          <w:tcPr>
            <w:tcW w:w="1767" w:type="dxa"/>
            <w:tcBorders/>
            <w:vAlign w:val="center"/>
          </w:tcPr>
          <w:p>
            <w:pPr>
              <w:pStyle w:val="TableContents"/>
              <w:bidi w:val="0"/>
              <w:spacing w:before="0" w:after="283"/>
              <w:jc w:val="left"/>
              <w:rPr/>
            </w:pPr>
            <w:r>
              <w:rPr/>
              <w:t>6/15/2026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11,709 (1)</w:t>
            </w:r>
          </w:p>
        </w:tc>
        <w:tc>
          <w:tcPr>
            <w:tcW w:w="1184" w:type="dxa"/>
            <w:tcBorders/>
            <w:vAlign w:val="center"/>
          </w:tcPr>
          <w:p>
            <w:pPr>
              <w:pStyle w:val="TableContents"/>
              <w:bidi w:val="0"/>
              <w:spacing w:before="0" w:after="283"/>
              <w:jc w:val="right"/>
              <w:rPr/>
            </w:pPr>
            <w:r>
              <w:rPr/>
              <w:t>$3.0258 (12)</w:t>
            </w:r>
          </w:p>
        </w:tc>
      </w:tr>
      <w:tr>
        <w:trPr/>
        <w:tc>
          <w:tcPr>
            <w:tcW w:w="1767" w:type="dxa"/>
            <w:tcBorders/>
            <w:vAlign w:val="center"/>
          </w:tcPr>
          <w:p>
            <w:pPr>
              <w:pStyle w:val="TableContents"/>
              <w:bidi w:val="0"/>
              <w:spacing w:before="0" w:after="283"/>
              <w:jc w:val="left"/>
              <w:rPr/>
            </w:pPr>
            <w:r>
              <w:rPr/>
              <w:t>6/15/2026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4,165 (2)</w:t>
            </w:r>
          </w:p>
        </w:tc>
        <w:tc>
          <w:tcPr>
            <w:tcW w:w="1184" w:type="dxa"/>
            <w:tcBorders/>
            <w:vAlign w:val="center"/>
          </w:tcPr>
          <w:p>
            <w:pPr>
              <w:pStyle w:val="TableContents"/>
              <w:bidi w:val="0"/>
              <w:spacing w:before="0" w:after="283"/>
              <w:jc w:val="right"/>
              <w:rPr/>
            </w:pPr>
            <w:r>
              <w:rPr/>
              <w:t>$3.0258 (12)</w:t>
            </w:r>
          </w:p>
        </w:tc>
      </w:tr>
      <w:tr>
        <w:trPr/>
        <w:tc>
          <w:tcPr>
            <w:tcW w:w="1767" w:type="dxa"/>
            <w:tcBorders/>
            <w:vAlign w:val="center"/>
          </w:tcPr>
          <w:p>
            <w:pPr>
              <w:pStyle w:val="TableContents"/>
              <w:bidi w:val="0"/>
              <w:spacing w:before="0" w:after="283"/>
              <w:jc w:val="left"/>
              <w:rPr/>
            </w:pPr>
            <w:r>
              <w:rPr/>
              <w:t>6/16/2026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12,216 (1)</w:t>
            </w:r>
          </w:p>
        </w:tc>
        <w:tc>
          <w:tcPr>
            <w:tcW w:w="1184" w:type="dxa"/>
            <w:tcBorders/>
            <w:vAlign w:val="center"/>
          </w:tcPr>
          <w:p>
            <w:pPr>
              <w:pStyle w:val="TableContents"/>
              <w:bidi w:val="0"/>
              <w:spacing w:before="0" w:after="283"/>
              <w:jc w:val="right"/>
              <w:rPr/>
            </w:pPr>
            <w:r>
              <w:rPr/>
              <w:t>$3.0267 (13)</w:t>
            </w:r>
          </w:p>
        </w:tc>
      </w:tr>
      <w:tr>
        <w:trPr/>
        <w:tc>
          <w:tcPr>
            <w:tcW w:w="1767" w:type="dxa"/>
            <w:tcBorders/>
            <w:vAlign w:val="center"/>
          </w:tcPr>
          <w:p>
            <w:pPr>
              <w:pStyle w:val="TableContents"/>
              <w:bidi w:val="0"/>
              <w:spacing w:before="0" w:after="283"/>
              <w:jc w:val="left"/>
              <w:rPr/>
            </w:pPr>
            <w:r>
              <w:rPr/>
              <w:t>6/16/2026</w:t>
            </w:r>
          </w:p>
        </w:tc>
        <w:tc>
          <w:tcPr>
            <w:tcW w:w="3431" w:type="dxa"/>
            <w:tcBorders/>
            <w:vAlign w:val="center"/>
          </w:tcPr>
          <w:p>
            <w:pPr>
              <w:pStyle w:val="TableContents"/>
              <w:bidi w:val="0"/>
              <w:spacing w:before="0" w:after="283"/>
              <w:jc w:val="left"/>
              <w:rPr/>
            </w:pPr>
            <w:r>
              <w:rPr/>
              <w:t>Common Stock, par value $0.01 per share</w:t>
            </w:r>
          </w:p>
        </w:tc>
        <w:tc>
          <w:tcPr>
            <w:tcW w:w="2357"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4,345 (2)</w:t>
            </w:r>
          </w:p>
        </w:tc>
        <w:tc>
          <w:tcPr>
            <w:tcW w:w="1184" w:type="dxa"/>
            <w:tcBorders/>
            <w:vAlign w:val="center"/>
          </w:tcPr>
          <w:p>
            <w:pPr>
              <w:pStyle w:val="TableContents"/>
              <w:bidi w:val="0"/>
              <w:spacing w:before="0" w:after="283"/>
              <w:jc w:val="right"/>
              <w:rPr/>
            </w:pPr>
            <w:r>
              <w:rPr/>
              <w:t>$3.0267 (13)</w:t>
            </w:r>
          </w:p>
        </w:tc>
      </w:tr>
    </w:tbl>
    <w:p>
      <w:pPr>
        <w:pStyle w:val="TextBody"/>
        <w:bidi w:val="0"/>
        <w:spacing w:before="0" w:after="283"/>
        <w:jc w:val="left"/>
        <w:rPr/>
      </w:pPr>
      <w:r>
        <w:rPr/>
        <w:t> </w:t>
      </w:r>
    </w:p>
    <w:tbl>
      <w:tblPr>
        <w:tblW w:w="7640" w:type="dxa"/>
        <w:jc w:val="left"/>
        <w:tblInd w:w="0" w:type="dxa"/>
        <w:tblLayout w:type="fixed"/>
        <w:tblCellMar>
          <w:top w:w="0" w:type="dxa"/>
          <w:left w:w="0" w:type="dxa"/>
          <w:bottom w:w="0" w:type="dxa"/>
          <w:right w:w="0" w:type="dxa"/>
        </w:tblCellMar>
      </w:tblPr>
      <w:tblGrid>
        <w:gridCol w:w="995"/>
        <w:gridCol w:w="4010"/>
        <w:gridCol w:w="60"/>
        <w:gridCol w:w="1310"/>
        <w:gridCol w:w="1265"/>
      </w:tblGrid>
      <w:tr>
        <w:trPr/>
        <w:tc>
          <w:tcPr>
            <w:tcW w:w="995" w:type="dxa"/>
            <w:tcBorders/>
            <w:vAlign w:val="center"/>
          </w:tcPr>
          <w:p>
            <w:pPr>
              <w:pStyle w:val="TableContents"/>
              <w:bidi w:val="0"/>
              <w:spacing w:before="0" w:after="283"/>
              <w:jc w:val="left"/>
              <w:rPr/>
            </w:pPr>
            <w:r>
              <w:rPr/>
              <w:t>6/23/2026</w:t>
            </w:r>
          </w:p>
        </w:tc>
        <w:tc>
          <w:tcPr>
            <w:tcW w:w="4010"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4,064 (1)</w:t>
            </w:r>
          </w:p>
        </w:tc>
        <w:tc>
          <w:tcPr>
            <w:tcW w:w="1265" w:type="dxa"/>
            <w:tcBorders/>
            <w:vAlign w:val="center"/>
          </w:tcPr>
          <w:p>
            <w:pPr>
              <w:pStyle w:val="TableContents"/>
              <w:bidi w:val="0"/>
              <w:spacing w:before="0" w:after="283"/>
              <w:jc w:val="right"/>
              <w:rPr/>
            </w:pPr>
            <w:r>
              <w:rPr/>
              <w:t>$2.9008 (14)</w:t>
            </w:r>
          </w:p>
        </w:tc>
      </w:tr>
      <w:tr>
        <w:trPr/>
        <w:tc>
          <w:tcPr>
            <w:tcW w:w="995" w:type="dxa"/>
            <w:tcBorders/>
            <w:vAlign w:val="center"/>
          </w:tcPr>
          <w:p>
            <w:pPr>
              <w:pStyle w:val="TableContents"/>
              <w:bidi w:val="0"/>
              <w:spacing w:before="0" w:after="283"/>
              <w:jc w:val="left"/>
              <w:rPr/>
            </w:pPr>
            <w:r>
              <w:rPr/>
              <w:t>6/23/2026</w:t>
            </w:r>
          </w:p>
        </w:tc>
        <w:tc>
          <w:tcPr>
            <w:tcW w:w="4010"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1,446 (2)</w:t>
            </w:r>
          </w:p>
        </w:tc>
        <w:tc>
          <w:tcPr>
            <w:tcW w:w="1265" w:type="dxa"/>
            <w:tcBorders/>
            <w:vAlign w:val="center"/>
          </w:tcPr>
          <w:p>
            <w:pPr>
              <w:pStyle w:val="TableContents"/>
              <w:bidi w:val="0"/>
              <w:spacing w:before="0" w:after="283"/>
              <w:jc w:val="right"/>
              <w:rPr/>
            </w:pPr>
            <w:r>
              <w:rPr/>
              <w:t>$2.9008 (14)</w:t>
            </w:r>
          </w:p>
        </w:tc>
      </w:tr>
      <w:tr>
        <w:trPr/>
        <w:tc>
          <w:tcPr>
            <w:tcW w:w="995" w:type="dxa"/>
            <w:tcBorders/>
            <w:vAlign w:val="center"/>
          </w:tcPr>
          <w:p>
            <w:pPr>
              <w:pStyle w:val="TableContents"/>
              <w:bidi w:val="0"/>
              <w:spacing w:before="0" w:after="283"/>
              <w:jc w:val="left"/>
              <w:rPr/>
            </w:pPr>
            <w:r>
              <w:rPr/>
              <w:t>6/29/2026</w:t>
            </w:r>
          </w:p>
        </w:tc>
        <w:tc>
          <w:tcPr>
            <w:tcW w:w="4010"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1,371,082 (1)</w:t>
            </w:r>
          </w:p>
        </w:tc>
        <w:tc>
          <w:tcPr>
            <w:tcW w:w="1265" w:type="dxa"/>
            <w:tcBorders/>
            <w:vAlign w:val="center"/>
          </w:tcPr>
          <w:p>
            <w:pPr>
              <w:pStyle w:val="TableContents"/>
              <w:bidi w:val="0"/>
              <w:spacing w:before="0" w:after="283"/>
              <w:jc w:val="right"/>
              <w:rPr/>
            </w:pPr>
            <w:r>
              <w:rPr/>
              <w:t>$3.8994 (15)</w:t>
            </w:r>
          </w:p>
        </w:tc>
      </w:tr>
      <w:tr>
        <w:trPr/>
        <w:tc>
          <w:tcPr>
            <w:tcW w:w="995" w:type="dxa"/>
            <w:tcBorders/>
            <w:vAlign w:val="center"/>
          </w:tcPr>
          <w:p>
            <w:pPr>
              <w:pStyle w:val="TableContents"/>
              <w:bidi w:val="0"/>
              <w:spacing w:before="0" w:after="283"/>
              <w:jc w:val="left"/>
              <w:rPr/>
            </w:pPr>
            <w:r>
              <w:rPr/>
              <w:t>6/29/2026</w:t>
            </w:r>
          </w:p>
        </w:tc>
        <w:tc>
          <w:tcPr>
            <w:tcW w:w="4010"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28,918 (2)</w:t>
            </w:r>
          </w:p>
        </w:tc>
        <w:tc>
          <w:tcPr>
            <w:tcW w:w="1265" w:type="dxa"/>
            <w:tcBorders/>
            <w:vAlign w:val="center"/>
          </w:tcPr>
          <w:p>
            <w:pPr>
              <w:pStyle w:val="TableContents"/>
              <w:bidi w:val="0"/>
              <w:spacing w:before="0" w:after="283"/>
              <w:jc w:val="right"/>
              <w:rPr/>
            </w:pPr>
            <w:r>
              <w:rPr/>
              <w:t>$3.8994 (15)</w:t>
            </w:r>
          </w:p>
        </w:tc>
      </w:tr>
      <w:tr>
        <w:trPr/>
        <w:tc>
          <w:tcPr>
            <w:tcW w:w="995" w:type="dxa"/>
            <w:tcBorders/>
            <w:vAlign w:val="center"/>
          </w:tcPr>
          <w:p>
            <w:pPr>
              <w:pStyle w:val="TableContents"/>
              <w:bidi w:val="0"/>
              <w:spacing w:before="0" w:after="283"/>
              <w:jc w:val="left"/>
              <w:rPr/>
            </w:pPr>
            <w:r>
              <w:rPr/>
              <w:t>6/30/2026</w:t>
            </w:r>
          </w:p>
        </w:tc>
        <w:tc>
          <w:tcPr>
            <w:tcW w:w="4010"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627,534 (1)</w:t>
            </w:r>
          </w:p>
        </w:tc>
        <w:tc>
          <w:tcPr>
            <w:tcW w:w="1265" w:type="dxa"/>
            <w:tcBorders/>
            <w:vAlign w:val="center"/>
          </w:tcPr>
          <w:p>
            <w:pPr>
              <w:pStyle w:val="TableContents"/>
              <w:bidi w:val="0"/>
              <w:spacing w:before="0" w:after="283"/>
              <w:jc w:val="right"/>
              <w:rPr/>
            </w:pPr>
            <w:r>
              <w:rPr/>
              <w:t>$3.8161 (16)</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reported securities are directly owned by the Fund.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(2) The reported securities are directly owned by other clients of the Investment Adviser.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(3) The price reported is a weighted average price. These Shares were sold in multiple transactions within the range of $3.01 to $3.175.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(4) The price reported is a weighted average price. These Shares were sold in multiple transactions within the range of $3.10 to $3.22.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(5) The price reported is a weighted average price. These Shares were sold in multiple transactions within the range of $3.10 to $3.12.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(6) The price reported is a weighted average price. These Shares were sold in multiple transactions within the range of $3.02 to $3.0791.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(7) The price reported is a weighted average price. These Shares were sold in multiple transactions within the range of $3.01 to $3.02.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(8) The price reported is a weighted average price. These Shares were sold in multiple transactions within the range of $2.91 to $2.935.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(9) The price reported is a weighted average price. These Shares were sold in multiple transactions within the range of $2.98 to $3.04.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(10) The price reported is a weighted average price. These Shares were sold in multiple transactions within the range of $3.01 to $3.015.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(11) The price reported is a weighted average price. These Shares were sold in multiple transactions within the range of $3.01 to $3.10.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 The price reported is a weighted average price. These Shares were sold in multiple transactions within the range of $3.00 to $3.07.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(13) The price reported is a weighted average price. These Shares were sold in multiple transactions within the range of $3.02 to $3.06.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(14) The price reported is a weighted average price. These Shares were sold in multiple transactions within the range of $2.90 to $2.985.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(15) The price reported is a weighted average price. These Shares were sold in multiple transactions within the range of $3.75 to $4.25.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(16) The price reported is a weighted average price. These Shares were sold in multiple transactions within the range of $3.71 to $3.92. The Reporting Persons undertake to provide to the Issuer, any security holder of the Issuer or the staff of the SEC, upon request, full information regarding the number of shares sold at each separate price within the range set forth in this footnote.</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4146</Words>
  <Characters>21366</Characters>
  <CharactersWithSpaces>25320</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