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12, 2016</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Manufacturing and Construction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Terence O’Brien</w:t>
      </w:r>
    </w:p>
    <w:p>
      <w:pPr>
        <w:spacing w:after="0" w:line="234" w:lineRule="exact"/>
        <w:rPr>
          <w:sz w:val="24"/>
          <w:szCs w:val="24"/>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NN, Inc.</w:t>
      </w:r>
    </w:p>
    <w:p>
      <w:pPr>
        <w:spacing w:after="0" w:line="27"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Form 10-K for the Fiscal Year Ended December 31, 2015</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Filed March 15, 2016</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Form 8-K filed August 3, 2016</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File No. 0-23486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225" w:lineRule="exact"/>
        <w:rPr>
          <w:sz w:val="24"/>
          <w:szCs w:val="24"/>
          <w:color w:val="auto"/>
        </w:rPr>
      </w:pPr>
    </w:p>
    <w:p>
      <w:pPr>
        <w:ind w:right="20"/>
        <w:spacing w:after="0" w:line="286" w:lineRule="auto"/>
        <w:rPr>
          <w:sz w:val="20"/>
          <w:szCs w:val="20"/>
          <w:color w:val="auto"/>
        </w:rPr>
      </w:pPr>
      <w:r>
        <w:rPr>
          <w:rFonts w:ascii="Arial" w:cs="Arial" w:eastAsia="Arial" w:hAnsi="Arial"/>
          <w:sz w:val="17"/>
          <w:szCs w:val="17"/>
          <w:color w:val="auto"/>
        </w:rPr>
        <w:t>We are submitting this letter in response to the comments contained in the letter from the staff of the Division of Corporation Finance (the “Staff”) of the Securities and Exchange Commission (the “Commission”), dated August 29, 2016 (the “Comment Letter”), with respect to the Company’s Annual Report on for 10-K for the fiscal year ended December 31, 2015 (the “Annual Report”) and Form 8-K filed August 3, 2016 Exhibit 99.1 (the “8-K”).</w:t>
      </w:r>
    </w:p>
    <w:p>
      <w:pPr>
        <w:spacing w:after="0" w:line="166"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For your convenience, the exact text of the comments provided in the Comment Letter has been included in italic, bold face type in the order presented in the Comment Letter. The Company’s response to each comment is set forth immediately below the text of the applicable comment.</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10-K for the Fiscal Year Ended December 31,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 Statements of Cash Flows, page 42</w:t>
      </w:r>
    </w:p>
    <w:p>
      <w:pPr>
        <w:spacing w:after="0" w:line="252" w:lineRule="exact"/>
        <w:rPr>
          <w:sz w:val="24"/>
          <w:szCs w:val="24"/>
          <w:color w:val="auto"/>
        </w:rPr>
      </w:pPr>
    </w:p>
    <w:p>
      <w:pPr>
        <w:ind w:left="900" w:hanging="446"/>
        <w:spacing w:after="0" w:line="342" w:lineRule="auto"/>
        <w:tabs>
          <w:tab w:leader="none" w:pos="900"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that you adjusted net income (loss) for the total amount of restructuring costs as non-cash. Please provide us with the components of your restructuring costs along with a description of the components that demonstrates all of the costs are non-cash.</w:t>
      </w:r>
    </w:p>
    <w:p>
      <w:pPr>
        <w:spacing w:after="0" w:line="124" w:lineRule="exact"/>
        <w:rPr>
          <w:sz w:val="24"/>
          <w:szCs w:val="24"/>
          <w:color w:val="auto"/>
        </w:rPr>
      </w:pPr>
    </w:p>
    <w:p>
      <w:pPr>
        <w:ind w:right="280"/>
        <w:spacing w:after="0" w:line="308" w:lineRule="auto"/>
        <w:rPr>
          <w:sz w:val="20"/>
          <w:szCs w:val="20"/>
          <w:color w:val="auto"/>
        </w:rPr>
      </w:pPr>
      <w:r>
        <w:rPr>
          <w:rFonts w:ascii="Arial" w:cs="Arial" w:eastAsia="Arial" w:hAnsi="Arial"/>
          <w:sz w:val="17"/>
          <w:szCs w:val="17"/>
          <w:color w:val="auto"/>
        </w:rPr>
        <w:t>The table below sets forth the components of our restructuring costs by business segment and a description of the components that demonstrates all of the restructuring and impairment charges taken on our Consolidated Statements of Cash Flows are non-cash (in thousands):</w:t>
      </w:r>
    </w:p>
    <w:p>
      <w:pPr>
        <w:spacing w:after="0" w:line="7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33"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8920" w:type="dxa"/>
            <w:vAlign w:val="bottom"/>
            <w:vMerge w:val="restart"/>
          </w:tcPr>
          <w:p>
            <w:pPr>
              <w:spacing w:after="0"/>
              <w:rPr>
                <w:sz w:val="20"/>
                <w:szCs w:val="20"/>
                <w:color w:val="auto"/>
              </w:rPr>
            </w:pPr>
            <w:r>
              <w:rPr>
                <w:rFonts w:ascii="Arial" w:cs="Arial" w:eastAsia="Arial" w:hAnsi="Arial"/>
                <w:sz w:val="14"/>
                <w:szCs w:val="14"/>
                <w:b w:val="1"/>
                <w:bCs w:val="1"/>
                <w:color w:val="auto"/>
              </w:rPr>
              <w:t>Non-cash restructuring and impairment charges</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Business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920" w:type="dxa"/>
            <w:vAlign w:val="bottom"/>
            <w:vMerge w:val="continue"/>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Segment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Whirlaway trade names write-off (1)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APC Group</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Pinerolo staff reduction (2)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PBC Group</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369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Veenendaal rollers staff reduction (2)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PBC Group</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Veenendaal cages staff reduction (2)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PBC Group</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RFK staff reduction (2)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PBC Group</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PBC corporate staff reduction (2)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PBC Group</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616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Juarez, Mexico staff reduction (2)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PBC Group</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Wheeling plant impairment of tangible assets (1)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APC Group</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887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Wheeling plant staff reduction (2)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APC Group</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Wheeling plant inventory write-down (1)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APC Group</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PEP inventory write-down (1)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PEP Group</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Corporate accounting and reporting system write-off (1)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1,765</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Non-cash restructuring and impairment charges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7,268</w:t>
            </w:r>
          </w:p>
        </w:tc>
        <w:tc>
          <w:tcPr>
            <w:tcW w:w="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875</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80" w:hanging="452"/>
        <w:spacing w:after="0" w:line="274"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These amounts represent write-downs or write-offs of certain assets, including trade names of a subsidiary which are no longer used, inventory which has become obsolete or unsalable, and a corporate accounting and reporting system that was not deployed and ultimately abandoned.</w:t>
      </w:r>
    </w:p>
    <w:p>
      <w:pPr>
        <w:ind w:left="460" w:right="380" w:hanging="452"/>
        <w:spacing w:after="0" w:line="261"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 reductions at these plants were planned and employees informed of the amounts to be received as of the end of the year but were not yet fully implemented at that time. Therefore, these charges were accrued at December 31, 2015.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5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3 – Restructuring and Impairment Charges, excluding Goodwill Impairments, and Divestitures, page 53.</w:t>
      </w:r>
    </w:p>
    <w:p>
      <w:pPr>
        <w:spacing w:after="0" w:line="252" w:lineRule="exact"/>
        <w:rPr>
          <w:sz w:val="20"/>
          <w:szCs w:val="20"/>
          <w:color w:val="auto"/>
        </w:rPr>
      </w:pPr>
    </w:p>
    <w:p>
      <w:pPr>
        <w:ind w:left="900" w:right="60" w:hanging="446"/>
        <w:spacing w:after="0" w:line="286" w:lineRule="auto"/>
        <w:tabs>
          <w:tab w:leader="none" w:pos="90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that you recognized $7.3 million, or 27.1% of income from operations, of restructuring costs; however, you disclosure only discloses $1.6 million of the costs. Please provide the disclosures required by ASC 420-10-50 and SAB Topic 5:P.4 for the full amount recognized. Please confirm to us that you will also address this comments for all future material restructuring costs.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response to the Staff’s comment, in future filings the Company proposes revising and expanding its disclosure for severance and restructuring costs prospectively in the Notes to the Consolidated Financial Statements in order to comply with ASC 420-10-50-1 and SAB Topic 5:P.4. Such disclosures will be included in the Notes to the Consolidated Financial Statements in future Form 10-Q and Form 10-K filings, to the extent material. An example of that disclosure is as follows:</w:t>
      </w:r>
    </w:p>
    <w:p>
      <w:pPr>
        <w:spacing w:after="0" w:line="79" w:lineRule="exact"/>
        <w:rPr>
          <w:sz w:val="20"/>
          <w:szCs w:val="20"/>
          <w:color w:val="auto"/>
        </w:rPr>
      </w:pPr>
    </w:p>
    <w:p>
      <w:pPr>
        <w:ind w:left="460" w:right="580"/>
        <w:spacing w:after="0" w:line="277" w:lineRule="auto"/>
        <w:rPr>
          <w:sz w:val="20"/>
          <w:szCs w:val="20"/>
          <w:color w:val="auto"/>
        </w:rPr>
      </w:pPr>
      <w:r>
        <w:rPr>
          <w:rFonts w:ascii="Arial" w:cs="Arial" w:eastAsia="Arial" w:hAnsi="Arial"/>
          <w:sz w:val="18"/>
          <w:szCs w:val="18"/>
          <w:color w:val="auto"/>
        </w:rPr>
        <w:t>Severance and restructuring costs totaling $7.3 million were recognized in the three months ended December 31, 2015, comprised of initiatives impacting each of our segments.</w:t>
      </w:r>
    </w:p>
    <w:p>
      <w:pPr>
        <w:spacing w:after="0" w:line="62" w:lineRule="exact"/>
        <w:rPr>
          <w:sz w:val="20"/>
          <w:szCs w:val="20"/>
          <w:color w:val="auto"/>
        </w:rPr>
      </w:pPr>
    </w:p>
    <w:p>
      <w:pPr>
        <w:ind w:left="460" w:right="180"/>
        <w:spacing w:after="0" w:line="308" w:lineRule="auto"/>
        <w:rPr>
          <w:sz w:val="20"/>
          <w:szCs w:val="20"/>
          <w:color w:val="auto"/>
        </w:rPr>
      </w:pPr>
      <w:r>
        <w:rPr>
          <w:rFonts w:ascii="Arial" w:cs="Arial" w:eastAsia="Arial" w:hAnsi="Arial"/>
          <w:sz w:val="17"/>
          <w:szCs w:val="17"/>
          <w:color w:val="auto"/>
        </w:rPr>
        <w:t>Within the Precision Bearing Components (“PBC”) Group, restructuring initiatives to optimize operations in the U.S., Italy, the Netherlands, Mexico and at segment headquarters resulted in a charge of $2.0 million, which consisted of severance costs relating to headcount reductions.</w:t>
      </w:r>
    </w:p>
    <w:p>
      <w:pPr>
        <w:spacing w:after="0" w:line="38"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Within the Autocam Precision Components (“APC”) Group, certain restructuring programs, including the closure of one facility, the Wheeling Plant, resulted in a charge of $2.6 million. This charge consisted of severance costs of $0.7, million, one-time inventory reduction of $1.0 million, and a fixed asset impairment charge of $0.9 million relating to the closure of the facility.</w:t>
      </w:r>
    </w:p>
    <w:p>
      <w:pPr>
        <w:spacing w:after="0" w:line="73" w:lineRule="exact"/>
        <w:rPr>
          <w:sz w:val="20"/>
          <w:szCs w:val="20"/>
          <w:color w:val="auto"/>
        </w:rPr>
      </w:pPr>
    </w:p>
    <w:p>
      <w:pPr>
        <w:ind w:left="460" w:right="480"/>
        <w:spacing w:after="0" w:line="277" w:lineRule="auto"/>
        <w:rPr>
          <w:sz w:val="20"/>
          <w:szCs w:val="20"/>
          <w:color w:val="auto"/>
        </w:rPr>
      </w:pPr>
      <w:r>
        <w:rPr>
          <w:rFonts w:ascii="Arial" w:cs="Arial" w:eastAsia="Arial" w:hAnsi="Arial"/>
          <w:sz w:val="18"/>
          <w:szCs w:val="18"/>
          <w:color w:val="auto"/>
        </w:rPr>
        <w:t>Within the Precision Engineered Products (“PEP”) Group, restructuring initiatives to adjust inventory resulted in a charge of $0.9 million, which consisted of adjusting inventory for obsolescence, or lower of cost or net realizable value.</w:t>
      </w:r>
    </w:p>
    <w:p>
      <w:pPr>
        <w:spacing w:after="0" w:line="62"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Within the Corporate and Consolidated Segment, a charge of $1.8 million was incurred for an accounting and reporting system which was ultimately never deployed and abandoned.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severance and restructuring activity related to actions initiated during the three months ended December 31, 2015:</w:t>
      </w:r>
    </w:p>
    <w:p>
      <w:pPr>
        <w:spacing w:after="0" w:line="1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Fixed asset</w:t>
            </w:r>
          </w:p>
        </w:tc>
        <w:tc>
          <w:tcPr>
            <w:tcW w:w="1320" w:type="dxa"/>
            <w:vAlign w:val="bottom"/>
            <w:gridSpan w:val="4"/>
          </w:tcPr>
          <w:p>
            <w:pPr>
              <w:ind w:left="240"/>
              <w:spacing w:after="0"/>
              <w:rPr>
                <w:sz w:val="20"/>
                <w:szCs w:val="20"/>
                <w:color w:val="auto"/>
              </w:rPr>
            </w:pPr>
            <w:r>
              <w:rPr>
                <w:rFonts w:ascii="Arial" w:cs="Arial" w:eastAsia="Arial" w:hAnsi="Arial"/>
                <w:sz w:val="14"/>
                <w:szCs w:val="14"/>
                <w:b w:val="1"/>
                <w:bCs w:val="1"/>
                <w:color w:val="auto"/>
              </w:rPr>
              <w:t>Employee</w:t>
            </w:r>
          </w:p>
        </w:tc>
        <w:tc>
          <w:tcPr>
            <w:tcW w:w="10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w:t>
            </w:r>
          </w:p>
        </w:tc>
        <w:tc>
          <w:tcPr>
            <w:tcW w:w="2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one-time</w:t>
            </w:r>
          </w:p>
        </w:tc>
        <w:tc>
          <w:tcPr>
            <w:tcW w:w="100" w:type="dxa"/>
            <w:vAlign w:val="bottom"/>
          </w:tcPr>
          <w:p>
            <w:pPr>
              <w:spacing w:after="0"/>
              <w:rPr>
                <w:sz w:val="12"/>
                <w:szCs w:val="12"/>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charges</w:t>
            </w:r>
          </w:p>
        </w:tc>
        <w:tc>
          <w:tcPr>
            <w:tcW w:w="24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charges</w:t>
            </w:r>
          </w:p>
        </w:tc>
        <w:tc>
          <w:tcPr>
            <w:tcW w:w="100" w:type="dxa"/>
            <w:vAlign w:val="bottom"/>
          </w:tcPr>
          <w:p>
            <w:pPr>
              <w:spacing w:after="0"/>
              <w:rPr>
                <w:sz w:val="14"/>
                <w:szCs w:val="14"/>
                <w:color w:val="auto"/>
              </w:rPr>
            </w:pPr>
          </w:p>
        </w:tc>
        <w:tc>
          <w:tcPr>
            <w:tcW w:w="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1"/>
              </w:rPr>
              <w:t>costs</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Accrual Balance at September 30, 2015</w:t>
            </w:r>
          </w:p>
        </w:tc>
        <w:tc>
          <w:tcPr>
            <w:tcW w:w="2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Charged to expense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2,652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2,691</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1,925</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7,268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payments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Accrual Balance at December 31, 2015</w:t>
            </w:r>
          </w:p>
        </w:tc>
        <w:tc>
          <w:tcPr>
            <w:tcW w:w="2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2,691</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1,925</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580" w:type="dxa"/>
            <w:vAlign w:val="bottom"/>
            <w:vMerge w:val="restart"/>
          </w:tcPr>
          <w:p>
            <w:pPr>
              <w:jc w:val="right"/>
              <w:ind w:right="12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3" w:name="page4"/>
    <w:bookmarkEnd w:id="3"/>
    <w:p>
      <w:pPr>
        <w:ind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total restructuring and impairment costs are still being identified at the various segments; therefore, we are not able to estimate the ultimate costs at this time. We will include in future filings updates to these activities along with a reconciliation of beginning and ending liabilities recorded. The amounts recorded for the three months ended December 31, 2015 for restructuring charges that have been incurred are expected to be paid out during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8-K filed August 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Exhibit 99.1</w:t>
      </w:r>
    </w:p>
    <w:p>
      <w:pPr>
        <w:spacing w:after="0" w:line="252" w:lineRule="exact"/>
        <w:rPr>
          <w:sz w:val="20"/>
          <w:szCs w:val="20"/>
          <w:color w:val="auto"/>
        </w:rPr>
      </w:pPr>
    </w:p>
    <w:p>
      <w:pPr>
        <w:ind w:left="900" w:right="180" w:hanging="446"/>
        <w:spacing w:after="0" w:line="264" w:lineRule="auto"/>
        <w:tabs>
          <w:tab w:leader="none" w:pos="90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adjustments to net income have been presented net of tax. Please revise your presentation to comply with guidance in Compliance and Disclosure Interpretations, Non-GAAP Financial Measures, Question 102.11, including a description of how the tax effect of the adjustment is calculated.</w:t>
      </w:r>
    </w:p>
    <w:p>
      <w:pPr>
        <w:spacing w:after="0" w:line="18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The Company acknowledges the Staff’s comment, and in future earnings releases, the Company will include a description of how the tax effect of the adjustment is calculated with respect to adjustments to net income that are presented net of tax. An example of that disclosure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June 30, 2016</w:t>
            </w:r>
          </w:p>
        </w:tc>
        <w:tc>
          <w:tcPr>
            <w:tcW w:w="2540" w:type="dxa"/>
            <w:vAlign w:val="bottom"/>
          </w:tcPr>
          <w:p>
            <w:pPr>
              <w:spacing w:after="0"/>
              <w:rPr>
                <w:sz w:val="14"/>
                <w:szCs w:val="14"/>
                <w:color w:val="auto"/>
              </w:rPr>
            </w:pPr>
          </w:p>
        </w:tc>
        <w:tc>
          <w:tcPr>
            <w:tcW w:w="122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78"/>
        </w:trPr>
        <w:tc>
          <w:tcPr>
            <w:tcW w:w="6500" w:type="dxa"/>
            <w:vAlign w:val="bottom"/>
            <w:gridSpan w:val="3"/>
            <w:vMerge w:val="continue"/>
          </w:tcPr>
          <w:p>
            <w:pPr>
              <w:spacing w:after="0"/>
              <w:rPr>
                <w:sz w:val="15"/>
                <w:szCs w:val="15"/>
                <w:color w:val="auto"/>
              </w:rPr>
            </w:pPr>
          </w:p>
        </w:tc>
        <w:tc>
          <w:tcPr>
            <w:tcW w:w="254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GAAP Net income</w:t>
            </w:r>
          </w:p>
        </w:tc>
        <w:tc>
          <w:tcPr>
            <w:tcW w:w="430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2,031</w:t>
            </w: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Acquisition and integration costs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1,178</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gain on inter-company loans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Restructuring and impairment charges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4,745</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intangibles &amp; deferred financing costs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7,147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Tax effect of all adjustments reflected above</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(2,026)</w:t>
            </w: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 Adjusted net income</w:t>
            </w:r>
          </w:p>
        </w:tc>
        <w:tc>
          <w:tcPr>
            <w:tcW w:w="2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12,432</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tax effect of all adjustments is calculated primarily using the effective tax rate calculated for the year, except for the amortization of intangibles and deferred financing costs. As of June 30, 2016, this rate was 9%. The U.S. federal statutory income tax rate of 35% is used for intangibles and deferred financing costs as these costs are timing items and incurred primarily in the 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900" w:right="160" w:hanging="446"/>
        <w:spacing w:after="0" w:line="264" w:lineRule="auto"/>
        <w:tabs>
          <w:tab w:leader="none" w:pos="90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note that restructuring and impairment charges adjustment to income from operations exceeds the amount recognized on the face of the income statement. Please help us understand what this adjustment is and how it relates to what has been recognized in your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 our consolidated financial statements, our restructuring and impairment charges are comprised of the following components (in thousands):</w:t>
      </w:r>
    </w:p>
    <w:p>
      <w:pPr>
        <w:sectPr>
          <w:pgSz w:w="11900" w:h="16838" w:orient="portrait"/>
          <w:cols w:equalWidth="0" w:num="1">
            <w:col w:w="11420"/>
          </w:cols>
          <w:pgMar w:left="240" w:top="274" w:right="239" w:bottom="1440" w:gutter="0" w:footer="0" w:header="0"/>
        </w:sect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Per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PBC segment restructuring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APC segment restructuring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PEP segment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and impairment charges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Restructuring and</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u w:val="single" w:color="auto"/>
          <w:color w:val="auto"/>
        </w:rPr>
        <w:t>Impairment Charges</w:t>
      </w:r>
    </w:p>
    <w:p>
      <w:pPr>
        <w:spacing w:after="0" w:line="21" w:lineRule="exact"/>
        <w:rPr>
          <w:sz w:val="20"/>
          <w:szCs w:val="20"/>
          <w:color w:val="auto"/>
        </w:rPr>
      </w:pPr>
    </w:p>
    <w:p>
      <w:pPr>
        <w:ind w:left="900" w:hanging="891"/>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1,651</w:t>
      </w:r>
    </w:p>
    <w:p>
      <w:pPr>
        <w:spacing w:after="0" w:line="42"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5"/>
          <w:szCs w:val="15"/>
          <w:color w:val="auto"/>
        </w:rPr>
        <w:t>2,085</w:t>
      </w:r>
    </w:p>
    <w:p>
      <w:pPr>
        <w:spacing w:after="0" w:line="43" w:lineRule="exact"/>
        <w:rPr>
          <w:rFonts w:ascii="Arial" w:cs="Arial" w:eastAsia="Arial" w:hAnsi="Arial"/>
          <w:sz w:val="15"/>
          <w:szCs w:val="15"/>
          <w:color w:val="auto"/>
        </w:rPr>
      </w:pPr>
    </w:p>
    <w:p>
      <w:pPr>
        <w:ind w:left="1040"/>
        <w:spacing w:after="0"/>
        <w:rPr>
          <w:rFonts w:ascii="Arial" w:cs="Arial" w:eastAsia="Arial" w:hAnsi="Arial"/>
          <w:sz w:val="15"/>
          <w:szCs w:val="15"/>
          <w:color w:val="auto"/>
        </w:rPr>
      </w:pPr>
      <w:r>
        <w:rPr>
          <w:rFonts w:ascii="Arial" w:cs="Arial" w:eastAsia="Arial" w:hAnsi="Arial"/>
          <w:sz w:val="15"/>
          <w:szCs w:val="15"/>
          <w:color w:val="auto"/>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823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36" w:lineRule="exact"/>
        <w:rPr>
          <w:sz w:val="20"/>
          <w:szCs w:val="20"/>
          <w:color w:val="auto"/>
        </w:rPr>
      </w:pPr>
    </w:p>
    <w:p>
      <w:pPr>
        <w:ind w:left="900" w:hanging="891"/>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4,047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wp:posOffset>
            </wp:positionV>
            <wp:extent cx="8235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53975</wp:posOffset>
            </wp:positionV>
            <wp:extent cx="8235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300" w:space="720"/>
            <w:col w:w="1400"/>
          </w:cols>
          <w:pgMar w:left="240" w:top="274" w:right="2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restructuring and impairment charges adjustment to income from operations was comprised of the following components (in thousands):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Non-GAAP Reconciliation of Adjusted Income from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Restructuring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Impairment Adjustment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PBC segment restructuring</w:t>
            </w:r>
          </w:p>
        </w:tc>
        <w:tc>
          <w:tcPr>
            <w:tcW w:w="5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APC segment restructuring</w:t>
            </w: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PEP segment restructuring</w:t>
            </w:r>
          </w:p>
        </w:tc>
        <w:tc>
          <w:tcPr>
            <w:tcW w:w="5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Corporate and consolidated segment</w:t>
            </w:r>
          </w:p>
        </w:tc>
        <w:tc>
          <w:tcPr>
            <w:tcW w:w="5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 and Impairment Adjustment</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240" w:type="dxa"/>
            <w:vAlign w:val="bottom"/>
            <w:vMerge w:val="restart"/>
          </w:tcPr>
          <w:p>
            <w:pPr>
              <w:jc w:val="right"/>
              <w:ind w:right="3970"/>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type w:val="continuous"/>
        </w:sectPr>
      </w:pPr>
    </w:p>
    <w:bookmarkStart w:id="5" w:name="page6"/>
    <w:bookmarkEnd w:id="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difference between the restructuring and impairment charges adjustment to income from operations ($4,745) and the amount recognized on the face of the income statement ($4,047) represents (i) the exclusion of ($311) of the PEP restructuring and impairment charges as they relate to “acquisition and integration expenses” and (ii) the inclusion of $1,009 of restructuring charges related to the corporate segment that were reported under selling, general and administrative expense on the face of the income statement. Although this charge was restructuring related, we believed that under U.S. GAAP it was more appropriately reported under selling, general and administrative expense. However, for purposes of presenting the Non—GAAP financial measure “Adjusted Income from Operations”, we included these costs within the restructuring and impairment charges because we believed that inclusion of these charges in that category better reflected the substance of the transaction and that the charges did not represent expenses that the Company would continue to regularly incur in the ordinary course of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response, the Company acknowledges that:</w:t>
      </w:r>
    </w:p>
    <w:p>
      <w:pPr>
        <w:spacing w:after="0" w:line="13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75"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Thomas C. Burwell,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Accounting Officer (Principal Financial Officer)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2019-12-06T04:34:28Z</dcterms:created>
  <dcterms:modified xsi:type="dcterms:W3CDTF">2019-12-06T04:34:28Z</dcterms:modified>
</cp:coreProperties>
</file>