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0"/>
          <w:szCs w:val="20"/>
          <w:color w:val="auto"/>
        </w:rPr>
      </w:pPr>
    </w:p>
    <w:p>
      <w:pPr>
        <w:ind w:left="1380" w:right="40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 xml:space="preserve">For the quarterly period ended </w:t>
      </w:r>
      <w:r>
        <w:rPr>
          <w:rFonts w:ascii="Arial" w:cs="Arial" w:eastAsia="Arial" w:hAnsi="Arial"/>
          <w:sz w:val="18"/>
          <w:szCs w:val="18"/>
          <w:b w:val="1"/>
          <w:bCs w:val="1"/>
          <w:u w:val="single" w:color="auto"/>
          <w:color w:val="auto"/>
        </w:rPr>
        <w:t>June 30, 2011</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8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51" w:lineRule="exact"/>
        <w:rPr>
          <w:sz w:val="20"/>
          <w:szCs w:val="20"/>
          <w:color w:val="auto"/>
        </w:rPr>
      </w:pPr>
    </w:p>
    <w:tbl>
      <w:tblPr>
        <w:tblLayout w:type="fixed"/>
        <w:tblInd w:w="138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Arial" w:cs="Arial" w:eastAsia="Arial" w:hAnsi="Arial"/>
                <w:sz w:val="18"/>
                <w:szCs w:val="18"/>
                <w:b w:val="1"/>
                <w:bCs w:val="1"/>
                <w:color w:val="auto"/>
                <w:w w:val="92"/>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w w:val="93"/>
              </w:rPr>
              <w:t>to</w:t>
            </w:r>
          </w:p>
        </w:tc>
        <w:tc>
          <w:tcPr>
            <w:tcW w:w="900" w:type="dxa"/>
            <w:vAlign w:val="bottom"/>
            <w:tcBorders>
              <w:bottom w:val="single" w:sz="8" w:color="auto"/>
            </w:tcBorders>
          </w:tcPr>
          <w:p>
            <w:pPr>
              <w:spacing w:after="0"/>
              <w:rPr>
                <w:sz w:val="17"/>
                <w:szCs w:val="17"/>
                <w:color w:val="auto"/>
              </w:rPr>
            </w:pPr>
          </w:p>
        </w:tc>
        <w:tc>
          <w:tcPr>
            <w:tcW w:w="1240" w:type="dxa"/>
            <w:vAlign w:val="bottom"/>
            <w:gridSpan w:val="2"/>
          </w:tcPr>
          <w:p>
            <w:pPr>
              <w:spacing w:after="0"/>
              <w:rPr>
                <w:sz w:val="17"/>
                <w:szCs w:val="17"/>
                <w:color w:val="auto"/>
              </w:rPr>
            </w:pPr>
          </w:p>
        </w:tc>
      </w:tr>
      <w:tr>
        <w:trPr>
          <w:trHeight w:val="412"/>
        </w:trPr>
        <w:tc>
          <w:tcPr>
            <w:tcW w:w="2360" w:type="dxa"/>
            <w:vAlign w:val="bottom"/>
          </w:tcPr>
          <w:p>
            <w:pPr>
              <w:spacing w:after="0"/>
              <w:rPr>
                <w:sz w:val="24"/>
                <w:szCs w:val="24"/>
                <w:color w:val="auto"/>
              </w:rPr>
            </w:pPr>
          </w:p>
        </w:tc>
        <w:tc>
          <w:tcPr>
            <w:tcW w:w="3280" w:type="dxa"/>
            <w:vAlign w:val="bottom"/>
            <w:gridSpan w:val="5"/>
          </w:tcPr>
          <w:p>
            <w:pPr>
              <w:ind w:left="660"/>
              <w:spacing w:after="0"/>
              <w:rPr>
                <w:sz w:val="20"/>
                <w:szCs w:val="20"/>
                <w:color w:val="auto"/>
              </w:rPr>
            </w:pPr>
            <w:r>
              <w:rPr>
                <w:rFonts w:ascii="Arial" w:cs="Arial" w:eastAsia="Arial" w:hAnsi="Arial"/>
                <w:sz w:val="18"/>
                <w:szCs w:val="18"/>
                <w:b w:val="1"/>
                <w:bCs w:val="1"/>
                <w:color w:val="auto"/>
                <w:w w:val="90"/>
              </w:rPr>
              <w:t>Commission File Number 0-23486</w:t>
            </w:r>
          </w:p>
        </w:tc>
      </w:tr>
      <w:tr>
        <w:trPr>
          <w:trHeight w:val="20"/>
        </w:trPr>
        <w:tc>
          <w:tcPr>
            <w:tcW w:w="2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NN, Inc.</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122" w:right="239" w:bottom="1440" w:gutter="0" w:footer="0" w:header="0"/>
        </w:sectPr>
      </w:pPr>
    </w:p>
    <w:p>
      <w:pPr>
        <w:spacing w:after="0" w:line="205"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0"/>
          <w:szCs w:val="20"/>
          <w:color w:val="auto"/>
        </w:rPr>
      </w:pPr>
    </w:p>
    <w:p>
      <w:pPr>
        <w:ind w:left="1640"/>
        <w:spacing w:after="0"/>
        <w:rPr>
          <w:sz w:val="20"/>
          <w:szCs w:val="20"/>
          <w:color w:val="auto"/>
        </w:rPr>
      </w:pPr>
      <w:r>
        <w:rPr>
          <w:rFonts w:ascii="Arial" w:cs="Arial" w:eastAsia="Arial" w:hAnsi="Arial"/>
          <w:sz w:val="17"/>
          <w:szCs w:val="17"/>
          <w:color w:val="auto"/>
        </w:rPr>
        <w:t>(State or other jurisdiction of</w:t>
      </w:r>
    </w:p>
    <w:p>
      <w:pPr>
        <w:spacing w:after="0" w:line="21" w:lineRule="exact"/>
        <w:rPr>
          <w:sz w:val="20"/>
          <w:szCs w:val="20"/>
          <w:color w:val="auto"/>
        </w:rPr>
      </w:pPr>
    </w:p>
    <w:p>
      <w:pPr>
        <w:ind w:left="164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right="1880"/>
        <w:spacing w:after="0"/>
        <w:rPr>
          <w:sz w:val="20"/>
          <w:szCs w:val="20"/>
          <w:color w:val="auto"/>
        </w:rPr>
      </w:pPr>
      <w:r>
        <w:rPr>
          <w:rFonts w:ascii="Arial" w:cs="Arial" w:eastAsia="Arial" w:hAnsi="Arial"/>
          <w:sz w:val="18"/>
          <w:szCs w:val="18"/>
          <w:b w:val="1"/>
          <w:bCs w:val="1"/>
          <w:color w:val="auto"/>
        </w:rPr>
        <w:t>62-1096725</w:t>
      </w:r>
    </w:p>
    <w:p>
      <w:pPr>
        <w:spacing w:after="0" w:line="27" w:lineRule="exact"/>
        <w:rPr>
          <w:sz w:val="20"/>
          <w:szCs w:val="20"/>
          <w:color w:val="auto"/>
        </w:rPr>
      </w:pPr>
    </w:p>
    <w:p>
      <w:pPr>
        <w:jc w:val="center"/>
        <w:ind w:right="1880"/>
        <w:spacing w:after="0"/>
        <w:rPr>
          <w:sz w:val="20"/>
          <w:szCs w:val="20"/>
          <w:color w:val="auto"/>
        </w:rPr>
      </w:pPr>
      <w:r>
        <w:rPr>
          <w:rFonts w:ascii="Arial" w:cs="Arial" w:eastAsia="Arial" w:hAnsi="Arial"/>
          <w:sz w:val="18"/>
          <w:szCs w:val="18"/>
          <w:color w:val="auto"/>
        </w:rPr>
        <w:t>(I.R.S. Employer</w:t>
      </w:r>
    </w:p>
    <w:p>
      <w:pPr>
        <w:spacing w:after="0" w:line="9" w:lineRule="exact"/>
        <w:rPr>
          <w:sz w:val="20"/>
          <w:szCs w:val="20"/>
          <w:color w:val="auto"/>
        </w:rPr>
      </w:pPr>
    </w:p>
    <w:p>
      <w:pPr>
        <w:jc w:val="center"/>
        <w:ind w:right="1880"/>
        <w:spacing w:after="0"/>
        <w:rPr>
          <w:sz w:val="20"/>
          <w:szCs w:val="20"/>
          <w:color w:val="auto"/>
        </w:rPr>
      </w:pPr>
      <w:r>
        <w:rPr>
          <w:rFonts w:ascii="Arial" w:cs="Arial" w:eastAsia="Arial" w:hAnsi="Arial"/>
          <w:sz w:val="16"/>
          <w:szCs w:val="16"/>
          <w:color w:val="auto"/>
        </w:rPr>
        <w:t>Identification Number)</w:t>
      </w:r>
    </w:p>
    <w:p>
      <w:pPr>
        <w:spacing w:after="0" w:line="200" w:lineRule="exact"/>
        <w:rPr>
          <w:sz w:val="20"/>
          <w:szCs w:val="20"/>
          <w:color w:val="auto"/>
        </w:rPr>
      </w:pPr>
    </w:p>
    <w:p>
      <w:pPr>
        <w:sectPr>
          <w:pgSz w:w="11900" w:h="16838" w:orient="portrait"/>
          <w:cols w:equalWidth="0" w:num="2">
            <w:col w:w="7160" w:space="720"/>
            <w:col w:w="3540"/>
          </w:cols>
          <w:pgMar w:left="240" w:top="122" w:right="239" w:bottom="1440" w:gutter="0" w:footer="0" w:header="0"/>
          <w:type w:val="continuous"/>
        </w:sectPr>
      </w:pP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2000 Waters Edge Drive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Building C, Suite 12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Johnson City, Tennessee 37604</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(423) 743-9151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103" w:lineRule="exact"/>
        <w:rPr>
          <w:sz w:val="20"/>
          <w:szCs w:val="20"/>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ind w:right="400"/>
        <w:spacing w:after="0" w:line="32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122" w:right="239" w:bottom="1440" w:gutter="0" w:footer="0" w:header="0"/>
          <w:type w:val="continuous"/>
        </w:sectPr>
      </w:pPr>
    </w:p>
    <w:p>
      <w:pPr>
        <w:spacing w:after="0" w:line="33" w:lineRule="exact"/>
        <w:rPr>
          <w:sz w:val="20"/>
          <w:szCs w:val="20"/>
          <w:color w:val="auto"/>
        </w:rPr>
      </w:pPr>
    </w:p>
    <w:p>
      <w:pPr>
        <w:ind w:left="4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0"/>
          <w:szCs w:val="20"/>
          <w:color w:val="auto"/>
        </w:rPr>
      </w:pPr>
      <w:r>
        <w:rPr>
          <w:sz w:val="20"/>
          <w:szCs w:val="20"/>
          <w:color w:val="auto"/>
        </w:rPr>
        <w:br w:type="column"/>
      </w:r>
    </w:p>
    <w:p>
      <w:pPr>
        <w:jc w:val="center"/>
        <w:ind w:right="80"/>
        <w:spacing w:after="0" w:line="16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64" w:lineRule="exact"/>
        <w:rPr>
          <w:sz w:val="20"/>
          <w:szCs w:val="20"/>
          <w:color w:val="auto"/>
        </w:rPr>
      </w:pPr>
    </w:p>
    <w:p>
      <w:pPr>
        <w:sectPr>
          <w:pgSz w:w="11900" w:h="16838" w:orient="portrait"/>
          <w:cols w:equalWidth="0" w:num="4">
            <w:col w:w="1840" w:space="720"/>
            <w:col w:w="1500" w:space="720"/>
            <w:col w:w="3780" w:space="720"/>
            <w:col w:w="2140"/>
          </w:cols>
          <w:pgMar w:left="240" w:top="122" w:right="239" w:bottom="1440" w:gutter="0" w:footer="0" w:header="0"/>
          <w:type w:val="continuous"/>
        </w:sectPr>
      </w:pP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72" w:lineRule="exact"/>
        <w:rPr>
          <w:sz w:val="20"/>
          <w:szCs w:val="20"/>
          <w:color w:val="auto"/>
        </w:rPr>
      </w:pPr>
    </w:p>
    <w:p>
      <w:pPr>
        <w:sectPr>
          <w:pgSz w:w="11900" w:h="16838" w:orient="portrait"/>
          <w:cols w:equalWidth="0" w:num="2">
            <w:col w:w="8620" w:space="140"/>
            <w:col w:w="2660"/>
          </w:cols>
          <w:pgMar w:left="240" w:top="122" w:right="239" w:bottom="1440" w:gutter="0" w:footer="0" w:header="0"/>
          <w:type w:val="continuous"/>
        </w:sectPr>
      </w:pPr>
    </w:p>
    <w:p>
      <w:pPr>
        <w:spacing w:after="0"/>
        <w:rPr>
          <w:sz w:val="20"/>
          <w:szCs w:val="20"/>
          <w:color w:val="auto"/>
        </w:rPr>
      </w:pPr>
      <w:r>
        <w:rPr>
          <w:rFonts w:ascii="Arial" w:cs="Arial" w:eastAsia="Arial" w:hAnsi="Arial"/>
          <w:sz w:val="16"/>
          <w:szCs w:val="16"/>
          <w:color w:val="auto"/>
        </w:rPr>
        <w:t>As of August 3, 2011, there were 16,948,632 shares of the registrant’s common stock, par value $0.01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584835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320" w:type="dxa"/>
            <w:vAlign w:val="bottom"/>
            <w:gridSpan w:val="9"/>
          </w:tcPr>
          <w:p>
            <w:pPr>
              <w:jc w:val="center"/>
              <w:ind w:right="3000"/>
              <w:spacing w:after="0"/>
              <w:rPr>
                <w:sz w:val="20"/>
                <w:szCs w:val="20"/>
                <w:color w:val="auto"/>
              </w:rPr>
            </w:pPr>
            <w:r>
              <w:rPr>
                <w:rFonts w:ascii="Arial" w:cs="Arial" w:eastAsia="Arial" w:hAnsi="Arial"/>
                <w:sz w:val="18"/>
                <w:szCs w:val="18"/>
                <w:b w:val="1"/>
                <w:bCs w:val="1"/>
                <w:color w:val="auto"/>
                <w:w w:val="95"/>
              </w:rPr>
              <w:t>NN, Inc.</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320" w:type="dxa"/>
            <w:vAlign w:val="bottom"/>
            <w:gridSpan w:val="9"/>
          </w:tcPr>
          <w:p>
            <w:pPr>
              <w:jc w:val="center"/>
              <w:ind w:right="3020"/>
              <w:spacing w:after="0"/>
              <w:rPr>
                <w:sz w:val="20"/>
                <w:szCs w:val="20"/>
                <w:color w:val="auto"/>
              </w:rPr>
            </w:pPr>
            <w:r>
              <w:rPr>
                <w:rFonts w:ascii="Arial" w:cs="Arial" w:eastAsia="Arial" w:hAnsi="Arial"/>
                <w:sz w:val="18"/>
                <w:szCs w:val="18"/>
                <w:b w:val="1"/>
                <w:bCs w:val="1"/>
                <w:color w:val="auto"/>
              </w:rPr>
              <w:t>INDEX</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260" w:type="dxa"/>
            <w:vAlign w:val="bottom"/>
            <w:gridSpan w:val="11"/>
            <w:vMerge w:val="restart"/>
          </w:tcPr>
          <w:p>
            <w:pPr>
              <w:spacing w:after="0"/>
              <w:rPr>
                <w:rFonts w:ascii="Arial" w:cs="Arial" w:eastAsia="Arial" w:hAnsi="Arial"/>
                <w:sz w:val="18"/>
                <w:szCs w:val="18"/>
                <w:b w:val="1"/>
                <w:bCs w:val="1"/>
                <w:color w:val="0000EE"/>
                <w:w w:val="94"/>
              </w:rPr>
            </w:pPr>
            <w:hyperlink w:anchor="page4">
              <w:r>
                <w:rPr>
                  <w:rFonts w:ascii="Arial" w:cs="Arial" w:eastAsia="Arial" w:hAnsi="Arial"/>
                  <w:sz w:val="18"/>
                  <w:szCs w:val="18"/>
                  <w:b w:val="1"/>
                  <w:bCs w:val="1"/>
                  <w:color w:val="0000EE"/>
                  <w:w w:val="94"/>
                </w:rPr>
                <w:t>Part I. Financial Information</w:t>
              </w:r>
            </w:hyperlink>
          </w:p>
        </w:tc>
        <w:tc>
          <w:tcPr>
            <w:tcW w:w="8620" w:type="dxa"/>
            <w:vAlign w:val="bottom"/>
            <w:gridSpan w:val="15"/>
            <w:vMerge w:val="restart"/>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9"/>
              </w:rPr>
              <w:t>Page No.</w:t>
            </w:r>
          </w:p>
        </w:tc>
        <w:tc>
          <w:tcPr>
            <w:tcW w:w="0" w:type="dxa"/>
            <w:vAlign w:val="bottom"/>
          </w:tcPr>
          <w:p>
            <w:pPr>
              <w:spacing w:after="0"/>
              <w:rPr>
                <w:sz w:val="1"/>
                <w:szCs w:val="1"/>
                <w:color w:val="auto"/>
              </w:rPr>
            </w:pPr>
          </w:p>
        </w:tc>
      </w:tr>
      <w:tr>
        <w:trPr>
          <w:trHeight w:val="174"/>
        </w:trPr>
        <w:tc>
          <w:tcPr>
            <w:tcW w:w="2260" w:type="dxa"/>
            <w:vAlign w:val="bottom"/>
            <w:tcBorders>
              <w:bottom w:val="single" w:sz="8" w:color="0000EE"/>
            </w:tcBorders>
            <w:gridSpan w:val="11"/>
            <w:vMerge w:val="continue"/>
          </w:tcPr>
          <w:p>
            <w:pPr>
              <w:spacing w:after="0"/>
              <w:rPr>
                <w:sz w:val="14"/>
                <w:szCs w:val="14"/>
                <w:color w:val="auto"/>
              </w:rPr>
            </w:pPr>
          </w:p>
        </w:tc>
        <w:tc>
          <w:tcPr>
            <w:tcW w:w="8620" w:type="dxa"/>
            <w:vAlign w:val="bottom"/>
            <w:gridSpan w:val="15"/>
            <w:vMerge w:val="continue"/>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520" w:type="dxa"/>
            <w:vAlign w:val="bottom"/>
            <w:gridSpan w:val="2"/>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720" w:type="dxa"/>
            <w:vAlign w:val="bottom"/>
            <w:gridSpan w:val="4"/>
          </w:tcPr>
          <w:p>
            <w:pPr>
              <w:spacing w:after="0"/>
              <w:rPr>
                <w:sz w:val="24"/>
                <w:szCs w:val="24"/>
                <w:color w:val="auto"/>
              </w:rPr>
            </w:pPr>
          </w:p>
        </w:tc>
        <w:tc>
          <w:tcPr>
            <w:tcW w:w="9640" w:type="dxa"/>
            <w:vAlign w:val="bottom"/>
            <w:gridSpan w:val="2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16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Income and Comprehensive Income (Loss) for the three and six months ended June 30,</w:t>
              </w:r>
            </w:hyperlink>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94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2011 and 2010 (unaudited)</w:t>
              </w:r>
            </w:hyperlink>
          </w:p>
        </w:tc>
        <w:tc>
          <w:tcPr>
            <w:tcW w:w="7700" w:type="dxa"/>
            <w:vAlign w:val="bottom"/>
            <w:gridSpan w:val="10"/>
          </w:tcPr>
          <w:p>
            <w:pPr>
              <w:spacing w:after="0"/>
              <w:rPr>
                <w:sz w:val="17"/>
                <w:szCs w:val="17"/>
                <w:color w:val="auto"/>
              </w:rPr>
            </w:pPr>
          </w:p>
        </w:tc>
        <w:tc>
          <w:tcPr>
            <w:tcW w:w="540" w:type="dxa"/>
            <w:vAlign w:val="bottom"/>
          </w:tcPr>
          <w:p>
            <w:pPr>
              <w:jc w:val="right"/>
              <w:ind w:right="91"/>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40" w:type="dxa"/>
            <w:vAlign w:val="bottom"/>
            <w:gridSpan w:val="20"/>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 at June 30, 2011 and December 31, 2010 (unaudited)</w:t>
              </w:r>
            </w:hyperlink>
          </w:p>
        </w:tc>
        <w:tc>
          <w:tcPr>
            <w:tcW w:w="540" w:type="dxa"/>
            <w:vAlign w:val="bottom"/>
          </w:tcPr>
          <w:p>
            <w:pPr>
              <w:jc w:val="right"/>
              <w:ind w:right="9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92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 of Changes in Stockholders’ Equity for the six months ended June 30, 2011 (unaudited)</w:t>
              </w:r>
            </w:hyperlink>
          </w:p>
        </w:tc>
        <w:tc>
          <w:tcPr>
            <w:tcW w:w="720" w:type="dxa"/>
            <w:vAlign w:val="bottom"/>
            <w:gridSpan w:val="2"/>
          </w:tcPr>
          <w:p>
            <w:pPr>
              <w:spacing w:after="0"/>
              <w:rPr>
                <w:sz w:val="24"/>
                <w:szCs w:val="24"/>
                <w:color w:val="auto"/>
              </w:rPr>
            </w:pPr>
          </w:p>
        </w:tc>
        <w:tc>
          <w:tcPr>
            <w:tcW w:w="540" w:type="dxa"/>
            <w:vAlign w:val="bottom"/>
          </w:tcPr>
          <w:p>
            <w:pPr>
              <w:jc w:val="right"/>
              <w:ind w:right="9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40" w:type="dxa"/>
            <w:vAlign w:val="bottom"/>
            <w:gridSpan w:val="20"/>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 for the six months ended June 30, 2011 and 2010 (unaudited)</w:t>
              </w:r>
            </w:hyperlink>
          </w:p>
        </w:tc>
        <w:tc>
          <w:tcPr>
            <w:tcW w:w="540" w:type="dxa"/>
            <w:vAlign w:val="bottom"/>
          </w:tcPr>
          <w:p>
            <w:pPr>
              <w:jc w:val="right"/>
              <w:ind w:right="9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160" w:type="dxa"/>
            <w:vAlign w:val="bottom"/>
            <w:tcBorders>
              <w:top w:val="single" w:sz="8" w:color="0000EE"/>
            </w:tcBorders>
            <w:gridSpan w:val="17"/>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 (unaudited)</w:t>
              </w:r>
            </w:hyperlink>
          </w:p>
        </w:tc>
        <w:tc>
          <w:tcPr>
            <w:tcW w:w="1480" w:type="dxa"/>
            <w:vAlign w:val="bottom"/>
            <w:gridSpan w:val="3"/>
          </w:tcPr>
          <w:p>
            <w:pPr>
              <w:spacing w:after="0"/>
              <w:rPr>
                <w:sz w:val="24"/>
                <w:szCs w:val="24"/>
                <w:color w:val="auto"/>
              </w:rPr>
            </w:pPr>
          </w:p>
        </w:tc>
        <w:tc>
          <w:tcPr>
            <w:tcW w:w="540" w:type="dxa"/>
            <w:vAlign w:val="bottom"/>
          </w:tcPr>
          <w:p>
            <w:pPr>
              <w:jc w:val="right"/>
              <w:ind w:right="9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18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gridSpan w:val="2"/>
          </w:tcPr>
          <w:p>
            <w:pPr>
              <w:spacing w:after="0"/>
              <w:rPr>
                <w:rFonts w:ascii="Arial" w:cs="Arial" w:eastAsia="Arial" w:hAnsi="Arial"/>
                <w:sz w:val="18"/>
                <w:szCs w:val="18"/>
                <w:color w:val="0000EE"/>
                <w:w w:val="90"/>
              </w:rPr>
            </w:pPr>
            <w:hyperlink w:anchor="page17">
              <w:r>
                <w:rPr>
                  <w:rFonts w:ascii="Arial" w:cs="Arial" w:eastAsia="Arial" w:hAnsi="Arial"/>
                  <w:sz w:val="18"/>
                  <w:szCs w:val="18"/>
                  <w:color w:val="0000EE"/>
                  <w:w w:val="90"/>
                </w:rPr>
                <w:t>Item 2.</w:t>
              </w:r>
            </w:hyperlink>
          </w:p>
        </w:tc>
        <w:tc>
          <w:tcPr>
            <w:tcW w:w="720" w:type="dxa"/>
            <w:vAlign w:val="bottom"/>
            <w:gridSpan w:val="4"/>
          </w:tcPr>
          <w:p>
            <w:pPr>
              <w:spacing w:after="0"/>
              <w:rPr>
                <w:sz w:val="24"/>
                <w:szCs w:val="24"/>
                <w:color w:val="auto"/>
              </w:rPr>
            </w:pPr>
          </w:p>
        </w:tc>
        <w:tc>
          <w:tcPr>
            <w:tcW w:w="9640" w:type="dxa"/>
            <w:vAlign w:val="bottom"/>
            <w:gridSpan w:val="20"/>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Management’s Discussion and Analysis of Financial Condition and Results of Operations</w:t>
              </w:r>
            </w:hyperlink>
          </w:p>
        </w:tc>
        <w:tc>
          <w:tcPr>
            <w:tcW w:w="540" w:type="dxa"/>
            <w:vAlign w:val="bottom"/>
          </w:tcPr>
          <w:p>
            <w:pPr>
              <w:jc w:val="right"/>
              <w:ind w:right="9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318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gridSpan w:val="2"/>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Item 3.</w:t>
              </w:r>
            </w:hyperlink>
          </w:p>
        </w:tc>
        <w:tc>
          <w:tcPr>
            <w:tcW w:w="720" w:type="dxa"/>
            <w:vAlign w:val="bottom"/>
            <w:gridSpan w:val="4"/>
          </w:tcPr>
          <w:p>
            <w:pPr>
              <w:spacing w:after="0"/>
              <w:rPr>
                <w:sz w:val="24"/>
                <w:szCs w:val="24"/>
                <w:color w:val="auto"/>
              </w:rPr>
            </w:pPr>
          </w:p>
        </w:tc>
        <w:tc>
          <w:tcPr>
            <w:tcW w:w="9640" w:type="dxa"/>
            <w:vAlign w:val="bottom"/>
            <w:gridSpan w:val="20"/>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Quantitative and Qualitative Disclosures about Market Risk</w:t>
              </w:r>
            </w:hyperlink>
          </w:p>
        </w:tc>
        <w:tc>
          <w:tcPr>
            <w:tcW w:w="540" w:type="dxa"/>
            <w:vAlign w:val="bottom"/>
          </w:tcPr>
          <w:p>
            <w:pPr>
              <w:jc w:val="right"/>
              <w:ind w:right="9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300" w:type="dxa"/>
            <w:vAlign w:val="bottom"/>
            <w:gridSpan w:val="7"/>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gridSpan w:val="2"/>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Item 4.</w:t>
              </w:r>
            </w:hyperlink>
          </w:p>
        </w:tc>
        <w:tc>
          <w:tcPr>
            <w:tcW w:w="720" w:type="dxa"/>
            <w:vAlign w:val="bottom"/>
            <w:gridSpan w:val="4"/>
          </w:tcPr>
          <w:p>
            <w:pPr>
              <w:spacing w:after="0"/>
              <w:rPr>
                <w:sz w:val="24"/>
                <w:szCs w:val="24"/>
                <w:color w:val="auto"/>
              </w:rPr>
            </w:pPr>
          </w:p>
        </w:tc>
        <w:tc>
          <w:tcPr>
            <w:tcW w:w="9640" w:type="dxa"/>
            <w:vAlign w:val="bottom"/>
            <w:gridSpan w:val="20"/>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Controls and Procedures</w:t>
              </w:r>
            </w:hyperlink>
          </w:p>
        </w:tc>
        <w:tc>
          <w:tcPr>
            <w:tcW w:w="540" w:type="dxa"/>
            <w:vAlign w:val="bottom"/>
          </w:tcPr>
          <w:p>
            <w:pPr>
              <w:jc w:val="right"/>
              <w:ind w:right="9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300" w:type="dxa"/>
            <w:vAlign w:val="bottom"/>
            <w:gridSpan w:val="7"/>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880" w:type="dxa"/>
            <w:vAlign w:val="bottom"/>
            <w:gridSpan w:val="26"/>
          </w:tcPr>
          <w:p>
            <w:pPr>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Part II. Other Information</w:t>
              </w:r>
            </w:hyperlink>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300" w:type="dxa"/>
            <w:vAlign w:val="bottom"/>
            <w:gridSpan w:val="7"/>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gridSpan w:val="2"/>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Item 1.</w:t>
              </w:r>
            </w:hyperlink>
          </w:p>
        </w:tc>
        <w:tc>
          <w:tcPr>
            <w:tcW w:w="720" w:type="dxa"/>
            <w:vAlign w:val="bottom"/>
            <w:gridSpan w:val="4"/>
          </w:tcPr>
          <w:p>
            <w:pPr>
              <w:spacing w:after="0"/>
              <w:rPr>
                <w:sz w:val="24"/>
                <w:szCs w:val="24"/>
                <w:color w:val="auto"/>
              </w:rPr>
            </w:pPr>
          </w:p>
        </w:tc>
        <w:tc>
          <w:tcPr>
            <w:tcW w:w="9640" w:type="dxa"/>
            <w:vAlign w:val="bottom"/>
            <w:gridSpan w:val="20"/>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Legal Proceedings</w:t>
              </w:r>
            </w:hyperlink>
          </w:p>
        </w:tc>
        <w:tc>
          <w:tcPr>
            <w:tcW w:w="540" w:type="dxa"/>
            <w:vAlign w:val="bottom"/>
          </w:tcPr>
          <w:p>
            <w:pPr>
              <w:jc w:val="right"/>
              <w:ind w:right="9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tcBorders>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300" w:type="dxa"/>
            <w:vAlign w:val="bottom"/>
            <w:gridSpan w:val="7"/>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40" w:type="dxa"/>
            <w:vAlign w:val="bottom"/>
            <w:gridSpan w:val="6"/>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Item 1A.</w:t>
              </w:r>
            </w:hyperlink>
          </w:p>
        </w:tc>
        <w:tc>
          <w:tcPr>
            <w:tcW w:w="9640" w:type="dxa"/>
            <w:vAlign w:val="bottom"/>
            <w:gridSpan w:val="20"/>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Risk Factors</w:t>
              </w:r>
            </w:hyperlink>
          </w:p>
        </w:tc>
        <w:tc>
          <w:tcPr>
            <w:tcW w:w="540" w:type="dxa"/>
            <w:vAlign w:val="bottom"/>
          </w:tcPr>
          <w:p>
            <w:pPr>
              <w:jc w:val="right"/>
              <w:ind w:right="9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300" w:type="dxa"/>
            <w:vAlign w:val="bottom"/>
            <w:gridSpan w:val="7"/>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gridSpan w:val="2"/>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Item 2.</w:t>
              </w:r>
            </w:hyperlink>
          </w:p>
        </w:tc>
        <w:tc>
          <w:tcPr>
            <w:tcW w:w="120" w:type="dxa"/>
            <w:vAlign w:val="bottom"/>
          </w:tcPr>
          <w:p>
            <w:pPr>
              <w:spacing w:after="0"/>
              <w:rPr>
                <w:sz w:val="24"/>
                <w:szCs w:val="24"/>
                <w:color w:val="auto"/>
              </w:rPr>
            </w:pPr>
          </w:p>
        </w:tc>
        <w:tc>
          <w:tcPr>
            <w:tcW w:w="600" w:type="dxa"/>
            <w:vAlign w:val="bottom"/>
            <w:gridSpan w:val="3"/>
          </w:tcPr>
          <w:p>
            <w:pPr>
              <w:spacing w:after="0"/>
              <w:rPr>
                <w:sz w:val="24"/>
                <w:szCs w:val="24"/>
                <w:color w:val="auto"/>
              </w:rPr>
            </w:pPr>
          </w:p>
        </w:tc>
        <w:tc>
          <w:tcPr>
            <w:tcW w:w="9640" w:type="dxa"/>
            <w:vAlign w:val="bottom"/>
            <w:gridSpan w:val="20"/>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Unregistered Sales of Equity Securities and Use of Proceeds</w:t>
              </w:r>
            </w:hyperlink>
          </w:p>
        </w:tc>
        <w:tc>
          <w:tcPr>
            <w:tcW w:w="540" w:type="dxa"/>
            <w:vAlign w:val="bottom"/>
          </w:tcPr>
          <w:p>
            <w:pPr>
              <w:jc w:val="right"/>
              <w:ind w:right="9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500" w:type="dxa"/>
            <w:vAlign w:val="bottom"/>
            <w:tcBorders>
              <w:left w:val="single" w:sz="8" w:color="0000EE"/>
            </w:tcBorders>
            <w:gridSpan w:val="3"/>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5300" w:type="dxa"/>
            <w:vAlign w:val="bottom"/>
            <w:gridSpan w:val="7"/>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gridSpan w:val="2"/>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Item 3.</w:t>
              </w:r>
            </w:hyperlink>
          </w:p>
        </w:tc>
        <w:tc>
          <w:tcPr>
            <w:tcW w:w="720" w:type="dxa"/>
            <w:vAlign w:val="bottom"/>
            <w:gridSpan w:val="4"/>
          </w:tcPr>
          <w:p>
            <w:pPr>
              <w:spacing w:after="0"/>
              <w:rPr>
                <w:sz w:val="24"/>
                <w:szCs w:val="24"/>
                <w:color w:val="auto"/>
              </w:rPr>
            </w:pPr>
          </w:p>
        </w:tc>
        <w:tc>
          <w:tcPr>
            <w:tcW w:w="9640" w:type="dxa"/>
            <w:vAlign w:val="bottom"/>
            <w:gridSpan w:val="20"/>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Defaults Upon Senior Securities</w:t>
              </w:r>
            </w:hyperlink>
          </w:p>
        </w:tc>
        <w:tc>
          <w:tcPr>
            <w:tcW w:w="540" w:type="dxa"/>
            <w:vAlign w:val="bottom"/>
          </w:tcPr>
          <w:p>
            <w:pPr>
              <w:jc w:val="right"/>
              <w:ind w:right="9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500" w:type="dxa"/>
            <w:vAlign w:val="bottom"/>
            <w:tcBorders>
              <w:left w:val="single" w:sz="8" w:color="0000EE"/>
            </w:tcBorders>
            <w:gridSpan w:val="3"/>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7320" w:type="dxa"/>
            <w:vAlign w:val="bottom"/>
            <w:gridSpan w:val="9"/>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gridSpan w:val="2"/>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Item 4.</w:t>
              </w:r>
            </w:hyperlink>
          </w:p>
        </w:tc>
        <w:tc>
          <w:tcPr>
            <w:tcW w:w="720" w:type="dxa"/>
            <w:vAlign w:val="bottom"/>
            <w:gridSpan w:val="4"/>
          </w:tcPr>
          <w:p>
            <w:pPr>
              <w:spacing w:after="0"/>
              <w:rPr>
                <w:sz w:val="24"/>
                <w:szCs w:val="24"/>
                <w:color w:val="auto"/>
              </w:rPr>
            </w:pPr>
          </w:p>
        </w:tc>
        <w:tc>
          <w:tcPr>
            <w:tcW w:w="9640" w:type="dxa"/>
            <w:vAlign w:val="bottom"/>
            <w:gridSpan w:val="20"/>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(Removed and Reserved)</w:t>
              </w:r>
            </w:hyperlink>
          </w:p>
        </w:tc>
        <w:tc>
          <w:tcPr>
            <w:tcW w:w="540" w:type="dxa"/>
            <w:vAlign w:val="bottom"/>
          </w:tcPr>
          <w:p>
            <w:pPr>
              <w:jc w:val="right"/>
              <w:ind w:right="9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500" w:type="dxa"/>
            <w:vAlign w:val="bottom"/>
            <w:tcBorders>
              <w:left w:val="single" w:sz="8" w:color="0000EE"/>
            </w:tcBorders>
            <w:gridSpan w:val="3"/>
            <w:shd w:val="clear" w:color="auto" w:fill="0000EE"/>
          </w:tcPr>
          <w:p>
            <w:pPr>
              <w:spacing w:after="0" w:line="20" w:lineRule="exact"/>
              <w:rPr>
                <w:sz w:val="1"/>
                <w:szCs w:val="1"/>
                <w:color w:val="auto"/>
              </w:rPr>
            </w:pPr>
          </w:p>
        </w:tc>
        <w:tc>
          <w:tcPr>
            <w:tcW w:w="7820" w:type="dxa"/>
            <w:vAlign w:val="bottom"/>
            <w:gridSpan w:val="11"/>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gridSpan w:val="2"/>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Item 5.</w:t>
              </w:r>
            </w:hyperlink>
          </w:p>
        </w:tc>
        <w:tc>
          <w:tcPr>
            <w:tcW w:w="720" w:type="dxa"/>
            <w:vAlign w:val="bottom"/>
            <w:gridSpan w:val="4"/>
          </w:tcPr>
          <w:p>
            <w:pPr>
              <w:spacing w:after="0"/>
              <w:rPr>
                <w:sz w:val="24"/>
                <w:szCs w:val="24"/>
                <w:color w:val="auto"/>
              </w:rPr>
            </w:pPr>
          </w:p>
        </w:tc>
        <w:tc>
          <w:tcPr>
            <w:tcW w:w="9640" w:type="dxa"/>
            <w:vAlign w:val="bottom"/>
            <w:gridSpan w:val="20"/>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Other Information</w:t>
              </w:r>
            </w:hyperlink>
          </w:p>
        </w:tc>
        <w:tc>
          <w:tcPr>
            <w:tcW w:w="540" w:type="dxa"/>
            <w:vAlign w:val="bottom"/>
          </w:tcPr>
          <w:p>
            <w:pPr>
              <w:jc w:val="right"/>
              <w:ind w:right="9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8320" w:type="dxa"/>
            <w:vAlign w:val="bottom"/>
            <w:gridSpan w:val="1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gridSpan w:val="2"/>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Item 6.</w:t>
              </w:r>
            </w:hyperlink>
          </w:p>
        </w:tc>
        <w:tc>
          <w:tcPr>
            <w:tcW w:w="720" w:type="dxa"/>
            <w:vAlign w:val="bottom"/>
            <w:gridSpan w:val="4"/>
          </w:tcPr>
          <w:p>
            <w:pPr>
              <w:spacing w:after="0"/>
              <w:rPr>
                <w:sz w:val="24"/>
                <w:szCs w:val="24"/>
                <w:color w:val="auto"/>
              </w:rPr>
            </w:pPr>
          </w:p>
        </w:tc>
        <w:tc>
          <w:tcPr>
            <w:tcW w:w="9640" w:type="dxa"/>
            <w:vAlign w:val="bottom"/>
            <w:gridSpan w:val="20"/>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Exhibits</w:t>
              </w:r>
            </w:hyperlink>
          </w:p>
        </w:tc>
        <w:tc>
          <w:tcPr>
            <w:tcW w:w="540" w:type="dxa"/>
            <w:vAlign w:val="bottom"/>
          </w:tcPr>
          <w:p>
            <w:pPr>
              <w:jc w:val="right"/>
              <w:ind w:right="9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40" w:type="dxa"/>
            <w:vAlign w:val="bottom"/>
            <w:gridSpan w:val="6"/>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Signatures</w:t>
              </w:r>
            </w:hyperlink>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jc w:val="right"/>
              <w:ind w:right="9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60" w:type="dxa"/>
            <w:vAlign w:val="bottom"/>
            <w:tcBorders>
              <w:top w:val="single" w:sz="8" w:color="0000EE"/>
            </w:tcBorders>
          </w:tcPr>
          <w:p>
            <w:pPr>
              <w:spacing w:after="0"/>
              <w:rPr>
                <w:sz w:val="17"/>
                <w:szCs w:val="17"/>
                <w:color w:val="auto"/>
              </w:rPr>
            </w:pPr>
          </w:p>
        </w:tc>
        <w:tc>
          <w:tcPr>
            <w:tcW w:w="600" w:type="dxa"/>
            <w:vAlign w:val="bottom"/>
            <w:tcBorders>
              <w:top w:val="single" w:sz="8" w:color="0000EE"/>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89"/>
              </w:rPr>
              <w:t>EX-31.1</w:t>
            </w:r>
          </w:p>
        </w:tc>
        <w:tc>
          <w:tcPr>
            <w:tcW w:w="100" w:type="dxa"/>
            <w:vAlign w:val="bottom"/>
            <w:tcBorders>
              <w:top w:val="single" w:sz="8" w:color="0000EE"/>
            </w:tcBorders>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0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89"/>
              </w:rPr>
              <w:t>EX-31.2</w:t>
            </w:r>
          </w:p>
        </w:tc>
        <w:tc>
          <w:tcPr>
            <w:tcW w:w="58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0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89"/>
              </w:rPr>
              <w:t>EX-32.1</w:t>
            </w:r>
          </w:p>
        </w:tc>
        <w:tc>
          <w:tcPr>
            <w:tcW w:w="58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EX-32.2</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INSTANCE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SCHEMA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CALCULATION LINKBASE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LABELS LINKBASE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PRESENTATION LINKBASE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DEFINITION LINKBASE DOCUMENT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60" w:type="dxa"/>
            <w:vAlign w:val="bottom"/>
            <w:gridSpan w:val="3"/>
          </w:tcPr>
          <w:p>
            <w:pPr>
              <w:jc w:val="right"/>
              <w:ind w:right="791"/>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2480" w:type="dxa"/>
            <w:vAlign w:val="bottom"/>
            <w:gridSpan w:val="3"/>
          </w:tcPr>
          <w:p>
            <w:pPr>
              <w:jc w:val="right"/>
              <w:ind w:right="73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6"/>
        </w:trPr>
        <w:tc>
          <w:tcPr>
            <w:tcW w:w="5580" w:type="dxa"/>
            <w:vAlign w:val="bottom"/>
            <w:gridSpan w:val="2"/>
            <w:vMerge w:val="restart"/>
          </w:tcPr>
          <w:p>
            <w:pPr>
              <w:spacing w:after="0"/>
              <w:rPr>
                <w:sz w:val="20"/>
                <w:szCs w:val="20"/>
                <w:color w:val="auto"/>
              </w:rPr>
            </w:pPr>
            <w:r>
              <w:rPr>
                <w:rFonts w:ascii="Arial" w:cs="Arial" w:eastAsia="Arial" w:hAnsi="Arial"/>
                <w:sz w:val="14"/>
                <w:szCs w:val="14"/>
                <w:color w:val="auto"/>
              </w:rPr>
              <w:t>(In Thousands of Dollars, Except Per Share Data)</w:t>
            </w:r>
          </w:p>
        </w:tc>
        <w:tc>
          <w:tcPr>
            <w:tcW w:w="280" w:type="dxa"/>
            <w:vAlign w:val="bottom"/>
          </w:tcPr>
          <w:p>
            <w:pPr>
              <w:spacing w:after="0"/>
              <w:rPr>
                <w:sz w:val="16"/>
                <w:szCs w:val="16"/>
                <w:color w:val="auto"/>
              </w:rPr>
            </w:pPr>
          </w:p>
        </w:tc>
        <w:tc>
          <w:tcPr>
            <w:tcW w:w="68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2011</w:t>
            </w:r>
          </w:p>
        </w:tc>
        <w:tc>
          <w:tcPr>
            <w:tcW w:w="900" w:type="dxa"/>
            <w:vAlign w:val="bottom"/>
          </w:tcPr>
          <w:p>
            <w:pPr>
              <w:jc w:val="right"/>
              <w:ind w:right="214"/>
              <w:spacing w:after="0"/>
              <w:rPr>
                <w:sz w:val="20"/>
                <w:szCs w:val="20"/>
                <w:color w:val="auto"/>
              </w:rPr>
            </w:pPr>
            <w:r>
              <w:rPr>
                <w:rFonts w:ascii="Arial" w:cs="Arial" w:eastAsia="Arial" w:hAnsi="Arial"/>
                <w:sz w:val="14"/>
                <w:szCs w:val="14"/>
                <w:b w:val="1"/>
                <w:bCs w:val="1"/>
                <w:color w:val="auto"/>
              </w:rPr>
              <w:t>June 30,</w:t>
            </w:r>
          </w:p>
        </w:tc>
        <w:tc>
          <w:tcPr>
            <w:tcW w:w="980" w:type="dxa"/>
            <w:vAlign w:val="bottom"/>
            <w:vMerge w:val="restart"/>
          </w:tcPr>
          <w:p>
            <w:pPr>
              <w:jc w:val="right"/>
              <w:ind w:right="511"/>
              <w:spacing w:after="0"/>
              <w:rPr>
                <w:sz w:val="20"/>
                <w:szCs w:val="20"/>
                <w:color w:val="auto"/>
              </w:rPr>
            </w:pPr>
            <w:r>
              <w:rPr>
                <w:rFonts w:ascii="Arial" w:cs="Arial" w:eastAsia="Arial" w:hAnsi="Arial"/>
                <w:sz w:val="14"/>
                <w:szCs w:val="14"/>
                <w:b w:val="1"/>
                <w:bCs w:val="1"/>
                <w:color w:val="auto"/>
              </w:rPr>
              <w:t>2010</w:t>
            </w:r>
          </w:p>
        </w:tc>
        <w:tc>
          <w:tcPr>
            <w:tcW w:w="520" w:type="dxa"/>
            <w:vAlign w:val="bottom"/>
          </w:tcPr>
          <w:p>
            <w:pPr>
              <w:spacing w:after="0"/>
              <w:rPr>
                <w:sz w:val="16"/>
                <w:szCs w:val="16"/>
                <w:color w:val="auto"/>
              </w:rPr>
            </w:pPr>
          </w:p>
        </w:tc>
        <w:tc>
          <w:tcPr>
            <w:tcW w:w="74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2011</w:t>
            </w:r>
          </w:p>
        </w:tc>
        <w:tc>
          <w:tcPr>
            <w:tcW w:w="860" w:type="dxa"/>
            <w:vAlign w:val="bottom"/>
          </w:tcPr>
          <w:p>
            <w:pPr>
              <w:jc w:val="right"/>
              <w:ind w:right="154"/>
              <w:spacing w:after="0"/>
              <w:rPr>
                <w:sz w:val="20"/>
                <w:szCs w:val="20"/>
                <w:color w:val="auto"/>
              </w:rPr>
            </w:pPr>
            <w:r>
              <w:rPr>
                <w:rFonts w:ascii="Arial" w:cs="Arial" w:eastAsia="Arial" w:hAnsi="Arial"/>
                <w:sz w:val="14"/>
                <w:szCs w:val="14"/>
                <w:b w:val="1"/>
                <w:bCs w:val="1"/>
                <w:color w:val="auto"/>
              </w:rPr>
              <w:t>June 30,</w:t>
            </w:r>
          </w:p>
        </w:tc>
        <w:tc>
          <w:tcPr>
            <w:tcW w:w="88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141"/>
        </w:trPr>
        <w:tc>
          <w:tcPr>
            <w:tcW w:w="55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9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8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86"/>
              </w:rPr>
              <w:t>115,922</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ind w:right="391"/>
              <w:spacing w:after="0"/>
              <w:rPr>
                <w:sz w:val="20"/>
                <w:szCs w:val="20"/>
                <w:color w:val="auto"/>
              </w:rPr>
            </w:pPr>
            <w:r>
              <w:rPr>
                <w:rFonts w:ascii="Arial" w:cs="Arial" w:eastAsia="Arial" w:hAnsi="Arial"/>
                <w:sz w:val="18"/>
                <w:szCs w:val="18"/>
                <w:color w:val="auto"/>
                <w:w w:val="87"/>
              </w:rPr>
              <w:t>92,693</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86"/>
              </w:rPr>
              <w:t>227,229</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w w:val="89"/>
              </w:rPr>
              <w:t>178,033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60" w:type="dxa"/>
            <w:vAlign w:val="bottom"/>
          </w:tcPr>
          <w:p>
            <w:pPr>
              <w:spacing w:after="0" w:line="201" w:lineRule="exact"/>
              <w:rPr>
                <w:sz w:val="20"/>
                <w:szCs w:val="20"/>
                <w:color w:val="auto"/>
              </w:rPr>
            </w:pPr>
            <w:r>
              <w:rPr>
                <w:rFonts w:ascii="Arial" w:cs="Arial" w:eastAsia="Arial" w:hAnsi="Arial"/>
                <w:sz w:val="18"/>
                <w:szCs w:val="18"/>
                <w:color w:val="auto"/>
              </w:rPr>
              <w:t>Cost of products sold (exclusive of depreciation and amortization</w:t>
            </w: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60" w:type="dxa"/>
            <w:vAlign w:val="bottom"/>
          </w:tcPr>
          <w:p>
            <w:pPr>
              <w:ind w:left="200"/>
              <w:spacing w:after="0"/>
              <w:rPr>
                <w:sz w:val="20"/>
                <w:szCs w:val="20"/>
                <w:color w:val="auto"/>
              </w:rPr>
            </w:pPr>
            <w:r>
              <w:rPr>
                <w:rFonts w:ascii="Arial" w:cs="Arial" w:eastAsia="Arial" w:hAnsi="Arial"/>
                <w:sz w:val="18"/>
                <w:szCs w:val="18"/>
                <w:color w:val="auto"/>
              </w:rPr>
              <w:t>shown separately below)</w:t>
            </w:r>
          </w:p>
        </w:tc>
        <w:tc>
          <w:tcPr>
            <w:tcW w:w="280" w:type="dxa"/>
            <w:vAlign w:val="bottom"/>
          </w:tcPr>
          <w:p>
            <w:pPr>
              <w:spacing w:after="0"/>
              <w:rPr>
                <w:sz w:val="20"/>
                <w:szCs w:val="20"/>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94,657</w:t>
            </w:r>
          </w:p>
        </w:tc>
        <w:tc>
          <w:tcPr>
            <w:tcW w:w="900" w:type="dxa"/>
            <w:vAlign w:val="bottom"/>
          </w:tcPr>
          <w:p>
            <w:pPr>
              <w:spacing w:after="0"/>
              <w:rPr>
                <w:sz w:val="20"/>
                <w:szCs w:val="20"/>
                <w:color w:val="auto"/>
              </w:rPr>
            </w:pPr>
          </w:p>
        </w:tc>
        <w:tc>
          <w:tcPr>
            <w:tcW w:w="980" w:type="dxa"/>
            <w:vAlign w:val="bottom"/>
          </w:tcPr>
          <w:p>
            <w:pPr>
              <w:jc w:val="right"/>
              <w:ind w:right="391"/>
              <w:spacing w:after="0"/>
              <w:rPr>
                <w:sz w:val="20"/>
                <w:szCs w:val="20"/>
                <w:color w:val="auto"/>
              </w:rPr>
            </w:pPr>
            <w:r>
              <w:rPr>
                <w:rFonts w:ascii="Arial" w:cs="Arial" w:eastAsia="Arial" w:hAnsi="Arial"/>
                <w:sz w:val="18"/>
                <w:szCs w:val="18"/>
                <w:color w:val="auto"/>
                <w:w w:val="87"/>
              </w:rPr>
              <w:t>73,423</w:t>
            </w:r>
          </w:p>
        </w:tc>
        <w:tc>
          <w:tcPr>
            <w:tcW w:w="520" w:type="dxa"/>
            <w:vAlign w:val="bottom"/>
          </w:tcPr>
          <w:p>
            <w:pPr>
              <w:spacing w:after="0"/>
              <w:rPr>
                <w:sz w:val="20"/>
                <w:szCs w:val="20"/>
                <w:color w:val="auto"/>
              </w:rPr>
            </w:pPr>
          </w:p>
        </w:tc>
        <w:tc>
          <w:tcPr>
            <w:tcW w:w="740" w:type="dxa"/>
            <w:vAlign w:val="bottom"/>
          </w:tcPr>
          <w:p>
            <w:pPr>
              <w:jc w:val="right"/>
              <w:ind w:right="72"/>
              <w:spacing w:after="0"/>
              <w:rPr>
                <w:sz w:val="20"/>
                <w:szCs w:val="20"/>
                <w:color w:val="auto"/>
              </w:rPr>
            </w:pPr>
            <w:r>
              <w:rPr>
                <w:rFonts w:ascii="Arial" w:cs="Arial" w:eastAsia="Arial" w:hAnsi="Arial"/>
                <w:sz w:val="18"/>
                <w:szCs w:val="18"/>
                <w:color w:val="auto"/>
                <w:w w:val="86"/>
              </w:rPr>
              <w:t>184,955</w:t>
            </w:r>
          </w:p>
        </w:tc>
        <w:tc>
          <w:tcPr>
            <w:tcW w:w="860" w:type="dxa"/>
            <w:vAlign w:val="bottom"/>
          </w:tcPr>
          <w:p>
            <w:pPr>
              <w:spacing w:after="0"/>
              <w:rPr>
                <w:sz w:val="20"/>
                <w:szCs w:val="20"/>
                <w:color w:val="auto"/>
              </w:rPr>
            </w:pPr>
          </w:p>
        </w:tc>
        <w:tc>
          <w:tcPr>
            <w:tcW w:w="880" w:type="dxa"/>
            <w:vAlign w:val="bottom"/>
          </w:tcPr>
          <w:p>
            <w:pPr>
              <w:jc w:val="right"/>
              <w:ind w:right="191"/>
              <w:spacing w:after="0"/>
              <w:rPr>
                <w:sz w:val="20"/>
                <w:szCs w:val="20"/>
                <w:color w:val="auto"/>
              </w:rPr>
            </w:pPr>
            <w:r>
              <w:rPr>
                <w:rFonts w:ascii="Arial" w:cs="Arial" w:eastAsia="Arial" w:hAnsi="Arial"/>
                <w:sz w:val="18"/>
                <w:szCs w:val="18"/>
                <w:color w:val="auto"/>
                <w:w w:val="89"/>
              </w:rPr>
              <w:t>142,339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7,720</w:t>
            </w:r>
          </w:p>
        </w:tc>
        <w:tc>
          <w:tcPr>
            <w:tcW w:w="9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7,150</w:t>
            </w: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15,686</w:t>
            </w:r>
          </w:p>
        </w:tc>
        <w:tc>
          <w:tcPr>
            <w:tcW w:w="8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15,040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8"/>
                <w:szCs w:val="18"/>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4,291</w:t>
            </w:r>
          </w:p>
        </w:tc>
        <w:tc>
          <w:tcPr>
            <w:tcW w:w="900" w:type="dxa"/>
            <w:vAlign w:val="bottom"/>
          </w:tcPr>
          <w:p>
            <w:pPr>
              <w:spacing w:after="0"/>
              <w:rPr>
                <w:sz w:val="18"/>
                <w:szCs w:val="18"/>
                <w:color w:val="auto"/>
              </w:rPr>
            </w:pPr>
          </w:p>
        </w:tc>
        <w:tc>
          <w:tcPr>
            <w:tcW w:w="980" w:type="dxa"/>
            <w:vAlign w:val="bottom"/>
          </w:tcPr>
          <w:p>
            <w:pPr>
              <w:jc w:val="right"/>
              <w:ind w:right="391"/>
              <w:spacing w:after="0"/>
              <w:rPr>
                <w:sz w:val="20"/>
                <w:szCs w:val="20"/>
                <w:color w:val="auto"/>
              </w:rPr>
            </w:pPr>
            <w:r>
              <w:rPr>
                <w:rFonts w:ascii="Arial" w:cs="Arial" w:eastAsia="Arial" w:hAnsi="Arial"/>
                <w:sz w:val="18"/>
                <w:szCs w:val="18"/>
                <w:color w:val="auto"/>
              </w:rPr>
              <w:t>4,842</w:t>
            </w:r>
          </w:p>
        </w:tc>
        <w:tc>
          <w:tcPr>
            <w:tcW w:w="520" w:type="dxa"/>
            <w:vAlign w:val="bottom"/>
          </w:tcPr>
          <w:p>
            <w:pPr>
              <w:spacing w:after="0"/>
              <w:rPr>
                <w:sz w:val="18"/>
                <w:szCs w:val="18"/>
                <w:color w:val="auto"/>
              </w:rPr>
            </w:pP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8,326</w:t>
            </w:r>
          </w:p>
        </w:tc>
        <w:tc>
          <w:tcPr>
            <w:tcW w:w="860" w:type="dxa"/>
            <w:vAlign w:val="bottom"/>
          </w:tcPr>
          <w:p>
            <w:pPr>
              <w:spacing w:after="0"/>
              <w:rPr>
                <w:sz w:val="18"/>
                <w:szCs w:val="18"/>
                <w:color w:val="auto"/>
              </w:rPr>
            </w:pPr>
          </w:p>
        </w:tc>
        <w:tc>
          <w:tcPr>
            <w:tcW w:w="880" w:type="dxa"/>
            <w:vAlign w:val="bottom"/>
          </w:tcPr>
          <w:p>
            <w:pPr>
              <w:jc w:val="right"/>
              <w:ind w:right="191"/>
              <w:spacing w:after="0"/>
              <w:rPr>
                <w:sz w:val="20"/>
                <w:szCs w:val="20"/>
                <w:color w:val="auto"/>
              </w:rPr>
            </w:pPr>
            <w:r>
              <w:rPr>
                <w:rFonts w:ascii="Arial" w:cs="Arial" w:eastAsia="Arial" w:hAnsi="Arial"/>
                <w:sz w:val="18"/>
                <w:szCs w:val="18"/>
                <w:color w:val="auto"/>
              </w:rPr>
              <w:t>10,962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Loss on disposal of assets</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9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2</w:t>
            </w: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w:t>
            </w:r>
          </w:p>
        </w:tc>
        <w:tc>
          <w:tcPr>
            <w:tcW w:w="8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Restructuring and impairment charges</w:t>
            </w:r>
          </w:p>
        </w:tc>
        <w:tc>
          <w:tcPr>
            <w:tcW w:w="280" w:type="dxa"/>
            <w:vAlign w:val="bottom"/>
          </w:tcPr>
          <w:p>
            <w:pPr>
              <w:spacing w:after="0"/>
              <w:rPr>
                <w:sz w:val="18"/>
                <w:szCs w:val="18"/>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980" w:type="dxa"/>
            <w:vAlign w:val="bottom"/>
          </w:tcPr>
          <w:p>
            <w:pPr>
              <w:jc w:val="right"/>
              <w:ind w:right="391"/>
              <w:spacing w:after="0"/>
              <w:rPr>
                <w:sz w:val="20"/>
                <w:szCs w:val="20"/>
                <w:color w:val="auto"/>
              </w:rPr>
            </w:pPr>
            <w:r>
              <w:rPr>
                <w:rFonts w:ascii="Arial" w:cs="Arial" w:eastAsia="Arial" w:hAnsi="Arial"/>
                <w:sz w:val="18"/>
                <w:szCs w:val="18"/>
                <w:color w:val="auto"/>
              </w:rPr>
              <w:t>667</w:t>
            </w:r>
          </w:p>
        </w:tc>
        <w:tc>
          <w:tcPr>
            <w:tcW w:w="520" w:type="dxa"/>
            <w:vAlign w:val="bottom"/>
          </w:tcPr>
          <w:p>
            <w:pPr>
              <w:spacing w:after="0"/>
              <w:rPr>
                <w:sz w:val="18"/>
                <w:szCs w:val="18"/>
                <w:color w:val="auto"/>
              </w:rPr>
            </w:pP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880" w:type="dxa"/>
            <w:vAlign w:val="bottom"/>
          </w:tcPr>
          <w:p>
            <w:pPr>
              <w:jc w:val="right"/>
              <w:ind w:right="191"/>
              <w:spacing w:after="0"/>
              <w:rPr>
                <w:sz w:val="20"/>
                <w:szCs w:val="20"/>
                <w:color w:val="auto"/>
              </w:rPr>
            </w:pPr>
            <w:r>
              <w:rPr>
                <w:rFonts w:ascii="Arial" w:cs="Arial" w:eastAsia="Arial" w:hAnsi="Arial"/>
                <w:sz w:val="18"/>
                <w:szCs w:val="18"/>
                <w:color w:val="auto"/>
              </w:rPr>
              <w:t>1,236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Gain from deconsolidation of bankrupt subsidiary</w:t>
            </w: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91"/>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(209)</w:t>
            </w:r>
          </w:p>
        </w:tc>
        <w:tc>
          <w:tcPr>
            <w:tcW w:w="8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58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280" w:type="dxa"/>
            <w:vAlign w:val="bottom"/>
          </w:tcPr>
          <w:p>
            <w:pPr>
              <w:spacing w:after="0"/>
              <w:rPr>
                <w:sz w:val="19"/>
                <w:szCs w:val="19"/>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9,251</w:t>
            </w:r>
          </w:p>
        </w:tc>
        <w:tc>
          <w:tcPr>
            <w:tcW w:w="900" w:type="dxa"/>
            <w:vAlign w:val="bottom"/>
          </w:tcPr>
          <w:p>
            <w:pPr>
              <w:spacing w:after="0"/>
              <w:rPr>
                <w:sz w:val="19"/>
                <w:szCs w:val="19"/>
                <w:color w:val="auto"/>
              </w:rPr>
            </w:pPr>
          </w:p>
        </w:tc>
        <w:tc>
          <w:tcPr>
            <w:tcW w:w="980" w:type="dxa"/>
            <w:vAlign w:val="bottom"/>
          </w:tcPr>
          <w:p>
            <w:pPr>
              <w:jc w:val="right"/>
              <w:ind w:right="391"/>
              <w:spacing w:after="0"/>
              <w:rPr>
                <w:sz w:val="20"/>
                <w:szCs w:val="20"/>
                <w:color w:val="auto"/>
              </w:rPr>
            </w:pPr>
            <w:r>
              <w:rPr>
                <w:rFonts w:ascii="Arial" w:cs="Arial" w:eastAsia="Arial" w:hAnsi="Arial"/>
                <w:sz w:val="18"/>
                <w:szCs w:val="18"/>
                <w:color w:val="auto"/>
              </w:rPr>
              <w:t>6,609</w:t>
            </w:r>
          </w:p>
        </w:tc>
        <w:tc>
          <w:tcPr>
            <w:tcW w:w="520" w:type="dxa"/>
            <w:vAlign w:val="bottom"/>
          </w:tcPr>
          <w:p>
            <w:pPr>
              <w:spacing w:after="0"/>
              <w:rPr>
                <w:sz w:val="19"/>
                <w:szCs w:val="19"/>
                <w:color w:val="auto"/>
              </w:rPr>
            </w:pP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18,468</w:t>
            </w:r>
          </w:p>
        </w:tc>
        <w:tc>
          <w:tcPr>
            <w:tcW w:w="860" w:type="dxa"/>
            <w:vAlign w:val="bottom"/>
          </w:tcPr>
          <w:p>
            <w:pPr>
              <w:spacing w:after="0"/>
              <w:rPr>
                <w:sz w:val="19"/>
                <w:szCs w:val="19"/>
                <w:color w:val="auto"/>
              </w:rPr>
            </w:pPr>
          </w:p>
        </w:tc>
        <w:tc>
          <w:tcPr>
            <w:tcW w:w="880" w:type="dxa"/>
            <w:vAlign w:val="bottom"/>
          </w:tcPr>
          <w:p>
            <w:pPr>
              <w:jc w:val="right"/>
              <w:ind w:right="191"/>
              <w:spacing w:after="0"/>
              <w:rPr>
                <w:sz w:val="20"/>
                <w:szCs w:val="20"/>
                <w:color w:val="auto"/>
              </w:rPr>
            </w:pPr>
            <w:r>
              <w:rPr>
                <w:rFonts w:ascii="Arial" w:cs="Arial" w:eastAsia="Arial" w:hAnsi="Arial"/>
                <w:sz w:val="18"/>
                <w:szCs w:val="18"/>
                <w:color w:val="auto"/>
              </w:rPr>
              <w:t>8,453</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1,220</w:t>
            </w:r>
          </w:p>
        </w:tc>
        <w:tc>
          <w:tcPr>
            <w:tcW w:w="9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1,755</w:t>
            </w: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2,444</w:t>
            </w:r>
          </w:p>
        </w:tc>
        <w:tc>
          <w:tcPr>
            <w:tcW w:w="8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3,483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Write-off of unamortized debt issuance costs</w:t>
            </w:r>
          </w:p>
        </w:tc>
        <w:tc>
          <w:tcPr>
            <w:tcW w:w="280" w:type="dxa"/>
            <w:vAlign w:val="bottom"/>
          </w:tcPr>
          <w:p>
            <w:pPr>
              <w:spacing w:after="0"/>
              <w:rPr>
                <w:sz w:val="18"/>
                <w:szCs w:val="18"/>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980" w:type="dxa"/>
            <w:vAlign w:val="bottom"/>
          </w:tcPr>
          <w:p>
            <w:pPr>
              <w:jc w:val="right"/>
              <w:ind w:right="391"/>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880" w:type="dxa"/>
            <w:vAlign w:val="bottom"/>
          </w:tcPr>
          <w:p>
            <w:pPr>
              <w:jc w:val="right"/>
              <w:ind w:right="191"/>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155</w:t>
            </w:r>
          </w:p>
        </w:tc>
        <w:tc>
          <w:tcPr>
            <w:tcW w:w="9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color w:val="auto"/>
                <w:w w:val="94"/>
              </w:rPr>
              <w:t>(1,789)</w:t>
            </w:r>
          </w:p>
        </w:tc>
        <w:tc>
          <w:tcPr>
            <w:tcW w:w="5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1,191</w:t>
            </w:r>
          </w:p>
        </w:tc>
        <w:tc>
          <w:tcPr>
            <w:tcW w:w="8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(2,977)</w:t>
            </w:r>
          </w:p>
        </w:tc>
        <w:tc>
          <w:tcPr>
            <w:tcW w:w="0" w:type="dxa"/>
            <w:vAlign w:val="bottom"/>
          </w:tcPr>
          <w:p>
            <w:pPr>
              <w:spacing w:after="0"/>
              <w:rPr>
                <w:sz w:val="1"/>
                <w:szCs w:val="1"/>
                <w:color w:val="auto"/>
              </w:rPr>
            </w:pPr>
          </w:p>
        </w:tc>
      </w:tr>
      <w:tr>
        <w:trPr>
          <w:trHeight w:val="223"/>
        </w:trPr>
        <w:tc>
          <w:tcPr>
            <w:tcW w:w="5580" w:type="dxa"/>
            <w:vAlign w:val="bottom"/>
            <w:gridSpan w:val="2"/>
          </w:tcPr>
          <w:p>
            <w:pPr>
              <w:spacing w:after="0"/>
              <w:rPr>
                <w:sz w:val="20"/>
                <w:szCs w:val="20"/>
                <w:color w:val="auto"/>
              </w:rPr>
            </w:pPr>
            <w:r>
              <w:rPr>
                <w:rFonts w:ascii="Arial" w:cs="Arial" w:eastAsia="Arial" w:hAnsi="Arial"/>
                <w:sz w:val="18"/>
                <w:szCs w:val="18"/>
                <w:color w:val="auto"/>
              </w:rPr>
              <w:t>Income before provision for income taxes</w:t>
            </w:r>
          </w:p>
        </w:tc>
        <w:tc>
          <w:tcPr>
            <w:tcW w:w="280" w:type="dxa"/>
            <w:vAlign w:val="bottom"/>
          </w:tcPr>
          <w:p>
            <w:pPr>
              <w:spacing w:after="0"/>
              <w:rPr>
                <w:sz w:val="19"/>
                <w:szCs w:val="19"/>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7,876</w:t>
            </w:r>
          </w:p>
        </w:tc>
        <w:tc>
          <w:tcPr>
            <w:tcW w:w="900" w:type="dxa"/>
            <w:vAlign w:val="bottom"/>
          </w:tcPr>
          <w:p>
            <w:pPr>
              <w:spacing w:after="0"/>
              <w:rPr>
                <w:sz w:val="19"/>
                <w:szCs w:val="19"/>
                <w:color w:val="auto"/>
              </w:rPr>
            </w:pPr>
          </w:p>
        </w:tc>
        <w:tc>
          <w:tcPr>
            <w:tcW w:w="980" w:type="dxa"/>
            <w:vAlign w:val="bottom"/>
          </w:tcPr>
          <w:p>
            <w:pPr>
              <w:jc w:val="right"/>
              <w:ind w:right="391"/>
              <w:spacing w:after="0"/>
              <w:rPr>
                <w:sz w:val="20"/>
                <w:szCs w:val="20"/>
                <w:color w:val="auto"/>
              </w:rPr>
            </w:pPr>
            <w:r>
              <w:rPr>
                <w:rFonts w:ascii="Arial" w:cs="Arial" w:eastAsia="Arial" w:hAnsi="Arial"/>
                <w:sz w:val="18"/>
                <w:szCs w:val="18"/>
                <w:color w:val="auto"/>
              </w:rPr>
              <w:t>6,643</w:t>
            </w:r>
          </w:p>
        </w:tc>
        <w:tc>
          <w:tcPr>
            <w:tcW w:w="520" w:type="dxa"/>
            <w:vAlign w:val="bottom"/>
          </w:tcPr>
          <w:p>
            <w:pPr>
              <w:spacing w:after="0"/>
              <w:rPr>
                <w:sz w:val="19"/>
                <w:szCs w:val="19"/>
                <w:color w:val="auto"/>
              </w:rPr>
            </w:pP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14,833</w:t>
            </w:r>
          </w:p>
        </w:tc>
        <w:tc>
          <w:tcPr>
            <w:tcW w:w="860" w:type="dxa"/>
            <w:vAlign w:val="bottom"/>
          </w:tcPr>
          <w:p>
            <w:pPr>
              <w:spacing w:after="0"/>
              <w:rPr>
                <w:sz w:val="19"/>
                <w:szCs w:val="19"/>
                <w:color w:val="auto"/>
              </w:rPr>
            </w:pPr>
          </w:p>
        </w:tc>
        <w:tc>
          <w:tcPr>
            <w:tcW w:w="880" w:type="dxa"/>
            <w:vAlign w:val="bottom"/>
          </w:tcPr>
          <w:p>
            <w:pPr>
              <w:jc w:val="right"/>
              <w:ind w:right="191"/>
              <w:spacing w:after="0"/>
              <w:rPr>
                <w:sz w:val="20"/>
                <w:szCs w:val="20"/>
                <w:color w:val="auto"/>
              </w:rPr>
            </w:pPr>
            <w:r>
              <w:rPr>
                <w:rFonts w:ascii="Arial" w:cs="Arial" w:eastAsia="Arial" w:hAnsi="Arial"/>
                <w:sz w:val="18"/>
                <w:szCs w:val="18"/>
                <w:color w:val="auto"/>
              </w:rPr>
              <w:t>7,817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2,049</w:t>
            </w:r>
          </w:p>
        </w:tc>
        <w:tc>
          <w:tcPr>
            <w:tcW w:w="9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91"/>
              <w:spacing w:after="0"/>
              <w:rPr>
                <w:sz w:val="20"/>
                <w:szCs w:val="20"/>
                <w:color w:val="auto"/>
              </w:rPr>
            </w:pPr>
            <w:r>
              <w:rPr>
                <w:rFonts w:ascii="Arial" w:cs="Arial" w:eastAsia="Arial" w:hAnsi="Arial"/>
                <w:sz w:val="18"/>
                <w:szCs w:val="18"/>
                <w:color w:val="auto"/>
              </w:rPr>
              <w:t>1,520</w:t>
            </w:r>
          </w:p>
        </w:tc>
        <w:tc>
          <w:tcPr>
            <w:tcW w:w="5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3,499</w:t>
            </w:r>
          </w:p>
        </w:tc>
        <w:tc>
          <w:tcPr>
            <w:tcW w:w="8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2,469</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6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280" w:type="dxa"/>
            <w:vAlign w:val="bottom"/>
          </w:tcPr>
          <w:p>
            <w:pPr>
              <w:spacing w:after="0"/>
              <w:rPr>
                <w:sz w:val="19"/>
                <w:szCs w:val="19"/>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5,827</w:t>
            </w:r>
          </w:p>
        </w:tc>
        <w:tc>
          <w:tcPr>
            <w:tcW w:w="900" w:type="dxa"/>
            <w:vAlign w:val="bottom"/>
          </w:tcPr>
          <w:p>
            <w:pPr>
              <w:spacing w:after="0"/>
              <w:rPr>
                <w:sz w:val="19"/>
                <w:szCs w:val="19"/>
                <w:color w:val="auto"/>
              </w:rPr>
            </w:pPr>
          </w:p>
        </w:tc>
        <w:tc>
          <w:tcPr>
            <w:tcW w:w="980" w:type="dxa"/>
            <w:vAlign w:val="bottom"/>
          </w:tcPr>
          <w:p>
            <w:pPr>
              <w:jc w:val="right"/>
              <w:ind w:right="391"/>
              <w:spacing w:after="0"/>
              <w:rPr>
                <w:sz w:val="20"/>
                <w:szCs w:val="20"/>
                <w:color w:val="auto"/>
              </w:rPr>
            </w:pPr>
            <w:r>
              <w:rPr>
                <w:rFonts w:ascii="Arial" w:cs="Arial" w:eastAsia="Arial" w:hAnsi="Arial"/>
                <w:sz w:val="18"/>
                <w:szCs w:val="18"/>
                <w:color w:val="auto"/>
              </w:rPr>
              <w:t>5,123</w:t>
            </w:r>
          </w:p>
        </w:tc>
        <w:tc>
          <w:tcPr>
            <w:tcW w:w="520" w:type="dxa"/>
            <w:vAlign w:val="bottom"/>
          </w:tcPr>
          <w:p>
            <w:pPr>
              <w:spacing w:after="0"/>
              <w:rPr>
                <w:sz w:val="19"/>
                <w:szCs w:val="19"/>
                <w:color w:val="auto"/>
              </w:rPr>
            </w:pP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11,334</w:t>
            </w:r>
          </w:p>
        </w:tc>
        <w:tc>
          <w:tcPr>
            <w:tcW w:w="860" w:type="dxa"/>
            <w:vAlign w:val="bottom"/>
          </w:tcPr>
          <w:p>
            <w:pPr>
              <w:spacing w:after="0"/>
              <w:rPr>
                <w:sz w:val="19"/>
                <w:szCs w:val="19"/>
                <w:color w:val="auto"/>
              </w:rPr>
            </w:pPr>
          </w:p>
        </w:tc>
        <w:tc>
          <w:tcPr>
            <w:tcW w:w="880" w:type="dxa"/>
            <w:vAlign w:val="bottom"/>
          </w:tcPr>
          <w:p>
            <w:pPr>
              <w:jc w:val="right"/>
              <w:ind w:right="191"/>
              <w:spacing w:after="0"/>
              <w:rPr>
                <w:sz w:val="20"/>
                <w:szCs w:val="20"/>
                <w:color w:val="auto"/>
              </w:rPr>
            </w:pPr>
            <w:r>
              <w:rPr>
                <w:rFonts w:ascii="Arial" w:cs="Arial" w:eastAsia="Arial" w:hAnsi="Arial"/>
                <w:sz w:val="18"/>
                <w:szCs w:val="18"/>
                <w:color w:val="auto"/>
              </w:rPr>
              <w:t>5,348</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Pr>
          <w:p>
            <w:pPr>
              <w:ind w:left="400"/>
              <w:spacing w:after="0"/>
              <w:rPr>
                <w:sz w:val="20"/>
                <w:szCs w:val="20"/>
                <w:color w:val="auto"/>
              </w:rPr>
            </w:pPr>
            <w:r>
              <w:rPr>
                <w:rFonts w:ascii="Arial" w:cs="Arial" w:eastAsia="Arial" w:hAnsi="Arial"/>
                <w:sz w:val="18"/>
                <w:szCs w:val="18"/>
                <w:color w:val="auto"/>
              </w:rPr>
              <w:t>Foreign currency translation gain (loss)</w:t>
            </w: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1,964</w:t>
            </w:r>
          </w:p>
        </w:tc>
        <w:tc>
          <w:tcPr>
            <w:tcW w:w="9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w w:val="94"/>
              </w:rPr>
              <w:t>(8,485)</w:t>
            </w:r>
          </w:p>
        </w:tc>
        <w:tc>
          <w:tcPr>
            <w:tcW w:w="5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8,494</w:t>
            </w:r>
          </w:p>
        </w:tc>
        <w:tc>
          <w:tcPr>
            <w:tcW w:w="8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95"/>
              </w:rPr>
              <w:t>(14,921)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Comprehensive income (loss )</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7,791</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color w:val="auto"/>
                <w:w w:val="94"/>
              </w:rPr>
              <w:t>(3,362)</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19,828</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(9,573)</w:t>
            </w:r>
          </w:p>
        </w:tc>
        <w:tc>
          <w:tcPr>
            <w:tcW w:w="0" w:type="dxa"/>
            <w:vAlign w:val="bottom"/>
          </w:tcPr>
          <w:p>
            <w:pPr>
              <w:spacing w:after="0"/>
              <w:rPr>
                <w:sz w:val="1"/>
                <w:szCs w:val="1"/>
                <w:color w:val="auto"/>
              </w:rPr>
            </w:pPr>
          </w:p>
        </w:tc>
      </w:tr>
      <w:tr>
        <w:trPr>
          <w:trHeight w:val="20"/>
        </w:trPr>
        <w:tc>
          <w:tcPr>
            <w:tcW w:w="5580" w:type="dxa"/>
            <w:vAlign w:val="bottom"/>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80" w:type="dxa"/>
            <w:vAlign w:val="bottom"/>
            <w:gridSpan w:val="2"/>
          </w:tcPr>
          <w:p>
            <w:pPr>
              <w:spacing w:after="0"/>
              <w:rPr>
                <w:sz w:val="20"/>
                <w:szCs w:val="20"/>
                <w:color w:val="auto"/>
              </w:rPr>
            </w:pPr>
            <w:r>
              <w:rPr>
                <w:rFonts w:ascii="Arial" w:cs="Arial" w:eastAsia="Arial" w:hAnsi="Arial"/>
                <w:sz w:val="18"/>
                <w:szCs w:val="18"/>
                <w:color w:val="auto"/>
              </w:rPr>
              <w:t>Basic income per common share:</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0.35</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rPr>
              <w:t>0.31</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0.68</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Weighted average shares outstanding</w:t>
            </w: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16,864</w:t>
            </w:r>
          </w:p>
        </w:tc>
        <w:tc>
          <w:tcPr>
            <w:tcW w:w="9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91"/>
              <w:spacing w:after="0"/>
              <w:rPr>
                <w:sz w:val="20"/>
                <w:szCs w:val="20"/>
                <w:color w:val="auto"/>
              </w:rPr>
            </w:pPr>
            <w:r>
              <w:rPr>
                <w:rFonts w:ascii="Arial" w:cs="Arial" w:eastAsia="Arial" w:hAnsi="Arial"/>
                <w:sz w:val="18"/>
                <w:szCs w:val="18"/>
                <w:color w:val="auto"/>
                <w:w w:val="87"/>
              </w:rPr>
              <w:t>16,522</w:t>
            </w:r>
          </w:p>
        </w:tc>
        <w:tc>
          <w:tcPr>
            <w:tcW w:w="5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16,733</w:t>
            </w:r>
          </w:p>
        </w:tc>
        <w:tc>
          <w:tcPr>
            <w:tcW w:w="8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16,388</w:t>
            </w:r>
          </w:p>
        </w:tc>
        <w:tc>
          <w:tcPr>
            <w:tcW w:w="0" w:type="dxa"/>
            <w:vAlign w:val="bottom"/>
          </w:tcPr>
          <w:p>
            <w:pPr>
              <w:spacing w:after="0"/>
              <w:rPr>
                <w:sz w:val="1"/>
                <w:szCs w:val="1"/>
                <w:color w:val="auto"/>
              </w:rPr>
            </w:pPr>
          </w:p>
        </w:tc>
      </w:tr>
      <w:tr>
        <w:trPr>
          <w:trHeight w:val="20"/>
        </w:trPr>
        <w:tc>
          <w:tcPr>
            <w:tcW w:w="5580" w:type="dxa"/>
            <w:vAlign w:val="bottom"/>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80" w:type="dxa"/>
            <w:vAlign w:val="bottom"/>
            <w:gridSpan w:val="2"/>
          </w:tcPr>
          <w:p>
            <w:pPr>
              <w:spacing w:after="0"/>
              <w:rPr>
                <w:sz w:val="20"/>
                <w:szCs w:val="20"/>
                <w:color w:val="auto"/>
              </w:rPr>
            </w:pPr>
            <w:r>
              <w:rPr>
                <w:rFonts w:ascii="Arial" w:cs="Arial" w:eastAsia="Arial" w:hAnsi="Arial"/>
                <w:sz w:val="18"/>
                <w:szCs w:val="18"/>
                <w:color w:val="auto"/>
              </w:rPr>
              <w:t>Diluted income per common share:</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0.34</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rPr>
              <w:t>0.31</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0.67</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Weighted average shares outstanding</w:t>
            </w: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17,119</w:t>
            </w:r>
          </w:p>
        </w:tc>
        <w:tc>
          <w:tcPr>
            <w:tcW w:w="9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91"/>
              <w:spacing w:after="0"/>
              <w:rPr>
                <w:sz w:val="20"/>
                <w:szCs w:val="20"/>
                <w:color w:val="auto"/>
              </w:rPr>
            </w:pPr>
            <w:r>
              <w:rPr>
                <w:rFonts w:ascii="Arial" w:cs="Arial" w:eastAsia="Arial" w:hAnsi="Arial"/>
                <w:sz w:val="18"/>
                <w:szCs w:val="18"/>
                <w:color w:val="auto"/>
                <w:w w:val="87"/>
              </w:rPr>
              <w:t>16,633</w:t>
            </w:r>
          </w:p>
        </w:tc>
        <w:tc>
          <w:tcPr>
            <w:tcW w:w="5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16,974</w:t>
            </w:r>
          </w:p>
        </w:tc>
        <w:tc>
          <w:tcPr>
            <w:tcW w:w="8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16,492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ind w:right="472"/>
              <w:spacing w:after="0"/>
              <w:rPr>
                <w:sz w:val="20"/>
                <w:szCs w:val="20"/>
                <w:color w:val="auto"/>
              </w:rPr>
            </w:pPr>
            <w:r>
              <w:rPr>
                <w:rFonts w:ascii="Arial" w:cs="Arial" w:eastAsia="Arial" w:hAnsi="Arial"/>
                <w:sz w:val="14"/>
                <w:szCs w:val="14"/>
                <w:b w:val="1"/>
                <w:bCs w:val="1"/>
                <w:color w:val="auto"/>
                <w:w w:val="96"/>
              </w:rPr>
              <w:t>June 30,</w:t>
            </w:r>
          </w:p>
        </w:tc>
        <w:tc>
          <w:tcPr>
            <w:tcW w:w="1620" w:type="dxa"/>
            <w:vAlign w:val="bottom"/>
            <w:gridSpan w:val="2"/>
          </w:tcPr>
          <w:p>
            <w:pPr>
              <w:jc w:val="right"/>
              <w:ind w:right="15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8"/>
        </w:trPr>
        <w:tc>
          <w:tcPr>
            <w:tcW w:w="8360" w:type="dxa"/>
            <w:vAlign w:val="bottom"/>
            <w:gridSpan w:val="2"/>
          </w:tcPr>
          <w:p>
            <w:pPr>
              <w:spacing w:after="0"/>
              <w:rPr>
                <w:sz w:val="20"/>
                <w:szCs w:val="20"/>
                <w:color w:val="auto"/>
              </w:rPr>
            </w:pPr>
            <w:r>
              <w:rPr>
                <w:rFonts w:ascii="Arial" w:cs="Arial" w:eastAsia="Arial" w:hAnsi="Arial"/>
                <w:sz w:val="14"/>
                <w:szCs w:val="14"/>
                <w:color w:val="auto"/>
              </w:rPr>
              <w:t>(In Thousands of Dollars)</w:t>
            </w:r>
          </w:p>
        </w:tc>
        <w:tc>
          <w:tcPr>
            <w:tcW w:w="320" w:type="dxa"/>
            <w:vAlign w:val="bottom"/>
          </w:tcPr>
          <w:p>
            <w:pPr>
              <w:spacing w:after="0"/>
              <w:rPr>
                <w:sz w:val="15"/>
                <w:szCs w:val="15"/>
                <w:color w:val="auto"/>
              </w:rPr>
            </w:pPr>
          </w:p>
        </w:tc>
        <w:tc>
          <w:tcPr>
            <w:tcW w:w="1120" w:type="dxa"/>
            <w:vAlign w:val="bottom"/>
          </w:tcPr>
          <w:p>
            <w:pPr>
              <w:jc w:val="right"/>
              <w:ind w:right="592"/>
              <w:spacing w:after="0"/>
              <w:rPr>
                <w:sz w:val="20"/>
                <w:szCs w:val="20"/>
                <w:color w:val="auto"/>
              </w:rPr>
            </w:pPr>
            <w:r>
              <w:rPr>
                <w:rFonts w:ascii="Arial" w:cs="Arial" w:eastAsia="Arial" w:hAnsi="Arial"/>
                <w:sz w:val="14"/>
                <w:szCs w:val="14"/>
                <w:b w:val="1"/>
                <w:bCs w:val="1"/>
                <w:color w:val="auto"/>
              </w:rPr>
              <w:t>2011</w:t>
            </w:r>
          </w:p>
        </w:tc>
        <w:tc>
          <w:tcPr>
            <w:tcW w:w="660" w:type="dxa"/>
            <w:vAlign w:val="bottom"/>
          </w:tcPr>
          <w:p>
            <w:pPr>
              <w:spacing w:after="0"/>
              <w:rPr>
                <w:sz w:val="15"/>
                <w:szCs w:val="15"/>
                <w:color w:val="auto"/>
              </w:rPr>
            </w:pPr>
          </w:p>
        </w:tc>
        <w:tc>
          <w:tcPr>
            <w:tcW w:w="960" w:type="dxa"/>
            <w:vAlign w:val="bottom"/>
          </w:tcPr>
          <w:p>
            <w:pPr>
              <w:jc w:val="right"/>
              <w:ind w:right="431"/>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9,923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5,556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200"/>
              <w:spacing w:after="0"/>
              <w:rPr>
                <w:sz w:val="20"/>
                <w:szCs w:val="20"/>
                <w:color w:val="auto"/>
              </w:rPr>
            </w:pPr>
            <w:r>
              <w:rPr>
                <w:rFonts w:ascii="Arial" w:cs="Arial" w:eastAsia="Arial" w:hAnsi="Arial"/>
                <w:sz w:val="18"/>
                <w:szCs w:val="18"/>
                <w:color w:val="auto"/>
              </w:rPr>
              <w:t>Accounts receivable, net of allowance for doubtful accounts of $440 and $473, respectively</w:t>
            </w:r>
          </w:p>
        </w:tc>
        <w:tc>
          <w:tcPr>
            <w:tcW w:w="320" w:type="dxa"/>
            <w:vAlign w:val="bottom"/>
          </w:tcPr>
          <w:p>
            <w:pPr>
              <w:spacing w:after="0"/>
              <w:rPr>
                <w:sz w:val="18"/>
                <w:szCs w:val="18"/>
                <w:color w:val="auto"/>
              </w:rPr>
            </w:pPr>
          </w:p>
        </w:tc>
        <w:tc>
          <w:tcPr>
            <w:tcW w:w="1120" w:type="dxa"/>
            <w:vAlign w:val="bottom"/>
          </w:tcPr>
          <w:p>
            <w:pPr>
              <w:jc w:val="right"/>
              <w:ind w:right="432"/>
              <w:spacing w:after="0"/>
              <w:rPr>
                <w:sz w:val="20"/>
                <w:szCs w:val="20"/>
                <w:color w:val="auto"/>
              </w:rPr>
            </w:pPr>
            <w:r>
              <w:rPr>
                <w:rFonts w:ascii="Arial" w:cs="Arial" w:eastAsia="Arial" w:hAnsi="Arial"/>
                <w:sz w:val="18"/>
                <w:szCs w:val="18"/>
                <w:color w:val="auto"/>
              </w:rPr>
              <w:t>81,547</w:t>
            </w:r>
          </w:p>
        </w:tc>
        <w:tc>
          <w:tcPr>
            <w:tcW w:w="660" w:type="dxa"/>
            <w:vAlign w:val="bottom"/>
          </w:tcPr>
          <w:p>
            <w:pPr>
              <w:spacing w:after="0"/>
              <w:rPr>
                <w:sz w:val="18"/>
                <w:szCs w:val="18"/>
                <w:color w:val="auto"/>
              </w:rPr>
            </w:pPr>
          </w:p>
        </w:tc>
        <w:tc>
          <w:tcPr>
            <w:tcW w:w="960" w:type="dxa"/>
            <w:vAlign w:val="bottom"/>
          </w:tcPr>
          <w:p>
            <w:pPr>
              <w:jc w:val="right"/>
              <w:ind w:right="271"/>
              <w:spacing w:after="0"/>
              <w:rPr>
                <w:sz w:val="20"/>
                <w:szCs w:val="20"/>
                <w:color w:val="auto"/>
              </w:rPr>
            </w:pPr>
            <w:r>
              <w:rPr>
                <w:rFonts w:ascii="Arial" w:cs="Arial" w:eastAsia="Arial" w:hAnsi="Arial"/>
                <w:sz w:val="18"/>
                <w:szCs w:val="18"/>
                <w:color w:val="auto"/>
              </w:rPr>
              <w:t>63,331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 net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42,654</w:t>
            </w:r>
          </w:p>
        </w:tc>
        <w:tc>
          <w:tcPr>
            <w:tcW w:w="6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41,882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Pr>
          <w:p>
            <w:pPr>
              <w:ind w:left="200"/>
              <w:spacing w:after="0"/>
              <w:rPr>
                <w:sz w:val="20"/>
                <w:szCs w:val="20"/>
                <w:color w:val="auto"/>
              </w:rPr>
            </w:pPr>
            <w:r>
              <w:rPr>
                <w:rFonts w:ascii="Arial" w:cs="Arial" w:eastAsia="Arial" w:hAnsi="Arial"/>
                <w:sz w:val="18"/>
                <w:szCs w:val="18"/>
                <w:color w:val="auto"/>
              </w:rPr>
              <w:t>Other current assets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rPr>
              <w:t>5,525</w:t>
            </w:r>
          </w:p>
        </w:tc>
        <w:tc>
          <w:tcPr>
            <w:tcW w:w="6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4,901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 assets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w w:val="89"/>
              </w:rPr>
              <w:t>139,649</w:t>
            </w:r>
          </w:p>
        </w:tc>
        <w:tc>
          <w:tcPr>
            <w:tcW w:w="6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w w:val="89"/>
              </w:rPr>
              <w:t>115,670</w:t>
            </w:r>
          </w:p>
        </w:tc>
        <w:tc>
          <w:tcPr>
            <w:tcW w:w="0" w:type="dxa"/>
            <w:vAlign w:val="bottom"/>
          </w:tcPr>
          <w:p>
            <w:pPr>
              <w:spacing w:after="0"/>
              <w:rPr>
                <w:sz w:val="1"/>
                <w:szCs w:val="1"/>
                <w:color w:val="auto"/>
              </w:rPr>
            </w:pPr>
          </w:p>
        </w:tc>
      </w:tr>
      <w:tr>
        <w:trPr>
          <w:trHeight w:val="432"/>
        </w:trPr>
        <w:tc>
          <w:tcPr>
            <w:tcW w:w="836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320" w:type="dxa"/>
            <w:vAlign w:val="bottom"/>
          </w:tcPr>
          <w:p>
            <w:pPr>
              <w:spacing w:after="0"/>
              <w:rPr>
                <w:sz w:val="24"/>
                <w:szCs w:val="24"/>
                <w:color w:val="auto"/>
              </w:rPr>
            </w:pPr>
          </w:p>
        </w:tc>
        <w:tc>
          <w:tcPr>
            <w:tcW w:w="1120" w:type="dxa"/>
            <w:vAlign w:val="bottom"/>
          </w:tcPr>
          <w:p>
            <w:pPr>
              <w:jc w:val="right"/>
              <w:ind w:right="432"/>
              <w:spacing w:after="0"/>
              <w:rPr>
                <w:sz w:val="20"/>
                <w:szCs w:val="20"/>
                <w:color w:val="auto"/>
              </w:rPr>
            </w:pPr>
            <w:r>
              <w:rPr>
                <w:rFonts w:ascii="Arial" w:cs="Arial" w:eastAsia="Arial" w:hAnsi="Arial"/>
                <w:sz w:val="18"/>
                <w:szCs w:val="18"/>
                <w:color w:val="auto"/>
                <w:w w:val="89"/>
              </w:rPr>
              <w:t>123,592</w:t>
            </w:r>
          </w:p>
        </w:tc>
        <w:tc>
          <w:tcPr>
            <w:tcW w:w="660" w:type="dxa"/>
            <w:vAlign w:val="bottom"/>
          </w:tcPr>
          <w:p>
            <w:pPr>
              <w:spacing w:after="0"/>
              <w:rPr>
                <w:sz w:val="24"/>
                <w:szCs w:val="24"/>
                <w:color w:val="auto"/>
              </w:rPr>
            </w:pPr>
          </w:p>
        </w:tc>
        <w:tc>
          <w:tcPr>
            <w:tcW w:w="960" w:type="dxa"/>
            <w:vAlign w:val="bottom"/>
          </w:tcPr>
          <w:p>
            <w:pPr>
              <w:jc w:val="right"/>
              <w:ind w:right="271"/>
              <w:spacing w:after="0"/>
              <w:rPr>
                <w:sz w:val="20"/>
                <w:szCs w:val="20"/>
                <w:color w:val="auto"/>
              </w:rPr>
            </w:pPr>
            <w:r>
              <w:rPr>
                <w:rFonts w:ascii="Arial" w:cs="Arial" w:eastAsia="Arial" w:hAnsi="Arial"/>
                <w:sz w:val="18"/>
                <w:szCs w:val="18"/>
                <w:color w:val="auto"/>
                <w:w w:val="89"/>
              </w:rPr>
              <w:t>118,488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Goodwill, net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9,317</w:t>
            </w:r>
          </w:p>
        </w:tc>
        <w:tc>
          <w:tcPr>
            <w:tcW w:w="6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8,396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Intangible assets</w:t>
            </w:r>
          </w:p>
        </w:tc>
        <w:tc>
          <w:tcPr>
            <w:tcW w:w="320" w:type="dxa"/>
            <w:vAlign w:val="bottom"/>
          </w:tcPr>
          <w:p>
            <w:pPr>
              <w:spacing w:after="0"/>
              <w:rPr>
                <w:sz w:val="18"/>
                <w:szCs w:val="18"/>
                <w:color w:val="auto"/>
              </w:rPr>
            </w:pPr>
          </w:p>
        </w:tc>
        <w:tc>
          <w:tcPr>
            <w:tcW w:w="1120" w:type="dxa"/>
            <w:vAlign w:val="bottom"/>
          </w:tcPr>
          <w:p>
            <w:pPr>
              <w:jc w:val="right"/>
              <w:ind w:right="432"/>
              <w:spacing w:after="0"/>
              <w:rPr>
                <w:sz w:val="20"/>
                <w:szCs w:val="20"/>
                <w:color w:val="auto"/>
              </w:rPr>
            </w:pPr>
            <w:r>
              <w:rPr>
                <w:rFonts w:ascii="Arial" w:cs="Arial" w:eastAsia="Arial" w:hAnsi="Arial"/>
                <w:sz w:val="18"/>
                <w:szCs w:val="18"/>
                <w:color w:val="auto"/>
              </w:rPr>
              <w:t>900</w:t>
            </w:r>
          </w:p>
        </w:tc>
        <w:tc>
          <w:tcPr>
            <w:tcW w:w="660" w:type="dxa"/>
            <w:vAlign w:val="bottom"/>
          </w:tcPr>
          <w:p>
            <w:pPr>
              <w:spacing w:after="0"/>
              <w:rPr>
                <w:sz w:val="18"/>
                <w:szCs w:val="18"/>
                <w:color w:val="auto"/>
              </w:rPr>
            </w:pPr>
          </w:p>
        </w:tc>
        <w:tc>
          <w:tcPr>
            <w:tcW w:w="960" w:type="dxa"/>
            <w:vAlign w:val="bottom"/>
          </w:tcPr>
          <w:p>
            <w:pPr>
              <w:jc w:val="right"/>
              <w:ind w:right="271"/>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432"/>
              <w:spacing w:after="0"/>
              <w:rPr>
                <w:sz w:val="20"/>
                <w:szCs w:val="20"/>
                <w:color w:val="auto"/>
              </w:rPr>
            </w:pPr>
            <w:r>
              <w:rPr>
                <w:rFonts w:ascii="Arial" w:cs="Arial" w:eastAsia="Arial" w:hAnsi="Arial"/>
                <w:sz w:val="18"/>
                <w:szCs w:val="18"/>
                <w:color w:val="auto"/>
              </w:rPr>
              <w:t>5,272</w:t>
            </w:r>
          </w:p>
        </w:tc>
        <w:tc>
          <w:tcPr>
            <w:tcW w:w="6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rPr>
              <w:t>5,101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Pr>
          <w:p>
            <w:pPr>
              <w:ind w:left="40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w w:val="89"/>
              </w:rPr>
              <w:t>278,730</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w w:val="89"/>
              </w:rPr>
              <w:t>248,555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55,458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55,549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200"/>
              <w:spacing w:after="0"/>
              <w:rPr>
                <w:sz w:val="20"/>
                <w:szCs w:val="20"/>
                <w:color w:val="auto"/>
              </w:rPr>
            </w:pPr>
            <w:r>
              <w:rPr>
                <w:rFonts w:ascii="Arial" w:cs="Arial" w:eastAsia="Arial" w:hAnsi="Arial"/>
                <w:sz w:val="18"/>
                <w:szCs w:val="18"/>
                <w:color w:val="auto"/>
              </w:rPr>
              <w:t>Accrued salaries, wages and benefits</w:t>
            </w:r>
          </w:p>
        </w:tc>
        <w:tc>
          <w:tcPr>
            <w:tcW w:w="320" w:type="dxa"/>
            <w:vAlign w:val="bottom"/>
          </w:tcPr>
          <w:p>
            <w:pPr>
              <w:spacing w:after="0"/>
              <w:rPr>
                <w:sz w:val="18"/>
                <w:szCs w:val="18"/>
                <w:color w:val="auto"/>
              </w:rPr>
            </w:pPr>
          </w:p>
        </w:tc>
        <w:tc>
          <w:tcPr>
            <w:tcW w:w="1120" w:type="dxa"/>
            <w:vAlign w:val="bottom"/>
          </w:tcPr>
          <w:p>
            <w:pPr>
              <w:jc w:val="right"/>
              <w:ind w:right="432"/>
              <w:spacing w:after="0"/>
              <w:rPr>
                <w:sz w:val="20"/>
                <w:szCs w:val="20"/>
                <w:color w:val="auto"/>
              </w:rPr>
            </w:pPr>
            <w:r>
              <w:rPr>
                <w:rFonts w:ascii="Arial" w:cs="Arial" w:eastAsia="Arial" w:hAnsi="Arial"/>
                <w:sz w:val="18"/>
                <w:szCs w:val="18"/>
                <w:color w:val="auto"/>
              </w:rPr>
              <w:t>12,848</w:t>
            </w:r>
          </w:p>
        </w:tc>
        <w:tc>
          <w:tcPr>
            <w:tcW w:w="660" w:type="dxa"/>
            <w:vAlign w:val="bottom"/>
          </w:tcPr>
          <w:p>
            <w:pPr>
              <w:spacing w:after="0"/>
              <w:rPr>
                <w:sz w:val="18"/>
                <w:szCs w:val="18"/>
                <w:color w:val="auto"/>
              </w:rPr>
            </w:pPr>
          </w:p>
        </w:tc>
        <w:tc>
          <w:tcPr>
            <w:tcW w:w="960" w:type="dxa"/>
            <w:vAlign w:val="bottom"/>
          </w:tcPr>
          <w:p>
            <w:pPr>
              <w:jc w:val="right"/>
              <w:ind w:right="271"/>
              <w:spacing w:after="0"/>
              <w:rPr>
                <w:sz w:val="20"/>
                <w:szCs w:val="20"/>
                <w:color w:val="auto"/>
              </w:rPr>
            </w:pPr>
            <w:r>
              <w:rPr>
                <w:rFonts w:ascii="Arial" w:cs="Arial" w:eastAsia="Arial" w:hAnsi="Arial"/>
                <w:sz w:val="18"/>
                <w:szCs w:val="18"/>
                <w:color w:val="auto"/>
              </w:rPr>
              <w:t>13,548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maturities of long-term debt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6,655</w:t>
            </w:r>
          </w:p>
        </w:tc>
        <w:tc>
          <w:tcPr>
            <w:tcW w:w="6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5,714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200"/>
              <w:spacing w:after="0"/>
              <w:rPr>
                <w:sz w:val="20"/>
                <w:szCs w:val="20"/>
                <w:color w:val="auto"/>
              </w:rPr>
            </w:pPr>
            <w:r>
              <w:rPr>
                <w:rFonts w:ascii="Arial" w:cs="Arial" w:eastAsia="Arial" w:hAnsi="Arial"/>
                <w:sz w:val="18"/>
                <w:szCs w:val="18"/>
                <w:color w:val="auto"/>
              </w:rPr>
              <w:t>Income taxes payable</w:t>
            </w:r>
          </w:p>
        </w:tc>
        <w:tc>
          <w:tcPr>
            <w:tcW w:w="320" w:type="dxa"/>
            <w:vAlign w:val="bottom"/>
          </w:tcPr>
          <w:p>
            <w:pPr>
              <w:spacing w:after="0"/>
              <w:rPr>
                <w:sz w:val="18"/>
                <w:szCs w:val="18"/>
                <w:color w:val="auto"/>
              </w:rPr>
            </w:pPr>
          </w:p>
        </w:tc>
        <w:tc>
          <w:tcPr>
            <w:tcW w:w="1120" w:type="dxa"/>
            <w:vAlign w:val="bottom"/>
          </w:tcPr>
          <w:p>
            <w:pPr>
              <w:jc w:val="right"/>
              <w:ind w:right="432"/>
              <w:spacing w:after="0"/>
              <w:rPr>
                <w:sz w:val="20"/>
                <w:szCs w:val="20"/>
                <w:color w:val="auto"/>
              </w:rPr>
            </w:pPr>
            <w:r>
              <w:rPr>
                <w:rFonts w:ascii="Arial" w:cs="Arial" w:eastAsia="Arial" w:hAnsi="Arial"/>
                <w:sz w:val="18"/>
                <w:szCs w:val="18"/>
                <w:color w:val="auto"/>
              </w:rPr>
              <w:t>1,392</w:t>
            </w:r>
          </w:p>
        </w:tc>
        <w:tc>
          <w:tcPr>
            <w:tcW w:w="660" w:type="dxa"/>
            <w:vAlign w:val="bottom"/>
          </w:tcPr>
          <w:p>
            <w:pPr>
              <w:spacing w:after="0"/>
              <w:rPr>
                <w:sz w:val="18"/>
                <w:szCs w:val="18"/>
                <w:color w:val="auto"/>
              </w:rPr>
            </w:pPr>
          </w:p>
        </w:tc>
        <w:tc>
          <w:tcPr>
            <w:tcW w:w="960" w:type="dxa"/>
            <w:vAlign w:val="bottom"/>
          </w:tcPr>
          <w:p>
            <w:pPr>
              <w:jc w:val="right"/>
              <w:ind w:right="271"/>
              <w:spacing w:after="0"/>
              <w:rPr>
                <w:sz w:val="20"/>
                <w:szCs w:val="20"/>
                <w:color w:val="auto"/>
              </w:rPr>
            </w:pPr>
            <w:r>
              <w:rPr>
                <w:rFonts w:ascii="Arial" w:cs="Arial" w:eastAsia="Arial" w:hAnsi="Arial"/>
                <w:sz w:val="18"/>
                <w:szCs w:val="18"/>
                <w:color w:val="auto"/>
              </w:rPr>
              <w:t>2,560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current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432"/>
              <w:spacing w:after="0"/>
              <w:rPr>
                <w:sz w:val="20"/>
                <w:szCs w:val="20"/>
                <w:color w:val="auto"/>
              </w:rPr>
            </w:pPr>
            <w:r>
              <w:rPr>
                <w:rFonts w:ascii="Arial" w:cs="Arial" w:eastAsia="Arial" w:hAnsi="Arial"/>
                <w:sz w:val="18"/>
                <w:szCs w:val="18"/>
                <w:color w:val="auto"/>
              </w:rPr>
              <w:t>7,002</w:t>
            </w:r>
          </w:p>
        </w:tc>
        <w:tc>
          <w:tcPr>
            <w:tcW w:w="6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rPr>
              <w:t>6,216</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340" w:type="dxa"/>
            <w:vAlign w:val="bottom"/>
          </w:tcPr>
          <w:p>
            <w:pPr>
              <w:ind w:left="400"/>
              <w:spacing w:after="0"/>
              <w:rPr>
                <w:sz w:val="20"/>
                <w:szCs w:val="20"/>
                <w:color w:val="auto"/>
              </w:rPr>
            </w:pPr>
            <w:r>
              <w:rPr>
                <w:rFonts w:ascii="Arial" w:cs="Arial" w:eastAsia="Arial" w:hAnsi="Arial"/>
                <w:sz w:val="18"/>
                <w:szCs w:val="18"/>
                <w:color w:val="auto"/>
              </w:rPr>
              <w:t>Total current liabilities</w:t>
            </w:r>
          </w:p>
        </w:tc>
        <w:tc>
          <w:tcPr>
            <w:tcW w:w="320" w:type="dxa"/>
            <w:vAlign w:val="bottom"/>
          </w:tcPr>
          <w:p>
            <w:pPr>
              <w:spacing w:after="0"/>
              <w:rPr>
                <w:sz w:val="19"/>
                <w:szCs w:val="19"/>
                <w:color w:val="auto"/>
              </w:rPr>
            </w:pPr>
          </w:p>
        </w:tc>
        <w:tc>
          <w:tcPr>
            <w:tcW w:w="1120" w:type="dxa"/>
            <w:vAlign w:val="bottom"/>
          </w:tcPr>
          <w:p>
            <w:pPr>
              <w:jc w:val="right"/>
              <w:ind w:right="432"/>
              <w:spacing w:after="0"/>
              <w:rPr>
                <w:sz w:val="20"/>
                <w:szCs w:val="20"/>
                <w:color w:val="auto"/>
              </w:rPr>
            </w:pPr>
            <w:r>
              <w:rPr>
                <w:rFonts w:ascii="Arial" w:cs="Arial" w:eastAsia="Arial" w:hAnsi="Arial"/>
                <w:sz w:val="18"/>
                <w:szCs w:val="18"/>
                <w:color w:val="auto"/>
              </w:rPr>
              <w:t>83,355</w:t>
            </w:r>
          </w:p>
        </w:tc>
        <w:tc>
          <w:tcPr>
            <w:tcW w:w="660" w:type="dxa"/>
            <w:vAlign w:val="bottom"/>
          </w:tcPr>
          <w:p>
            <w:pPr>
              <w:spacing w:after="0"/>
              <w:rPr>
                <w:sz w:val="19"/>
                <w:szCs w:val="19"/>
                <w:color w:val="auto"/>
              </w:rPr>
            </w:pPr>
          </w:p>
        </w:tc>
        <w:tc>
          <w:tcPr>
            <w:tcW w:w="960" w:type="dxa"/>
            <w:vAlign w:val="bottom"/>
          </w:tcPr>
          <w:p>
            <w:pPr>
              <w:jc w:val="right"/>
              <w:ind w:right="271"/>
              <w:spacing w:after="0"/>
              <w:rPr>
                <w:sz w:val="20"/>
                <w:szCs w:val="20"/>
                <w:color w:val="auto"/>
              </w:rPr>
            </w:pPr>
            <w:r>
              <w:rPr>
                <w:rFonts w:ascii="Arial" w:cs="Arial" w:eastAsia="Arial" w:hAnsi="Arial"/>
                <w:sz w:val="18"/>
                <w:szCs w:val="18"/>
                <w:color w:val="auto"/>
              </w:rPr>
              <w:t>83,587</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Non-current deferred tax liabilities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4,396</w:t>
            </w:r>
          </w:p>
        </w:tc>
        <w:tc>
          <w:tcPr>
            <w:tcW w:w="6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3,954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320" w:type="dxa"/>
            <w:vAlign w:val="bottom"/>
          </w:tcPr>
          <w:p>
            <w:pPr>
              <w:spacing w:after="0"/>
              <w:rPr>
                <w:sz w:val="18"/>
                <w:szCs w:val="18"/>
                <w:color w:val="auto"/>
              </w:rPr>
            </w:pPr>
          </w:p>
        </w:tc>
        <w:tc>
          <w:tcPr>
            <w:tcW w:w="1120" w:type="dxa"/>
            <w:vAlign w:val="bottom"/>
          </w:tcPr>
          <w:p>
            <w:pPr>
              <w:jc w:val="right"/>
              <w:ind w:right="432"/>
              <w:spacing w:after="0"/>
              <w:rPr>
                <w:sz w:val="20"/>
                <w:szCs w:val="20"/>
                <w:color w:val="auto"/>
              </w:rPr>
            </w:pPr>
            <w:r>
              <w:rPr>
                <w:rFonts w:ascii="Arial" w:cs="Arial" w:eastAsia="Arial" w:hAnsi="Arial"/>
                <w:sz w:val="18"/>
                <w:szCs w:val="18"/>
                <w:color w:val="auto"/>
              </w:rPr>
              <w:t>80,129</w:t>
            </w:r>
          </w:p>
        </w:tc>
        <w:tc>
          <w:tcPr>
            <w:tcW w:w="660" w:type="dxa"/>
            <w:vAlign w:val="bottom"/>
          </w:tcPr>
          <w:p>
            <w:pPr>
              <w:spacing w:after="0"/>
              <w:rPr>
                <w:sz w:val="18"/>
                <w:szCs w:val="18"/>
                <w:color w:val="auto"/>
              </w:rPr>
            </w:pPr>
          </w:p>
        </w:tc>
        <w:tc>
          <w:tcPr>
            <w:tcW w:w="960" w:type="dxa"/>
            <w:vAlign w:val="bottom"/>
          </w:tcPr>
          <w:p>
            <w:pPr>
              <w:jc w:val="right"/>
              <w:ind w:right="271"/>
              <w:spacing w:after="0"/>
              <w:rPr>
                <w:sz w:val="20"/>
                <w:szCs w:val="20"/>
                <w:color w:val="auto"/>
              </w:rPr>
            </w:pPr>
            <w:r>
              <w:rPr>
                <w:rFonts w:ascii="Arial" w:cs="Arial" w:eastAsia="Arial" w:hAnsi="Arial"/>
                <w:sz w:val="18"/>
                <w:szCs w:val="18"/>
                <w:color w:val="auto"/>
              </w:rPr>
              <w:t>67,643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Accrued pension</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8,654</w:t>
            </w:r>
          </w:p>
        </w:tc>
        <w:tc>
          <w:tcPr>
            <w:tcW w:w="6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13,438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rPr>
              <w:t>1,843</w:t>
            </w:r>
          </w:p>
        </w:tc>
        <w:tc>
          <w:tcPr>
            <w:tcW w:w="6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1,826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liabilities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w w:val="89"/>
              </w:rPr>
              <w:t>178,377</w:t>
            </w:r>
          </w:p>
        </w:tc>
        <w:tc>
          <w:tcPr>
            <w:tcW w:w="6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w w:val="89"/>
              </w:rPr>
              <w:t>170,448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19" w:right="2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Total stockholders’ equity</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Total 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00"/>
        <w:spacing w:after="0"/>
        <w:tabs>
          <w:tab w:leader="none" w:pos="1960" w:val="left"/>
        </w:tabs>
        <w:rPr>
          <w:sz w:val="20"/>
          <w:szCs w:val="20"/>
          <w:color w:val="auto"/>
        </w:rPr>
      </w:pPr>
      <w:r>
        <w:rPr>
          <w:rFonts w:ascii="Arial" w:cs="Arial" w:eastAsia="Arial" w:hAnsi="Arial"/>
          <w:sz w:val="16"/>
          <w:szCs w:val="16"/>
          <w:color w:val="auto"/>
        </w:rPr>
        <w:t>100,353</w:t>
      </w:r>
      <w:r>
        <w:rPr>
          <w:sz w:val="20"/>
          <w:szCs w:val="20"/>
          <w:color w:val="auto"/>
        </w:rPr>
        <w:tab/>
      </w:r>
      <w:r>
        <w:rPr>
          <w:rFonts w:ascii="Arial" w:cs="Arial" w:eastAsia="Arial" w:hAnsi="Arial"/>
          <w:sz w:val="16"/>
          <w:szCs w:val="16"/>
          <w:color w:val="auto"/>
        </w:rPr>
        <w:t>78,107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29210</wp:posOffset>
            </wp:positionV>
            <wp:extent cx="19380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39" w:lineRule="exact"/>
        <w:rPr>
          <w:sz w:val="20"/>
          <w:szCs w:val="20"/>
          <w:color w:val="auto"/>
        </w:rPr>
      </w:pPr>
    </w:p>
    <w:p>
      <w:pPr>
        <w:spacing w:after="0"/>
        <w:tabs>
          <w:tab w:leader="none" w:pos="1780" w:val="left"/>
        </w:tabs>
        <w:rPr>
          <w:sz w:val="20"/>
          <w:szCs w:val="20"/>
          <w:color w:val="auto"/>
        </w:rPr>
      </w:pPr>
      <w:r>
        <w:rPr>
          <w:rFonts w:ascii="Arial" w:cs="Arial" w:eastAsia="Arial" w:hAnsi="Arial"/>
          <w:sz w:val="18"/>
          <w:szCs w:val="18"/>
          <w:color w:val="auto"/>
        </w:rPr>
        <w:t>$278,730</w:t>
      </w:r>
      <w:r>
        <w:rPr>
          <w:sz w:val="20"/>
          <w:szCs w:val="20"/>
          <w:color w:val="auto"/>
        </w:rPr>
        <w:tab/>
      </w:r>
      <w:r>
        <w:rPr>
          <w:rFonts w:ascii="Arial" w:cs="Arial" w:eastAsia="Arial" w:hAnsi="Arial"/>
          <w:sz w:val="16"/>
          <w:szCs w:val="16"/>
          <w:color w:val="auto"/>
        </w:rPr>
        <w:t>$248,555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19380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3802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31750</wp:posOffset>
            </wp:positionV>
            <wp:extent cx="19380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860" w:space="720"/>
            <w:col w:w="2840"/>
          </w:cols>
          <w:pgMar w:left="240" w:top="419" w:right="239" w:bottom="1440" w:gutter="0" w:footer="0" w:header="0"/>
          <w:type w:val="continuous"/>
        </w:sectPr>
      </w:pP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accompanying notes are an integral part of the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140" w:type="dxa"/>
            <w:vAlign w:val="bottom"/>
            <w:tcBorders>
              <w:bottom w:val="single" w:sz="8" w:color="auto"/>
            </w:tcBorders>
            <w:gridSpan w:val="2"/>
          </w:tcPr>
          <w:p>
            <w:pPr>
              <w:jc w:val="right"/>
              <w:ind w:right="514"/>
              <w:spacing w:after="0"/>
              <w:rPr>
                <w:sz w:val="20"/>
                <w:szCs w:val="20"/>
                <w:color w:val="auto"/>
              </w:rPr>
            </w:pPr>
            <w:r>
              <w:rPr>
                <w:rFonts w:ascii="Arial" w:cs="Arial" w:eastAsia="Arial" w:hAnsi="Arial"/>
                <w:sz w:val="14"/>
                <w:szCs w:val="14"/>
                <w:b w:val="1"/>
                <w:bCs w:val="1"/>
                <w:color w:val="auto"/>
              </w:rPr>
              <w:t>Common Stock</w:t>
            </w:r>
          </w:p>
        </w:tc>
        <w:tc>
          <w:tcPr>
            <w:tcW w:w="1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0"/>
              </w:rPr>
              <w:t>Accumulated</w:t>
            </w: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1140" w:type="dxa"/>
            <w:vAlign w:val="bottom"/>
          </w:tcPr>
          <w:p>
            <w:pPr>
              <w:jc w:val="center"/>
              <w:ind w:right="57"/>
              <w:spacing w:after="0" w:line="119" w:lineRule="exact"/>
              <w:rPr>
                <w:sz w:val="20"/>
                <w:szCs w:val="20"/>
                <w:color w:val="auto"/>
              </w:rPr>
            </w:pPr>
            <w:r>
              <w:rPr>
                <w:rFonts w:ascii="Arial" w:cs="Arial" w:eastAsia="Arial" w:hAnsi="Arial"/>
                <w:sz w:val="13"/>
                <w:szCs w:val="13"/>
                <w:b w:val="1"/>
                <w:bCs w:val="1"/>
                <w:color w:val="auto"/>
              </w:rPr>
              <w:t>Number</w:t>
            </w:r>
          </w:p>
        </w:tc>
        <w:tc>
          <w:tcPr>
            <w:tcW w:w="100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Par</w:t>
            </w:r>
          </w:p>
        </w:tc>
        <w:tc>
          <w:tcPr>
            <w:tcW w:w="1700" w:type="dxa"/>
            <w:vAlign w:val="bottom"/>
          </w:tcPr>
          <w:p>
            <w:pPr>
              <w:jc w:val="center"/>
              <w:ind w:left="156"/>
              <w:spacing w:after="0" w:line="119" w:lineRule="exact"/>
              <w:rPr>
                <w:sz w:val="20"/>
                <w:szCs w:val="20"/>
                <w:color w:val="auto"/>
              </w:rPr>
            </w:pPr>
            <w:r>
              <w:rPr>
                <w:rFonts w:ascii="Arial" w:cs="Arial" w:eastAsia="Arial" w:hAnsi="Arial"/>
                <w:sz w:val="13"/>
                <w:szCs w:val="13"/>
                <w:b w:val="1"/>
                <w:bCs w:val="1"/>
                <w:color w:val="auto"/>
              </w:rPr>
              <w:t>Additional</w:t>
            </w:r>
          </w:p>
        </w:tc>
        <w:tc>
          <w:tcPr>
            <w:tcW w:w="1400" w:type="dxa"/>
            <w:vAlign w:val="bottom"/>
            <w:gridSpan w:val="2"/>
            <w:vMerge w:val="restart"/>
          </w:tcPr>
          <w:p>
            <w:pPr>
              <w:jc w:val="right"/>
              <w:ind w:right="310"/>
              <w:spacing w:after="0"/>
              <w:rPr>
                <w:sz w:val="20"/>
                <w:szCs w:val="20"/>
                <w:color w:val="auto"/>
              </w:rPr>
            </w:pPr>
            <w:r>
              <w:rPr>
                <w:rFonts w:ascii="Arial" w:cs="Arial" w:eastAsia="Arial" w:hAnsi="Arial"/>
                <w:sz w:val="14"/>
                <w:szCs w:val="14"/>
                <w:b w:val="1"/>
                <w:bCs w:val="1"/>
                <w:color w:val="auto"/>
              </w:rPr>
              <w:t>Retained</w:t>
            </w:r>
          </w:p>
        </w:tc>
        <w:tc>
          <w:tcPr>
            <w:tcW w:w="17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Other</w:t>
            </w:r>
          </w:p>
        </w:tc>
        <w:tc>
          <w:tcPr>
            <w:tcW w:w="4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14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rPr>
              <w:t>Of</w:t>
            </w:r>
          </w:p>
        </w:tc>
        <w:tc>
          <w:tcPr>
            <w:tcW w:w="1000" w:type="dxa"/>
            <w:vAlign w:val="bottom"/>
            <w:vMerge w:val="continue"/>
          </w:tcPr>
          <w:p>
            <w:pPr>
              <w:spacing w:after="0"/>
              <w:rPr>
                <w:sz w:val="12"/>
                <w:szCs w:val="12"/>
                <w:color w:val="auto"/>
              </w:rPr>
            </w:pPr>
          </w:p>
        </w:tc>
        <w:tc>
          <w:tcPr>
            <w:tcW w:w="1700" w:type="dxa"/>
            <w:vAlign w:val="bottom"/>
          </w:tcPr>
          <w:p>
            <w:pPr>
              <w:jc w:val="center"/>
              <w:ind w:left="136"/>
              <w:spacing w:after="0" w:line="149" w:lineRule="exact"/>
              <w:rPr>
                <w:sz w:val="20"/>
                <w:szCs w:val="20"/>
                <w:color w:val="auto"/>
              </w:rPr>
            </w:pPr>
            <w:r>
              <w:rPr>
                <w:rFonts w:ascii="Arial" w:cs="Arial" w:eastAsia="Arial" w:hAnsi="Arial"/>
                <w:sz w:val="14"/>
                <w:szCs w:val="14"/>
                <w:b w:val="1"/>
                <w:bCs w:val="1"/>
                <w:color w:val="auto"/>
                <w:w w:val="95"/>
              </w:rPr>
              <w:t>Paid in</w:t>
            </w:r>
          </w:p>
        </w:tc>
        <w:tc>
          <w:tcPr>
            <w:tcW w:w="1400" w:type="dxa"/>
            <w:vAlign w:val="bottom"/>
            <w:gridSpan w:val="2"/>
            <w:vMerge w:val="continue"/>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460" w:type="dxa"/>
            <w:vAlign w:val="bottom"/>
          </w:tcPr>
          <w:p>
            <w:pPr>
              <w:spacing w:after="0"/>
              <w:rPr>
                <w:sz w:val="12"/>
                <w:szCs w:val="12"/>
                <w:color w:val="auto"/>
              </w:rPr>
            </w:pPr>
          </w:p>
        </w:tc>
        <w:tc>
          <w:tcPr>
            <w:tcW w:w="84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160" w:type="dxa"/>
            <w:vAlign w:val="bottom"/>
            <w:gridSpan w:val="2"/>
          </w:tcPr>
          <w:p>
            <w:pPr>
              <w:spacing w:after="0"/>
              <w:rPr>
                <w:sz w:val="20"/>
                <w:szCs w:val="20"/>
                <w:color w:val="auto"/>
              </w:rPr>
            </w:pPr>
            <w:r>
              <w:rPr>
                <w:rFonts w:ascii="Arial" w:cs="Arial" w:eastAsia="Arial" w:hAnsi="Arial"/>
                <w:sz w:val="14"/>
                <w:szCs w:val="14"/>
                <w:color w:val="auto"/>
              </w:rPr>
              <w:t>(In Thousands of Dollars and Shares)</w:t>
            </w:r>
          </w:p>
        </w:tc>
        <w:tc>
          <w:tcPr>
            <w:tcW w:w="1140" w:type="dxa"/>
            <w:vAlign w:val="bottom"/>
          </w:tcPr>
          <w:p>
            <w:pPr>
              <w:jc w:val="center"/>
              <w:ind w:right="57"/>
              <w:spacing w:after="0"/>
              <w:rPr>
                <w:sz w:val="20"/>
                <w:szCs w:val="20"/>
                <w:color w:val="auto"/>
              </w:rPr>
            </w:pPr>
            <w:r>
              <w:rPr>
                <w:rFonts w:ascii="Arial" w:cs="Arial" w:eastAsia="Arial" w:hAnsi="Arial"/>
                <w:sz w:val="14"/>
                <w:szCs w:val="14"/>
                <w:b w:val="1"/>
                <w:bCs w:val="1"/>
                <w:color w:val="auto"/>
                <w:w w:val="85"/>
              </w:rPr>
              <w:t>Shares</w:t>
            </w:r>
          </w:p>
        </w:tc>
        <w:tc>
          <w:tcPr>
            <w:tcW w:w="1000" w:type="dxa"/>
            <w:vAlign w:val="bottom"/>
          </w:tcPr>
          <w:p>
            <w:pPr>
              <w:jc w:val="right"/>
              <w:ind w:right="114"/>
              <w:spacing w:after="0"/>
              <w:rPr>
                <w:sz w:val="20"/>
                <w:szCs w:val="20"/>
                <w:color w:val="auto"/>
              </w:rPr>
            </w:pPr>
            <w:r>
              <w:rPr>
                <w:rFonts w:ascii="Arial" w:cs="Arial" w:eastAsia="Arial" w:hAnsi="Arial"/>
                <w:sz w:val="14"/>
                <w:szCs w:val="14"/>
                <w:b w:val="1"/>
                <w:bCs w:val="1"/>
                <w:color w:val="auto"/>
              </w:rPr>
              <w:t>Value</w:t>
            </w:r>
          </w:p>
        </w:tc>
        <w:tc>
          <w:tcPr>
            <w:tcW w:w="1700" w:type="dxa"/>
            <w:vAlign w:val="bottom"/>
          </w:tcPr>
          <w:p>
            <w:pPr>
              <w:jc w:val="center"/>
              <w:ind w:left="156"/>
              <w:spacing w:after="0"/>
              <w:rPr>
                <w:sz w:val="20"/>
                <w:szCs w:val="20"/>
                <w:color w:val="auto"/>
              </w:rPr>
            </w:pPr>
            <w:r>
              <w:rPr>
                <w:rFonts w:ascii="Arial" w:cs="Arial" w:eastAsia="Arial" w:hAnsi="Arial"/>
                <w:sz w:val="14"/>
                <w:szCs w:val="14"/>
                <w:b w:val="1"/>
                <w:bCs w:val="1"/>
                <w:color w:val="auto"/>
                <w:w w:val="98"/>
              </w:rPr>
              <w:t>Capital</w:t>
            </w:r>
          </w:p>
        </w:tc>
        <w:tc>
          <w:tcPr>
            <w:tcW w:w="1400" w:type="dxa"/>
            <w:vAlign w:val="bottom"/>
            <w:gridSpan w:val="2"/>
          </w:tcPr>
          <w:p>
            <w:pPr>
              <w:jc w:val="right"/>
              <w:ind w:right="290"/>
              <w:spacing w:after="0"/>
              <w:rPr>
                <w:sz w:val="20"/>
                <w:szCs w:val="20"/>
                <w:color w:val="auto"/>
              </w:rPr>
            </w:pPr>
            <w:r>
              <w:rPr>
                <w:rFonts w:ascii="Arial" w:cs="Arial" w:eastAsia="Arial" w:hAnsi="Arial"/>
                <w:sz w:val="14"/>
                <w:szCs w:val="14"/>
                <w:b w:val="1"/>
                <w:bCs w:val="1"/>
                <w:color w:val="auto"/>
              </w:rPr>
              <w:t>Earnings</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89"/>
              </w:rPr>
              <w:t>Income</w:t>
            </w:r>
          </w:p>
        </w:tc>
        <w:tc>
          <w:tcPr>
            <w:tcW w:w="4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1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2011</w:t>
            </w:r>
          </w:p>
        </w:tc>
        <w:tc>
          <w:tcPr>
            <w:tcW w:w="1140" w:type="dxa"/>
            <w:vAlign w:val="bottom"/>
            <w:shd w:val="clear" w:color="auto" w:fill="CCEEFF"/>
          </w:tcPr>
          <w:p>
            <w:pPr>
              <w:jc w:val="right"/>
              <w:ind w:right="297"/>
              <w:spacing w:after="0"/>
              <w:rPr>
                <w:sz w:val="20"/>
                <w:szCs w:val="20"/>
                <w:color w:val="auto"/>
              </w:rPr>
            </w:pPr>
            <w:r>
              <w:rPr>
                <w:rFonts w:ascii="Arial" w:cs="Arial" w:eastAsia="Arial" w:hAnsi="Arial"/>
                <w:sz w:val="18"/>
                <w:szCs w:val="18"/>
                <w:color w:val="auto"/>
              </w:rPr>
              <w:t>16,620</w:t>
            </w:r>
          </w:p>
        </w:tc>
        <w:tc>
          <w:tcPr>
            <w:tcW w:w="10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$167</w:t>
            </w:r>
          </w:p>
        </w:tc>
        <w:tc>
          <w:tcPr>
            <w:tcW w:w="170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rPr>
              <w:t>$51,863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6,675</w:t>
            </w:r>
          </w:p>
        </w:tc>
        <w:tc>
          <w:tcPr>
            <w:tcW w:w="1720" w:type="dxa"/>
            <w:vAlign w:val="bottom"/>
            <w:shd w:val="clear" w:color="auto" w:fill="CCEEFF"/>
          </w:tcPr>
          <w:p>
            <w:pPr>
              <w:jc w:val="right"/>
              <w:ind w:right="517"/>
              <w:spacing w:after="0"/>
              <w:rPr>
                <w:sz w:val="20"/>
                <w:szCs w:val="20"/>
                <w:color w:val="auto"/>
              </w:rPr>
            </w:pPr>
            <w:r>
              <w:rPr>
                <w:rFonts w:ascii="Arial" w:cs="Arial" w:eastAsia="Arial" w:hAnsi="Arial"/>
                <w:sz w:val="18"/>
                <w:szCs w:val="18"/>
                <w:color w:val="auto"/>
              </w:rPr>
              <w:t>$19,402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78,107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140" w:type="dxa"/>
            <w:vAlign w:val="bottom"/>
          </w:tcPr>
          <w:p>
            <w:pPr>
              <w:jc w:val="right"/>
              <w:ind w:right="297"/>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396"/>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900" w:type="dxa"/>
            <w:vAlign w:val="bottom"/>
          </w:tcPr>
          <w:p>
            <w:pPr>
              <w:jc w:val="right"/>
              <w:ind w:right="330"/>
              <w:spacing w:after="0"/>
              <w:rPr>
                <w:sz w:val="20"/>
                <w:szCs w:val="20"/>
                <w:color w:val="auto"/>
              </w:rPr>
            </w:pPr>
            <w:r>
              <w:rPr>
                <w:rFonts w:ascii="Arial" w:cs="Arial" w:eastAsia="Arial" w:hAnsi="Arial"/>
                <w:sz w:val="18"/>
                <w:szCs w:val="18"/>
                <w:color w:val="auto"/>
                <w:w w:val="83"/>
              </w:rPr>
              <w:t>11,334</w:t>
            </w:r>
          </w:p>
        </w:tc>
        <w:tc>
          <w:tcPr>
            <w:tcW w:w="1720" w:type="dxa"/>
            <w:vAlign w:val="bottom"/>
          </w:tcPr>
          <w:p>
            <w:pPr>
              <w:jc w:val="right"/>
              <w:ind w:right="517"/>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40" w:type="dxa"/>
            <w:vAlign w:val="bottom"/>
          </w:tcPr>
          <w:p>
            <w:pPr>
              <w:jc w:val="right"/>
              <w:ind w:right="152"/>
              <w:spacing w:after="0"/>
              <w:rPr>
                <w:sz w:val="20"/>
                <w:szCs w:val="20"/>
                <w:color w:val="auto"/>
              </w:rPr>
            </w:pPr>
            <w:r>
              <w:rPr>
                <w:rFonts w:ascii="Arial" w:cs="Arial" w:eastAsia="Arial" w:hAnsi="Arial"/>
                <w:sz w:val="18"/>
                <w:szCs w:val="18"/>
                <w:color w:val="auto"/>
              </w:rPr>
              <w:t>11,334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Shares issued for options</w:t>
            </w:r>
          </w:p>
        </w:tc>
        <w:tc>
          <w:tcPr>
            <w:tcW w:w="1140" w:type="dxa"/>
            <w:vAlign w:val="bottom"/>
            <w:shd w:val="clear" w:color="auto" w:fill="CCEEFF"/>
          </w:tcPr>
          <w:p>
            <w:pPr>
              <w:jc w:val="right"/>
              <w:ind w:right="297"/>
              <w:spacing w:after="0"/>
              <w:rPr>
                <w:sz w:val="20"/>
                <w:szCs w:val="20"/>
                <w:color w:val="auto"/>
              </w:rPr>
            </w:pPr>
            <w:r>
              <w:rPr>
                <w:rFonts w:ascii="Arial" w:cs="Arial" w:eastAsia="Arial" w:hAnsi="Arial"/>
                <w:sz w:val="18"/>
                <w:szCs w:val="18"/>
                <w:color w:val="auto"/>
              </w:rPr>
              <w:t>244</w:t>
            </w:r>
          </w:p>
        </w:tc>
        <w:tc>
          <w:tcPr>
            <w:tcW w:w="10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w:t>
            </w:r>
          </w:p>
        </w:tc>
        <w:tc>
          <w:tcPr>
            <w:tcW w:w="170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rPr>
              <w:t>2,300</w:t>
            </w: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517"/>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200"/>
              <w:spacing w:after="0"/>
              <w:rPr>
                <w:sz w:val="20"/>
                <w:szCs w:val="20"/>
                <w:color w:val="auto"/>
              </w:rPr>
            </w:pPr>
            <w:r>
              <w:rPr>
                <w:rFonts w:ascii="Arial" w:cs="Arial" w:eastAsia="Arial" w:hAnsi="Arial"/>
                <w:sz w:val="18"/>
                <w:szCs w:val="18"/>
                <w:color w:val="auto"/>
              </w:rPr>
              <w:t>Stock option expense</w:t>
            </w:r>
          </w:p>
        </w:tc>
        <w:tc>
          <w:tcPr>
            <w:tcW w:w="1140" w:type="dxa"/>
            <w:vAlign w:val="bottom"/>
          </w:tcPr>
          <w:p>
            <w:pPr>
              <w:jc w:val="right"/>
              <w:ind w:right="297"/>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396"/>
              <w:spacing w:after="0"/>
              <w:rPr>
                <w:sz w:val="20"/>
                <w:szCs w:val="20"/>
                <w:color w:val="auto"/>
              </w:rPr>
            </w:pPr>
            <w:r>
              <w:rPr>
                <w:rFonts w:ascii="Arial" w:cs="Arial" w:eastAsia="Arial" w:hAnsi="Arial"/>
                <w:sz w:val="18"/>
                <w:szCs w:val="18"/>
                <w:color w:val="auto"/>
              </w:rPr>
              <w:t>66</w:t>
            </w:r>
          </w:p>
        </w:tc>
        <w:tc>
          <w:tcPr>
            <w:tcW w:w="500" w:type="dxa"/>
            <w:vAlign w:val="bottom"/>
          </w:tcPr>
          <w:p>
            <w:pPr>
              <w:spacing w:after="0"/>
              <w:rPr>
                <w:sz w:val="18"/>
                <w:szCs w:val="18"/>
                <w:color w:val="auto"/>
              </w:rPr>
            </w:pPr>
          </w:p>
        </w:tc>
        <w:tc>
          <w:tcPr>
            <w:tcW w:w="9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517"/>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40" w:type="dxa"/>
            <w:vAlign w:val="bottom"/>
          </w:tcPr>
          <w:p>
            <w:pPr>
              <w:jc w:val="right"/>
              <w:ind w:right="152"/>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stock expense</w:t>
            </w:r>
          </w:p>
        </w:tc>
        <w:tc>
          <w:tcPr>
            <w:tcW w:w="1140" w:type="dxa"/>
            <w:vAlign w:val="bottom"/>
            <w:shd w:val="clear" w:color="auto" w:fill="CCEEFF"/>
          </w:tcPr>
          <w:p>
            <w:pPr>
              <w:jc w:val="right"/>
              <w:ind w:right="297"/>
              <w:spacing w:after="0"/>
              <w:rPr>
                <w:sz w:val="20"/>
                <w:szCs w:val="20"/>
                <w:color w:val="auto"/>
              </w:rPr>
            </w:pPr>
            <w:r>
              <w:rPr>
                <w:rFonts w:ascii="Arial" w:cs="Arial" w:eastAsia="Arial" w:hAnsi="Arial"/>
                <w:sz w:val="18"/>
                <w:szCs w:val="18"/>
                <w:color w:val="auto"/>
              </w:rPr>
              <w:t>75</w:t>
            </w:r>
          </w:p>
        </w:tc>
        <w:tc>
          <w:tcPr>
            <w:tcW w:w="10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rPr>
              <w:t>50</w:t>
            </w: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517"/>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40" w:type="dxa"/>
            <w:vAlign w:val="bottom"/>
          </w:tcPr>
          <w:p>
            <w:pPr>
              <w:ind w:left="200"/>
              <w:spacing w:after="0"/>
              <w:rPr>
                <w:sz w:val="20"/>
                <w:szCs w:val="20"/>
                <w:color w:val="auto"/>
              </w:rPr>
            </w:pPr>
            <w:r>
              <w:rPr>
                <w:rFonts w:ascii="Arial" w:cs="Arial" w:eastAsia="Arial" w:hAnsi="Arial"/>
                <w:sz w:val="18"/>
                <w:szCs w:val="18"/>
                <w:color w:val="auto"/>
              </w:rPr>
              <w:t>Foreign currency translation gain</w:t>
            </w:r>
          </w:p>
        </w:tc>
        <w:tc>
          <w:tcPr>
            <w:tcW w:w="1140" w:type="dxa"/>
            <w:vAlign w:val="bottom"/>
            <w:tcBorders>
              <w:bottom w:val="single" w:sz="8" w:color="auto"/>
            </w:tcBorders>
          </w:tcPr>
          <w:p>
            <w:pPr>
              <w:jc w:val="right"/>
              <w:ind w:right="297"/>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tcPr>
          <w:p>
            <w:pPr>
              <w:jc w:val="right"/>
              <w:ind w:right="396"/>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auto"/>
            </w:tcBorders>
          </w:tcPr>
          <w:p>
            <w:pPr>
              <w:jc w:val="right"/>
              <w:ind w:right="517"/>
              <w:spacing w:after="0"/>
              <w:rPr>
                <w:sz w:val="20"/>
                <w:szCs w:val="20"/>
                <w:color w:val="auto"/>
              </w:rPr>
            </w:pPr>
            <w:r>
              <w:rPr>
                <w:rFonts w:ascii="Arial" w:cs="Arial" w:eastAsia="Arial" w:hAnsi="Arial"/>
                <w:sz w:val="18"/>
                <w:szCs w:val="18"/>
                <w:color w:val="auto"/>
              </w:rPr>
              <w:t>8,494</w:t>
            </w: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8,494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2011</w:t>
            </w:r>
          </w:p>
        </w:tc>
        <w:tc>
          <w:tcPr>
            <w:tcW w:w="1140" w:type="dxa"/>
            <w:vAlign w:val="bottom"/>
            <w:tcBorders>
              <w:bottom w:val="single" w:sz="8" w:color="auto"/>
            </w:tcBorders>
            <w:shd w:val="clear" w:color="auto" w:fill="CCEEFF"/>
          </w:tcPr>
          <w:p>
            <w:pPr>
              <w:jc w:val="right"/>
              <w:ind w:right="297"/>
              <w:spacing w:after="0"/>
              <w:rPr>
                <w:sz w:val="20"/>
                <w:szCs w:val="20"/>
                <w:color w:val="auto"/>
              </w:rPr>
            </w:pPr>
            <w:r>
              <w:rPr>
                <w:rFonts w:ascii="Arial" w:cs="Arial" w:eastAsia="Arial" w:hAnsi="Arial"/>
                <w:sz w:val="18"/>
                <w:szCs w:val="18"/>
                <w:color w:val="auto"/>
              </w:rPr>
              <w:t>16,939</w:t>
            </w:r>
          </w:p>
        </w:tc>
        <w:tc>
          <w:tcPr>
            <w:tcW w:w="100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$169</w:t>
            </w:r>
          </w:p>
        </w:tc>
        <w:tc>
          <w:tcPr>
            <w:tcW w:w="170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8"/>
                <w:szCs w:val="18"/>
                <w:color w:val="auto"/>
              </w:rPr>
              <w:t>$54,279</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83"/>
              </w:rPr>
              <w:t>18,009</w:t>
            </w:r>
          </w:p>
        </w:tc>
        <w:tc>
          <w:tcPr>
            <w:tcW w:w="1720" w:type="dxa"/>
            <w:vAlign w:val="bottom"/>
            <w:tcBorders>
              <w:bottom w:val="single" w:sz="8" w:color="auto"/>
            </w:tcBorders>
            <w:shd w:val="clear" w:color="auto" w:fill="CCEEFF"/>
          </w:tcPr>
          <w:p>
            <w:pPr>
              <w:jc w:val="right"/>
              <w:ind w:right="517"/>
              <w:spacing w:after="0"/>
              <w:rPr>
                <w:sz w:val="20"/>
                <w:szCs w:val="20"/>
                <w:color w:val="auto"/>
              </w:rPr>
            </w:pPr>
            <w:r>
              <w:rPr>
                <w:rFonts w:ascii="Arial" w:cs="Arial" w:eastAsia="Arial" w:hAnsi="Arial"/>
                <w:sz w:val="18"/>
                <w:szCs w:val="18"/>
                <w:color w:val="auto"/>
              </w:rPr>
              <w:t>$27,896</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89"/>
              </w:rPr>
              <w:t>100,353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60" w:type="dxa"/>
            <w:vAlign w:val="bottom"/>
          </w:tcPr>
          <w:p>
            <w:pPr>
              <w:spacing w:after="0"/>
              <w:rPr>
                <w:sz w:val="14"/>
                <w:szCs w:val="14"/>
                <w:color w:val="auto"/>
              </w:rPr>
            </w:pPr>
          </w:p>
        </w:tc>
        <w:tc>
          <w:tcPr>
            <w:tcW w:w="2060" w:type="dxa"/>
            <w:vAlign w:val="bottom"/>
            <w:gridSpan w:val="2"/>
          </w:tcPr>
          <w:p>
            <w:pPr>
              <w:jc w:val="center"/>
              <w:ind w:left="791"/>
              <w:spacing w:after="0"/>
              <w:rPr>
                <w:sz w:val="20"/>
                <w:szCs w:val="20"/>
                <w:color w:val="auto"/>
              </w:rPr>
            </w:pPr>
            <w:r>
              <w:rPr>
                <w:rFonts w:ascii="Arial" w:cs="Arial" w:eastAsia="Arial" w:hAnsi="Arial"/>
                <w:sz w:val="14"/>
                <w:szCs w:val="14"/>
                <w:b w:val="1"/>
                <w:bCs w:val="1"/>
                <w:color w:val="auto"/>
                <w:w w:val="93"/>
              </w:rPr>
              <w:t>Six Months Ended</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480" w:type="dxa"/>
            <w:vAlign w:val="bottom"/>
            <w:gridSpan w:val="2"/>
            <w:vMerge w:val="restart"/>
          </w:tcPr>
          <w:p>
            <w:pPr>
              <w:spacing w:after="0"/>
              <w:rPr>
                <w:sz w:val="20"/>
                <w:szCs w:val="20"/>
                <w:color w:val="auto"/>
              </w:rPr>
            </w:pPr>
            <w:r>
              <w:rPr>
                <w:rFonts w:ascii="Arial" w:cs="Arial" w:eastAsia="Arial" w:hAnsi="Arial"/>
                <w:sz w:val="14"/>
                <w:szCs w:val="14"/>
                <w:color w:val="auto"/>
              </w:rPr>
              <w:t>(In Thousands of Dollars)</w:t>
            </w:r>
          </w:p>
        </w:tc>
        <w:tc>
          <w:tcPr>
            <w:tcW w:w="108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2011</w:t>
            </w:r>
          </w:p>
        </w:tc>
        <w:tc>
          <w:tcPr>
            <w:tcW w:w="980" w:type="dxa"/>
            <w:vAlign w:val="bottom"/>
          </w:tcPr>
          <w:p>
            <w:pPr>
              <w:jc w:val="center"/>
              <w:ind w:right="99"/>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141"/>
        </w:trPr>
        <w:tc>
          <w:tcPr>
            <w:tcW w:w="8480" w:type="dxa"/>
            <w:vAlign w:val="bottom"/>
            <w:gridSpan w:val="2"/>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0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$ 11,334</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31"/>
              <w:spacing w:after="0"/>
              <w:rPr>
                <w:sz w:val="20"/>
                <w:szCs w:val="20"/>
                <w:color w:val="auto"/>
              </w:rPr>
            </w:pPr>
            <w:r>
              <w:rPr>
                <w:rFonts w:ascii="Arial" w:cs="Arial" w:eastAsia="Arial" w:hAnsi="Arial"/>
                <w:sz w:val="18"/>
                <w:szCs w:val="18"/>
                <w:color w:val="auto"/>
              </w:rPr>
              <w:t>5,348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(used) provided by operating activities:</w:t>
            </w:r>
          </w:p>
        </w:tc>
        <w:tc>
          <w:tcPr>
            <w:tcW w:w="1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8,326</w:t>
            </w:r>
          </w:p>
        </w:tc>
        <w:tc>
          <w:tcPr>
            <w:tcW w:w="980" w:type="dxa"/>
            <w:vAlign w:val="bottom"/>
          </w:tcPr>
          <w:p>
            <w:pPr>
              <w:spacing w:after="0"/>
              <w:rPr>
                <w:sz w:val="18"/>
                <w:szCs w:val="18"/>
                <w:color w:val="auto"/>
              </w:rPr>
            </w:pPr>
          </w:p>
        </w:tc>
        <w:tc>
          <w:tcPr>
            <w:tcW w:w="880" w:type="dxa"/>
            <w:vAlign w:val="bottom"/>
          </w:tcPr>
          <w:p>
            <w:pPr>
              <w:jc w:val="right"/>
              <w:ind w:right="231"/>
              <w:spacing w:after="0"/>
              <w:rPr>
                <w:sz w:val="20"/>
                <w:szCs w:val="20"/>
                <w:color w:val="auto"/>
              </w:rPr>
            </w:pPr>
            <w:r>
              <w:rPr>
                <w:rFonts w:ascii="Arial" w:cs="Arial" w:eastAsia="Arial" w:hAnsi="Arial"/>
                <w:sz w:val="18"/>
                <w:szCs w:val="18"/>
                <w:color w:val="auto"/>
                <w:w w:val="98"/>
              </w:rPr>
              <w:t>10,962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Amortization of debt issuance costs</w:t>
            </w:r>
          </w:p>
        </w:tc>
        <w:tc>
          <w:tcPr>
            <w:tcW w:w="10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409</w:t>
            </w:r>
          </w:p>
        </w:tc>
        <w:tc>
          <w:tcPr>
            <w:tcW w:w="9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400"/>
              <w:spacing w:after="0"/>
              <w:rPr>
                <w:sz w:val="20"/>
                <w:szCs w:val="20"/>
                <w:color w:val="auto"/>
              </w:rPr>
            </w:pPr>
            <w:r>
              <w:rPr>
                <w:rFonts w:ascii="Arial" w:cs="Arial" w:eastAsia="Arial" w:hAnsi="Arial"/>
                <w:sz w:val="18"/>
                <w:szCs w:val="18"/>
                <w:color w:val="auto"/>
              </w:rPr>
              <w:t>Write-off of unamortized debt issuance cost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880" w:type="dxa"/>
            <w:vAlign w:val="bottom"/>
          </w:tcPr>
          <w:p>
            <w:pPr>
              <w:jc w:val="right"/>
              <w:ind w:right="231"/>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Loss on disposal of assets</w:t>
            </w:r>
          </w:p>
        </w:tc>
        <w:tc>
          <w:tcPr>
            <w:tcW w:w="10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w:t>
            </w:r>
          </w:p>
        </w:tc>
        <w:tc>
          <w:tcPr>
            <w:tcW w:w="9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400"/>
              <w:spacing w:after="0"/>
              <w:rPr>
                <w:sz w:val="20"/>
                <w:szCs w:val="20"/>
                <w:color w:val="auto"/>
              </w:rPr>
            </w:pPr>
            <w:r>
              <w:rPr>
                <w:rFonts w:ascii="Arial" w:cs="Arial" w:eastAsia="Arial" w:hAnsi="Arial"/>
                <w:sz w:val="18"/>
                <w:szCs w:val="18"/>
                <w:color w:val="auto"/>
              </w:rPr>
              <w:t>Deferred income tax expense (benefit)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880" w:type="dxa"/>
            <w:vAlign w:val="bottom"/>
          </w:tcPr>
          <w:p>
            <w:pPr>
              <w:jc w:val="right"/>
              <w:ind w:right="171"/>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Non-cash gain from deconsolidation of bankrupt subsidiary</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(209)</w:t>
            </w:r>
          </w:p>
        </w:tc>
        <w:tc>
          <w:tcPr>
            <w:tcW w:w="9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400"/>
              <w:spacing w:after="0"/>
              <w:rPr>
                <w:sz w:val="20"/>
                <w:szCs w:val="20"/>
                <w:color w:val="auto"/>
              </w:rPr>
            </w:pPr>
            <w:r>
              <w:rPr>
                <w:rFonts w:ascii="Arial" w:cs="Arial" w:eastAsia="Arial" w:hAnsi="Arial"/>
                <w:sz w:val="18"/>
                <w:szCs w:val="18"/>
                <w:color w:val="auto"/>
              </w:rPr>
              <w:t>Share-based compensation expense</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116</w:t>
            </w:r>
          </w:p>
        </w:tc>
        <w:tc>
          <w:tcPr>
            <w:tcW w:w="980" w:type="dxa"/>
            <w:vAlign w:val="bottom"/>
          </w:tcPr>
          <w:p>
            <w:pPr>
              <w:spacing w:after="0"/>
              <w:rPr>
                <w:sz w:val="18"/>
                <w:szCs w:val="18"/>
                <w:color w:val="auto"/>
              </w:rPr>
            </w:pPr>
          </w:p>
        </w:tc>
        <w:tc>
          <w:tcPr>
            <w:tcW w:w="880" w:type="dxa"/>
            <w:vAlign w:val="bottom"/>
          </w:tcPr>
          <w:p>
            <w:pPr>
              <w:jc w:val="right"/>
              <w:ind w:right="231"/>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Non-cash interest income from long-term note receivable</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(126)</w:t>
            </w:r>
          </w:p>
        </w:tc>
        <w:tc>
          <w:tcPr>
            <w:tcW w:w="9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400"/>
              <w:spacing w:after="0"/>
              <w:rPr>
                <w:sz w:val="20"/>
                <w:szCs w:val="20"/>
                <w:color w:val="auto"/>
              </w:rPr>
            </w:pPr>
            <w:r>
              <w:rPr>
                <w:rFonts w:ascii="Arial" w:cs="Arial" w:eastAsia="Arial" w:hAnsi="Arial"/>
                <w:sz w:val="18"/>
                <w:szCs w:val="18"/>
                <w:color w:val="auto"/>
              </w:rPr>
              <w:t>Changes in operating assets and liabilities:</w:t>
            </w: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Accounts receivable</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(19,141)</w:t>
            </w:r>
          </w:p>
        </w:tc>
        <w:tc>
          <w:tcPr>
            <w:tcW w:w="9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89"/>
              </w:rPr>
              <w:t>(20,288)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600"/>
              <w:spacing w:after="0"/>
              <w:rPr>
                <w:sz w:val="20"/>
                <w:szCs w:val="20"/>
                <w:color w:val="auto"/>
              </w:rPr>
            </w:pPr>
            <w:r>
              <w:rPr>
                <w:rFonts w:ascii="Arial" w:cs="Arial" w:eastAsia="Arial" w:hAnsi="Arial"/>
                <w:sz w:val="18"/>
                <w:szCs w:val="18"/>
                <w:color w:val="auto"/>
              </w:rPr>
              <w:t>Inventories</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(1,668)</w:t>
            </w:r>
          </w:p>
        </w:tc>
        <w:tc>
          <w:tcPr>
            <w:tcW w:w="980" w:type="dxa"/>
            <w:vAlign w:val="bottom"/>
          </w:tcPr>
          <w:p>
            <w:pPr>
              <w:spacing w:after="0"/>
              <w:rPr>
                <w:sz w:val="18"/>
                <w:szCs w:val="18"/>
                <w:color w:val="auto"/>
              </w:rPr>
            </w:pPr>
          </w:p>
        </w:tc>
        <w:tc>
          <w:tcPr>
            <w:tcW w:w="880" w:type="dxa"/>
            <w:vAlign w:val="bottom"/>
          </w:tcPr>
          <w:p>
            <w:pPr>
              <w:jc w:val="right"/>
              <w:ind w:right="171"/>
              <w:spacing w:after="0"/>
              <w:rPr>
                <w:sz w:val="20"/>
                <w:szCs w:val="20"/>
                <w:color w:val="auto"/>
              </w:rPr>
            </w:pPr>
            <w:r>
              <w:rPr>
                <w:rFonts w:ascii="Arial" w:cs="Arial" w:eastAsia="Arial" w:hAnsi="Arial"/>
                <w:sz w:val="18"/>
                <w:szCs w:val="18"/>
                <w:color w:val="auto"/>
              </w:rPr>
              <w:t>(1,743)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Accounts payable</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(627)</w:t>
            </w:r>
          </w:p>
        </w:tc>
        <w:tc>
          <w:tcPr>
            <w:tcW w:w="9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6,267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tcPr>
          <w:p>
            <w:pPr>
              <w:ind w:left="600"/>
              <w:spacing w:after="0"/>
              <w:rPr>
                <w:sz w:val="20"/>
                <w:szCs w:val="20"/>
                <w:color w:val="auto"/>
              </w:rPr>
            </w:pPr>
            <w:r>
              <w:rPr>
                <w:rFonts w:ascii="Arial" w:cs="Arial" w:eastAsia="Arial" w:hAnsi="Arial"/>
                <w:sz w:val="18"/>
                <w:szCs w:val="18"/>
                <w:color w:val="auto"/>
              </w:rPr>
              <w:t>Other assets and liabilities</w:t>
            </w: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(434)</w:t>
            </w:r>
          </w:p>
        </w:tc>
        <w:tc>
          <w:tcPr>
            <w:tcW w:w="9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2,574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(used) provided by operating activities</w:t>
            </w: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(2,017)</w:t>
            </w:r>
          </w:p>
        </w:tc>
        <w:tc>
          <w:tcPr>
            <w:tcW w:w="9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5,126</w:t>
            </w:r>
          </w:p>
        </w:tc>
        <w:tc>
          <w:tcPr>
            <w:tcW w:w="0" w:type="dxa"/>
            <w:vAlign w:val="bottom"/>
          </w:tcPr>
          <w:p>
            <w:pPr>
              <w:spacing w:after="0"/>
              <w:rPr>
                <w:sz w:val="1"/>
                <w:szCs w:val="1"/>
                <w:color w:val="auto"/>
              </w:rPr>
            </w:pPr>
          </w:p>
        </w:tc>
      </w:tr>
      <w:tr>
        <w:trPr>
          <w:trHeight w:val="439"/>
        </w:trPr>
        <w:tc>
          <w:tcPr>
            <w:tcW w:w="848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property, plant and equipment</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(10,173)</w:t>
            </w:r>
          </w:p>
        </w:tc>
        <w:tc>
          <w:tcPr>
            <w:tcW w:w="9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(4,354)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Cash lost on deconsolidation of Eltmann subsidiary</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(979)</w:t>
            </w:r>
          </w:p>
        </w:tc>
        <w:tc>
          <w:tcPr>
            <w:tcW w:w="980" w:type="dxa"/>
            <w:vAlign w:val="bottom"/>
          </w:tcPr>
          <w:p>
            <w:pPr>
              <w:spacing w:after="0"/>
              <w:rPr>
                <w:sz w:val="18"/>
                <w:szCs w:val="18"/>
                <w:color w:val="auto"/>
              </w:rPr>
            </w:pPr>
          </w:p>
        </w:tc>
        <w:tc>
          <w:tcPr>
            <w:tcW w:w="880" w:type="dxa"/>
            <w:vAlign w:val="bottom"/>
          </w:tcPr>
          <w:p>
            <w:pPr>
              <w:jc w:val="right"/>
              <w:ind w:right="2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disposals of property, plant and equipment</w:t>
            </w:r>
          </w:p>
        </w:tc>
        <w:tc>
          <w:tcPr>
            <w:tcW w:w="10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106</w:t>
            </w:r>
          </w:p>
        </w:tc>
        <w:tc>
          <w:tcPr>
            <w:tcW w:w="9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tcPr>
          <w:p>
            <w:pPr>
              <w:ind w:left="800"/>
              <w:spacing w:after="0"/>
              <w:rPr>
                <w:sz w:val="20"/>
                <w:szCs w:val="20"/>
                <w:color w:val="auto"/>
              </w:rPr>
            </w:pPr>
            <w:r>
              <w:rPr>
                <w:rFonts w:ascii="Arial" w:cs="Arial" w:eastAsia="Arial" w:hAnsi="Arial"/>
                <w:sz w:val="18"/>
                <w:szCs w:val="18"/>
                <w:color w:val="auto"/>
              </w:rPr>
              <w:t>Net cash used by investing activities</w:t>
            </w: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(11,046)</w:t>
            </w:r>
          </w:p>
        </w:tc>
        <w:tc>
          <w:tcPr>
            <w:tcW w:w="9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(4,352)</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Proceeds (repayment) of short-term debt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941</w:t>
            </w:r>
          </w:p>
        </w:tc>
        <w:tc>
          <w:tcPr>
            <w:tcW w:w="980" w:type="dxa"/>
            <w:vAlign w:val="bottom"/>
          </w:tcPr>
          <w:p>
            <w:pPr>
              <w:spacing w:after="0"/>
              <w:rPr>
                <w:sz w:val="18"/>
                <w:szCs w:val="18"/>
                <w:color w:val="auto"/>
              </w:rPr>
            </w:pPr>
          </w:p>
        </w:tc>
        <w:tc>
          <w:tcPr>
            <w:tcW w:w="880" w:type="dxa"/>
            <w:vAlign w:val="bottom"/>
          </w:tcPr>
          <w:p>
            <w:pPr>
              <w:jc w:val="right"/>
              <w:ind w:right="171"/>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Principal payment on capital lease</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(32)</w:t>
            </w:r>
          </w:p>
        </w:tc>
        <w:tc>
          <w:tcPr>
            <w:tcW w:w="9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Proceeds from long term debt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12,486</w:t>
            </w:r>
          </w:p>
        </w:tc>
        <w:tc>
          <w:tcPr>
            <w:tcW w:w="980" w:type="dxa"/>
            <w:vAlign w:val="bottom"/>
          </w:tcPr>
          <w:p>
            <w:pPr>
              <w:spacing w:after="0"/>
              <w:rPr>
                <w:sz w:val="18"/>
                <w:szCs w:val="18"/>
                <w:color w:val="auto"/>
              </w:rPr>
            </w:pPr>
          </w:p>
        </w:tc>
        <w:tc>
          <w:tcPr>
            <w:tcW w:w="880" w:type="dxa"/>
            <w:vAlign w:val="bottom"/>
          </w:tcPr>
          <w:p>
            <w:pPr>
              <w:jc w:val="right"/>
              <w:ind w:right="231"/>
              <w:spacing w:after="0"/>
              <w:rPr>
                <w:sz w:val="20"/>
                <w:szCs w:val="20"/>
                <w:color w:val="auto"/>
              </w:rPr>
            </w:pPr>
            <w:r>
              <w:rPr>
                <w:rFonts w:ascii="Arial" w:cs="Arial" w:eastAsia="Arial" w:hAnsi="Arial"/>
                <w:sz w:val="18"/>
                <w:szCs w:val="18"/>
                <w:color w:val="auto"/>
              </w:rPr>
              <w:t>2,085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stock</w:t>
            </w:r>
          </w:p>
        </w:tc>
        <w:tc>
          <w:tcPr>
            <w:tcW w:w="10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2,302</w:t>
            </w:r>
          </w:p>
        </w:tc>
        <w:tc>
          <w:tcPr>
            <w:tcW w:w="9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Debt issuance cost paid</w:t>
            </w: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(334)</w:t>
            </w:r>
          </w:p>
        </w:tc>
        <w:tc>
          <w:tcPr>
            <w:tcW w:w="9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provided by financing activities</w:t>
            </w:r>
          </w:p>
        </w:tc>
        <w:tc>
          <w:tcPr>
            <w:tcW w:w="10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15,363</w:t>
            </w:r>
          </w:p>
        </w:tc>
        <w:tc>
          <w:tcPr>
            <w:tcW w:w="9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439"/>
        </w:trPr>
        <w:tc>
          <w:tcPr>
            <w:tcW w:w="848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flows</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2,067</w:t>
            </w:r>
          </w:p>
        </w:tc>
        <w:tc>
          <w:tcPr>
            <w:tcW w:w="980" w:type="dxa"/>
            <w:vAlign w:val="bottom"/>
          </w:tcPr>
          <w:p>
            <w:pPr>
              <w:spacing w:after="0"/>
              <w:rPr>
                <w:sz w:val="24"/>
                <w:szCs w:val="24"/>
                <w:color w:val="auto"/>
              </w:rPr>
            </w:pPr>
          </w:p>
        </w:tc>
        <w:tc>
          <w:tcPr>
            <w:tcW w:w="880" w:type="dxa"/>
            <w:vAlign w:val="bottom"/>
          </w:tcPr>
          <w:p>
            <w:pPr>
              <w:jc w:val="right"/>
              <w:ind w:right="171"/>
              <w:spacing w:after="0"/>
              <w:rPr>
                <w:sz w:val="20"/>
                <w:szCs w:val="20"/>
                <w:color w:val="auto"/>
              </w:rPr>
            </w:pPr>
            <w:r>
              <w:rPr>
                <w:rFonts w:ascii="Arial" w:cs="Arial" w:eastAsia="Arial" w:hAnsi="Arial"/>
                <w:sz w:val="18"/>
                <w:szCs w:val="18"/>
                <w:color w:val="auto"/>
              </w:rPr>
              <w:t>(3,889)</w:t>
            </w: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11420"/>
          </w:cols>
          <w:pgMar w:left="240" w:top="419" w:right="239" w:bottom="1440" w:gutter="0" w:footer="0" w:header="0"/>
        </w:sectPr>
      </w:pPr>
    </w:p>
    <w:p>
      <w:pPr>
        <w:spacing w:after="0"/>
        <w:rPr>
          <w:sz w:val="20"/>
          <w:szCs w:val="20"/>
          <w:color w:val="auto"/>
        </w:rPr>
      </w:pPr>
      <w:r>
        <w:rPr>
          <w:rFonts w:ascii="Arial" w:cs="Arial" w:eastAsia="Arial" w:hAnsi="Arial"/>
          <w:sz w:val="18"/>
          <w:szCs w:val="18"/>
          <w:b w:val="1"/>
          <w:bCs w:val="1"/>
          <w:color w:val="auto"/>
        </w:rPr>
        <w:t>Net Change in Cash</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at Beginning of Period</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at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40" w:type="dxa"/>
            <w:vAlign w:val="bottom"/>
          </w:tcPr>
          <w:p>
            <w:pPr>
              <w:jc w:val="right"/>
              <w:ind w:right="450"/>
              <w:spacing w:after="0"/>
              <w:rPr>
                <w:sz w:val="20"/>
                <w:szCs w:val="20"/>
                <w:color w:val="auto"/>
              </w:rPr>
            </w:pPr>
            <w:r>
              <w:rPr>
                <w:rFonts w:ascii="Arial" w:cs="Arial" w:eastAsia="Arial" w:hAnsi="Arial"/>
                <w:sz w:val="18"/>
                <w:szCs w:val="18"/>
                <w:color w:val="auto"/>
              </w:rPr>
              <w:t>4,367</w:t>
            </w: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(2,701)</w:t>
            </w:r>
          </w:p>
        </w:tc>
      </w:tr>
      <w:tr>
        <w:trPr>
          <w:trHeight w:val="230"/>
        </w:trPr>
        <w:tc>
          <w:tcPr>
            <w:tcW w:w="14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5,556</w:t>
            </w:r>
          </w:p>
        </w:tc>
        <w:tc>
          <w:tcPr>
            <w:tcW w:w="15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8,744</w:t>
            </w:r>
          </w:p>
        </w:tc>
      </w:tr>
      <w:tr>
        <w:trPr>
          <w:trHeight w:val="223"/>
        </w:trPr>
        <w:tc>
          <w:tcPr>
            <w:tcW w:w="14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  9,923</w:t>
            </w:r>
          </w:p>
        </w:tc>
        <w:tc>
          <w:tcPr>
            <w:tcW w:w="15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  6,043</w:t>
            </w:r>
          </w:p>
        </w:tc>
      </w:tr>
      <w:tr>
        <w:trPr>
          <w:trHeight w:val="20"/>
        </w:trPr>
        <w:tc>
          <w:tcPr>
            <w:tcW w:w="1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-5379085</wp:posOffset>
            </wp:positionH>
            <wp:positionV relativeFrom="paragraph">
              <wp:posOffset>-454025</wp:posOffset>
            </wp:positionV>
            <wp:extent cx="72466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-5379085</wp:posOffset>
            </wp:positionH>
            <wp:positionV relativeFrom="paragraph">
              <wp:posOffset>-162560</wp:posOffset>
            </wp:positionV>
            <wp:extent cx="72466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760" w:space="720"/>
            <w:col w:w="2940"/>
          </w:cols>
          <w:pgMar w:left="240" w:top="419" w:right="2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following amounts were deconsolidated from the Condensed Consolidated Balance Sheet of NN due to the bankruptcy of a subsidiary on January 20, 2011 and are not reflected in the net cash used by operating activities above:</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Accounts receivable of $3,388, Inventory of $2,407,</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Accounts payable of $1,947 and Other assets and liabilities of $6,379.</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Additionally, property, plant and equipment of $1,343 was deconsolidated from the Condensed Consolidated Balance Sheet of NN on January 20, 2011 and is not reflected in the net cash used by investing activities above.</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ectPr>
          <w:pgSz w:w="11900" w:h="16838" w:orient="portrait"/>
          <w:cols w:equalWidth="0" w:num="1">
            <w:col w:w="11420"/>
          </w:cols>
          <w:pgMar w:left="240" w:top="419" w:right="239" w:bottom="1440" w:gutter="0" w:footer="0" w:header="0"/>
          <w:type w:val="continuous"/>
        </w:sect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Interim Financial Statements</w:t>
      </w:r>
    </w:p>
    <w:p>
      <w:pPr>
        <w:spacing w:after="0" w:line="121"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The accompanying condensed consolidated financial statements of NN, Inc. have not been audited, except that the balance sheet at December 31, 2010 was derived from the Company’s audited consolidated financial statements. In the opinion of the Company’s management, the financial statements reflect all adjustments necessary to fairly state the results of operations for the three and six month periods ended June 30, 2011 and 2010, the Company’s financial position at June 30, 2011 and December 31, 2010, and the cash flows for the six month periods ended June 30, 2011 and 2010. These adjustments are of a normal recurring nature and are, in the opinion of management, necessary for fair statement of the financial position and operating results for the interim periods. As used in this Quarterly Report on Form 10-Q, the terms “NN”, “the Company”, “we”, “our”, or “us” mean NN, Inc. and its subsidiaries.</w:t>
      </w:r>
    </w:p>
    <w:p>
      <w:pPr>
        <w:spacing w:after="0" w:line="57" w:lineRule="exact"/>
        <w:rPr>
          <w:sz w:val="20"/>
          <w:szCs w:val="20"/>
          <w:color w:val="auto"/>
        </w:rPr>
      </w:pPr>
    </w:p>
    <w:p>
      <w:pPr>
        <w:ind w:right="280"/>
        <w:spacing w:after="0" w:line="273" w:lineRule="auto"/>
        <w:rPr>
          <w:sz w:val="20"/>
          <w:szCs w:val="20"/>
          <w:color w:val="auto"/>
        </w:rPr>
      </w:pPr>
      <w:r>
        <w:rPr>
          <w:rFonts w:ascii="Arial" w:cs="Arial" w:eastAsia="Arial" w:hAnsi="Arial"/>
          <w:sz w:val="17"/>
          <w:szCs w:val="17"/>
          <w:color w:val="auto"/>
        </w:rPr>
        <w:t>Certain information and footnote disclosures normally included in the consolidated financial statements prepared in accordance with generally accepted accounting principles have been condensed or omitted from the interim financial statements presented in this Quarterly Report on Form 10-Q. These unaudited, condensed and consolidated financial statements should be read in conjunction with our audited consolidated financial statements and the notes thereto included in our most recent annual report on Form 10-K for the year ended December 31, 2010 which we filed with the Securities and Exchange Commission on March 15, 2011. The results for the three and six month period ended June 30, 2011 are not necessarily indicative of results for the year ending December 31, 2011 or any other future periods.</w:t>
      </w:r>
    </w:p>
    <w:p>
      <w:pPr>
        <w:spacing w:after="0" w:line="7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Due to the impacts of the global economic recession and the resulting reduction in revenue and operating losses, our wholly owned German subsidiary, Kugelfertigung Eltmann GbmH (“Eltmann” or “Eltmann Plant”), sustained a significant weakening of its financial condition and as a result became insolvent at which point it was required to file for bankruptcy under German bankruptcy law. The filing was made in the bankruptcy court in Germany on January 20, 2011. As of this date, NN lost the ability to control or manage Eltmann as a result of the bankruptcy court trustee taking over effective control and day to day management of this subsidiary. As a result of loss of control of this subsidiary, NN deconsolidated the assets and liabilities of Eltmann from our Consolidated Financial Statements effective January 20, 2011.</w:t>
      </w:r>
    </w:p>
    <w:p>
      <w:pPr>
        <w:spacing w:after="0" w:line="85"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We were informed that in early April 2011, the bankruptcy trustee sold the majority of the production assets of Eltmann to a non-affiliated manufacturing company. It is our understanding that the remaining assets and liabilities of Eltmann will be liquidated sometime in the future by the bankruptcy court. NN does not expect any further significant impact on our consolidated financial statements as a result of the liquidation of this subsidiary.</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effects on the June 30, 2011 Condensed Consolidated Balance Sheet of the deconsolidation of Eltmann effective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January 20, 2011: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6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Accounts receivable</w:t>
            </w:r>
          </w:p>
        </w:tc>
        <w:tc>
          <w:tcPr>
            <w:tcW w:w="5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5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Other assets</w:t>
            </w:r>
          </w:p>
        </w:tc>
        <w:tc>
          <w:tcPr>
            <w:tcW w:w="5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5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0" w:type="dxa"/>
            <w:vAlign w:val="bottom"/>
          </w:tcPr>
          <w:p>
            <w:pPr>
              <w:spacing w:after="0"/>
              <w:rPr>
                <w:sz w:val="1"/>
                <w:szCs w:val="1"/>
                <w:color w:val="auto"/>
              </w:rPr>
            </w:pPr>
          </w:p>
        </w:tc>
      </w:tr>
      <w:tr>
        <w:trPr>
          <w:trHeight w:val="223"/>
        </w:trPr>
        <w:tc>
          <w:tcPr>
            <w:tcW w:w="4760" w:type="dxa"/>
            <w:vAlign w:val="bottom"/>
            <w:gridSpan w:val="2"/>
          </w:tcPr>
          <w:p>
            <w:pPr>
              <w:spacing w:after="0"/>
              <w:rPr>
                <w:sz w:val="20"/>
                <w:szCs w:val="20"/>
                <w:color w:val="auto"/>
              </w:rPr>
            </w:pPr>
            <w:r>
              <w:rPr>
                <w:rFonts w:ascii="Arial" w:cs="Arial" w:eastAsia="Arial" w:hAnsi="Arial"/>
                <w:sz w:val="18"/>
                <w:szCs w:val="18"/>
                <w:color w:val="auto"/>
              </w:rPr>
              <w:t>Reduction of total assets</w:t>
            </w:r>
          </w:p>
        </w:tc>
        <w:tc>
          <w:tcPr>
            <w:tcW w:w="58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(8,310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5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Accrued salaries</w:t>
            </w:r>
          </w:p>
        </w:tc>
        <w:tc>
          <w:tcPr>
            <w:tcW w:w="5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Accrued pension</w:t>
            </w:r>
          </w:p>
        </w:tc>
        <w:tc>
          <w:tcPr>
            <w:tcW w:w="5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58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Reduction of total liabilities and stockholders’ equity</w:t>
            </w:r>
          </w:p>
        </w:tc>
        <w:tc>
          <w:tcPr>
            <w:tcW w:w="6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(8,519)</w:t>
            </w:r>
          </w:p>
        </w:tc>
        <w:tc>
          <w:tcPr>
            <w:tcW w:w="0" w:type="dxa"/>
            <w:vAlign w:val="bottom"/>
          </w:tcPr>
          <w:p>
            <w:pPr>
              <w:spacing w:after="0"/>
              <w:rPr>
                <w:sz w:val="1"/>
                <w:szCs w:val="1"/>
                <w:color w:val="auto"/>
              </w:rPr>
            </w:pPr>
          </w:p>
        </w:tc>
      </w:tr>
      <w:tr>
        <w:trPr>
          <w:trHeight w:val="20"/>
        </w:trPr>
        <w:tc>
          <w:tcPr>
            <w:tcW w:w="4760" w:type="dxa"/>
            <w:vAlign w:val="bottom"/>
            <w:gridSpan w:val="2"/>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760" w:type="dxa"/>
            <w:vAlign w:val="bottom"/>
            <w:gridSpan w:val="2"/>
          </w:tcPr>
          <w:p>
            <w:pPr>
              <w:spacing w:after="0"/>
              <w:rPr>
                <w:sz w:val="20"/>
                <w:szCs w:val="20"/>
                <w:color w:val="auto"/>
              </w:rPr>
            </w:pPr>
            <w:r>
              <w:rPr>
                <w:rFonts w:ascii="Arial" w:cs="Arial" w:eastAsia="Arial" w:hAnsi="Arial"/>
                <w:sz w:val="18"/>
                <w:szCs w:val="18"/>
                <w:color w:val="auto"/>
              </w:rPr>
              <w:t>Gain from deconsolidation of bankrupt subsidiary</w:t>
            </w:r>
          </w:p>
        </w:tc>
        <w:tc>
          <w:tcPr>
            <w:tcW w:w="6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5880" w:type="dxa"/>
            <w:vAlign w:val="bottom"/>
            <w:vMerge w:val="restart"/>
          </w:tcPr>
          <w:p>
            <w:pPr>
              <w:jc w:val="right"/>
              <w:ind w:right="4790"/>
              <w:spacing w:after="0"/>
              <w:rPr>
                <w:sz w:val="20"/>
                <w:szCs w:val="20"/>
                <w:color w:val="auto"/>
              </w:rPr>
            </w:pPr>
            <w:r>
              <w:rPr>
                <w:rFonts w:ascii="Arial" w:cs="Arial" w:eastAsia="Arial" w:hAnsi="Arial"/>
                <w:sz w:val="18"/>
                <w:szCs w:val="18"/>
                <w:color w:val="auto"/>
              </w:rPr>
              <w:t>6</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58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740" w:type="dxa"/>
            <w:vAlign w:val="bottom"/>
            <w:tcBorders>
              <w:bottom w:val="single" w:sz="8" w:color="808080"/>
            </w:tcBorders>
          </w:tcPr>
          <w:p>
            <w:pPr>
              <w:spacing w:after="0"/>
              <w:rPr>
                <w:sz w:val="19"/>
                <w:szCs w:val="19"/>
                <w:color w:val="auto"/>
              </w:rPr>
            </w:pPr>
          </w:p>
        </w:tc>
        <w:tc>
          <w:tcPr>
            <w:tcW w:w="58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Restructuring Charges and Other</w:t>
      </w:r>
    </w:p>
    <w:p>
      <w:pPr>
        <w:spacing w:after="0" w:line="12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During the first quarter of 2010, we announced the closure of the Tempe Plant. The closure impacted approximately 130 employees. Economic conditions at that time coupled with the long-term manufacturing strategy for our Whirlaway business necessitated a consolidation of our manufacturing resources into existing facilities in Ohio. During the three and six month periods ended June 30, 2010, we accrued $604 and $1,137, respectively, of severance costs related to the closure. The severance costs were recognized pro-rata over the period from the announcement date until the employees’ termination date as continued employment was a requirement to receive severance payments. Additionally, during the three and six month periods ended June 30, 2010, we incurred $63 of site closure and other associated costs. In the first quarter of 2010, we incurred $1,000 of accelerated depreciation related to certain fixed assets that ceased to be used due to the Tempe Plant closure.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Long Term Notes Receivable</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Certain property, plant and equipment of the Tempe Plant was sold on August 31, 2010, the day the Tempe Plant ceased operations, to a newly formed company not affiliated with NN. Property, plant and equipment with a net book value of $2,230 were sold in exchange for a promissory note with a fair value of $1,562, as of August 31, 2010, (described below as the Tempe Fixed Asset Note).</w:t>
      </w:r>
    </w:p>
    <w:p>
      <w:pPr>
        <w:spacing w:after="0" w:line="73"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Tempe Fixed Asset Note had an original face value of $2,500, a 60 month term, a 7% interest rate, interest only payments for 24 months, principal and interest payments totaling $40 per month for the next 36 months followed by a balloon payment of $1,525. The note is secured by a first lien on approximately $1,000 of the assets and a second lien on the remaining assets. As of June 30, 2011, the note had an estimated fair value and carrying value of $1,688 determined using a discounted cash flow method applying market interest rates for similar types of seller financed, partially secured promissory notes (Level 3 under the U.S. GAAP fair value hierarchy). This note is reported within other current assets for the current portion and other non-current assets for the long-term portion within the Condensed Consolidated Balance Sheets.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Inventories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Inventories are stated at the lower of cost or market. Cost is determined using the first-in, first-out method.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Inventories are comprised of the following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1380" w:type="dxa"/>
            <w:vAlign w:val="bottom"/>
          </w:tcPr>
          <w:p>
            <w:pPr>
              <w:jc w:val="right"/>
              <w:ind w:right="475"/>
              <w:spacing w:after="0"/>
              <w:rPr>
                <w:sz w:val="20"/>
                <w:szCs w:val="20"/>
                <w:color w:val="auto"/>
              </w:rPr>
            </w:pPr>
            <w:r>
              <w:rPr>
                <w:rFonts w:ascii="Arial" w:cs="Arial" w:eastAsia="Arial" w:hAnsi="Arial"/>
                <w:sz w:val="14"/>
                <w:szCs w:val="14"/>
                <w:b w:val="1"/>
                <w:bCs w:val="1"/>
                <w:color w:val="auto"/>
              </w:rPr>
              <w:t>June 30,</w:t>
            </w:r>
          </w:p>
        </w:tc>
        <w:tc>
          <w:tcPr>
            <w:tcW w:w="1520" w:type="dxa"/>
            <w:vAlign w:val="bottom"/>
          </w:tcPr>
          <w:p>
            <w:pPr>
              <w:jc w:val="right"/>
              <w:ind w:right="115"/>
              <w:spacing w:after="0"/>
              <w:rPr>
                <w:sz w:val="20"/>
                <w:szCs w:val="20"/>
                <w:color w:val="auto"/>
              </w:rPr>
            </w:pPr>
            <w:r>
              <w:rPr>
                <w:rFonts w:ascii="Arial" w:cs="Arial" w:eastAsia="Arial" w:hAnsi="Arial"/>
                <w:sz w:val="14"/>
                <w:szCs w:val="14"/>
                <w:b w:val="1"/>
                <w:bCs w:val="1"/>
                <w:color w:val="auto"/>
              </w:rPr>
              <w:t>December 31,</w:t>
            </w:r>
          </w:p>
        </w:tc>
      </w:tr>
      <w:tr>
        <w:trPr>
          <w:trHeight w:val="178"/>
        </w:trPr>
        <w:tc>
          <w:tcPr>
            <w:tcW w:w="20" w:type="dxa"/>
            <w:vAlign w:val="bottom"/>
          </w:tcPr>
          <w:p>
            <w:pPr>
              <w:spacing w:after="0"/>
              <w:rPr>
                <w:sz w:val="15"/>
                <w:szCs w:val="15"/>
                <w:color w:val="auto"/>
              </w:rPr>
            </w:pPr>
          </w:p>
        </w:tc>
        <w:tc>
          <w:tcPr>
            <w:tcW w:w="8500" w:type="dxa"/>
            <w:vAlign w:val="bottom"/>
          </w:tcPr>
          <w:p>
            <w:pPr>
              <w:spacing w:after="0"/>
              <w:rPr>
                <w:sz w:val="15"/>
                <w:szCs w:val="15"/>
                <w:color w:val="auto"/>
              </w:rPr>
            </w:pPr>
          </w:p>
        </w:tc>
        <w:tc>
          <w:tcPr>
            <w:tcW w:w="138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2011</w:t>
            </w:r>
          </w:p>
        </w:tc>
        <w:tc>
          <w:tcPr>
            <w:tcW w:w="15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2010</w:t>
            </w: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380" w:type="dxa"/>
            <w:vAlign w:val="bottom"/>
            <w:shd w:val="clear" w:color="auto" w:fill="CCEEFF"/>
          </w:tcPr>
          <w:p>
            <w:pPr>
              <w:jc w:val="right"/>
              <w:ind w:right="475"/>
              <w:spacing w:after="0"/>
              <w:rPr>
                <w:sz w:val="20"/>
                <w:szCs w:val="20"/>
                <w:color w:val="auto"/>
              </w:rPr>
            </w:pPr>
            <w:r>
              <w:rPr>
                <w:rFonts w:ascii="Arial" w:cs="Arial" w:eastAsia="Arial" w:hAnsi="Arial"/>
                <w:sz w:val="18"/>
                <w:szCs w:val="18"/>
                <w:color w:val="auto"/>
              </w:rPr>
              <w:t>$13,422</w:t>
            </w:r>
          </w:p>
        </w:tc>
        <w:tc>
          <w:tcPr>
            <w:tcW w:w="152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$12,882</w:t>
            </w: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Work in process</w:t>
            </w:r>
          </w:p>
        </w:tc>
        <w:tc>
          <w:tcPr>
            <w:tcW w:w="1380" w:type="dxa"/>
            <w:vAlign w:val="bottom"/>
          </w:tcPr>
          <w:p>
            <w:pPr>
              <w:jc w:val="right"/>
              <w:ind w:right="475"/>
              <w:spacing w:after="0"/>
              <w:rPr>
                <w:sz w:val="20"/>
                <w:szCs w:val="20"/>
                <w:color w:val="auto"/>
              </w:rPr>
            </w:pPr>
            <w:r>
              <w:rPr>
                <w:rFonts w:ascii="Arial" w:cs="Arial" w:eastAsia="Arial" w:hAnsi="Arial"/>
                <w:sz w:val="18"/>
                <w:szCs w:val="18"/>
                <w:color w:val="auto"/>
              </w:rPr>
              <w:t>9,664</w:t>
            </w:r>
          </w:p>
        </w:tc>
        <w:tc>
          <w:tcPr>
            <w:tcW w:w="1520" w:type="dxa"/>
            <w:vAlign w:val="bottom"/>
          </w:tcPr>
          <w:p>
            <w:pPr>
              <w:jc w:val="right"/>
              <w:ind w:right="275"/>
              <w:spacing w:after="0"/>
              <w:rPr>
                <w:sz w:val="20"/>
                <w:szCs w:val="20"/>
                <w:color w:val="auto"/>
              </w:rPr>
            </w:pPr>
            <w:r>
              <w:rPr>
                <w:rFonts w:ascii="Arial" w:cs="Arial" w:eastAsia="Arial" w:hAnsi="Arial"/>
                <w:sz w:val="18"/>
                <w:szCs w:val="18"/>
                <w:color w:val="auto"/>
              </w:rPr>
              <w:t>8,837</w:t>
            </w: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380" w:type="dxa"/>
            <w:vAlign w:val="bottom"/>
            <w:shd w:val="clear" w:color="auto" w:fill="CCEEFF"/>
          </w:tcPr>
          <w:p>
            <w:pPr>
              <w:jc w:val="right"/>
              <w:ind w:right="475"/>
              <w:spacing w:after="0"/>
              <w:rPr>
                <w:sz w:val="20"/>
                <w:szCs w:val="20"/>
                <w:color w:val="auto"/>
              </w:rPr>
            </w:pPr>
            <w:r>
              <w:rPr>
                <w:rFonts w:ascii="Arial" w:cs="Arial" w:eastAsia="Arial" w:hAnsi="Arial"/>
                <w:sz w:val="18"/>
                <w:szCs w:val="18"/>
                <w:color w:val="auto"/>
              </w:rPr>
              <w:t>21,061</w:t>
            </w:r>
          </w:p>
        </w:tc>
        <w:tc>
          <w:tcPr>
            <w:tcW w:w="152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21,467</w:t>
            </w:r>
          </w:p>
        </w:tc>
      </w:tr>
      <w:tr>
        <w:trPr>
          <w:trHeight w:val="223"/>
        </w:trPr>
        <w:tc>
          <w:tcPr>
            <w:tcW w:w="20" w:type="dxa"/>
            <w:vAlign w:val="bottom"/>
          </w:tcPr>
          <w:p>
            <w:pPr>
              <w:spacing w:after="0"/>
              <w:rPr>
                <w:sz w:val="19"/>
                <w:szCs w:val="19"/>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Less inventory reserves</w:t>
            </w:r>
          </w:p>
        </w:tc>
        <w:tc>
          <w:tcPr>
            <w:tcW w:w="1380" w:type="dxa"/>
            <w:vAlign w:val="bottom"/>
            <w:tcBorders>
              <w:bottom w:val="single" w:sz="8" w:color="auto"/>
            </w:tcBorders>
          </w:tcPr>
          <w:p>
            <w:pPr>
              <w:jc w:val="right"/>
              <w:ind w:right="415"/>
              <w:spacing w:after="0"/>
              <w:rPr>
                <w:sz w:val="20"/>
                <w:szCs w:val="20"/>
                <w:color w:val="auto"/>
              </w:rPr>
            </w:pPr>
            <w:r>
              <w:rPr>
                <w:rFonts w:ascii="Arial" w:cs="Arial" w:eastAsia="Arial" w:hAnsi="Arial"/>
                <w:sz w:val="18"/>
                <w:szCs w:val="18"/>
                <w:color w:val="auto"/>
              </w:rPr>
              <w:t>(1,493)</w:t>
            </w:r>
          </w:p>
        </w:tc>
        <w:tc>
          <w:tcPr>
            <w:tcW w:w="152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color w:val="auto"/>
              </w:rPr>
              <w:t>(1,304)</w:t>
            </w: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475"/>
              <w:spacing w:after="0"/>
              <w:rPr>
                <w:sz w:val="20"/>
                <w:szCs w:val="20"/>
                <w:color w:val="auto"/>
              </w:rPr>
            </w:pPr>
            <w:r>
              <w:rPr>
                <w:rFonts w:ascii="Arial" w:cs="Arial" w:eastAsia="Arial" w:hAnsi="Arial"/>
                <w:sz w:val="18"/>
                <w:szCs w:val="18"/>
                <w:color w:val="auto"/>
              </w:rPr>
              <w:t>$42,654</w:t>
            </w:r>
          </w:p>
        </w:tc>
        <w:tc>
          <w:tcPr>
            <w:tcW w:w="1520" w:type="dxa"/>
            <w:vAlign w:val="bottom"/>
            <w:tcBorders>
              <w:bottom w:val="single" w:sz="8" w:color="auto"/>
            </w:tcBorders>
            <w:shd w:val="clear" w:color="auto" w:fill="CCEEFF"/>
          </w:tcPr>
          <w:p>
            <w:pPr>
              <w:jc w:val="right"/>
              <w:ind w:right="275"/>
              <w:spacing w:after="0"/>
              <w:rPr>
                <w:sz w:val="20"/>
                <w:szCs w:val="20"/>
                <w:color w:val="auto"/>
              </w:rPr>
            </w:pPr>
            <w:r>
              <w:rPr>
                <w:rFonts w:ascii="Arial" w:cs="Arial" w:eastAsia="Arial" w:hAnsi="Arial"/>
                <w:sz w:val="18"/>
                <w:szCs w:val="18"/>
                <w:color w:val="auto"/>
              </w:rPr>
              <w:t>$41,882</w:t>
            </w:r>
          </w:p>
        </w:tc>
      </w:tr>
      <w:tr>
        <w:trPr>
          <w:trHeight w:val="20"/>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Inventories on consignment at customer locations as of June 30, 2011 and December 31, 2010 totaled $3,870 and $3,401, respectively.</w:t>
      </w:r>
    </w:p>
    <w:p>
      <w:pPr>
        <w:spacing w:after="0" w:line="117"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During the first quarter of 2011, $2,407 of inventory at Eltmann was deconsolidated from the financial statements of NN. (See Note 1 of the Notes to Condensed Consolidated Financial Statements).</w:t>
      </w:r>
    </w:p>
    <w:p>
      <w:pPr>
        <w:spacing w:after="0" w:line="62"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inventory valuations above were developed using normalized production capacities for each of our manufacturing locations. Any costs from abnormal excess capacity or under-utilization of fixed production overheads are expensed in the period incurred and are not included as a component of inventory valuation.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Net Income Per Share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20" w:type="dxa"/>
            <w:vAlign w:val="bottom"/>
            <w:gridSpan w:val="3"/>
          </w:tcPr>
          <w:p>
            <w:pPr>
              <w:jc w:val="right"/>
              <w:ind w:right="793"/>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Pr>
          <w:p>
            <w:pPr>
              <w:spacing w:after="0"/>
              <w:rPr>
                <w:sz w:val="14"/>
                <w:szCs w:val="14"/>
                <w:color w:val="auto"/>
              </w:rPr>
            </w:pPr>
          </w:p>
        </w:tc>
        <w:tc>
          <w:tcPr>
            <w:tcW w:w="2340" w:type="dxa"/>
            <w:vAlign w:val="bottom"/>
            <w:gridSpan w:val="3"/>
          </w:tcPr>
          <w:p>
            <w:pPr>
              <w:jc w:val="right"/>
              <w:ind w:right="69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700" w:type="dxa"/>
            <w:vAlign w:val="bottom"/>
            <w:gridSpan w:val="3"/>
            <w:vMerge w:val="restart"/>
          </w:tcPr>
          <w:p>
            <w:pPr>
              <w:spacing w:after="0"/>
              <w:rPr>
                <w:sz w:val="20"/>
                <w:szCs w:val="20"/>
                <w:color w:val="auto"/>
              </w:rPr>
            </w:pPr>
            <w:r>
              <w:rPr>
                <w:rFonts w:ascii="Arial" w:cs="Arial" w:eastAsia="Arial" w:hAnsi="Arial"/>
                <w:sz w:val="14"/>
                <w:szCs w:val="14"/>
                <w:color w:val="auto"/>
              </w:rPr>
              <w:t>(In Thousands of Dollars, Except Per Share Data)</w:t>
            </w:r>
          </w:p>
        </w:tc>
        <w:tc>
          <w:tcPr>
            <w:tcW w:w="3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70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rPr>
              <w:t>2011</w:t>
            </w:r>
          </w:p>
        </w:tc>
        <w:tc>
          <w:tcPr>
            <w:tcW w:w="900" w:type="dxa"/>
            <w:vAlign w:val="bottom"/>
          </w:tcPr>
          <w:p>
            <w:pPr>
              <w:spacing w:after="0"/>
              <w:rPr>
                <w:sz w:val="12"/>
                <w:szCs w:val="12"/>
                <w:color w:val="auto"/>
              </w:rPr>
            </w:pPr>
          </w:p>
        </w:tc>
        <w:tc>
          <w:tcPr>
            <w:tcW w:w="980" w:type="dxa"/>
            <w:vAlign w:val="bottom"/>
          </w:tcPr>
          <w:p>
            <w:pPr>
              <w:jc w:val="right"/>
              <w:ind w:right="493"/>
              <w:spacing w:after="0" w:line="142" w:lineRule="exact"/>
              <w:rPr>
                <w:sz w:val="20"/>
                <w:szCs w:val="20"/>
                <w:color w:val="auto"/>
              </w:rPr>
            </w:pPr>
            <w:r>
              <w:rPr>
                <w:rFonts w:ascii="Arial" w:cs="Arial" w:eastAsia="Arial" w:hAnsi="Arial"/>
                <w:sz w:val="14"/>
                <w:szCs w:val="14"/>
                <w:b w:val="1"/>
                <w:bCs w:val="1"/>
                <w:color w:val="auto"/>
              </w:rPr>
              <w:t>2010</w:t>
            </w:r>
          </w:p>
        </w:tc>
        <w:tc>
          <w:tcPr>
            <w:tcW w:w="560" w:type="dxa"/>
            <w:vAlign w:val="bottom"/>
          </w:tcPr>
          <w:p>
            <w:pPr>
              <w:spacing w:after="0"/>
              <w:rPr>
                <w:sz w:val="12"/>
                <w:szCs w:val="12"/>
                <w:color w:val="auto"/>
              </w:rPr>
            </w:pPr>
          </w:p>
        </w:tc>
        <w:tc>
          <w:tcPr>
            <w:tcW w:w="64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rPr>
              <w:t>2011</w:t>
            </w:r>
          </w:p>
        </w:tc>
        <w:tc>
          <w:tcPr>
            <w:tcW w:w="920" w:type="dxa"/>
            <w:vAlign w:val="bottom"/>
          </w:tcPr>
          <w:p>
            <w:pPr>
              <w:spacing w:after="0"/>
              <w:rPr>
                <w:sz w:val="12"/>
                <w:szCs w:val="12"/>
                <w:color w:val="auto"/>
              </w:rPr>
            </w:pPr>
          </w:p>
        </w:tc>
        <w:tc>
          <w:tcPr>
            <w:tcW w:w="780" w:type="dxa"/>
            <w:vAlign w:val="bottom"/>
          </w:tcPr>
          <w:p>
            <w:pPr>
              <w:jc w:val="right"/>
              <w:ind w:right="313"/>
              <w:spacing w:after="0" w:line="142" w:lineRule="exact"/>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22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5,827</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393"/>
              <w:spacing w:after="0"/>
              <w:rPr>
                <w:sz w:val="20"/>
                <w:szCs w:val="20"/>
                <w:color w:val="auto"/>
              </w:rPr>
            </w:pPr>
            <w:r>
              <w:rPr>
                <w:rFonts w:ascii="Arial" w:cs="Arial" w:eastAsia="Arial" w:hAnsi="Arial"/>
                <w:sz w:val="18"/>
                <w:szCs w:val="18"/>
                <w:color w:val="auto"/>
              </w:rPr>
              <w:t>5,123</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w w:val="87"/>
              </w:rPr>
              <w:t>11,334</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rPr>
              <w:t>5,348</w:t>
            </w:r>
          </w:p>
        </w:tc>
        <w:tc>
          <w:tcPr>
            <w:tcW w:w="0" w:type="dxa"/>
            <w:vAlign w:val="bottom"/>
          </w:tcPr>
          <w:p>
            <w:pPr>
              <w:spacing w:after="0"/>
              <w:rPr>
                <w:sz w:val="1"/>
                <w:szCs w:val="1"/>
                <w:color w:val="auto"/>
              </w:rPr>
            </w:pPr>
          </w:p>
        </w:tc>
      </w:tr>
      <w:tr>
        <w:trPr>
          <w:trHeight w:val="20"/>
        </w:trPr>
        <w:tc>
          <w:tcPr>
            <w:tcW w:w="5700" w:type="dxa"/>
            <w:vAlign w:val="bottom"/>
            <w:gridSpan w:val="3"/>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700" w:type="dxa"/>
            <w:vAlign w:val="bottom"/>
            <w:gridSpan w:val="3"/>
          </w:tcPr>
          <w:p>
            <w:pPr>
              <w:spacing w:after="0"/>
              <w:rPr>
                <w:sz w:val="20"/>
                <w:szCs w:val="20"/>
                <w:color w:val="auto"/>
              </w:rPr>
            </w:pPr>
            <w:r>
              <w:rPr>
                <w:rFonts w:ascii="Arial" w:cs="Arial" w:eastAsia="Arial" w:hAnsi="Arial"/>
                <w:sz w:val="18"/>
                <w:szCs w:val="18"/>
                <w:color w:val="auto"/>
              </w:rPr>
              <w:t>Weighted average basic shares outstanding</w:t>
            </w:r>
          </w:p>
        </w:tc>
        <w:tc>
          <w:tcPr>
            <w:tcW w:w="300" w:type="dxa"/>
            <w:vAlign w:val="bottom"/>
          </w:tcPr>
          <w:p>
            <w:pPr>
              <w:spacing w:after="0"/>
              <w:rPr>
                <w:sz w:val="24"/>
                <w:szCs w:val="24"/>
                <w:color w:val="auto"/>
              </w:rPr>
            </w:pPr>
          </w:p>
        </w:tc>
        <w:tc>
          <w:tcPr>
            <w:tcW w:w="640" w:type="dxa"/>
            <w:vAlign w:val="bottom"/>
          </w:tcPr>
          <w:p>
            <w:pPr>
              <w:jc w:val="right"/>
              <w:ind w:right="54"/>
              <w:spacing w:after="0"/>
              <w:rPr>
                <w:sz w:val="20"/>
                <w:szCs w:val="20"/>
                <w:color w:val="auto"/>
              </w:rPr>
            </w:pPr>
            <w:r>
              <w:rPr>
                <w:rFonts w:ascii="Arial" w:cs="Arial" w:eastAsia="Arial" w:hAnsi="Arial"/>
                <w:sz w:val="18"/>
                <w:szCs w:val="18"/>
                <w:color w:val="auto"/>
                <w:w w:val="87"/>
              </w:rPr>
              <w:t>16,864</w:t>
            </w:r>
          </w:p>
        </w:tc>
        <w:tc>
          <w:tcPr>
            <w:tcW w:w="900" w:type="dxa"/>
            <w:vAlign w:val="bottom"/>
          </w:tcPr>
          <w:p>
            <w:pPr>
              <w:spacing w:after="0"/>
              <w:rPr>
                <w:sz w:val="24"/>
                <w:szCs w:val="24"/>
                <w:color w:val="auto"/>
              </w:rPr>
            </w:pPr>
          </w:p>
        </w:tc>
        <w:tc>
          <w:tcPr>
            <w:tcW w:w="980" w:type="dxa"/>
            <w:vAlign w:val="bottom"/>
          </w:tcPr>
          <w:p>
            <w:pPr>
              <w:jc w:val="right"/>
              <w:ind w:right="393"/>
              <w:spacing w:after="0"/>
              <w:rPr>
                <w:sz w:val="20"/>
                <w:szCs w:val="20"/>
                <w:color w:val="auto"/>
              </w:rPr>
            </w:pPr>
            <w:r>
              <w:rPr>
                <w:rFonts w:ascii="Arial" w:cs="Arial" w:eastAsia="Arial" w:hAnsi="Arial"/>
                <w:sz w:val="18"/>
                <w:szCs w:val="18"/>
                <w:color w:val="auto"/>
                <w:w w:val="87"/>
              </w:rPr>
              <w:t>16,522</w:t>
            </w:r>
          </w:p>
        </w:tc>
        <w:tc>
          <w:tcPr>
            <w:tcW w:w="560" w:type="dxa"/>
            <w:vAlign w:val="bottom"/>
          </w:tcPr>
          <w:p>
            <w:pPr>
              <w:spacing w:after="0"/>
              <w:rPr>
                <w:sz w:val="24"/>
                <w:szCs w:val="24"/>
                <w:color w:val="auto"/>
              </w:rPr>
            </w:pPr>
          </w:p>
        </w:tc>
        <w:tc>
          <w:tcPr>
            <w:tcW w:w="640" w:type="dxa"/>
            <w:vAlign w:val="bottom"/>
          </w:tcPr>
          <w:p>
            <w:pPr>
              <w:jc w:val="right"/>
              <w:ind w:right="54"/>
              <w:spacing w:after="0"/>
              <w:rPr>
                <w:sz w:val="20"/>
                <w:szCs w:val="20"/>
                <w:color w:val="auto"/>
              </w:rPr>
            </w:pPr>
            <w:r>
              <w:rPr>
                <w:rFonts w:ascii="Arial" w:cs="Arial" w:eastAsia="Arial" w:hAnsi="Arial"/>
                <w:sz w:val="18"/>
                <w:szCs w:val="18"/>
                <w:color w:val="auto"/>
                <w:w w:val="87"/>
              </w:rPr>
              <w:t>16,733</w:t>
            </w:r>
          </w:p>
        </w:tc>
        <w:tc>
          <w:tcPr>
            <w:tcW w:w="920" w:type="dxa"/>
            <w:vAlign w:val="bottom"/>
          </w:tcPr>
          <w:p>
            <w:pPr>
              <w:spacing w:after="0"/>
              <w:rPr>
                <w:sz w:val="24"/>
                <w:szCs w:val="24"/>
                <w:color w:val="auto"/>
              </w:rPr>
            </w:pPr>
          </w:p>
        </w:tc>
        <w:tc>
          <w:tcPr>
            <w:tcW w:w="780" w:type="dxa"/>
            <w:vAlign w:val="bottom"/>
          </w:tcPr>
          <w:p>
            <w:pPr>
              <w:jc w:val="right"/>
              <w:ind w:right="193"/>
              <w:spacing w:after="0"/>
              <w:rPr>
                <w:sz w:val="20"/>
                <w:szCs w:val="20"/>
                <w:color w:val="auto"/>
              </w:rPr>
            </w:pPr>
            <w:r>
              <w:rPr>
                <w:rFonts w:ascii="Arial" w:cs="Arial" w:eastAsia="Arial" w:hAnsi="Arial"/>
                <w:sz w:val="18"/>
                <w:szCs w:val="18"/>
                <w:color w:val="auto"/>
                <w:w w:val="87"/>
              </w:rPr>
              <w:t>16,388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dilutive stock options</w:t>
            </w:r>
          </w:p>
        </w:tc>
        <w:tc>
          <w:tcPr>
            <w:tcW w:w="3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255</w:t>
            </w:r>
          </w:p>
        </w:tc>
        <w:tc>
          <w:tcPr>
            <w:tcW w:w="9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93"/>
              <w:spacing w:after="0"/>
              <w:rPr>
                <w:sz w:val="20"/>
                <w:szCs w:val="20"/>
                <w:color w:val="auto"/>
              </w:rPr>
            </w:pPr>
            <w:r>
              <w:rPr>
                <w:rFonts w:ascii="Arial" w:cs="Arial" w:eastAsia="Arial" w:hAnsi="Arial"/>
                <w:sz w:val="18"/>
                <w:szCs w:val="18"/>
                <w:color w:val="auto"/>
              </w:rPr>
              <w:t>111</w:t>
            </w:r>
          </w:p>
        </w:tc>
        <w:tc>
          <w:tcPr>
            <w:tcW w:w="5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241</w:t>
            </w:r>
          </w:p>
        </w:tc>
        <w:tc>
          <w:tcPr>
            <w:tcW w:w="9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23"/>
        </w:trPr>
        <w:tc>
          <w:tcPr>
            <w:tcW w:w="5700" w:type="dxa"/>
            <w:vAlign w:val="bottom"/>
            <w:gridSpan w:val="3"/>
          </w:tcPr>
          <w:p>
            <w:pPr>
              <w:spacing w:after="0"/>
              <w:rPr>
                <w:sz w:val="20"/>
                <w:szCs w:val="20"/>
                <w:color w:val="auto"/>
              </w:rPr>
            </w:pPr>
            <w:r>
              <w:rPr>
                <w:rFonts w:ascii="Arial" w:cs="Arial" w:eastAsia="Arial" w:hAnsi="Arial"/>
                <w:sz w:val="18"/>
                <w:szCs w:val="18"/>
                <w:color w:val="auto"/>
              </w:rPr>
              <w:t>Weighted average dilutive shares outstanding</w:t>
            </w:r>
          </w:p>
        </w:tc>
        <w:tc>
          <w:tcPr>
            <w:tcW w:w="3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w w:val="87"/>
              </w:rPr>
              <w:t>17,119</w:t>
            </w:r>
          </w:p>
        </w:tc>
        <w:tc>
          <w:tcPr>
            <w:tcW w:w="9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3"/>
              <w:spacing w:after="0"/>
              <w:rPr>
                <w:sz w:val="20"/>
                <w:szCs w:val="20"/>
                <w:color w:val="auto"/>
              </w:rPr>
            </w:pPr>
            <w:r>
              <w:rPr>
                <w:rFonts w:ascii="Arial" w:cs="Arial" w:eastAsia="Arial" w:hAnsi="Arial"/>
                <w:sz w:val="18"/>
                <w:szCs w:val="18"/>
                <w:color w:val="auto"/>
                <w:w w:val="87"/>
              </w:rPr>
              <w:t>16,633</w:t>
            </w:r>
          </w:p>
        </w:tc>
        <w:tc>
          <w:tcPr>
            <w:tcW w:w="5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w w:val="87"/>
              </w:rPr>
              <w:t>16,974</w:t>
            </w:r>
          </w:p>
        </w:tc>
        <w:tc>
          <w:tcPr>
            <w:tcW w:w="9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w w:val="87"/>
              </w:rPr>
              <w:t>16,492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net income per share</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0.35</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393"/>
              <w:spacing w:after="0"/>
              <w:rPr>
                <w:sz w:val="20"/>
                <w:szCs w:val="20"/>
                <w:color w:val="auto"/>
              </w:rPr>
            </w:pPr>
            <w:r>
              <w:rPr>
                <w:rFonts w:ascii="Arial" w:cs="Arial" w:eastAsia="Arial" w:hAnsi="Arial"/>
                <w:sz w:val="18"/>
                <w:szCs w:val="18"/>
                <w:color w:val="auto"/>
              </w:rPr>
              <w:t>0.31</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0.68</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23"/>
        </w:trPr>
        <w:tc>
          <w:tcPr>
            <w:tcW w:w="5700" w:type="dxa"/>
            <w:vAlign w:val="bottom"/>
            <w:gridSpan w:val="3"/>
          </w:tcPr>
          <w:p>
            <w:pPr>
              <w:spacing w:after="0"/>
              <w:rPr>
                <w:sz w:val="20"/>
                <w:szCs w:val="20"/>
                <w:color w:val="auto"/>
              </w:rPr>
            </w:pPr>
            <w:r>
              <w:rPr>
                <w:rFonts w:ascii="Arial" w:cs="Arial" w:eastAsia="Arial" w:hAnsi="Arial"/>
                <w:sz w:val="18"/>
                <w:szCs w:val="18"/>
                <w:color w:val="auto"/>
              </w:rPr>
              <w:t>Diluted net income per share</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0.34</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393"/>
              <w:spacing w:after="0"/>
              <w:rPr>
                <w:sz w:val="20"/>
                <w:szCs w:val="20"/>
                <w:color w:val="auto"/>
              </w:rPr>
            </w:pPr>
            <w:r>
              <w:rPr>
                <w:rFonts w:ascii="Arial" w:cs="Arial" w:eastAsia="Arial" w:hAnsi="Arial"/>
                <w:sz w:val="18"/>
                <w:szCs w:val="18"/>
                <w:color w:val="auto"/>
              </w:rPr>
              <w:t>0.31</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0.67</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There were 201 anti-dilutive options with an exercise price of $14.13 excluded from the dilutive shares outstanding for the three and six month periods ended June 30, 2011. Excluded from the dilutive shares outstanding for the three and six month periods ended June 30, 2010 were 1,132 anti-dilutive options which had exercise prices ranging from $4.42 to $12.62.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Segment Information</w:t>
      </w:r>
    </w:p>
    <w:p>
      <w:pPr>
        <w:spacing w:after="0" w:line="12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segment information and the accounting policies of each segment are the same as those described in the notes to the consolidated financial statements entitled “Segment Information” and “Summary of Significant Accounting Policies and Practices,” respectively, included in our annual report on Form 10-K for the fiscal year ended December 31, 2010. We evaluate segment performance based on segment net income or loss after income taxes. We account for inter-segment sales and transfers at current market prices. We did not have any significant inter-segment transactions during the three and six month periods ended June 30, 2011 and 2010.</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940" w:type="dxa"/>
            <w:vAlign w:val="bottom"/>
            <w:gridSpan w:val="2"/>
            <w:vMerge w:val="restart"/>
          </w:tcPr>
          <w:p>
            <w:pPr>
              <w:ind w:left="700"/>
              <w:spacing w:after="0"/>
              <w:rPr>
                <w:sz w:val="20"/>
                <w:szCs w:val="20"/>
                <w:color w:val="auto"/>
              </w:rPr>
            </w:pPr>
            <w:r>
              <w:rPr>
                <w:rFonts w:ascii="Arial" w:cs="Arial" w:eastAsia="Arial" w:hAnsi="Arial"/>
                <w:sz w:val="14"/>
                <w:szCs w:val="14"/>
                <w:b w:val="1"/>
                <w:bCs w:val="1"/>
                <w:color w:val="auto"/>
              </w:rPr>
              <w:t>Metal Bearing</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8"/>
              </w:rPr>
              <w:t>Precision</w:t>
            </w:r>
          </w:p>
        </w:tc>
        <w:tc>
          <w:tcPr>
            <w:tcW w:w="1540" w:type="dxa"/>
            <w:vAlign w:val="bottom"/>
            <w:gridSpan w:val="2"/>
          </w:tcPr>
          <w:p>
            <w:pPr>
              <w:ind w:left="440"/>
              <w:spacing w:after="0"/>
              <w:rPr>
                <w:sz w:val="20"/>
                <w:szCs w:val="20"/>
                <w:color w:val="auto"/>
              </w:rPr>
            </w:pPr>
            <w:r>
              <w:rPr>
                <w:rFonts w:ascii="Arial" w:cs="Arial" w:eastAsia="Arial" w:hAnsi="Arial"/>
                <w:sz w:val="14"/>
                <w:szCs w:val="14"/>
                <w:b w:val="1"/>
                <w:bCs w:val="1"/>
                <w:color w:val="auto"/>
              </w:rPr>
              <w:t>Plastic and</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Metal</w:t>
            </w:r>
          </w:p>
        </w:tc>
        <w:tc>
          <w:tcPr>
            <w:tcW w:w="540" w:type="dxa"/>
            <w:vAlign w:val="bottom"/>
          </w:tcPr>
          <w:p>
            <w:pPr>
              <w:spacing w:after="0"/>
              <w:rPr>
                <w:sz w:val="12"/>
                <w:szCs w:val="12"/>
                <w:color w:val="auto"/>
              </w:rPr>
            </w:pPr>
          </w:p>
        </w:tc>
        <w:tc>
          <w:tcPr>
            <w:tcW w:w="1000" w:type="dxa"/>
            <w:vAlign w:val="bottom"/>
          </w:tcPr>
          <w:p>
            <w:pPr>
              <w:jc w:val="center"/>
              <w:ind w:right="433"/>
              <w:spacing w:after="0" w:line="149" w:lineRule="exact"/>
              <w:rPr>
                <w:sz w:val="20"/>
                <w:szCs w:val="20"/>
                <w:color w:val="auto"/>
              </w:rPr>
            </w:pPr>
            <w:r>
              <w:rPr>
                <w:rFonts w:ascii="Arial" w:cs="Arial" w:eastAsia="Arial" w:hAnsi="Arial"/>
                <w:sz w:val="14"/>
                <w:szCs w:val="14"/>
                <w:b w:val="1"/>
                <w:bCs w:val="1"/>
                <w:color w:val="auto"/>
                <w:w w:val="97"/>
              </w:rPr>
              <w:t>Rubber</w:t>
            </w:r>
          </w:p>
        </w:tc>
        <w:tc>
          <w:tcPr>
            <w:tcW w:w="1660" w:type="dxa"/>
            <w:vAlign w:val="bottom"/>
            <w:gridSpan w:val="2"/>
            <w:vMerge w:val="restart"/>
          </w:tcPr>
          <w:p>
            <w:pPr>
              <w:jc w:val="right"/>
              <w:ind w:right="270"/>
              <w:spacing w:after="0"/>
              <w:rPr>
                <w:sz w:val="20"/>
                <w:szCs w:val="20"/>
                <w:color w:val="auto"/>
              </w:rPr>
            </w:pPr>
            <w:r>
              <w:rPr>
                <w:rFonts w:ascii="Arial" w:cs="Arial" w:eastAsia="Arial" w:hAnsi="Arial"/>
                <w:sz w:val="14"/>
                <w:szCs w:val="14"/>
                <w:b w:val="1"/>
                <w:bCs w:val="1"/>
                <w:color w:val="auto"/>
              </w:rPr>
              <w:t>Corporate and</w:t>
            </w:r>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940" w:type="dxa"/>
            <w:vAlign w:val="bottom"/>
            <w:gridSpan w:val="2"/>
          </w:tcPr>
          <w:p>
            <w:pPr>
              <w:ind w:left="760"/>
              <w:spacing w:after="0" w:line="149" w:lineRule="exact"/>
              <w:rPr>
                <w:sz w:val="20"/>
                <w:szCs w:val="20"/>
                <w:color w:val="auto"/>
              </w:rPr>
            </w:pPr>
            <w:r>
              <w:rPr>
                <w:rFonts w:ascii="Arial" w:cs="Arial" w:eastAsia="Arial" w:hAnsi="Arial"/>
                <w:sz w:val="14"/>
                <w:szCs w:val="14"/>
                <w:b w:val="1"/>
                <w:bCs w:val="1"/>
                <w:color w:val="auto"/>
              </w:rPr>
              <w:t>Components</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Components</w:t>
            </w:r>
          </w:p>
        </w:tc>
        <w:tc>
          <w:tcPr>
            <w:tcW w:w="15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Components</w:t>
            </w:r>
          </w:p>
        </w:tc>
        <w:tc>
          <w:tcPr>
            <w:tcW w:w="166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380" w:type="dxa"/>
            <w:vAlign w:val="bottom"/>
            <w:gridSpan w:val="2"/>
          </w:tcPr>
          <w:p>
            <w:pPr>
              <w:spacing w:after="0"/>
              <w:rPr>
                <w:sz w:val="20"/>
                <w:szCs w:val="20"/>
                <w:color w:val="auto"/>
              </w:rPr>
            </w:pPr>
            <w:r>
              <w:rPr>
                <w:rFonts w:ascii="Arial" w:cs="Arial" w:eastAsia="Arial" w:hAnsi="Arial"/>
                <w:sz w:val="14"/>
                <w:szCs w:val="14"/>
                <w:color w:val="auto"/>
              </w:rPr>
              <w:t>(In Thousands of Dollars)</w:t>
            </w:r>
          </w:p>
        </w:tc>
        <w:tc>
          <w:tcPr>
            <w:tcW w:w="840" w:type="dxa"/>
            <w:vAlign w:val="bottom"/>
          </w:tcPr>
          <w:p>
            <w:pPr>
              <w:spacing w:after="0"/>
              <w:rPr>
                <w:sz w:val="14"/>
                <w:szCs w:val="14"/>
                <w:color w:val="auto"/>
              </w:rPr>
            </w:pPr>
          </w:p>
        </w:tc>
        <w:tc>
          <w:tcPr>
            <w:tcW w:w="1100" w:type="dxa"/>
            <w:vAlign w:val="bottom"/>
          </w:tcPr>
          <w:p>
            <w:pPr>
              <w:jc w:val="right"/>
              <w:ind w:right="453"/>
              <w:spacing w:after="0"/>
              <w:rPr>
                <w:sz w:val="20"/>
                <w:szCs w:val="20"/>
                <w:color w:val="auto"/>
              </w:rPr>
            </w:pPr>
            <w:r>
              <w:rPr>
                <w:rFonts w:ascii="Arial" w:cs="Arial" w:eastAsia="Arial" w:hAnsi="Arial"/>
                <w:sz w:val="14"/>
                <w:szCs w:val="14"/>
                <w:b w:val="1"/>
                <w:bCs w:val="1"/>
                <w:color w:val="auto"/>
                <w:w w:val="91"/>
              </w:rPr>
              <w:t>Segment</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1"/>
              </w:rPr>
              <w:t>Segment</w:t>
            </w:r>
          </w:p>
        </w:tc>
        <w:tc>
          <w:tcPr>
            <w:tcW w:w="15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Segment</w:t>
            </w:r>
          </w:p>
        </w:tc>
        <w:tc>
          <w:tcPr>
            <w:tcW w:w="166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Consolidations</w:t>
            </w:r>
          </w:p>
        </w:tc>
        <w:tc>
          <w:tcPr>
            <w:tcW w:w="4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3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Three Months ended June 30, 2011</w:t>
            </w:r>
          </w:p>
        </w:tc>
        <w:tc>
          <w:tcPr>
            <w:tcW w:w="8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840" w:type="dxa"/>
            <w:vAlign w:val="bottom"/>
          </w:tcPr>
          <w:p>
            <w:pPr>
              <w:ind w:left="760"/>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413"/>
              <w:spacing w:after="0"/>
              <w:rPr>
                <w:sz w:val="20"/>
                <w:szCs w:val="20"/>
                <w:color w:val="auto"/>
              </w:rPr>
            </w:pPr>
            <w:r>
              <w:rPr>
                <w:rFonts w:ascii="Arial" w:cs="Arial" w:eastAsia="Arial" w:hAnsi="Arial"/>
                <w:sz w:val="18"/>
                <w:szCs w:val="18"/>
                <w:color w:val="auto"/>
              </w:rPr>
              <w:t>84,827</w:t>
            </w:r>
          </w:p>
        </w:tc>
        <w:tc>
          <w:tcPr>
            <w:tcW w:w="1600" w:type="dxa"/>
            <w:vAlign w:val="bottom"/>
          </w:tcPr>
          <w:p>
            <w:pPr>
              <w:ind w:left="480"/>
              <w:spacing w:after="0"/>
              <w:rPr>
                <w:sz w:val="20"/>
                <w:szCs w:val="20"/>
                <w:color w:val="auto"/>
              </w:rPr>
            </w:pPr>
            <w:r>
              <w:rPr>
                <w:rFonts w:ascii="Arial" w:cs="Arial" w:eastAsia="Arial" w:hAnsi="Arial"/>
                <w:sz w:val="18"/>
                <w:szCs w:val="18"/>
                <w:color w:val="auto"/>
              </w:rPr>
              <w:t>$ 19,534</w:t>
            </w:r>
          </w:p>
        </w:tc>
        <w:tc>
          <w:tcPr>
            <w:tcW w:w="540" w:type="dxa"/>
            <w:vAlign w:val="bottom"/>
          </w:tcPr>
          <w:p>
            <w:pPr>
              <w:ind w:left="44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433"/>
              <w:spacing w:after="0"/>
              <w:rPr>
                <w:sz w:val="20"/>
                <w:szCs w:val="20"/>
                <w:color w:val="auto"/>
              </w:rPr>
            </w:pPr>
            <w:r>
              <w:rPr>
                <w:rFonts w:ascii="Arial" w:cs="Arial" w:eastAsia="Arial" w:hAnsi="Arial"/>
                <w:sz w:val="18"/>
                <w:szCs w:val="18"/>
                <w:color w:val="auto"/>
                <w:w w:val="83"/>
              </w:rPr>
              <w:t>11,561</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3"/>
              <w:spacing w:after="0"/>
              <w:rPr>
                <w:sz w:val="20"/>
                <w:szCs w:val="20"/>
                <w:color w:val="auto"/>
              </w:rPr>
            </w:pPr>
            <w:r>
              <w:rPr>
                <w:rFonts w:ascii="Arial" w:cs="Arial" w:eastAsia="Arial" w:hAnsi="Arial"/>
                <w:sz w:val="18"/>
                <w:szCs w:val="18"/>
                <w:color w:val="auto"/>
                <w:w w:val="89"/>
              </w:rPr>
              <w:t>115,922</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Segment net income (loss)</w:t>
            </w:r>
          </w:p>
        </w:tc>
        <w:tc>
          <w:tcPr>
            <w:tcW w:w="840" w:type="dxa"/>
            <w:vAlign w:val="bottom"/>
            <w:shd w:val="clear" w:color="auto" w:fill="CCEEFF"/>
          </w:tcPr>
          <w:p>
            <w:pPr>
              <w:ind w:left="760"/>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rPr>
              <w:t>8,898</w:t>
            </w:r>
          </w:p>
        </w:tc>
        <w:tc>
          <w:tcPr>
            <w:tcW w:w="1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 (1,130)</w:t>
            </w:r>
          </w:p>
        </w:tc>
        <w:tc>
          <w:tcPr>
            <w:tcW w:w="5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433"/>
              <w:spacing w:after="0"/>
              <w:rPr>
                <w:sz w:val="20"/>
                <w:szCs w:val="20"/>
                <w:color w:val="auto"/>
              </w:rPr>
            </w:pPr>
            <w:r>
              <w:rPr>
                <w:rFonts w:ascii="Arial" w:cs="Arial" w:eastAsia="Arial" w:hAnsi="Arial"/>
                <w:sz w:val="18"/>
                <w:szCs w:val="18"/>
                <w:color w:val="auto"/>
              </w:rPr>
              <w:t>918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87"/>
              </w:rPr>
              <w:t>(2,859)</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5,827</w:t>
            </w:r>
          </w:p>
        </w:tc>
        <w:tc>
          <w:tcPr>
            <w:tcW w:w="0" w:type="dxa"/>
            <w:vAlign w:val="bottom"/>
          </w:tcPr>
          <w:p>
            <w:pPr>
              <w:spacing w:after="0"/>
              <w:rPr>
                <w:sz w:val="1"/>
                <w:szCs w:val="1"/>
                <w:color w:val="auto"/>
              </w:rPr>
            </w:pPr>
          </w:p>
        </w:tc>
      </w:tr>
      <w:tr>
        <w:trPr>
          <w:trHeight w:val="432"/>
        </w:trPr>
        <w:tc>
          <w:tcPr>
            <w:tcW w:w="3380" w:type="dxa"/>
            <w:vAlign w:val="bottom"/>
            <w:gridSpan w:val="2"/>
          </w:tcPr>
          <w:p>
            <w:pPr>
              <w:spacing w:after="0"/>
              <w:rPr>
                <w:sz w:val="20"/>
                <w:szCs w:val="20"/>
                <w:color w:val="auto"/>
              </w:rPr>
            </w:pPr>
            <w:r>
              <w:rPr>
                <w:rFonts w:ascii="Arial" w:cs="Arial" w:eastAsia="Arial" w:hAnsi="Arial"/>
                <w:sz w:val="18"/>
                <w:szCs w:val="18"/>
                <w:b w:val="1"/>
                <w:bCs w:val="1"/>
                <w:color w:val="auto"/>
              </w:rPr>
              <w:t>Six Months ended June 30, 2011</w:t>
            </w:r>
          </w:p>
        </w:tc>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840" w:type="dxa"/>
            <w:vAlign w:val="bottom"/>
            <w:shd w:val="clear" w:color="auto" w:fill="CCEEFF"/>
          </w:tcPr>
          <w:p>
            <w:pPr>
              <w:ind w:left="760"/>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w w:val="89"/>
              </w:rPr>
              <w:t>168,609</w:t>
            </w:r>
          </w:p>
        </w:tc>
        <w:tc>
          <w:tcPr>
            <w:tcW w:w="1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$35,936</w:t>
            </w:r>
          </w:p>
        </w:tc>
        <w:tc>
          <w:tcPr>
            <w:tcW w:w="5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433"/>
              <w:spacing w:after="0"/>
              <w:rPr>
                <w:sz w:val="20"/>
                <w:szCs w:val="20"/>
                <w:color w:val="auto"/>
              </w:rPr>
            </w:pPr>
            <w:r>
              <w:rPr>
                <w:rFonts w:ascii="Arial" w:cs="Arial" w:eastAsia="Arial" w:hAnsi="Arial"/>
                <w:sz w:val="18"/>
                <w:szCs w:val="18"/>
                <w:color w:val="auto"/>
                <w:w w:val="83"/>
              </w:rPr>
              <w:t>22,684</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w w:val="89"/>
              </w:rPr>
              <w:t>227,229</w:t>
            </w:r>
          </w:p>
        </w:tc>
        <w:tc>
          <w:tcPr>
            <w:tcW w:w="0" w:type="dxa"/>
            <w:vAlign w:val="bottom"/>
          </w:tcPr>
          <w:p>
            <w:pPr>
              <w:spacing w:after="0"/>
              <w:rPr>
                <w:sz w:val="1"/>
                <w:szCs w:val="1"/>
                <w:color w:val="auto"/>
              </w:rPr>
            </w:pPr>
          </w:p>
        </w:tc>
      </w:tr>
      <w:tr>
        <w:trPr>
          <w:trHeight w:val="432"/>
        </w:trPr>
        <w:tc>
          <w:tcPr>
            <w:tcW w:w="3380" w:type="dxa"/>
            <w:vAlign w:val="bottom"/>
            <w:gridSpan w:val="2"/>
          </w:tcPr>
          <w:p>
            <w:pPr>
              <w:spacing w:after="0"/>
              <w:rPr>
                <w:sz w:val="20"/>
                <w:szCs w:val="20"/>
                <w:color w:val="auto"/>
              </w:rPr>
            </w:pPr>
            <w:r>
              <w:rPr>
                <w:rFonts w:ascii="Arial" w:cs="Arial" w:eastAsia="Arial" w:hAnsi="Arial"/>
                <w:sz w:val="18"/>
                <w:szCs w:val="18"/>
                <w:color w:val="auto"/>
              </w:rPr>
              <w:t>Segment net income (loss)</w:t>
            </w:r>
          </w:p>
        </w:tc>
        <w:tc>
          <w:tcPr>
            <w:tcW w:w="840" w:type="dxa"/>
            <w:vAlign w:val="bottom"/>
          </w:tcPr>
          <w:p>
            <w:pPr>
              <w:ind w:left="760"/>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413"/>
              <w:spacing w:after="0"/>
              <w:rPr>
                <w:sz w:val="20"/>
                <w:szCs w:val="20"/>
                <w:color w:val="auto"/>
              </w:rPr>
            </w:pPr>
            <w:r>
              <w:rPr>
                <w:rFonts w:ascii="Arial" w:cs="Arial" w:eastAsia="Arial" w:hAnsi="Arial"/>
                <w:sz w:val="18"/>
                <w:szCs w:val="18"/>
                <w:color w:val="auto"/>
              </w:rPr>
              <w:t>18,729</w:t>
            </w:r>
          </w:p>
        </w:tc>
        <w:tc>
          <w:tcPr>
            <w:tcW w:w="1600" w:type="dxa"/>
            <w:vAlign w:val="bottom"/>
          </w:tcPr>
          <w:p>
            <w:pPr>
              <w:ind w:left="480"/>
              <w:spacing w:after="0"/>
              <w:rPr>
                <w:sz w:val="20"/>
                <w:szCs w:val="20"/>
                <w:color w:val="auto"/>
              </w:rPr>
            </w:pPr>
            <w:r>
              <w:rPr>
                <w:rFonts w:ascii="Arial" w:cs="Arial" w:eastAsia="Arial" w:hAnsi="Arial"/>
                <w:sz w:val="18"/>
                <w:szCs w:val="18"/>
                <w:color w:val="auto"/>
              </w:rPr>
              <w:t>$ (3,338)</w:t>
            </w:r>
          </w:p>
        </w:tc>
        <w:tc>
          <w:tcPr>
            <w:tcW w:w="540" w:type="dxa"/>
            <w:vAlign w:val="bottom"/>
          </w:tcPr>
          <w:p>
            <w:pPr>
              <w:ind w:left="44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433"/>
              <w:spacing w:after="0"/>
              <w:rPr>
                <w:sz w:val="20"/>
                <w:szCs w:val="20"/>
                <w:color w:val="auto"/>
              </w:rPr>
            </w:pPr>
            <w:r>
              <w:rPr>
                <w:rFonts w:ascii="Arial" w:cs="Arial" w:eastAsia="Arial" w:hAnsi="Arial"/>
                <w:sz w:val="18"/>
                <w:szCs w:val="18"/>
                <w:color w:val="auto"/>
              </w:rPr>
              <w:t>1,736</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430"/>
              <w:spacing w:after="0"/>
              <w:rPr>
                <w:sz w:val="20"/>
                <w:szCs w:val="20"/>
                <w:color w:val="auto"/>
              </w:rPr>
            </w:pPr>
            <w:r>
              <w:rPr>
                <w:rFonts w:ascii="Arial" w:cs="Arial" w:eastAsia="Arial" w:hAnsi="Arial"/>
                <w:sz w:val="18"/>
                <w:szCs w:val="18"/>
                <w:color w:val="auto"/>
                <w:w w:val="87"/>
              </w:rPr>
              <w:t>(5,793)</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3"/>
              <w:spacing w:after="0"/>
              <w:rPr>
                <w:sz w:val="20"/>
                <w:szCs w:val="20"/>
                <w:color w:val="auto"/>
              </w:rPr>
            </w:pPr>
            <w:r>
              <w:rPr>
                <w:rFonts w:ascii="Arial" w:cs="Arial" w:eastAsia="Arial" w:hAnsi="Arial"/>
                <w:sz w:val="18"/>
                <w:szCs w:val="18"/>
                <w:color w:val="auto"/>
              </w:rPr>
              <w:t>11,334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840" w:type="dxa"/>
            <w:vAlign w:val="bottom"/>
            <w:shd w:val="clear" w:color="auto" w:fill="CCEEFF"/>
          </w:tcPr>
          <w:p>
            <w:pPr>
              <w:ind w:left="760"/>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w w:val="89"/>
              </w:rPr>
              <w:t>208,313</w:t>
            </w:r>
          </w:p>
        </w:tc>
        <w:tc>
          <w:tcPr>
            <w:tcW w:w="1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$44,703</w:t>
            </w:r>
          </w:p>
        </w:tc>
        <w:tc>
          <w:tcPr>
            <w:tcW w:w="5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433"/>
              <w:spacing w:after="0"/>
              <w:rPr>
                <w:sz w:val="20"/>
                <w:szCs w:val="20"/>
                <w:color w:val="auto"/>
              </w:rPr>
            </w:pPr>
            <w:r>
              <w:rPr>
                <w:rFonts w:ascii="Arial" w:cs="Arial" w:eastAsia="Arial" w:hAnsi="Arial"/>
                <w:sz w:val="18"/>
                <w:szCs w:val="18"/>
                <w:color w:val="auto"/>
                <w:w w:val="83"/>
              </w:rPr>
              <w:t>21,559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7"/>
              </w:rPr>
              <w:t>4,155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w w:val="89"/>
              </w:rPr>
              <w:t>278,730</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color w:val="auto"/>
              </w:rPr>
              <w:t>8</w:t>
            </w: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3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16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980" w:type="dxa"/>
            <w:vAlign w:val="bottom"/>
            <w:gridSpan w:val="2"/>
            <w:vMerge w:val="restart"/>
          </w:tcPr>
          <w:p>
            <w:pPr>
              <w:ind w:left="700"/>
              <w:spacing w:after="0"/>
              <w:rPr>
                <w:sz w:val="20"/>
                <w:szCs w:val="20"/>
                <w:color w:val="auto"/>
              </w:rPr>
            </w:pPr>
            <w:r>
              <w:rPr>
                <w:rFonts w:ascii="Arial" w:cs="Arial" w:eastAsia="Arial" w:hAnsi="Arial"/>
                <w:sz w:val="14"/>
                <w:szCs w:val="14"/>
                <w:b w:val="1"/>
                <w:bCs w:val="1"/>
                <w:color w:val="auto"/>
              </w:rPr>
              <w:t>Metal Bearing</w:t>
            </w:r>
          </w:p>
        </w:tc>
        <w:tc>
          <w:tcPr>
            <w:tcW w:w="1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Precision</w:t>
            </w:r>
          </w:p>
        </w:tc>
        <w:tc>
          <w:tcPr>
            <w:tcW w:w="1540" w:type="dxa"/>
            <w:vAlign w:val="bottom"/>
            <w:gridSpan w:val="2"/>
          </w:tcPr>
          <w:p>
            <w:pPr>
              <w:ind w:left="440"/>
              <w:spacing w:after="0"/>
              <w:rPr>
                <w:sz w:val="20"/>
                <w:szCs w:val="20"/>
                <w:color w:val="auto"/>
              </w:rPr>
            </w:pPr>
            <w:r>
              <w:rPr>
                <w:rFonts w:ascii="Arial" w:cs="Arial" w:eastAsia="Arial" w:hAnsi="Arial"/>
                <w:sz w:val="14"/>
                <w:szCs w:val="14"/>
                <w:b w:val="1"/>
                <w:bCs w:val="1"/>
                <w:color w:val="auto"/>
              </w:rPr>
              <w:t>Plastic and</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tcPr>
          <w:p>
            <w:pPr>
              <w:jc w:val="center"/>
              <w:ind w:right="433"/>
              <w:spacing w:after="0" w:line="149" w:lineRule="exact"/>
              <w:rPr>
                <w:sz w:val="20"/>
                <w:szCs w:val="20"/>
                <w:color w:val="auto"/>
              </w:rPr>
            </w:pPr>
            <w:r>
              <w:rPr>
                <w:rFonts w:ascii="Arial" w:cs="Arial" w:eastAsia="Arial" w:hAnsi="Arial"/>
                <w:sz w:val="14"/>
                <w:szCs w:val="14"/>
                <w:b w:val="1"/>
                <w:bCs w:val="1"/>
                <w:color w:val="auto"/>
              </w:rPr>
              <w:t>Metal</w:t>
            </w:r>
          </w:p>
        </w:tc>
        <w:tc>
          <w:tcPr>
            <w:tcW w:w="540" w:type="dxa"/>
            <w:vAlign w:val="bottom"/>
          </w:tcPr>
          <w:p>
            <w:pPr>
              <w:spacing w:after="0"/>
              <w:rPr>
                <w:sz w:val="12"/>
                <w:szCs w:val="12"/>
                <w:color w:val="auto"/>
              </w:rPr>
            </w:pPr>
          </w:p>
        </w:tc>
        <w:tc>
          <w:tcPr>
            <w:tcW w:w="1000" w:type="dxa"/>
            <w:vAlign w:val="bottom"/>
          </w:tcPr>
          <w:p>
            <w:pPr>
              <w:jc w:val="center"/>
              <w:ind w:right="433"/>
              <w:spacing w:after="0" w:line="149" w:lineRule="exact"/>
              <w:rPr>
                <w:sz w:val="20"/>
                <w:szCs w:val="20"/>
                <w:color w:val="auto"/>
              </w:rPr>
            </w:pPr>
            <w:r>
              <w:rPr>
                <w:rFonts w:ascii="Arial" w:cs="Arial" w:eastAsia="Arial" w:hAnsi="Arial"/>
                <w:sz w:val="14"/>
                <w:szCs w:val="14"/>
                <w:b w:val="1"/>
                <w:bCs w:val="1"/>
                <w:color w:val="auto"/>
                <w:w w:val="97"/>
              </w:rPr>
              <w:t>Rubber</w:t>
            </w:r>
          </w:p>
        </w:tc>
        <w:tc>
          <w:tcPr>
            <w:tcW w:w="1660" w:type="dxa"/>
            <w:vAlign w:val="bottom"/>
            <w:gridSpan w:val="2"/>
            <w:vMerge w:val="restart"/>
          </w:tcPr>
          <w:p>
            <w:pPr>
              <w:jc w:val="right"/>
              <w:ind w:right="270"/>
              <w:spacing w:after="0"/>
              <w:rPr>
                <w:sz w:val="20"/>
                <w:szCs w:val="20"/>
                <w:color w:val="auto"/>
              </w:rPr>
            </w:pPr>
            <w:r>
              <w:rPr>
                <w:rFonts w:ascii="Arial" w:cs="Arial" w:eastAsia="Arial" w:hAnsi="Arial"/>
                <w:sz w:val="14"/>
                <w:szCs w:val="14"/>
                <w:b w:val="1"/>
                <w:bCs w:val="1"/>
                <w:color w:val="auto"/>
              </w:rPr>
              <w:t>Corporate and</w:t>
            </w:r>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980" w:type="dxa"/>
            <w:vAlign w:val="bottom"/>
            <w:gridSpan w:val="2"/>
          </w:tcPr>
          <w:p>
            <w:pPr>
              <w:ind w:left="760"/>
              <w:spacing w:after="0" w:line="149" w:lineRule="exact"/>
              <w:rPr>
                <w:sz w:val="20"/>
                <w:szCs w:val="20"/>
                <w:color w:val="auto"/>
              </w:rPr>
            </w:pPr>
            <w:r>
              <w:rPr>
                <w:rFonts w:ascii="Arial" w:cs="Arial" w:eastAsia="Arial" w:hAnsi="Arial"/>
                <w:sz w:val="14"/>
                <w:szCs w:val="14"/>
                <w:b w:val="1"/>
                <w:bCs w:val="1"/>
                <w:color w:val="auto"/>
              </w:rPr>
              <w:t>Components</w:t>
            </w:r>
          </w:p>
        </w:tc>
        <w:tc>
          <w:tcPr>
            <w:tcW w:w="15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Components</w:t>
            </w:r>
          </w:p>
        </w:tc>
        <w:tc>
          <w:tcPr>
            <w:tcW w:w="15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Components</w:t>
            </w:r>
          </w:p>
        </w:tc>
        <w:tc>
          <w:tcPr>
            <w:tcW w:w="166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380" w:type="dxa"/>
            <w:vAlign w:val="bottom"/>
            <w:gridSpan w:val="2"/>
          </w:tcPr>
          <w:p>
            <w:pPr>
              <w:spacing w:after="0"/>
              <w:rPr>
                <w:sz w:val="20"/>
                <w:szCs w:val="20"/>
                <w:color w:val="auto"/>
              </w:rPr>
            </w:pPr>
            <w:r>
              <w:rPr>
                <w:rFonts w:ascii="Arial" w:cs="Arial" w:eastAsia="Arial" w:hAnsi="Arial"/>
                <w:sz w:val="14"/>
                <w:szCs w:val="14"/>
                <w:color w:val="auto"/>
              </w:rPr>
              <w:t>(In Thousands of Dollars)</w:t>
            </w:r>
          </w:p>
        </w:tc>
        <w:tc>
          <w:tcPr>
            <w:tcW w:w="840" w:type="dxa"/>
            <w:vAlign w:val="bottom"/>
          </w:tcPr>
          <w:p>
            <w:pPr>
              <w:spacing w:after="0"/>
              <w:rPr>
                <w:sz w:val="14"/>
                <w:szCs w:val="14"/>
                <w:color w:val="auto"/>
              </w:rPr>
            </w:pPr>
          </w:p>
        </w:tc>
        <w:tc>
          <w:tcPr>
            <w:tcW w:w="1140" w:type="dxa"/>
            <w:vAlign w:val="bottom"/>
          </w:tcPr>
          <w:p>
            <w:pPr>
              <w:jc w:val="right"/>
              <w:ind w:right="493"/>
              <w:spacing w:after="0"/>
              <w:rPr>
                <w:sz w:val="20"/>
                <w:szCs w:val="20"/>
                <w:color w:val="auto"/>
              </w:rPr>
            </w:pPr>
            <w:r>
              <w:rPr>
                <w:rFonts w:ascii="Arial" w:cs="Arial" w:eastAsia="Arial" w:hAnsi="Arial"/>
                <w:sz w:val="14"/>
                <w:szCs w:val="14"/>
                <w:b w:val="1"/>
                <w:bCs w:val="1"/>
                <w:color w:val="auto"/>
                <w:w w:val="91"/>
              </w:rPr>
              <w:t>Segment</w:t>
            </w:r>
          </w:p>
        </w:tc>
        <w:tc>
          <w:tcPr>
            <w:tcW w:w="1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Segment</w:t>
            </w:r>
          </w:p>
        </w:tc>
        <w:tc>
          <w:tcPr>
            <w:tcW w:w="15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Segment</w:t>
            </w:r>
          </w:p>
        </w:tc>
        <w:tc>
          <w:tcPr>
            <w:tcW w:w="166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Consolidations</w:t>
            </w:r>
          </w:p>
        </w:tc>
        <w:tc>
          <w:tcPr>
            <w:tcW w:w="4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3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Three Months ended June 30, 2010</w:t>
            </w:r>
          </w:p>
        </w:tc>
        <w:tc>
          <w:tcPr>
            <w:tcW w:w="8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840" w:type="dxa"/>
            <w:vAlign w:val="bottom"/>
          </w:tcPr>
          <w:p>
            <w:pPr>
              <w:ind w:left="760"/>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453"/>
              <w:spacing w:after="0"/>
              <w:rPr>
                <w:sz w:val="20"/>
                <w:szCs w:val="20"/>
                <w:color w:val="auto"/>
              </w:rPr>
            </w:pPr>
            <w:r>
              <w:rPr>
                <w:rFonts w:ascii="Arial" w:cs="Arial" w:eastAsia="Arial" w:hAnsi="Arial"/>
                <w:sz w:val="18"/>
                <w:szCs w:val="18"/>
                <w:color w:val="auto"/>
              </w:rPr>
              <w:t>66,866</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453"/>
              <w:spacing w:after="0"/>
              <w:rPr>
                <w:sz w:val="20"/>
                <w:szCs w:val="20"/>
                <w:color w:val="auto"/>
              </w:rPr>
            </w:pPr>
            <w:r>
              <w:rPr>
                <w:rFonts w:ascii="Arial" w:cs="Arial" w:eastAsia="Arial" w:hAnsi="Arial"/>
                <w:sz w:val="18"/>
                <w:szCs w:val="18"/>
                <w:color w:val="auto"/>
                <w:w w:val="87"/>
              </w:rPr>
              <w:t>16,017</w:t>
            </w:r>
          </w:p>
        </w:tc>
        <w:tc>
          <w:tcPr>
            <w:tcW w:w="540" w:type="dxa"/>
            <w:vAlign w:val="bottom"/>
          </w:tcPr>
          <w:p>
            <w:pPr>
              <w:ind w:left="44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433"/>
              <w:spacing w:after="0"/>
              <w:rPr>
                <w:sz w:val="20"/>
                <w:szCs w:val="20"/>
                <w:color w:val="auto"/>
              </w:rPr>
            </w:pPr>
            <w:r>
              <w:rPr>
                <w:rFonts w:ascii="Arial" w:cs="Arial" w:eastAsia="Arial" w:hAnsi="Arial"/>
                <w:sz w:val="18"/>
                <w:szCs w:val="18"/>
                <w:color w:val="auto"/>
              </w:rPr>
              <w:t>9,810</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3"/>
              <w:spacing w:after="0"/>
              <w:rPr>
                <w:sz w:val="20"/>
                <w:szCs w:val="20"/>
                <w:color w:val="auto"/>
              </w:rPr>
            </w:pPr>
            <w:r>
              <w:rPr>
                <w:rFonts w:ascii="Arial" w:cs="Arial" w:eastAsia="Arial" w:hAnsi="Arial"/>
                <w:sz w:val="18"/>
                <w:szCs w:val="18"/>
                <w:color w:val="auto"/>
              </w:rPr>
              <w:t>92,693</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Segment net income (loss)</w:t>
            </w:r>
          </w:p>
        </w:tc>
        <w:tc>
          <w:tcPr>
            <w:tcW w:w="840" w:type="dxa"/>
            <w:vAlign w:val="bottom"/>
            <w:shd w:val="clear" w:color="auto" w:fill="CCEEFF"/>
          </w:tcPr>
          <w:p>
            <w:pPr>
              <w:ind w:left="760"/>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453"/>
              <w:spacing w:after="0"/>
              <w:rPr>
                <w:sz w:val="20"/>
                <w:szCs w:val="20"/>
                <w:color w:val="auto"/>
              </w:rPr>
            </w:pPr>
            <w:r>
              <w:rPr>
                <w:rFonts w:ascii="Arial" w:cs="Arial" w:eastAsia="Arial" w:hAnsi="Arial"/>
                <w:sz w:val="18"/>
                <w:szCs w:val="18"/>
                <w:color w:val="auto"/>
              </w:rPr>
              <w:t>8,256</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93"/>
              <w:spacing w:after="0"/>
              <w:rPr>
                <w:sz w:val="20"/>
                <w:szCs w:val="20"/>
                <w:color w:val="auto"/>
              </w:rPr>
            </w:pPr>
            <w:r>
              <w:rPr>
                <w:rFonts w:ascii="Arial" w:cs="Arial" w:eastAsia="Arial" w:hAnsi="Arial"/>
                <w:sz w:val="18"/>
                <w:szCs w:val="18"/>
                <w:color w:val="auto"/>
              </w:rPr>
              <w:t>(592)</w:t>
            </w:r>
          </w:p>
        </w:tc>
        <w:tc>
          <w:tcPr>
            <w:tcW w:w="5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433"/>
              <w:spacing w:after="0"/>
              <w:rPr>
                <w:sz w:val="20"/>
                <w:szCs w:val="20"/>
                <w:color w:val="auto"/>
              </w:rPr>
            </w:pPr>
            <w:r>
              <w:rPr>
                <w:rFonts w:ascii="Arial" w:cs="Arial" w:eastAsia="Arial" w:hAnsi="Arial"/>
                <w:sz w:val="18"/>
                <w:szCs w:val="18"/>
                <w:color w:val="auto"/>
              </w:rPr>
              <w:t>750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87"/>
              </w:rPr>
              <w:t>(3,291)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5,123</w:t>
            </w:r>
          </w:p>
        </w:tc>
        <w:tc>
          <w:tcPr>
            <w:tcW w:w="0" w:type="dxa"/>
            <w:vAlign w:val="bottom"/>
          </w:tcPr>
          <w:p>
            <w:pPr>
              <w:spacing w:after="0"/>
              <w:rPr>
                <w:sz w:val="1"/>
                <w:szCs w:val="1"/>
                <w:color w:val="auto"/>
              </w:rPr>
            </w:pPr>
          </w:p>
        </w:tc>
      </w:tr>
      <w:tr>
        <w:trPr>
          <w:trHeight w:val="432"/>
        </w:trPr>
        <w:tc>
          <w:tcPr>
            <w:tcW w:w="3380" w:type="dxa"/>
            <w:vAlign w:val="bottom"/>
            <w:gridSpan w:val="2"/>
          </w:tcPr>
          <w:p>
            <w:pPr>
              <w:spacing w:after="0"/>
              <w:rPr>
                <w:sz w:val="20"/>
                <w:szCs w:val="20"/>
                <w:color w:val="auto"/>
              </w:rPr>
            </w:pPr>
            <w:r>
              <w:rPr>
                <w:rFonts w:ascii="Arial" w:cs="Arial" w:eastAsia="Arial" w:hAnsi="Arial"/>
                <w:sz w:val="18"/>
                <w:szCs w:val="18"/>
                <w:b w:val="1"/>
                <w:bCs w:val="1"/>
                <w:color w:val="auto"/>
              </w:rPr>
              <w:t>Six Months ended June 30, 2010</w:t>
            </w: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840" w:type="dxa"/>
            <w:vAlign w:val="bottom"/>
            <w:shd w:val="clear" w:color="auto" w:fill="CCEEFF"/>
          </w:tcPr>
          <w:p>
            <w:pPr>
              <w:ind w:left="760"/>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453"/>
              <w:spacing w:after="0"/>
              <w:rPr>
                <w:sz w:val="20"/>
                <w:szCs w:val="20"/>
                <w:color w:val="auto"/>
              </w:rPr>
            </w:pPr>
            <w:r>
              <w:rPr>
                <w:rFonts w:ascii="Arial" w:cs="Arial" w:eastAsia="Arial" w:hAnsi="Arial"/>
                <w:sz w:val="18"/>
                <w:szCs w:val="18"/>
                <w:color w:val="auto"/>
                <w:w w:val="89"/>
              </w:rPr>
              <w:t>128,889</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453"/>
              <w:spacing w:after="0"/>
              <w:rPr>
                <w:sz w:val="20"/>
                <w:szCs w:val="20"/>
                <w:color w:val="auto"/>
              </w:rPr>
            </w:pPr>
            <w:r>
              <w:rPr>
                <w:rFonts w:ascii="Arial" w:cs="Arial" w:eastAsia="Arial" w:hAnsi="Arial"/>
                <w:sz w:val="18"/>
                <w:szCs w:val="18"/>
                <w:color w:val="auto"/>
                <w:w w:val="87"/>
              </w:rPr>
              <w:t>29,611</w:t>
            </w:r>
          </w:p>
        </w:tc>
        <w:tc>
          <w:tcPr>
            <w:tcW w:w="5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433"/>
              <w:spacing w:after="0"/>
              <w:rPr>
                <w:sz w:val="20"/>
                <w:szCs w:val="20"/>
                <w:color w:val="auto"/>
              </w:rPr>
            </w:pPr>
            <w:r>
              <w:rPr>
                <w:rFonts w:ascii="Arial" w:cs="Arial" w:eastAsia="Arial" w:hAnsi="Arial"/>
                <w:sz w:val="18"/>
                <w:szCs w:val="18"/>
                <w:color w:val="auto"/>
                <w:w w:val="83"/>
              </w:rPr>
              <w:t>19,533</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w w:val="89"/>
              </w:rPr>
              <w:t>178,033</w:t>
            </w:r>
          </w:p>
        </w:tc>
        <w:tc>
          <w:tcPr>
            <w:tcW w:w="0" w:type="dxa"/>
            <w:vAlign w:val="bottom"/>
          </w:tcPr>
          <w:p>
            <w:pPr>
              <w:spacing w:after="0"/>
              <w:rPr>
                <w:sz w:val="1"/>
                <w:szCs w:val="1"/>
                <w:color w:val="auto"/>
              </w:rPr>
            </w:pPr>
          </w:p>
        </w:tc>
      </w:tr>
      <w:tr>
        <w:trPr>
          <w:trHeight w:val="432"/>
        </w:trPr>
        <w:tc>
          <w:tcPr>
            <w:tcW w:w="3380" w:type="dxa"/>
            <w:vAlign w:val="bottom"/>
            <w:gridSpan w:val="2"/>
          </w:tcPr>
          <w:p>
            <w:pPr>
              <w:spacing w:after="0"/>
              <w:rPr>
                <w:sz w:val="20"/>
                <w:szCs w:val="20"/>
                <w:color w:val="auto"/>
              </w:rPr>
            </w:pPr>
            <w:r>
              <w:rPr>
                <w:rFonts w:ascii="Arial" w:cs="Arial" w:eastAsia="Arial" w:hAnsi="Arial"/>
                <w:sz w:val="18"/>
                <w:szCs w:val="18"/>
                <w:color w:val="auto"/>
              </w:rPr>
              <w:t>Segment net income (loss)</w:t>
            </w:r>
          </w:p>
        </w:tc>
        <w:tc>
          <w:tcPr>
            <w:tcW w:w="840" w:type="dxa"/>
            <w:vAlign w:val="bottom"/>
          </w:tcPr>
          <w:p>
            <w:pPr>
              <w:ind w:left="760"/>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453"/>
              <w:spacing w:after="0"/>
              <w:rPr>
                <w:sz w:val="20"/>
                <w:szCs w:val="20"/>
                <w:color w:val="auto"/>
              </w:rPr>
            </w:pPr>
            <w:r>
              <w:rPr>
                <w:rFonts w:ascii="Arial" w:cs="Arial" w:eastAsia="Arial" w:hAnsi="Arial"/>
                <w:sz w:val="18"/>
                <w:szCs w:val="18"/>
                <w:color w:val="auto"/>
              </w:rPr>
              <w:t>13,290</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93"/>
              <w:spacing w:after="0"/>
              <w:rPr>
                <w:sz w:val="20"/>
                <w:szCs w:val="20"/>
                <w:color w:val="auto"/>
              </w:rPr>
            </w:pPr>
            <w:r>
              <w:rPr>
                <w:rFonts w:ascii="Arial" w:cs="Arial" w:eastAsia="Arial" w:hAnsi="Arial"/>
                <w:sz w:val="18"/>
                <w:szCs w:val="18"/>
                <w:color w:val="auto"/>
                <w:w w:val="94"/>
              </w:rPr>
              <w:t>(2,499)</w:t>
            </w:r>
          </w:p>
        </w:tc>
        <w:tc>
          <w:tcPr>
            <w:tcW w:w="540" w:type="dxa"/>
            <w:vAlign w:val="bottom"/>
          </w:tcPr>
          <w:p>
            <w:pPr>
              <w:ind w:left="44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433"/>
              <w:spacing w:after="0"/>
              <w:rPr>
                <w:sz w:val="20"/>
                <w:szCs w:val="20"/>
                <w:color w:val="auto"/>
              </w:rPr>
            </w:pPr>
            <w:r>
              <w:rPr>
                <w:rFonts w:ascii="Arial" w:cs="Arial" w:eastAsia="Arial" w:hAnsi="Arial"/>
                <w:sz w:val="18"/>
                <w:szCs w:val="18"/>
                <w:color w:val="auto"/>
              </w:rPr>
              <w:t>1,450</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430"/>
              <w:spacing w:after="0"/>
              <w:rPr>
                <w:sz w:val="20"/>
                <w:szCs w:val="20"/>
                <w:color w:val="auto"/>
              </w:rPr>
            </w:pPr>
            <w:r>
              <w:rPr>
                <w:rFonts w:ascii="Arial" w:cs="Arial" w:eastAsia="Arial" w:hAnsi="Arial"/>
                <w:sz w:val="18"/>
                <w:szCs w:val="18"/>
                <w:color w:val="auto"/>
                <w:w w:val="87"/>
              </w:rPr>
              <w:t>(6,893)</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3"/>
              <w:spacing w:after="0"/>
              <w:rPr>
                <w:sz w:val="20"/>
                <w:szCs w:val="20"/>
                <w:color w:val="auto"/>
              </w:rPr>
            </w:pPr>
            <w:r>
              <w:rPr>
                <w:rFonts w:ascii="Arial" w:cs="Arial" w:eastAsia="Arial" w:hAnsi="Arial"/>
                <w:sz w:val="18"/>
                <w:szCs w:val="18"/>
                <w:color w:val="auto"/>
              </w:rPr>
              <w:t>5,348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840" w:type="dxa"/>
            <w:vAlign w:val="bottom"/>
            <w:shd w:val="clear" w:color="auto" w:fill="CCEEFF"/>
          </w:tcPr>
          <w:p>
            <w:pPr>
              <w:ind w:left="760"/>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453"/>
              <w:spacing w:after="0"/>
              <w:rPr>
                <w:sz w:val="20"/>
                <w:szCs w:val="20"/>
                <w:color w:val="auto"/>
              </w:rPr>
            </w:pPr>
            <w:r>
              <w:rPr>
                <w:rFonts w:ascii="Arial" w:cs="Arial" w:eastAsia="Arial" w:hAnsi="Arial"/>
                <w:sz w:val="18"/>
                <w:szCs w:val="18"/>
                <w:color w:val="auto"/>
                <w:w w:val="89"/>
              </w:rPr>
              <w:t>179,365</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453"/>
              <w:spacing w:after="0"/>
              <w:rPr>
                <w:sz w:val="20"/>
                <w:szCs w:val="20"/>
                <w:color w:val="auto"/>
              </w:rPr>
            </w:pPr>
            <w:r>
              <w:rPr>
                <w:rFonts w:ascii="Arial" w:cs="Arial" w:eastAsia="Arial" w:hAnsi="Arial"/>
                <w:sz w:val="18"/>
                <w:szCs w:val="18"/>
                <w:color w:val="auto"/>
                <w:w w:val="87"/>
              </w:rPr>
              <w:t>33,441</w:t>
            </w:r>
          </w:p>
        </w:tc>
        <w:tc>
          <w:tcPr>
            <w:tcW w:w="5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433"/>
              <w:spacing w:after="0"/>
              <w:rPr>
                <w:sz w:val="20"/>
                <w:szCs w:val="20"/>
                <w:color w:val="auto"/>
              </w:rPr>
            </w:pPr>
            <w:r>
              <w:rPr>
                <w:rFonts w:ascii="Arial" w:cs="Arial" w:eastAsia="Arial" w:hAnsi="Arial"/>
                <w:sz w:val="18"/>
                <w:szCs w:val="18"/>
                <w:color w:val="auto"/>
                <w:w w:val="83"/>
              </w:rPr>
              <w:t>18,772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7"/>
              </w:rPr>
              <w:t>4,036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w w:val="89"/>
              </w:rPr>
              <w:t>235,614</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Pensions</w:t>
      </w:r>
    </w:p>
    <w:p>
      <w:pPr>
        <w:spacing w:after="0" w:line="12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Effective January 20, 2011, the defined benefit pension plan covering the employees at our Eltmann Plant is under control of the bankruptcy trustee and has been or will be taken over by the German government’s pension security fund. The plan is no longer a responsibility of NN, resulting in a reduction of Accrued pension liabilities of $5,623 on January 20, 2011. We have no remaining pension obligations. (See Note 1 of the Notes to Condensed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 Indemnity</w:t>
      </w:r>
    </w:p>
    <w:p>
      <w:pPr>
        <w:spacing w:after="0" w:line="121" w:lineRule="exact"/>
        <w:rPr>
          <w:sz w:val="20"/>
          <w:szCs w:val="20"/>
          <w:color w:val="auto"/>
        </w:rPr>
      </w:pPr>
    </w:p>
    <w:p>
      <w:pPr>
        <w:jc w:val="both"/>
        <w:ind w:right="540"/>
        <w:spacing w:after="0" w:line="264" w:lineRule="auto"/>
        <w:rPr>
          <w:sz w:val="20"/>
          <w:szCs w:val="20"/>
          <w:color w:val="auto"/>
        </w:rPr>
      </w:pPr>
      <w:r>
        <w:rPr>
          <w:rFonts w:ascii="Arial" w:cs="Arial" w:eastAsia="Arial" w:hAnsi="Arial"/>
          <w:sz w:val="18"/>
          <w:szCs w:val="18"/>
          <w:color w:val="auto"/>
        </w:rPr>
        <w:t>In accordance with Italian law, the Company has an unfunded severance plan covering our Pinerolo Plant employees under which all employees at that location are entitled to receive severance indemnities upon termination of their employment. The table below summarizes the changes to the severance indemnity for the three and six month periods ended June 30, 2011 and 2010:</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880" w:type="dxa"/>
            <w:vAlign w:val="bottom"/>
            <w:gridSpan w:val="2"/>
          </w:tcPr>
          <w:p>
            <w:pPr>
              <w:jc w:val="right"/>
              <w:ind w:right="834"/>
              <w:spacing w:after="0"/>
              <w:rPr>
                <w:sz w:val="20"/>
                <w:szCs w:val="20"/>
                <w:color w:val="auto"/>
              </w:rPr>
            </w:pPr>
            <w:r>
              <w:rPr>
                <w:rFonts w:ascii="Arial" w:cs="Arial" w:eastAsia="Arial" w:hAnsi="Arial"/>
                <w:sz w:val="14"/>
                <w:szCs w:val="14"/>
                <w:b w:val="1"/>
                <w:bCs w:val="1"/>
                <w:color w:val="auto"/>
              </w:rPr>
              <w:t>Three months ended</w:t>
            </w:r>
          </w:p>
        </w:tc>
        <w:tc>
          <w:tcPr>
            <w:tcW w:w="2820" w:type="dxa"/>
            <w:vAlign w:val="bottom"/>
            <w:gridSpan w:val="2"/>
          </w:tcPr>
          <w:p>
            <w:pPr>
              <w:jc w:val="right"/>
              <w:ind w:right="654"/>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4260" w:type="dxa"/>
            <w:vAlign w:val="bottom"/>
            <w:gridSpan w:val="2"/>
            <w:vMerge w:val="restart"/>
          </w:tcPr>
          <w:p>
            <w:pPr>
              <w:spacing w:after="0"/>
              <w:rPr>
                <w:sz w:val="20"/>
                <w:szCs w:val="20"/>
                <w:color w:val="auto"/>
              </w:rPr>
            </w:pPr>
            <w:r>
              <w:rPr>
                <w:rFonts w:ascii="Arial" w:cs="Arial" w:eastAsia="Arial" w:hAnsi="Arial"/>
                <w:sz w:val="14"/>
                <w:szCs w:val="14"/>
                <w:color w:val="auto"/>
              </w:rPr>
              <w:t>(In Thousands of Dollars)</w:t>
            </w:r>
          </w:p>
        </w:tc>
        <w:tc>
          <w:tcPr>
            <w:tcW w:w="146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jc w:val="right"/>
              <w:ind w:right="1214"/>
              <w:spacing w:after="0"/>
              <w:rPr>
                <w:sz w:val="20"/>
                <w:szCs w:val="20"/>
                <w:color w:val="auto"/>
              </w:rPr>
            </w:pPr>
            <w:r>
              <w:rPr>
                <w:rFonts w:ascii="Arial" w:cs="Arial" w:eastAsia="Arial" w:hAnsi="Arial"/>
                <w:sz w:val="14"/>
                <w:szCs w:val="14"/>
                <w:b w:val="1"/>
                <w:bCs w:val="1"/>
                <w:color w:val="auto"/>
              </w:rPr>
              <w:t>June 30,</w:t>
            </w:r>
          </w:p>
        </w:tc>
        <w:tc>
          <w:tcPr>
            <w:tcW w:w="11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934"/>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9"/>
        </w:trPr>
        <w:tc>
          <w:tcPr>
            <w:tcW w:w="4260" w:type="dxa"/>
            <w:vAlign w:val="bottom"/>
            <w:gridSpan w:val="2"/>
            <w:vMerge w:val="continue"/>
          </w:tcPr>
          <w:p>
            <w:pPr>
              <w:spacing w:after="0"/>
              <w:rPr>
                <w:sz w:val="12"/>
                <w:szCs w:val="12"/>
                <w:color w:val="auto"/>
              </w:rPr>
            </w:pPr>
          </w:p>
        </w:tc>
        <w:tc>
          <w:tcPr>
            <w:tcW w:w="1460" w:type="dxa"/>
            <w:vAlign w:val="bottom"/>
          </w:tcPr>
          <w:p>
            <w:pPr>
              <w:spacing w:after="0"/>
              <w:rPr>
                <w:sz w:val="12"/>
                <w:szCs w:val="12"/>
                <w:color w:val="auto"/>
              </w:rPr>
            </w:pPr>
          </w:p>
        </w:tc>
        <w:tc>
          <w:tcPr>
            <w:tcW w:w="920" w:type="dxa"/>
            <w:vAlign w:val="bottom"/>
          </w:tcPr>
          <w:p>
            <w:pPr>
              <w:jc w:val="right"/>
              <w:ind w:right="182"/>
              <w:spacing w:after="0" w:line="142" w:lineRule="exact"/>
              <w:rPr>
                <w:sz w:val="20"/>
                <w:szCs w:val="20"/>
                <w:color w:val="auto"/>
              </w:rPr>
            </w:pPr>
            <w:r>
              <w:rPr>
                <w:rFonts w:ascii="Arial" w:cs="Arial" w:eastAsia="Arial" w:hAnsi="Arial"/>
                <w:sz w:val="14"/>
                <w:szCs w:val="14"/>
                <w:b w:val="1"/>
                <w:bCs w:val="1"/>
                <w:color w:val="auto"/>
              </w:rPr>
              <w:t>2011</w:t>
            </w:r>
          </w:p>
        </w:tc>
        <w:tc>
          <w:tcPr>
            <w:tcW w:w="1960" w:type="dxa"/>
            <w:vAlign w:val="bottom"/>
          </w:tcPr>
          <w:p>
            <w:pPr>
              <w:jc w:val="right"/>
              <w:ind w:right="534"/>
              <w:spacing w:after="0" w:line="142" w:lineRule="exact"/>
              <w:rPr>
                <w:sz w:val="20"/>
                <w:szCs w:val="20"/>
                <w:color w:val="auto"/>
              </w:rPr>
            </w:pPr>
            <w:r>
              <w:rPr>
                <w:rFonts w:ascii="Arial" w:cs="Arial" w:eastAsia="Arial" w:hAnsi="Arial"/>
                <w:sz w:val="14"/>
                <w:szCs w:val="14"/>
                <w:b w:val="1"/>
                <w:bCs w:val="1"/>
                <w:color w:val="auto"/>
              </w:rPr>
              <w:t>2010</w:t>
            </w:r>
          </w:p>
        </w:tc>
        <w:tc>
          <w:tcPr>
            <w:tcW w:w="1160" w:type="dxa"/>
            <w:vAlign w:val="bottom"/>
          </w:tcPr>
          <w:p>
            <w:pPr>
              <w:jc w:val="right"/>
              <w:ind w:right="154"/>
              <w:spacing w:after="0" w:line="142" w:lineRule="exact"/>
              <w:rPr>
                <w:sz w:val="20"/>
                <w:szCs w:val="20"/>
                <w:color w:val="auto"/>
              </w:rPr>
            </w:pPr>
            <w:r>
              <w:rPr>
                <w:rFonts w:ascii="Arial" w:cs="Arial" w:eastAsia="Arial" w:hAnsi="Arial"/>
                <w:sz w:val="14"/>
                <w:szCs w:val="14"/>
                <w:b w:val="1"/>
                <w:bCs w:val="1"/>
                <w:color w:val="auto"/>
              </w:rPr>
              <w:t>2011</w:t>
            </w:r>
          </w:p>
        </w:tc>
        <w:tc>
          <w:tcPr>
            <w:tcW w:w="1660" w:type="dxa"/>
            <w:vAlign w:val="bottom"/>
          </w:tcPr>
          <w:p>
            <w:pPr>
              <w:jc w:val="right"/>
              <w:ind w:right="274"/>
              <w:spacing w:after="0" w:line="142" w:lineRule="exact"/>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380" w:type="dxa"/>
            <w:vAlign w:val="bottom"/>
            <w:tcBorders>
              <w:top w:val="single" w:sz="8" w:color="auto"/>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$7,658</w:t>
            </w:r>
          </w:p>
        </w:tc>
        <w:tc>
          <w:tcPr>
            <w:tcW w:w="1960" w:type="dxa"/>
            <w:vAlign w:val="bottom"/>
            <w:tcBorders>
              <w:top w:val="single" w:sz="8" w:color="auto"/>
            </w:tcBorders>
            <w:shd w:val="clear" w:color="auto" w:fill="CCEEFF"/>
          </w:tcPr>
          <w:p>
            <w:pPr>
              <w:jc w:val="right"/>
              <w:ind w:right="474"/>
              <w:spacing w:after="0"/>
              <w:rPr>
                <w:sz w:val="20"/>
                <w:szCs w:val="20"/>
                <w:color w:val="auto"/>
              </w:rPr>
            </w:pPr>
            <w:r>
              <w:rPr>
                <w:rFonts w:ascii="Arial" w:cs="Arial" w:eastAsia="Arial" w:hAnsi="Arial"/>
                <w:sz w:val="18"/>
                <w:szCs w:val="18"/>
                <w:color w:val="auto"/>
              </w:rPr>
              <w:t>$7,488</w:t>
            </w:r>
          </w:p>
        </w:tc>
        <w:tc>
          <w:tcPr>
            <w:tcW w:w="1160" w:type="dxa"/>
            <w:vAlign w:val="bottom"/>
            <w:tcBorders>
              <w:top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$7,115</w:t>
            </w:r>
          </w:p>
        </w:tc>
        <w:tc>
          <w:tcPr>
            <w:tcW w:w="1660" w:type="dxa"/>
            <w:vAlign w:val="bottom"/>
            <w:tcBorders>
              <w:top w:val="single" w:sz="8" w:color="auto"/>
            </w:tcBorders>
            <w:shd w:val="clear" w:color="auto" w:fill="CCEEFF"/>
          </w:tcPr>
          <w:p>
            <w:pPr>
              <w:jc w:val="right"/>
              <w:ind w:right="234"/>
              <w:spacing w:after="0"/>
              <w:rPr>
                <w:sz w:val="20"/>
                <w:szCs w:val="20"/>
                <w:color w:val="auto"/>
              </w:rPr>
            </w:pPr>
            <w:r>
              <w:rPr>
                <w:rFonts w:ascii="Arial" w:cs="Arial" w:eastAsia="Arial" w:hAnsi="Arial"/>
                <w:sz w:val="18"/>
                <w:szCs w:val="18"/>
                <w:color w:val="auto"/>
              </w:rPr>
              <w:t>$8,015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Amounts accrued</w:t>
            </w:r>
          </w:p>
        </w:tc>
        <w:tc>
          <w:tcPr>
            <w:tcW w:w="2380" w:type="dxa"/>
            <w:vAlign w:val="bottom"/>
            <w:gridSpan w:val="2"/>
          </w:tcPr>
          <w:p>
            <w:pPr>
              <w:jc w:val="right"/>
              <w:ind w:right="102"/>
              <w:spacing w:after="0"/>
              <w:rPr>
                <w:sz w:val="20"/>
                <w:szCs w:val="20"/>
                <w:color w:val="auto"/>
              </w:rPr>
            </w:pPr>
            <w:r>
              <w:rPr>
                <w:rFonts w:ascii="Arial" w:cs="Arial" w:eastAsia="Arial" w:hAnsi="Arial"/>
                <w:sz w:val="18"/>
                <w:szCs w:val="18"/>
                <w:color w:val="auto"/>
              </w:rPr>
              <w:t>311</w:t>
            </w:r>
          </w:p>
        </w:tc>
        <w:tc>
          <w:tcPr>
            <w:tcW w:w="1960" w:type="dxa"/>
            <w:vAlign w:val="bottom"/>
          </w:tcPr>
          <w:p>
            <w:pPr>
              <w:jc w:val="right"/>
              <w:ind w:right="474"/>
              <w:spacing w:after="0"/>
              <w:rPr>
                <w:sz w:val="20"/>
                <w:szCs w:val="20"/>
                <w:color w:val="auto"/>
              </w:rPr>
            </w:pPr>
            <w:r>
              <w:rPr>
                <w:rFonts w:ascii="Arial" w:cs="Arial" w:eastAsia="Arial" w:hAnsi="Arial"/>
                <w:sz w:val="18"/>
                <w:szCs w:val="18"/>
                <w:color w:val="auto"/>
              </w:rPr>
              <w:t>278</w:t>
            </w:r>
          </w:p>
        </w:tc>
        <w:tc>
          <w:tcPr>
            <w:tcW w:w="1160" w:type="dxa"/>
            <w:vAlign w:val="bottom"/>
          </w:tcPr>
          <w:p>
            <w:pPr>
              <w:jc w:val="right"/>
              <w:ind w:right="94"/>
              <w:spacing w:after="0"/>
              <w:rPr>
                <w:sz w:val="20"/>
                <w:szCs w:val="20"/>
                <w:color w:val="auto"/>
              </w:rPr>
            </w:pPr>
            <w:r>
              <w:rPr>
                <w:rFonts w:ascii="Arial" w:cs="Arial" w:eastAsia="Arial" w:hAnsi="Arial"/>
                <w:sz w:val="18"/>
                <w:szCs w:val="18"/>
                <w:color w:val="auto"/>
              </w:rPr>
              <w:t>651</w:t>
            </w:r>
          </w:p>
        </w:tc>
        <w:tc>
          <w:tcPr>
            <w:tcW w:w="1660" w:type="dxa"/>
            <w:vAlign w:val="bottom"/>
          </w:tcPr>
          <w:p>
            <w:pPr>
              <w:jc w:val="right"/>
              <w:ind w:right="234"/>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Payments to employees</w:t>
            </w:r>
          </w:p>
        </w:tc>
        <w:tc>
          <w:tcPr>
            <w:tcW w:w="23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(120)</w:t>
            </w:r>
          </w:p>
        </w:tc>
        <w:tc>
          <w:tcPr>
            <w:tcW w:w="1960" w:type="dxa"/>
            <w:vAlign w:val="bottom"/>
            <w:shd w:val="clear" w:color="auto" w:fill="CCEEFF"/>
          </w:tcPr>
          <w:p>
            <w:pPr>
              <w:jc w:val="right"/>
              <w:ind w:right="414"/>
              <w:spacing w:after="0"/>
              <w:rPr>
                <w:sz w:val="20"/>
                <w:szCs w:val="20"/>
                <w:color w:val="auto"/>
              </w:rPr>
            </w:pPr>
            <w:r>
              <w:rPr>
                <w:rFonts w:ascii="Arial" w:cs="Arial" w:eastAsia="Arial" w:hAnsi="Arial"/>
                <w:sz w:val="18"/>
                <w:szCs w:val="18"/>
                <w:color w:val="auto"/>
              </w:rPr>
              <w:t>(235)</w:t>
            </w: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(134)</w:t>
            </w:r>
          </w:p>
        </w:tc>
        <w:tc>
          <w:tcPr>
            <w:tcW w:w="166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Payments to government managed plan</w:t>
            </w:r>
          </w:p>
        </w:tc>
        <w:tc>
          <w:tcPr>
            <w:tcW w:w="2380" w:type="dxa"/>
            <w:vAlign w:val="bottom"/>
            <w:gridSpan w:val="2"/>
          </w:tcPr>
          <w:p>
            <w:pPr>
              <w:jc w:val="right"/>
              <w:ind w:right="42"/>
              <w:spacing w:after="0"/>
              <w:rPr>
                <w:sz w:val="20"/>
                <w:szCs w:val="20"/>
                <w:color w:val="auto"/>
              </w:rPr>
            </w:pPr>
            <w:r>
              <w:rPr>
                <w:rFonts w:ascii="Arial" w:cs="Arial" w:eastAsia="Arial" w:hAnsi="Arial"/>
                <w:sz w:val="18"/>
                <w:szCs w:val="18"/>
                <w:color w:val="auto"/>
              </w:rPr>
              <w:t>(168)</w:t>
            </w:r>
          </w:p>
        </w:tc>
        <w:tc>
          <w:tcPr>
            <w:tcW w:w="1960" w:type="dxa"/>
            <w:vAlign w:val="bottom"/>
          </w:tcPr>
          <w:p>
            <w:pPr>
              <w:jc w:val="right"/>
              <w:ind w:right="414"/>
              <w:spacing w:after="0"/>
              <w:rPr>
                <w:sz w:val="20"/>
                <w:szCs w:val="20"/>
                <w:color w:val="auto"/>
              </w:rPr>
            </w:pPr>
            <w:r>
              <w:rPr>
                <w:rFonts w:ascii="Arial" w:cs="Arial" w:eastAsia="Arial" w:hAnsi="Arial"/>
                <w:sz w:val="18"/>
                <w:szCs w:val="18"/>
                <w:color w:val="auto"/>
              </w:rPr>
              <w:t>(173)</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(403)</w:t>
            </w:r>
          </w:p>
        </w:tc>
        <w:tc>
          <w:tcPr>
            <w:tcW w:w="1660" w:type="dxa"/>
            <w:vAlign w:val="bottom"/>
          </w:tcPr>
          <w:p>
            <w:pPr>
              <w:jc w:val="right"/>
              <w:ind w:right="174"/>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Currency impacts</w:t>
            </w:r>
          </w:p>
        </w:tc>
        <w:tc>
          <w:tcPr>
            <w:tcW w:w="238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133</w:t>
            </w:r>
          </w:p>
        </w:tc>
        <w:tc>
          <w:tcPr>
            <w:tcW w:w="1960" w:type="dxa"/>
            <w:vAlign w:val="bottom"/>
            <w:shd w:val="clear" w:color="auto" w:fill="CCEEFF"/>
          </w:tcPr>
          <w:p>
            <w:pPr>
              <w:jc w:val="right"/>
              <w:ind w:right="474"/>
              <w:spacing w:after="0"/>
              <w:rPr>
                <w:sz w:val="20"/>
                <w:szCs w:val="20"/>
                <w:color w:val="auto"/>
              </w:rPr>
            </w:pPr>
            <w:r>
              <w:rPr>
                <w:rFonts w:ascii="Arial" w:cs="Arial" w:eastAsia="Arial" w:hAnsi="Arial"/>
                <w:sz w:val="18"/>
                <w:szCs w:val="18"/>
                <w:color w:val="auto"/>
              </w:rPr>
              <w:t>635</w:t>
            </w:r>
          </w:p>
        </w:tc>
        <w:tc>
          <w:tcPr>
            <w:tcW w:w="11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585</w:t>
            </w:r>
          </w:p>
        </w:tc>
        <w:tc>
          <w:tcPr>
            <w:tcW w:w="166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3"/>
        </w:trPr>
        <w:tc>
          <w:tcPr>
            <w:tcW w:w="4260" w:type="dxa"/>
            <w:vAlign w:val="bottom"/>
            <w:gridSpan w:val="2"/>
          </w:tcPr>
          <w:p>
            <w:pPr>
              <w:spacing w:after="0"/>
              <w:rPr>
                <w:sz w:val="20"/>
                <w:szCs w:val="20"/>
                <w:color w:val="auto"/>
              </w:rPr>
            </w:pPr>
            <w:r>
              <w:rPr>
                <w:rFonts w:ascii="Arial" w:cs="Arial" w:eastAsia="Arial" w:hAnsi="Arial"/>
                <w:sz w:val="18"/>
                <w:szCs w:val="18"/>
                <w:color w:val="auto"/>
              </w:rPr>
              <w:t>Ending balance</w:t>
            </w:r>
          </w:p>
        </w:tc>
        <w:tc>
          <w:tcPr>
            <w:tcW w:w="146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8"/>
                <w:szCs w:val="18"/>
                <w:color w:val="auto"/>
              </w:rPr>
              <w:t>$7,814</w:t>
            </w:r>
          </w:p>
        </w:tc>
        <w:tc>
          <w:tcPr>
            <w:tcW w:w="196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8"/>
                <w:szCs w:val="18"/>
                <w:color w:val="auto"/>
              </w:rPr>
              <w:t>$7,993</w:t>
            </w:r>
          </w:p>
        </w:tc>
        <w:tc>
          <w:tcPr>
            <w:tcW w:w="116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8"/>
                <w:szCs w:val="18"/>
                <w:color w:val="auto"/>
              </w:rPr>
              <w:t>$7,814</w:t>
            </w:r>
          </w:p>
        </w:tc>
        <w:tc>
          <w:tcPr>
            <w:tcW w:w="166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8"/>
                <w:szCs w:val="18"/>
                <w:color w:val="auto"/>
              </w:rPr>
              <w:t>$7,993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380" w:type="dxa"/>
            <w:vAlign w:val="bottom"/>
            <w:gridSpan w:val="2"/>
          </w:tcPr>
          <w:p>
            <w:pPr>
              <w:jc w:val="right"/>
              <w:ind w:right="802"/>
              <w:spacing w:after="0"/>
              <w:rPr>
                <w:sz w:val="20"/>
                <w:szCs w:val="20"/>
                <w:color w:val="auto"/>
              </w:rPr>
            </w:pPr>
            <w:r>
              <w:rPr>
                <w:rFonts w:ascii="Arial" w:cs="Arial" w:eastAsia="Arial" w:hAnsi="Arial"/>
                <w:sz w:val="18"/>
                <w:szCs w:val="18"/>
                <w:color w:val="auto"/>
              </w:rPr>
              <w:t>9</w:t>
            </w:r>
          </w:p>
        </w:tc>
        <w:tc>
          <w:tcPr>
            <w:tcW w:w="19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24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96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16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and Early Retirement Provisions</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have two plans that cover our Veenendaal Plant employees. One plan provides an award for employees who achieve 25 or 40 years of service and the other plan is an award for employees upon retirement. These plans are both unfunded and the benefits are based on years of service and rate of compensation at the time the award is paid. The table below summarizes the combined changes in the two plans during the three and six month periods ended June 30, 2011 and 2010.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2640" w:type="dxa"/>
            <w:vAlign w:val="bottom"/>
            <w:gridSpan w:val="2"/>
          </w:tcPr>
          <w:p>
            <w:pPr>
              <w:jc w:val="right"/>
              <w:ind w:right="714"/>
              <w:spacing w:after="0"/>
              <w:rPr>
                <w:sz w:val="20"/>
                <w:szCs w:val="20"/>
                <w:color w:val="auto"/>
              </w:rPr>
            </w:pPr>
            <w:r>
              <w:rPr>
                <w:rFonts w:ascii="Arial" w:cs="Arial" w:eastAsia="Arial" w:hAnsi="Arial"/>
                <w:sz w:val="14"/>
                <w:szCs w:val="14"/>
                <w:b w:val="1"/>
                <w:bCs w:val="1"/>
                <w:color w:val="auto"/>
              </w:rPr>
              <w:t>Three months ended</w:t>
            </w:r>
          </w:p>
        </w:tc>
        <w:tc>
          <w:tcPr>
            <w:tcW w:w="960" w:type="dxa"/>
            <w:vAlign w:val="bottom"/>
          </w:tcPr>
          <w:p>
            <w:pPr>
              <w:spacing w:after="0"/>
              <w:rPr>
                <w:sz w:val="14"/>
                <w:szCs w:val="14"/>
                <w:color w:val="auto"/>
              </w:rPr>
            </w:pPr>
          </w:p>
        </w:tc>
        <w:tc>
          <w:tcPr>
            <w:tcW w:w="1780" w:type="dxa"/>
            <w:vAlign w:val="bottom"/>
          </w:tcPr>
          <w:p>
            <w:pPr>
              <w:jc w:val="right"/>
              <w:ind w:right="596"/>
              <w:spacing w:after="0"/>
              <w:rPr>
                <w:sz w:val="20"/>
                <w:szCs w:val="20"/>
                <w:color w:val="auto"/>
              </w:rPr>
            </w:pPr>
            <w:r>
              <w:rPr>
                <w:rFonts w:ascii="Arial" w:cs="Arial" w:eastAsia="Arial" w:hAnsi="Arial"/>
                <w:sz w:val="14"/>
                <w:szCs w:val="14"/>
                <w:b w:val="1"/>
                <w:bCs w:val="1"/>
                <w:color w:val="auto"/>
                <w:w w:val="89"/>
              </w:rPr>
              <w:t>Six months ended</w:t>
            </w:r>
          </w:p>
        </w:tc>
        <w:tc>
          <w:tcPr>
            <w:tcW w:w="0" w:type="dxa"/>
            <w:vAlign w:val="bottom"/>
          </w:tcPr>
          <w:p>
            <w:pPr>
              <w:spacing w:after="0"/>
              <w:rPr>
                <w:sz w:val="1"/>
                <w:szCs w:val="1"/>
                <w:color w:val="auto"/>
              </w:rPr>
            </w:pPr>
          </w:p>
        </w:tc>
      </w:tr>
      <w:tr>
        <w:trPr>
          <w:trHeight w:val="171"/>
        </w:trPr>
        <w:tc>
          <w:tcPr>
            <w:tcW w:w="6040" w:type="dxa"/>
            <w:vAlign w:val="bottom"/>
            <w:gridSpan w:val="2"/>
            <w:vMerge w:val="restart"/>
          </w:tcPr>
          <w:p>
            <w:pPr>
              <w:spacing w:after="0"/>
              <w:rPr>
                <w:sz w:val="20"/>
                <w:szCs w:val="20"/>
                <w:color w:val="auto"/>
              </w:rPr>
            </w:pPr>
            <w:r>
              <w:rPr>
                <w:rFonts w:ascii="Arial" w:cs="Arial" w:eastAsia="Arial" w:hAnsi="Arial"/>
                <w:sz w:val="14"/>
                <w:szCs w:val="14"/>
                <w:color w:val="auto"/>
              </w:rPr>
              <w:t>(In Thousands of Dollars)</w:t>
            </w:r>
          </w:p>
        </w:tc>
        <w:tc>
          <w:tcPr>
            <w:tcW w:w="8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jc w:val="right"/>
              <w:ind w:right="1094"/>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right"/>
              <w:ind w:right="896"/>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9"/>
        </w:trPr>
        <w:tc>
          <w:tcPr>
            <w:tcW w:w="6040" w:type="dxa"/>
            <w:vAlign w:val="bottom"/>
            <w:gridSpan w:val="2"/>
            <w:vMerge w:val="continue"/>
          </w:tcPr>
          <w:p>
            <w:pPr>
              <w:spacing w:after="0"/>
              <w:rPr>
                <w:sz w:val="12"/>
                <w:szCs w:val="12"/>
                <w:color w:val="auto"/>
              </w:rPr>
            </w:pPr>
          </w:p>
        </w:tc>
        <w:tc>
          <w:tcPr>
            <w:tcW w:w="80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1840" w:type="dxa"/>
            <w:vAlign w:val="bottom"/>
          </w:tcPr>
          <w:p>
            <w:pPr>
              <w:jc w:val="right"/>
              <w:ind w:right="474"/>
              <w:spacing w:after="0" w:line="142" w:lineRule="exact"/>
              <w:rPr>
                <w:sz w:val="20"/>
                <w:szCs w:val="20"/>
                <w:color w:val="auto"/>
              </w:rPr>
            </w:pPr>
            <w:r>
              <w:rPr>
                <w:rFonts w:ascii="Arial" w:cs="Arial" w:eastAsia="Arial" w:hAnsi="Arial"/>
                <w:sz w:val="14"/>
                <w:szCs w:val="14"/>
                <w:b w:val="1"/>
                <w:bCs w:val="1"/>
                <w:color w:val="auto"/>
              </w:rPr>
              <w:t>2010</w:t>
            </w:r>
          </w:p>
        </w:tc>
        <w:tc>
          <w:tcPr>
            <w:tcW w:w="9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1780" w:type="dxa"/>
            <w:vAlign w:val="bottom"/>
          </w:tcPr>
          <w:p>
            <w:pPr>
              <w:jc w:val="right"/>
              <w:ind w:right="256"/>
              <w:spacing w:after="0" w:line="142" w:lineRule="exact"/>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800" w:type="dxa"/>
            <w:vAlign w:val="bottom"/>
            <w:tcBorders>
              <w:top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$835</w:t>
            </w:r>
          </w:p>
        </w:tc>
        <w:tc>
          <w:tcPr>
            <w:tcW w:w="1840" w:type="dxa"/>
            <w:vAlign w:val="bottom"/>
            <w:tcBorders>
              <w:top w:val="single" w:sz="8" w:color="auto"/>
            </w:tcBorders>
            <w:shd w:val="clear" w:color="auto" w:fill="CCEEFF"/>
          </w:tcPr>
          <w:p>
            <w:pPr>
              <w:jc w:val="right"/>
              <w:ind w:right="474"/>
              <w:spacing w:after="0"/>
              <w:rPr>
                <w:sz w:val="20"/>
                <w:szCs w:val="20"/>
                <w:color w:val="auto"/>
              </w:rPr>
            </w:pPr>
            <w:r>
              <w:rPr>
                <w:rFonts w:ascii="Arial" w:cs="Arial" w:eastAsia="Arial" w:hAnsi="Arial"/>
                <w:sz w:val="18"/>
                <w:szCs w:val="18"/>
                <w:color w:val="auto"/>
              </w:rPr>
              <w:t>$768</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1780" w:type="dxa"/>
            <w:vAlign w:val="bottom"/>
            <w:tcBorders>
              <w:top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rPr>
              <w:t>$ 805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Service cost</w:t>
            </w:r>
          </w:p>
        </w:tc>
        <w:tc>
          <w:tcPr>
            <w:tcW w:w="800" w:type="dxa"/>
            <w:vAlign w:val="bottom"/>
          </w:tcPr>
          <w:p>
            <w:pPr>
              <w:jc w:val="right"/>
              <w:ind w:right="114"/>
              <w:spacing w:after="0"/>
              <w:rPr>
                <w:sz w:val="20"/>
                <w:szCs w:val="20"/>
                <w:color w:val="auto"/>
              </w:rPr>
            </w:pPr>
            <w:r>
              <w:rPr>
                <w:rFonts w:ascii="Arial" w:cs="Arial" w:eastAsia="Arial" w:hAnsi="Arial"/>
                <w:sz w:val="18"/>
                <w:szCs w:val="18"/>
                <w:color w:val="auto"/>
              </w:rPr>
              <w:t>6</w:t>
            </w:r>
          </w:p>
        </w:tc>
        <w:tc>
          <w:tcPr>
            <w:tcW w:w="1840" w:type="dxa"/>
            <w:vAlign w:val="bottom"/>
          </w:tcPr>
          <w:p>
            <w:pPr>
              <w:jc w:val="right"/>
              <w:ind w:right="474"/>
              <w:spacing w:after="0"/>
              <w:rPr>
                <w:sz w:val="20"/>
                <w:szCs w:val="20"/>
                <w:color w:val="auto"/>
              </w:rPr>
            </w:pPr>
            <w:r>
              <w:rPr>
                <w:rFonts w:ascii="Arial" w:cs="Arial" w:eastAsia="Arial" w:hAnsi="Arial"/>
                <w:sz w:val="18"/>
                <w:szCs w:val="18"/>
                <w:color w:val="auto"/>
              </w:rPr>
              <w:t>14</w:t>
            </w:r>
          </w:p>
        </w:tc>
        <w:tc>
          <w:tcPr>
            <w:tcW w:w="960" w:type="dxa"/>
            <w:vAlign w:val="bottom"/>
          </w:tcPr>
          <w:p>
            <w:pPr>
              <w:jc w:val="right"/>
              <w:spacing w:after="0"/>
              <w:rPr>
                <w:sz w:val="20"/>
                <w:szCs w:val="20"/>
                <w:color w:val="auto"/>
              </w:rPr>
            </w:pPr>
            <w:r>
              <w:rPr>
                <w:rFonts w:ascii="Arial" w:cs="Arial" w:eastAsia="Arial" w:hAnsi="Arial"/>
                <w:sz w:val="18"/>
                <w:szCs w:val="18"/>
                <w:color w:val="auto"/>
              </w:rPr>
              <w:t>26</w:t>
            </w:r>
          </w:p>
        </w:tc>
        <w:tc>
          <w:tcPr>
            <w:tcW w:w="1780" w:type="dxa"/>
            <w:vAlign w:val="bottom"/>
          </w:tcPr>
          <w:p>
            <w:pPr>
              <w:jc w:val="right"/>
              <w:ind w:right="236"/>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8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17</w:t>
            </w:r>
          </w:p>
        </w:tc>
        <w:tc>
          <w:tcPr>
            <w:tcW w:w="1840" w:type="dxa"/>
            <w:vAlign w:val="bottom"/>
            <w:shd w:val="clear" w:color="auto" w:fill="CCEEFF"/>
          </w:tcPr>
          <w:p>
            <w:pPr>
              <w:jc w:val="right"/>
              <w:ind w:right="474"/>
              <w:spacing w:after="0"/>
              <w:rPr>
                <w:sz w:val="20"/>
                <w:szCs w:val="20"/>
                <w:color w:val="auto"/>
              </w:rPr>
            </w:pPr>
            <w:r>
              <w:rPr>
                <w:rFonts w:ascii="Arial" w:cs="Arial" w:eastAsia="Arial" w:hAnsi="Arial"/>
                <w:sz w:val="18"/>
                <w:szCs w:val="18"/>
                <w:color w:val="auto"/>
              </w:rPr>
              <w:t>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78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Benefits paid</w:t>
            </w:r>
          </w:p>
        </w:tc>
        <w:tc>
          <w:tcPr>
            <w:tcW w:w="800" w:type="dxa"/>
            <w:vAlign w:val="bottom"/>
          </w:tcPr>
          <w:p>
            <w:pPr>
              <w:jc w:val="right"/>
              <w:ind w:right="54"/>
              <w:spacing w:after="0"/>
              <w:rPr>
                <w:sz w:val="20"/>
                <w:szCs w:val="20"/>
                <w:color w:val="auto"/>
              </w:rPr>
            </w:pPr>
            <w:r>
              <w:rPr>
                <w:rFonts w:ascii="Arial" w:cs="Arial" w:eastAsia="Arial" w:hAnsi="Arial"/>
                <w:sz w:val="18"/>
                <w:szCs w:val="18"/>
                <w:color w:val="auto"/>
              </w:rPr>
              <w:t>(33)</w:t>
            </w:r>
          </w:p>
        </w:tc>
        <w:tc>
          <w:tcPr>
            <w:tcW w:w="1840" w:type="dxa"/>
            <w:vAlign w:val="bottom"/>
          </w:tcPr>
          <w:p>
            <w:pPr>
              <w:jc w:val="right"/>
              <w:ind w:right="474"/>
              <w:spacing w:after="0"/>
              <w:rPr>
                <w:sz w:val="20"/>
                <w:szCs w:val="20"/>
                <w:color w:val="auto"/>
              </w:rPr>
            </w:pPr>
            <w:r>
              <w:rPr>
                <w:rFonts w:ascii="Arial" w:cs="Arial" w:eastAsia="Arial" w:hAnsi="Arial"/>
                <w:sz w:val="18"/>
                <w:szCs w:val="18"/>
                <w:color w:val="auto"/>
              </w:rPr>
              <w:t>1</w:t>
            </w:r>
          </w:p>
        </w:tc>
        <w:tc>
          <w:tcPr>
            <w:tcW w:w="960" w:type="dxa"/>
            <w:vAlign w:val="bottom"/>
          </w:tcPr>
          <w:p>
            <w:pPr>
              <w:jc w:val="right"/>
              <w:spacing w:after="0"/>
              <w:rPr>
                <w:sz w:val="20"/>
                <w:szCs w:val="20"/>
                <w:color w:val="auto"/>
              </w:rPr>
            </w:pPr>
            <w:r>
              <w:rPr>
                <w:rFonts w:ascii="Arial" w:cs="Arial" w:eastAsia="Arial" w:hAnsi="Arial"/>
                <w:sz w:val="18"/>
                <w:szCs w:val="18"/>
                <w:color w:val="auto"/>
              </w:rPr>
              <w:t>(36)</w:t>
            </w:r>
          </w:p>
        </w:tc>
        <w:tc>
          <w:tcPr>
            <w:tcW w:w="1780" w:type="dxa"/>
            <w:vAlign w:val="bottom"/>
          </w:tcPr>
          <w:p>
            <w:pPr>
              <w:jc w:val="right"/>
              <w:ind w:right="176"/>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Currency impacts</w:t>
            </w:r>
          </w:p>
        </w:tc>
        <w:tc>
          <w:tcPr>
            <w:tcW w:w="8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15</w:t>
            </w:r>
          </w:p>
        </w:tc>
        <w:tc>
          <w:tcPr>
            <w:tcW w:w="1840" w:type="dxa"/>
            <w:vAlign w:val="bottom"/>
            <w:tcBorders>
              <w:bottom w:val="single" w:sz="8" w:color="auto"/>
            </w:tcBorders>
            <w:shd w:val="clear" w:color="auto" w:fill="CCEEFF"/>
          </w:tcPr>
          <w:p>
            <w:pPr>
              <w:jc w:val="right"/>
              <w:ind w:right="414"/>
              <w:spacing w:after="0"/>
              <w:rPr>
                <w:sz w:val="20"/>
                <w:szCs w:val="20"/>
                <w:color w:val="auto"/>
              </w:rPr>
            </w:pPr>
            <w:r>
              <w:rPr>
                <w:rFonts w:ascii="Arial" w:cs="Arial" w:eastAsia="Arial" w:hAnsi="Arial"/>
                <w:sz w:val="18"/>
                <w:szCs w:val="18"/>
                <w:color w:val="auto"/>
              </w:rPr>
              <w:t>(67)</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7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3"/>
        </w:trPr>
        <w:tc>
          <w:tcPr>
            <w:tcW w:w="6040" w:type="dxa"/>
            <w:vAlign w:val="bottom"/>
            <w:gridSpan w:val="2"/>
          </w:tcPr>
          <w:p>
            <w:pPr>
              <w:spacing w:after="0"/>
              <w:rPr>
                <w:sz w:val="20"/>
                <w:szCs w:val="20"/>
                <w:color w:val="auto"/>
              </w:rPr>
            </w:pPr>
            <w:r>
              <w:rPr>
                <w:rFonts w:ascii="Arial" w:cs="Arial" w:eastAsia="Arial" w:hAnsi="Arial"/>
                <w:sz w:val="18"/>
                <w:szCs w:val="18"/>
                <w:color w:val="auto"/>
              </w:rPr>
              <w:t>Ending balance</w:t>
            </w:r>
          </w:p>
        </w:tc>
        <w:tc>
          <w:tcPr>
            <w:tcW w:w="80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$840</w:t>
            </w:r>
          </w:p>
        </w:tc>
        <w:tc>
          <w:tcPr>
            <w:tcW w:w="1840" w:type="dxa"/>
            <w:vAlign w:val="bottom"/>
            <w:tcBorders>
              <w:bottom w:val="single" w:sz="8" w:color="auto"/>
            </w:tcBorders>
          </w:tcPr>
          <w:p>
            <w:pPr>
              <w:jc w:val="right"/>
              <w:ind w:right="474"/>
              <w:spacing w:after="0"/>
              <w:rPr>
                <w:sz w:val="20"/>
                <w:szCs w:val="20"/>
                <w:color w:val="auto"/>
              </w:rPr>
            </w:pPr>
            <w:r>
              <w:rPr>
                <w:rFonts w:ascii="Arial" w:cs="Arial" w:eastAsia="Arial" w:hAnsi="Arial"/>
                <w:sz w:val="18"/>
                <w:szCs w:val="18"/>
                <w:color w:val="auto"/>
              </w:rPr>
              <w:t>$719</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w:t>
            </w:r>
          </w:p>
        </w:tc>
        <w:tc>
          <w:tcPr>
            <w:tcW w:w="1780" w:type="dxa"/>
            <w:vAlign w:val="bottom"/>
            <w:tcBorders>
              <w:bottom w:val="single" w:sz="8" w:color="auto"/>
            </w:tcBorders>
          </w:tcPr>
          <w:p>
            <w:pPr>
              <w:jc w:val="right"/>
              <w:ind w:right="236"/>
              <w:spacing w:after="0"/>
              <w:rPr>
                <w:sz w:val="20"/>
                <w:szCs w:val="20"/>
                <w:color w:val="auto"/>
              </w:rPr>
            </w:pPr>
            <w:r>
              <w:rPr>
                <w:rFonts w:ascii="Arial" w:cs="Arial" w:eastAsia="Arial" w:hAnsi="Arial"/>
                <w:sz w:val="18"/>
                <w:szCs w:val="18"/>
                <w:color w:val="auto"/>
              </w:rPr>
              <w:t>$ 719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New Accounting Pronouncements</w:t>
      </w:r>
    </w:p>
    <w:p>
      <w:pPr>
        <w:spacing w:after="0" w:line="121"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In June 2011, the FASB issued amended accounting guidance related to presentation of comprehensive income. The standards update is intended to help financial statement users better understand the causes of an entity’s change in financial position and results of operation. It is effective for reporting periods beginning after December 15, 2011. The amendments eliminate the option to present components of other comprehensive income as part of the statement of changes in stockholders’ equity. The amendments require that all non-owner changes in stockholders’ equity be presented either in a single continuous statement of comprehensive income or in two separate but consecutive statements. The guidance also requires that reclassification adjustments for items that are reclassified from other comprehensive income to net income be presented on the face of the financial statement where the components of net income and other comprehensive income are presented. We plan on adopting this guidance for reporting periods beginning after December 15, 2011 and are currently assessing the impact on financial statement presentation of adopting this guidance.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Long-Term Debt and Short-Term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Long-term debt and short-term debt at June 30, 2011 and December 31, 2010 consisted of the following:</w:t>
      </w:r>
    </w:p>
    <w:p>
      <w:pPr>
        <w:spacing w:after="0" w:line="204" w:lineRule="exact"/>
        <w:rPr>
          <w:sz w:val="20"/>
          <w:szCs w:val="20"/>
          <w:color w:val="auto"/>
        </w:rPr>
      </w:pPr>
    </w:p>
    <w:tbl>
      <w:tblPr>
        <w:tblLayout w:type="fixed"/>
        <w:tblInd w:w="8580" w:type="dxa"/>
        <w:tblCellMar>
          <w:top w:w="0" w:type="dxa"/>
          <w:left w:w="0" w:type="dxa"/>
          <w:bottom w:w="0" w:type="dxa"/>
          <w:right w:w="0" w:type="dxa"/>
        </w:tblCellMar>
      </w:tblPr>
      <w:tr>
        <w:trPr>
          <w:trHeight w:val="161"/>
        </w:trPr>
        <w:tc>
          <w:tcPr>
            <w:tcW w:w="1340" w:type="dxa"/>
            <w:vAlign w:val="bottom"/>
          </w:tcPr>
          <w:p>
            <w:pPr>
              <w:jc w:val="center"/>
              <w:ind w:right="148"/>
              <w:spacing w:after="0"/>
              <w:rPr>
                <w:sz w:val="20"/>
                <w:szCs w:val="20"/>
                <w:color w:val="auto"/>
              </w:rPr>
            </w:pPr>
            <w:r>
              <w:rPr>
                <w:rFonts w:ascii="Arial" w:cs="Arial" w:eastAsia="Arial" w:hAnsi="Arial"/>
                <w:sz w:val="14"/>
                <w:szCs w:val="14"/>
                <w:b w:val="1"/>
                <w:bCs w:val="1"/>
                <w:color w:val="auto"/>
                <w:w w:val="92"/>
              </w:rPr>
              <w:t>June 30,</w:t>
            </w:r>
          </w:p>
        </w:tc>
        <w:tc>
          <w:tcPr>
            <w:tcW w:w="1500" w:type="dxa"/>
            <w:vAlign w:val="bottom"/>
          </w:tcPr>
          <w:p>
            <w:pPr>
              <w:jc w:val="center"/>
              <w:ind w:left="248"/>
              <w:spacing w:after="0"/>
              <w:rPr>
                <w:sz w:val="20"/>
                <w:szCs w:val="20"/>
                <w:color w:val="auto"/>
              </w:rPr>
            </w:pPr>
            <w:r>
              <w:rPr>
                <w:rFonts w:ascii="Arial" w:cs="Arial" w:eastAsia="Arial" w:hAnsi="Arial"/>
                <w:sz w:val="14"/>
                <w:szCs w:val="14"/>
                <w:color w:val="auto"/>
                <w:w w:val="93"/>
              </w:rPr>
              <w:t>December 31,</w:t>
            </w:r>
          </w:p>
        </w:tc>
      </w:tr>
      <w:tr>
        <w:trPr>
          <w:trHeight w:val="171"/>
        </w:trPr>
        <w:tc>
          <w:tcPr>
            <w:tcW w:w="13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2011</w:t>
            </w:r>
          </w:p>
        </w:tc>
        <w:tc>
          <w:tcPr>
            <w:tcW w:w="15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2010</w:t>
            </w:r>
          </w:p>
        </w:tc>
      </w:tr>
    </w:tbl>
    <w:p>
      <w:pPr>
        <w:spacing w:after="0" w:line="200" w:lineRule="exact"/>
        <w:rPr>
          <w:sz w:val="20"/>
          <w:szCs w:val="20"/>
          <w:color w:val="auto"/>
        </w:rPr>
      </w:pPr>
    </w:p>
    <w:p>
      <w:pPr>
        <w:sectPr>
          <w:pgSz w:w="11900" w:h="16838" w:orient="portrait"/>
          <w:cols w:equalWidth="0" w:num="1">
            <w:col w:w="11420"/>
          </w:cols>
          <w:pgMar w:left="240" w:top="419" w:right="239" w:bottom="1440" w:gutter="0" w:footer="0" w:header="0"/>
        </w:sectPr>
      </w:pPr>
    </w:p>
    <w:p>
      <w:pPr>
        <w:spacing w:after="0" w:line="15" w:lineRule="exact"/>
        <w:rPr>
          <w:sz w:val="20"/>
          <w:szCs w:val="20"/>
          <w:color w:val="auto"/>
        </w:rPr>
      </w:pPr>
    </w:p>
    <w:p>
      <w:pPr>
        <w:ind w:left="220" w:right="440" w:hanging="202"/>
        <w:spacing w:after="0" w:line="342" w:lineRule="auto"/>
        <w:rPr>
          <w:sz w:val="20"/>
          <w:szCs w:val="20"/>
          <w:color w:val="auto"/>
        </w:rPr>
      </w:pPr>
      <w:r>
        <w:rPr>
          <w:rFonts w:ascii="Arial" w:cs="Arial" w:eastAsia="Arial" w:hAnsi="Arial"/>
          <w:sz w:val="16"/>
          <w:szCs w:val="16"/>
          <w:color w:val="auto"/>
        </w:rPr>
        <w:t>Borrowings under our $100,000 revolving credit facility bearing interest at a floating rate equal to LIBOR (0.26% at June 30, 2011) plus an applicable margin of 3.25%, expiring December 21,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246620" cy="274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04" w:lineRule="exact"/>
        <w:rPr>
          <w:sz w:val="20"/>
          <w:szCs w:val="20"/>
          <w:color w:val="auto"/>
        </w:rPr>
      </w:pPr>
    </w:p>
    <w:p>
      <w:pPr>
        <w:ind w:left="220" w:right="340" w:hanging="202"/>
        <w:spacing w:after="0" w:line="264" w:lineRule="auto"/>
        <w:rPr>
          <w:sz w:val="20"/>
          <w:szCs w:val="20"/>
          <w:color w:val="auto"/>
        </w:rPr>
      </w:pPr>
      <w:r>
        <w:rPr>
          <w:rFonts w:ascii="Arial" w:cs="Arial" w:eastAsia="Arial" w:hAnsi="Arial"/>
          <w:sz w:val="18"/>
          <w:szCs w:val="18"/>
          <w:color w:val="auto"/>
        </w:rPr>
        <w:t>Borrowings under our $40,000 aggregate principal amount of senior notes bearing interest at a fixed rate of 6.70% maturing on April 26, 2014. Annual principal payments of $5,714 began on April 26, 2008 and extend through the date of maturity.</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Total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Less current maturities of long-term debt</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Long-term debt, excluding current maturities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color w:val="auto"/>
        </w:rPr>
        <w:t>$69,641</w:t>
      </w:r>
      <w:r>
        <w:rPr>
          <w:sz w:val="20"/>
          <w:szCs w:val="20"/>
          <w:color w:val="auto"/>
        </w:rPr>
        <w:tab/>
      </w:r>
      <w:r>
        <w:rPr>
          <w:rFonts w:ascii="Arial" w:cs="Arial" w:eastAsia="Arial" w:hAnsi="Arial"/>
          <w:sz w:val="16"/>
          <w:szCs w:val="16"/>
          <w:color w:val="auto"/>
        </w:rPr>
        <w:t>$50,500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00"/>
        <w:spacing w:after="0"/>
        <w:tabs>
          <w:tab w:leader="none" w:pos="1760" w:val="left"/>
        </w:tabs>
        <w:rPr>
          <w:sz w:val="20"/>
          <w:szCs w:val="20"/>
          <w:color w:val="auto"/>
        </w:rPr>
      </w:pPr>
      <w:r>
        <w:rPr>
          <w:rFonts w:ascii="Arial" w:cs="Arial" w:eastAsia="Arial" w:hAnsi="Arial"/>
          <w:sz w:val="16"/>
          <w:szCs w:val="16"/>
          <w:color w:val="auto"/>
        </w:rPr>
        <w:t>17,143</w:t>
      </w:r>
      <w:r>
        <w:rPr>
          <w:sz w:val="20"/>
          <w:szCs w:val="20"/>
          <w:color w:val="auto"/>
        </w:rPr>
        <w:tab/>
      </w:r>
      <w:r>
        <w:rPr>
          <w:rFonts w:ascii="Arial" w:cs="Arial" w:eastAsia="Arial" w:hAnsi="Arial"/>
          <w:sz w:val="16"/>
          <w:szCs w:val="16"/>
          <w:color w:val="auto"/>
        </w:rPr>
        <w:t>22,857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29210</wp:posOffset>
            </wp:positionV>
            <wp:extent cx="18097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55" w:lineRule="exact"/>
        <w:rPr>
          <w:sz w:val="20"/>
          <w:szCs w:val="20"/>
          <w:color w:val="auto"/>
        </w:rPr>
      </w:pPr>
    </w:p>
    <w:p>
      <w:pPr>
        <w:ind w:left="100"/>
        <w:spacing w:after="0"/>
        <w:tabs>
          <w:tab w:leader="none" w:pos="1760" w:val="left"/>
        </w:tabs>
        <w:rPr>
          <w:sz w:val="20"/>
          <w:szCs w:val="20"/>
          <w:color w:val="auto"/>
        </w:rPr>
      </w:pPr>
      <w:r>
        <w:rPr>
          <w:rFonts w:ascii="Arial" w:cs="Arial" w:eastAsia="Arial" w:hAnsi="Arial"/>
          <w:sz w:val="16"/>
          <w:szCs w:val="16"/>
          <w:color w:val="auto"/>
        </w:rPr>
        <w:t>86,784</w:t>
      </w:r>
      <w:r>
        <w:rPr>
          <w:sz w:val="20"/>
          <w:szCs w:val="20"/>
          <w:color w:val="auto"/>
        </w:rPr>
        <w:tab/>
      </w:r>
      <w:r>
        <w:rPr>
          <w:rFonts w:ascii="Arial" w:cs="Arial" w:eastAsia="Arial" w:hAnsi="Arial"/>
          <w:sz w:val="16"/>
          <w:szCs w:val="16"/>
          <w:color w:val="auto"/>
        </w:rPr>
        <w:t>73,357</w:t>
      </w:r>
    </w:p>
    <w:p>
      <w:pPr>
        <w:spacing w:after="0" w:line="248" w:lineRule="exact"/>
        <w:rPr>
          <w:sz w:val="20"/>
          <w:szCs w:val="20"/>
          <w:color w:val="auto"/>
        </w:rPr>
      </w:pPr>
    </w:p>
    <w:p>
      <w:pPr>
        <w:ind w:left="180"/>
        <w:spacing w:after="0"/>
        <w:tabs>
          <w:tab w:leader="none" w:pos="1860" w:val="left"/>
        </w:tabs>
        <w:rPr>
          <w:sz w:val="20"/>
          <w:szCs w:val="20"/>
          <w:color w:val="auto"/>
        </w:rPr>
      </w:pPr>
      <w:r>
        <w:rPr>
          <w:rFonts w:ascii="Arial" w:cs="Arial" w:eastAsia="Arial" w:hAnsi="Arial"/>
          <w:sz w:val="15"/>
          <w:szCs w:val="15"/>
          <w:color w:val="auto"/>
        </w:rPr>
        <w:t>6,655</w:t>
      </w:r>
      <w:r>
        <w:rPr>
          <w:sz w:val="20"/>
          <w:szCs w:val="20"/>
          <w:color w:val="auto"/>
        </w:rPr>
        <w:tab/>
      </w:r>
      <w:r>
        <w:rPr>
          <w:rFonts w:ascii="Arial" w:cs="Arial" w:eastAsia="Arial" w:hAnsi="Arial"/>
          <w:sz w:val="15"/>
          <w:szCs w:val="15"/>
          <w:color w:val="auto"/>
        </w:rPr>
        <w:t>5,714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36830</wp:posOffset>
            </wp:positionV>
            <wp:extent cx="18097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67"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color w:val="auto"/>
        </w:rPr>
        <w:t>$80,129</w:t>
      </w:r>
      <w:r>
        <w:rPr>
          <w:sz w:val="20"/>
          <w:szCs w:val="20"/>
          <w:color w:val="auto"/>
        </w:rPr>
        <w:tab/>
      </w:r>
      <w:r>
        <w:rPr>
          <w:rFonts w:ascii="Arial" w:cs="Arial" w:eastAsia="Arial" w:hAnsi="Arial"/>
          <w:sz w:val="16"/>
          <w:szCs w:val="16"/>
          <w:color w:val="auto"/>
        </w:rPr>
        <w:t>$67,643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14605</wp:posOffset>
            </wp:positionV>
            <wp:extent cx="18097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09750" cy="8890"/>
                    </a:xfrm>
                    <a:prstGeom prst="rect">
                      <a:avLst/>
                    </a:prstGeom>
                    <a:noFill/>
                  </pic:spPr>
                </pic:pic>
              </a:graphicData>
            </a:graphic>
          </wp:anchor>
        </w:drawing>
        <w:drawing>
          <wp:anchor simplePos="0" relativeHeight="251657728" behindDoc="1" locked="0" layoutInCell="0" allowOverlap="1">
            <wp:simplePos x="0" y="0"/>
            <wp:positionH relativeFrom="column">
              <wp:posOffset>-145415</wp:posOffset>
            </wp:positionH>
            <wp:positionV relativeFrom="paragraph">
              <wp:posOffset>31750</wp:posOffset>
            </wp:positionV>
            <wp:extent cx="18097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71" w:lineRule="exact"/>
        <w:rPr>
          <w:sz w:val="20"/>
          <w:szCs w:val="20"/>
          <w:color w:val="auto"/>
        </w:rPr>
      </w:pPr>
    </w:p>
    <w:p>
      <w:pPr>
        <w:sectPr>
          <w:pgSz w:w="11900" w:h="16838" w:orient="portrait"/>
          <w:cols w:equalWidth="0" w:num="2">
            <w:col w:w="8080" w:space="720"/>
            <w:col w:w="2620"/>
          </w:cols>
          <w:pgMar w:left="240" w:top="419" w:right="239" w:bottom="1440" w:gutter="0" w:footer="0" w:header="0"/>
          <w:type w:val="continuous"/>
        </w:sectPr>
      </w:pPr>
    </w:p>
    <w:p>
      <w:pPr>
        <w:ind w:right="20"/>
        <w:spacing w:after="0" w:line="273" w:lineRule="auto"/>
        <w:rPr>
          <w:sz w:val="20"/>
          <w:szCs w:val="20"/>
          <w:color w:val="auto"/>
        </w:rPr>
      </w:pPr>
      <w:r>
        <w:rPr>
          <w:rFonts w:ascii="Arial" w:cs="Arial" w:eastAsia="Arial" w:hAnsi="Arial"/>
          <w:sz w:val="17"/>
          <w:szCs w:val="17"/>
          <w:color w:val="auto"/>
        </w:rPr>
        <w:t>On December 21, 2010, we entered into an amended and restated revolving credit facility expiring December 21, 2014 with Key Bank as administrative agent with an initial size of $75 million. The amended agreement was entered into to adjust our financial and non-financial covenants to more normalized measures and to provide greater ability to fund our capital investment plans. The interest rate was amended to LIBOR plus a margin of 1.5% to 3.5% (depending on the level of the ratio of debt to EBITDA) from LIBOR plus a margin of 4.75%. The facility may be expanded upon our request with approval of the lenders by up to $60 million, under the same terms and conditions. On March 9, 2011, we exercised an option to increase the size of the facility from $75 million to $100 million to allow additional flexibility and to fund potential growth projects.</w:t>
      </w:r>
    </w:p>
    <w:p>
      <w:pPr>
        <w:spacing w:after="0" w:line="70"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The loan agreement contains customary restrictions on, among other things, additional indebtedness, liens on our assets, sales or transfers of assets, investments, restricted payments (including payment of dividends and stock repurchases), issuance of equity securities, and merger, acquisition and other fundamental changes in our business including a “material adverse change” clause, which if triggered would accelerate the maturity of the debt. The facility has a $10 million swing line feature to meet short term cash flow needs. Any borrowings under this swing line are considered short term. Costs associated with entering into the revolving credit facility were capitalized and will be amortized into interest expense over the life of the facility. As of June 30, 2011, $1,983 of net capitalized loan origination costs related to the revolving credit facility were recorded on the balance sheet within other non-current assets.</w:t>
      </w:r>
    </w:p>
    <w:p>
      <w:pPr>
        <w:spacing w:after="0" w:line="5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December 21, 2010, our senior note agreement with Prudential Capital was also amended. The amended agreement was entered into to adjust our financial and non-financial covenants to more normalized measures and to provide greater ability to fund our capital investment plans. There were no changes to the terms or availability of credit but the interest rate was reduced from 8.50% to 6.70%. The agreement contains customary restrictions on, among other things, additional indebtedness, liens on our assets, sales or transfers of assets, investments, restricted payments (including payment of dividends and stock repurchases), issuance of equity securities, and mergers, acquisitions and other fundamental changes in our business including a “material adverse change” clause, which if triggered would accelerate the maturity of the debt. Interest is paid semi-annually and the note matures on April 26, 2014. Annual principal payments of approximately $5,714 began on April 26, 2008 and extend through the date of maturity. We incurred costs as a result of issuing these notes which have been recorded as a component of</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other non-current assets and are being amortized over the term of the notes. The unamortized balance at June 30, 2011 was $350.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specific covenants to which we are subject and the actual results achieved for the six month period ended June 30, 2011 are stated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Financial Covenants</w:t>
            </w:r>
          </w:p>
        </w:tc>
        <w:tc>
          <w:tcPr>
            <w:tcW w:w="580" w:type="dxa"/>
            <w:vAlign w:val="bottom"/>
          </w:tcPr>
          <w:p>
            <w:pPr>
              <w:spacing w:after="0"/>
              <w:rPr>
                <w:sz w:val="14"/>
                <w:szCs w:val="14"/>
                <w:color w:val="auto"/>
              </w:rPr>
            </w:pPr>
          </w:p>
        </w:tc>
        <w:tc>
          <w:tcPr>
            <w:tcW w:w="6440" w:type="dxa"/>
            <w:vAlign w:val="bottom"/>
            <w:vMerge w:val="restart"/>
          </w:tcPr>
          <w:p>
            <w:pPr>
              <w:ind w:left="2420"/>
              <w:spacing w:after="0"/>
              <w:rPr>
                <w:sz w:val="20"/>
                <w:szCs w:val="20"/>
                <w:color w:val="auto"/>
              </w:rPr>
            </w:pPr>
            <w:r>
              <w:rPr>
                <w:rFonts w:ascii="Arial" w:cs="Arial" w:eastAsia="Arial" w:hAnsi="Arial"/>
                <w:sz w:val="14"/>
                <w:szCs w:val="14"/>
                <w:b w:val="1"/>
                <w:bCs w:val="1"/>
                <w:color w:val="auto"/>
              </w:rPr>
              <w:t>Required Covenant Level</w:t>
            </w:r>
          </w:p>
        </w:tc>
        <w:tc>
          <w:tcPr>
            <w:tcW w:w="5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4"/>
              </w:rPr>
              <w:t>Actual Level</w:t>
            </w:r>
          </w:p>
        </w:tc>
        <w:tc>
          <w:tcPr>
            <w:tcW w:w="0" w:type="dxa"/>
            <w:vAlign w:val="bottom"/>
          </w:tcPr>
          <w:p>
            <w:pPr>
              <w:spacing w:after="0"/>
              <w:rPr>
                <w:sz w:val="1"/>
                <w:szCs w:val="1"/>
                <w:color w:val="auto"/>
              </w:rPr>
            </w:pPr>
          </w:p>
        </w:tc>
      </w:tr>
      <w:tr>
        <w:trPr>
          <w:trHeight w:val="171"/>
        </w:trPr>
        <w:tc>
          <w:tcPr>
            <w:tcW w:w="292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644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9"/>
              </w:rPr>
              <w:t>Achieved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coverage ratio</w:t>
            </w:r>
          </w:p>
        </w:tc>
        <w:tc>
          <w:tcPr>
            <w:tcW w:w="580" w:type="dxa"/>
            <w:vAlign w:val="bottom"/>
            <w:shd w:val="clear" w:color="auto" w:fill="CCEEFF"/>
          </w:tcPr>
          <w:p>
            <w:pPr>
              <w:spacing w:after="0"/>
              <w:rPr>
                <w:sz w:val="18"/>
                <w:szCs w:val="18"/>
                <w:color w:val="auto"/>
              </w:rPr>
            </w:pPr>
          </w:p>
        </w:tc>
        <w:tc>
          <w:tcPr>
            <w:tcW w:w="6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Not to be less than 3.00 to 1.00 as of the last day of any fiscal quarter</w:t>
            </w:r>
          </w:p>
        </w:tc>
        <w:tc>
          <w:tcPr>
            <w:tcW w:w="56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4.90 to 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Fixed charge coverage</w:t>
            </w:r>
          </w:p>
        </w:tc>
        <w:tc>
          <w:tcPr>
            <w:tcW w:w="58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Not to be less 1.10 to 1.00 as of the last day of any fiscal quarter</w:t>
            </w:r>
          </w:p>
        </w:tc>
        <w:tc>
          <w:tcPr>
            <w:tcW w:w="5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1.13 to 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Leverage ratio</w:t>
            </w:r>
          </w:p>
        </w:tc>
        <w:tc>
          <w:tcPr>
            <w:tcW w:w="580" w:type="dxa"/>
            <w:vAlign w:val="bottom"/>
            <w:shd w:val="clear" w:color="auto" w:fill="CCEEFF"/>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Not to exceed 2.75 to 1.00 for the most recently completed four fiscal quarters</w:t>
            </w: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2.13 to 1.00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tcPr>
          <w:p>
            <w:pPr>
              <w:spacing w:after="0" w:line="201" w:lineRule="exact"/>
              <w:rPr>
                <w:sz w:val="20"/>
                <w:szCs w:val="20"/>
                <w:color w:val="auto"/>
              </w:rPr>
            </w:pPr>
            <w:r>
              <w:rPr>
                <w:rFonts w:ascii="Arial" w:cs="Arial" w:eastAsia="Arial" w:hAnsi="Arial"/>
                <w:sz w:val="18"/>
                <w:szCs w:val="18"/>
                <w:color w:val="auto"/>
              </w:rPr>
              <w:t>Capital expenditures</w:t>
            </w:r>
          </w:p>
        </w:tc>
        <w:tc>
          <w:tcPr>
            <w:tcW w:w="580" w:type="dxa"/>
            <w:vAlign w:val="bottom"/>
          </w:tcPr>
          <w:p>
            <w:pPr>
              <w:spacing w:after="0"/>
              <w:rPr>
                <w:sz w:val="17"/>
                <w:szCs w:val="17"/>
                <w:color w:val="auto"/>
              </w:rPr>
            </w:pPr>
          </w:p>
        </w:tc>
        <w:tc>
          <w:tcPr>
            <w:tcW w:w="6440" w:type="dxa"/>
            <w:vAlign w:val="bottom"/>
          </w:tcPr>
          <w:p>
            <w:pPr>
              <w:spacing w:after="0" w:line="201" w:lineRule="exact"/>
              <w:rPr>
                <w:sz w:val="20"/>
                <w:szCs w:val="20"/>
                <w:color w:val="auto"/>
              </w:rPr>
            </w:pPr>
            <w:r>
              <w:rPr>
                <w:rFonts w:ascii="Arial" w:cs="Arial" w:eastAsia="Arial" w:hAnsi="Arial"/>
                <w:sz w:val="18"/>
                <w:szCs w:val="18"/>
                <w:color w:val="auto"/>
                <w:w w:val="93"/>
              </w:rPr>
              <w:t>Not to exceed 150% of Consolidated Depreciation charges for the immediate previous</w:t>
            </w:r>
          </w:p>
        </w:tc>
        <w:tc>
          <w:tcPr>
            <w:tcW w:w="1480" w:type="dxa"/>
            <w:vAlign w:val="bottom"/>
            <w:gridSpan w:val="2"/>
          </w:tcPr>
          <w:p>
            <w:pPr>
              <w:jc w:val="right"/>
              <w:ind w:right="137"/>
              <w:spacing w:after="0" w:line="201"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fiscal year</w:t>
            </w:r>
          </w:p>
        </w:tc>
        <w:tc>
          <w:tcPr>
            <w:tcW w:w="5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While the actual fixed charge coverage ratio approximates the required ratio at June 30, 2011, we do not project any failures of our financial covenants within the next 12 months due to projected earnings before interest, taxes, depreciation, and amortization. The main drivers of the fixed charge coverage ratio are rolling four quarters earnings before interest, taxes, depreciation, and amortization and rolling four quarters capital expenditures. The reasons the actual ratio approximated the required ratio at June 30, 2011, were lower Q3 2010 earnings before interest, taxes, depreciation, and amortization and a higher level of capital expenditure in the second quarter of 2011 versus the first quarter of 2011. The lower Q3 2010 earnings before interest, taxes, depreciation, and amortization was due to lower income from operations related to normal seasonality and from almost $2.2 million of cash and non-cash restructuring charges incurred in that quarter. If necessary to maintain financial covenant compliance, we can control subsequent quarterly capital expenditure levels.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Goodwill,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for the six month period ended June 30, 2011 are as follows: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Goodwill, net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Metal Bearing</w:t>
            </w:r>
          </w:p>
        </w:tc>
      </w:tr>
      <w:tr>
        <w:trPr>
          <w:trHeight w:val="149"/>
        </w:trPr>
        <w:tc>
          <w:tcPr>
            <w:tcW w:w="20" w:type="dxa"/>
            <w:vAlign w:val="bottom"/>
          </w:tcPr>
          <w:p>
            <w:pPr>
              <w:spacing w:after="0"/>
              <w:rPr>
                <w:sz w:val="12"/>
                <w:szCs w:val="12"/>
                <w:color w:val="auto"/>
              </w:rPr>
            </w:pPr>
          </w:p>
        </w:tc>
        <w:tc>
          <w:tcPr>
            <w:tcW w:w="9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Components</w:t>
            </w:r>
          </w:p>
        </w:tc>
      </w:tr>
      <w:tr>
        <w:trPr>
          <w:trHeight w:val="171"/>
        </w:trPr>
        <w:tc>
          <w:tcPr>
            <w:tcW w:w="9860" w:type="dxa"/>
            <w:vAlign w:val="bottom"/>
            <w:gridSpan w:val="2"/>
          </w:tcPr>
          <w:p>
            <w:pPr>
              <w:spacing w:after="0"/>
              <w:rPr>
                <w:sz w:val="20"/>
                <w:szCs w:val="20"/>
                <w:color w:val="auto"/>
              </w:rPr>
            </w:pPr>
            <w:r>
              <w:rPr>
                <w:rFonts w:ascii="Arial" w:cs="Arial" w:eastAsia="Arial" w:hAnsi="Arial"/>
                <w:sz w:val="14"/>
                <w:szCs w:val="14"/>
                <w:color w:val="auto"/>
              </w:rPr>
              <w:t>(In Thousands of Dollars)</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Segment</w:t>
            </w:r>
          </w:p>
        </w:tc>
      </w:tr>
      <w:tr>
        <w:trPr>
          <w:trHeight w:val="210"/>
        </w:trPr>
        <w:tc>
          <w:tcPr>
            <w:tcW w:w="20" w:type="dxa"/>
            <w:vAlign w:val="bottom"/>
          </w:tcPr>
          <w:p>
            <w:pPr>
              <w:spacing w:after="0"/>
              <w:rPr>
                <w:sz w:val="18"/>
                <w:szCs w:val="18"/>
                <w:color w:val="auto"/>
              </w:rPr>
            </w:pPr>
          </w:p>
        </w:tc>
        <w:tc>
          <w:tcPr>
            <w:tcW w:w="9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as of January 1, 2011</w:t>
            </w:r>
          </w:p>
        </w:tc>
        <w:tc>
          <w:tcPr>
            <w:tcW w:w="5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8,396</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840" w:type="dxa"/>
            <w:vAlign w:val="bottom"/>
          </w:tcPr>
          <w:p>
            <w:pPr>
              <w:ind w:left="200"/>
              <w:spacing w:after="0"/>
              <w:rPr>
                <w:sz w:val="20"/>
                <w:szCs w:val="20"/>
                <w:color w:val="auto"/>
              </w:rPr>
            </w:pPr>
            <w:r>
              <w:rPr>
                <w:rFonts w:ascii="Arial" w:cs="Arial" w:eastAsia="Arial" w:hAnsi="Arial"/>
                <w:sz w:val="18"/>
                <w:szCs w:val="18"/>
                <w:color w:val="auto"/>
              </w:rPr>
              <w:t>Currency translation impacts</w:t>
            </w:r>
          </w:p>
        </w:tc>
        <w:tc>
          <w:tcPr>
            <w:tcW w:w="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June 30, 2011</w:t>
            </w: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9,317</w:t>
            </w:r>
          </w:p>
        </w:tc>
      </w:tr>
      <w:tr>
        <w:trPr>
          <w:trHeight w:val="20"/>
        </w:trPr>
        <w:tc>
          <w:tcPr>
            <w:tcW w:w="20" w:type="dxa"/>
            <w:vAlign w:val="bottom"/>
          </w:tcPr>
          <w:p>
            <w:pPr>
              <w:spacing w:after="0" w:line="20" w:lineRule="exact"/>
              <w:rPr>
                <w:sz w:val="1"/>
                <w:szCs w:val="1"/>
                <w:color w:val="auto"/>
              </w:rPr>
            </w:pPr>
          </w:p>
        </w:tc>
        <w:tc>
          <w:tcPr>
            <w:tcW w:w="9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220"/>
        <w:spacing w:after="0" w:line="312" w:lineRule="auto"/>
        <w:rPr>
          <w:sz w:val="20"/>
          <w:szCs w:val="20"/>
          <w:color w:val="auto"/>
        </w:rPr>
      </w:pPr>
      <w:r>
        <w:rPr>
          <w:rFonts w:ascii="Arial" w:cs="Arial" w:eastAsia="Arial" w:hAnsi="Arial"/>
          <w:sz w:val="16"/>
          <w:szCs w:val="16"/>
          <w:color w:val="auto"/>
        </w:rPr>
        <w:t>The goodwill balance is tested for impairment on an annual basis during the fourth quarter and between annual tests if a triggering event occurs. During the three and six month periods ended June 30, 2011, the financial results of the reporting unit with a goodwill balance exceeded the forecasted results used in testing for impairment at December 31, 2010. As of June 30, 2011, there are no further indications of impairment at this reporting unit.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Precision Metal Components Segment has an intangible asset not subject to amortization of $900 related to the value of the trade names of Whirlaway.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are no indicators of impairment for this indefinite lived intangible asset as of June 30, 2011.</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Shared-Based Compensation</w:t>
      </w:r>
    </w:p>
    <w:p>
      <w:pPr>
        <w:spacing w:after="0" w:line="121"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In the three and six month periods ended June 30, 2011 and 2010, approximately $116 and $116 in 2011 and $34 and $1,200 in 2010, respectively, of compensation expense was recognized in selling, general and administrative expense for all share-based awards. There were 75 share awards and 201 option awards granted to non-executive directors, officers and certain other key employees during the three and six month periods ended June 30, 2011.</w:t>
      </w:r>
    </w:p>
    <w:p>
      <w:pPr>
        <w:spacing w:after="0" w:line="3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During the three month period ended March 31, 2010, we granted 249 shares and 26 share options to non-executive directors, officers and certain other key employees. The 249 shares of our common stock were issued on March 17, 2010 and were fully vested at the date of grant. We incurred $1,101 of non-cash compensation expense, which was the entire fair value of the grant, at that date. The fair value of the shares issued was determined by using the grant date closing price of our common stock.</w:t>
      </w:r>
    </w:p>
    <w:p>
      <w:pPr>
        <w:spacing w:after="0" w:line="7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We incurred $66 and $99 of stock option expense in the six month periods ended June 30, 2011 and 2010, respectively. The fair value of the options cannot be determined by market value, as our options are not traded in an open market. Accordingly, a financial pricing model is utilized to determine fair value. The Company utilizes the Black Scholes model which relies on certain assumptions to estimate an option’s fair value.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option activity for the six month period ended June 30, 2011:</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300" w:type="dxa"/>
            <w:vAlign w:val="bottom"/>
            <w:vMerge w:val="restart"/>
          </w:tcPr>
          <w:p>
            <w:pPr>
              <w:jc w:val="right"/>
              <w:ind w:right="141"/>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Options</w:t>
            </w:r>
          </w:p>
        </w:tc>
        <w:tc>
          <w:tcPr>
            <w:tcW w:w="13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Shares (000)</w:t>
            </w:r>
          </w:p>
        </w:tc>
        <w:tc>
          <w:tcPr>
            <w:tcW w:w="14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300" w:type="dxa"/>
            <w:vAlign w:val="bottom"/>
          </w:tcPr>
          <w:p>
            <w:pPr>
              <w:jc w:val="right"/>
              <w:ind w:right="201"/>
              <w:spacing w:after="0" w:line="149"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78"/>
        </w:trPr>
        <w:tc>
          <w:tcPr>
            <w:tcW w:w="5780" w:type="dxa"/>
            <w:vAlign w:val="bottom"/>
            <w:gridSpan w:val="2"/>
            <w:vMerge w:val="continue"/>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jc w:val="center"/>
              <w:ind w:right="433"/>
              <w:spacing w:after="0"/>
              <w:rPr>
                <w:sz w:val="20"/>
                <w:szCs w:val="20"/>
                <w:color w:val="auto"/>
              </w:rPr>
            </w:pPr>
            <w:r>
              <w:rPr>
                <w:rFonts w:ascii="Arial" w:cs="Arial" w:eastAsia="Arial" w:hAnsi="Arial"/>
                <w:sz w:val="14"/>
                <w:szCs w:val="14"/>
                <w:b w:val="1"/>
                <w:bCs w:val="1"/>
                <w:color w:val="auto"/>
                <w:w w:val="93"/>
              </w:rPr>
              <w:t>Price</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c>
          <w:tcPr>
            <w:tcW w:w="1300" w:type="dxa"/>
            <w:vAlign w:val="bottom"/>
          </w:tcPr>
          <w:p>
            <w:pPr>
              <w:jc w:val="right"/>
              <w:ind w:right="81"/>
              <w:spacing w:after="0"/>
              <w:rPr>
                <w:sz w:val="20"/>
                <w:szCs w:val="20"/>
                <w:color w:val="auto"/>
              </w:rPr>
            </w:pPr>
            <w:r>
              <w:rPr>
                <w:rFonts w:ascii="Arial" w:cs="Arial" w:eastAsia="Arial" w:hAnsi="Arial"/>
                <w:sz w:val="14"/>
                <w:szCs w:val="14"/>
                <w:b w:val="1"/>
                <w:bCs w:val="1"/>
                <w:color w:val="auto"/>
              </w:rPr>
              <w:t>Value ($000)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January 1, 2011</w:t>
            </w:r>
          </w:p>
        </w:tc>
        <w:tc>
          <w:tcPr>
            <w:tcW w:w="1360" w:type="dxa"/>
            <w:vAlign w:val="bottom"/>
            <w:tcBorders>
              <w:top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1,205</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ind w:right="433"/>
              <w:spacing w:after="0"/>
              <w:rPr>
                <w:sz w:val="20"/>
                <w:szCs w:val="20"/>
                <w:color w:val="auto"/>
              </w:rPr>
            </w:pPr>
            <w:r>
              <w:rPr>
                <w:rFonts w:ascii="Arial" w:cs="Arial" w:eastAsia="Arial" w:hAnsi="Arial"/>
                <w:sz w:val="18"/>
                <w:szCs w:val="18"/>
                <w:color w:val="auto"/>
              </w:rPr>
              <w:t>9.23</w:t>
            </w:r>
          </w:p>
        </w:tc>
        <w:tc>
          <w:tcPr>
            <w:tcW w:w="15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Granted</w:t>
            </w: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201</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433"/>
              <w:spacing w:after="0"/>
              <w:rPr>
                <w:sz w:val="20"/>
                <w:szCs w:val="20"/>
                <w:color w:val="auto"/>
              </w:rPr>
            </w:pPr>
            <w:r>
              <w:rPr>
                <w:rFonts w:ascii="Arial" w:cs="Arial" w:eastAsia="Arial" w:hAnsi="Arial"/>
                <w:sz w:val="18"/>
                <w:szCs w:val="18"/>
                <w:color w:val="auto"/>
                <w:w w:val="84"/>
              </w:rPr>
              <w:t>14.13</w:t>
            </w:r>
          </w:p>
        </w:tc>
        <w:tc>
          <w:tcPr>
            <w:tcW w:w="1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(244)</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433"/>
              <w:spacing w:after="0"/>
              <w:rPr>
                <w:sz w:val="20"/>
                <w:szCs w:val="20"/>
                <w:color w:val="auto"/>
              </w:rPr>
            </w:pPr>
            <w:r>
              <w:rPr>
                <w:rFonts w:ascii="Arial" w:cs="Arial" w:eastAsia="Arial" w:hAnsi="Arial"/>
                <w:sz w:val="18"/>
                <w:szCs w:val="18"/>
                <w:color w:val="auto"/>
              </w:rPr>
              <w:t>9.45</w:t>
            </w:r>
          </w:p>
        </w:tc>
        <w:tc>
          <w:tcPr>
            <w:tcW w:w="15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Forfeited or expired</w:t>
            </w: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(3)</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433"/>
              <w:spacing w:after="0"/>
              <w:rPr>
                <w:sz w:val="20"/>
                <w:szCs w:val="20"/>
                <w:color w:val="auto"/>
              </w:rPr>
            </w:pPr>
            <w:r>
              <w:rPr>
                <w:rFonts w:ascii="Arial" w:cs="Arial" w:eastAsia="Arial" w:hAnsi="Arial"/>
                <w:sz w:val="18"/>
                <w:szCs w:val="18"/>
                <w:color w:val="auto"/>
              </w:rPr>
              <w:t>1.30</w:t>
            </w:r>
          </w:p>
        </w:tc>
        <w:tc>
          <w:tcPr>
            <w:tcW w:w="15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 2011</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6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433"/>
              <w:spacing w:after="0"/>
              <w:rPr>
                <w:sz w:val="20"/>
                <w:szCs w:val="20"/>
                <w:color w:val="auto"/>
              </w:rPr>
            </w:pPr>
            <w:r>
              <w:rPr>
                <w:rFonts w:ascii="Arial" w:cs="Arial" w:eastAsia="Arial" w:hAnsi="Arial"/>
                <w:sz w:val="18"/>
                <w:szCs w:val="18"/>
                <w:color w:val="auto"/>
                <w:w w:val="84"/>
              </w:rPr>
              <w:t>10.05</w:t>
            </w:r>
          </w:p>
        </w:tc>
        <w:tc>
          <w:tcPr>
            <w:tcW w:w="15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6.1</w:t>
            </w:r>
          </w:p>
        </w:tc>
        <w:tc>
          <w:tcPr>
            <w:tcW w:w="1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8"/>
                <w:szCs w:val="18"/>
                <w:color w:val="auto"/>
              </w:rPr>
              <w:t>$5,687</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Arial" w:cs="Arial" w:eastAsia="Arial" w:hAnsi="Arial"/>
                <w:sz w:val="18"/>
                <w:szCs w:val="18"/>
                <w:color w:val="auto"/>
              </w:rPr>
              <w:t>Exercisable at June 30, 2011</w:t>
            </w:r>
          </w:p>
        </w:tc>
        <w:tc>
          <w:tcPr>
            <w:tcW w:w="1360" w:type="dxa"/>
            <w:vAlign w:val="bottom"/>
            <w:tcBorders>
              <w:bottom w:val="single" w:sz="8" w:color="auto"/>
            </w:tcBorders>
            <w:gridSpan w:val="2"/>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80" w:type="dxa"/>
            <w:vAlign w:val="bottom"/>
            <w:gridSpan w:val="2"/>
            <w:vMerge w:val="continue"/>
          </w:tcPr>
          <w:p>
            <w:pPr>
              <w:spacing w:after="0"/>
              <w:rPr>
                <w:sz w:val="18"/>
                <w:szCs w:val="18"/>
                <w:color w:val="auto"/>
              </w:rPr>
            </w:pPr>
          </w:p>
        </w:tc>
        <w:tc>
          <w:tcPr>
            <w:tcW w:w="1360" w:type="dxa"/>
            <w:vAlign w:val="bottom"/>
            <w:tcBorders>
              <w:bottom w:val="single" w:sz="8" w:color="auto"/>
            </w:tcBorders>
            <w:gridSpan w:val="2"/>
          </w:tcPr>
          <w:p>
            <w:pPr>
              <w:jc w:val="right"/>
              <w:ind w:right="620"/>
              <w:spacing w:after="0"/>
              <w:rPr>
                <w:sz w:val="20"/>
                <w:szCs w:val="20"/>
                <w:color w:val="auto"/>
              </w:rPr>
            </w:pPr>
            <w:r>
              <w:rPr>
                <w:rFonts w:ascii="Arial" w:cs="Arial" w:eastAsia="Arial" w:hAnsi="Arial"/>
                <w:sz w:val="18"/>
                <w:szCs w:val="18"/>
                <w:color w:val="auto"/>
              </w:rPr>
              <w:t>897</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433"/>
              <w:spacing w:after="0"/>
              <w:rPr>
                <w:sz w:val="20"/>
                <w:szCs w:val="20"/>
                <w:color w:val="auto"/>
              </w:rPr>
            </w:pPr>
            <w:r>
              <w:rPr>
                <w:rFonts w:ascii="Arial" w:cs="Arial" w:eastAsia="Arial" w:hAnsi="Arial"/>
                <w:sz w:val="18"/>
                <w:szCs w:val="18"/>
                <w:color w:val="auto"/>
              </w:rPr>
              <w:t>9.62</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7.4</w:t>
            </w:r>
          </w:p>
        </w:tc>
        <w:tc>
          <w:tcPr>
            <w:tcW w:w="1300" w:type="dxa"/>
            <w:vAlign w:val="bottom"/>
            <w:tcBorders>
              <w:bottom w:val="single" w:sz="8" w:color="auto"/>
            </w:tcBorders>
          </w:tcPr>
          <w:p>
            <w:pPr>
              <w:jc w:val="right"/>
              <w:ind w:right="81"/>
              <w:spacing w:after="0"/>
              <w:rPr>
                <w:sz w:val="20"/>
                <w:szCs w:val="20"/>
                <w:color w:val="auto"/>
              </w:rPr>
            </w:pPr>
            <w:r>
              <w:rPr>
                <w:rFonts w:ascii="Arial" w:cs="Arial" w:eastAsia="Arial" w:hAnsi="Arial"/>
                <w:sz w:val="18"/>
                <w:szCs w:val="18"/>
                <w:color w:val="auto"/>
              </w:rPr>
              <w:t>$4,765</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220" w:hanging="452"/>
        <w:spacing w:after="0" w:line="277" w:lineRule="auto"/>
        <w:tabs>
          <w:tab w:leader="none" w:pos="460" w:val="left"/>
        </w:tabs>
        <w:numPr>
          <w:ilvl w:val="0"/>
          <w:numId w:val="3"/>
        </w:numPr>
        <w:rPr>
          <w:rFonts w:ascii="Arial" w:cs="Arial" w:eastAsia="Arial" w:hAnsi="Arial"/>
          <w:sz w:val="15"/>
          <w:szCs w:val="15"/>
          <w:color w:val="auto"/>
        </w:rPr>
      </w:pPr>
      <w:r>
        <w:rPr>
          <w:rFonts w:ascii="Arial" w:cs="Arial" w:eastAsia="Arial" w:hAnsi="Arial"/>
          <w:sz w:val="18"/>
          <w:szCs w:val="18"/>
          <w:color w:val="auto"/>
        </w:rPr>
        <w:t>The intrinsic value is the amount by which the market price of our stock was greater than the exercise price of any individual option grant at June 30, 2011.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Provision for Income Taxes</w:t>
      </w:r>
    </w:p>
    <w:p>
      <w:pPr>
        <w:spacing w:after="0" w:line="121"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As of June 30, 2011, we continued to place a valuation allowance on all of the deferred tax assets of our U.S. locations, based on the negative financial performance of our U.S. operations during the global economic recession of 2008 and 2009. If U.S. operations return to a level of profitability sufficient to utilize a portion of these deferred tax assets, these assets will be used to offset future U.S. based taxable income. If we determine the probability of realizing all the tax benefits is more likely than not, the entire valuation allowance will be released and deferred tax benefits will be recognized.</w:t>
      </w:r>
    </w:p>
    <w:p>
      <w:pPr>
        <w:spacing w:after="0" w:line="4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For the six month periods ended June 30, 2011 and 2010, the difference between the U.S. federal statutory tax rate of 34% and our effective tax rates of 24% and 32%, respectively, was primarily due to non-U.S. based earnings taxed at lower rates. The statutory and effective income tax rates in many of the foreign countries in which we operate are lower than the U.S. federal statutory rate. Additionally, during the first quarter of 2011, the effective tax rate was reduced by recognizing deferred tax benefits totaling $631 related to the Eltmann deconsolidation. These benefits related to losses for write-offs of receivables owed by Eltmann to certain NN subsidiaries that will be deductible once Eltmann is finally liquidated in 2012 or 2013. The table below summarizes the impacts on the effective tax rate for the six month periods ended June 30, 2011 and 2010.</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20" w:type="dxa"/>
            <w:vAlign w:val="bottom"/>
          </w:tcPr>
          <w:p>
            <w:pPr>
              <w:spacing w:after="0"/>
              <w:rPr>
                <w:sz w:val="14"/>
                <w:szCs w:val="14"/>
                <w:color w:val="auto"/>
              </w:rPr>
            </w:pPr>
          </w:p>
        </w:tc>
        <w:tc>
          <w:tcPr>
            <w:tcW w:w="1440" w:type="dxa"/>
            <w:vAlign w:val="bottom"/>
          </w:tcPr>
          <w:p>
            <w:pPr>
              <w:jc w:val="right"/>
              <w:ind w:right="214"/>
              <w:spacing w:after="0"/>
              <w:rPr>
                <w:sz w:val="20"/>
                <w:szCs w:val="20"/>
                <w:color w:val="auto"/>
              </w:rPr>
            </w:pPr>
            <w:r>
              <w:rPr>
                <w:rFonts w:ascii="Arial" w:cs="Arial" w:eastAsia="Arial" w:hAnsi="Arial"/>
                <w:sz w:val="14"/>
                <w:szCs w:val="14"/>
                <w:b w:val="1"/>
                <w:bCs w:val="1"/>
                <w:color w:val="auto"/>
                <w:w w:val="93"/>
              </w:rPr>
              <w:t>Six Months ended</w:t>
            </w: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8540" w:type="dxa"/>
            <w:vAlign w:val="bottom"/>
            <w:gridSpan w:val="2"/>
          </w:tcPr>
          <w:p>
            <w:pPr>
              <w:spacing w:after="0"/>
              <w:rPr>
                <w:sz w:val="20"/>
                <w:szCs w:val="20"/>
                <w:color w:val="auto"/>
              </w:rPr>
            </w:pPr>
            <w:r>
              <w:rPr>
                <w:rFonts w:ascii="Arial" w:cs="Arial" w:eastAsia="Arial" w:hAnsi="Arial"/>
                <w:sz w:val="14"/>
                <w:szCs w:val="14"/>
                <w:color w:val="auto"/>
              </w:rPr>
              <w:t>(In Thousands of Dollars)</w:t>
            </w:r>
          </w:p>
        </w:tc>
        <w:tc>
          <w:tcPr>
            <w:tcW w:w="1440" w:type="dxa"/>
            <w:vAlign w:val="bottom"/>
          </w:tcPr>
          <w:p>
            <w:pPr>
              <w:jc w:val="right"/>
              <w:ind w:right="354"/>
              <w:spacing w:after="0"/>
              <w:rPr>
                <w:sz w:val="20"/>
                <w:szCs w:val="20"/>
                <w:color w:val="auto"/>
              </w:rPr>
            </w:pPr>
            <w:r>
              <w:rPr>
                <w:rFonts w:ascii="Arial" w:cs="Arial" w:eastAsia="Arial" w:hAnsi="Arial"/>
                <w:sz w:val="14"/>
                <w:szCs w:val="14"/>
                <w:b w:val="1"/>
                <w:bCs w:val="1"/>
                <w:color w:val="auto"/>
              </w:rPr>
              <w:t>June 30, 2011</w:t>
            </w:r>
          </w:p>
        </w:tc>
        <w:tc>
          <w:tcPr>
            <w:tcW w:w="1440" w:type="dxa"/>
            <w:vAlign w:val="bottom"/>
          </w:tcPr>
          <w:p>
            <w:pPr>
              <w:jc w:val="right"/>
              <w:ind w:right="74"/>
              <w:spacing w:after="0"/>
              <w:rPr>
                <w:sz w:val="20"/>
                <w:szCs w:val="20"/>
                <w:color w:val="auto"/>
              </w:rPr>
            </w:pPr>
            <w:r>
              <w:rPr>
                <w:rFonts w:ascii="Arial" w:cs="Arial" w:eastAsia="Arial" w:hAnsi="Arial"/>
                <w:sz w:val="14"/>
                <w:szCs w:val="14"/>
                <w:b w:val="1"/>
                <w:bCs w:val="1"/>
                <w:color w:val="auto"/>
              </w:rPr>
              <w:t>June 30, 2010</w:t>
            </w:r>
          </w:p>
        </w:tc>
      </w:tr>
      <w:tr>
        <w:trPr>
          <w:trHeight w:val="210"/>
        </w:trPr>
        <w:tc>
          <w:tcPr>
            <w:tcW w:w="20" w:type="dxa"/>
            <w:vAlign w:val="bottom"/>
          </w:tcPr>
          <w:p>
            <w:pPr>
              <w:spacing w:after="0"/>
              <w:rPr>
                <w:sz w:val="18"/>
                <w:szCs w:val="18"/>
                <w:color w:val="auto"/>
              </w:rPr>
            </w:pPr>
          </w:p>
        </w:tc>
        <w:tc>
          <w:tcPr>
            <w:tcW w:w="8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tax provision at the federal statutory rate of 34%</w:t>
            </w:r>
          </w:p>
        </w:tc>
        <w:tc>
          <w:tcPr>
            <w:tcW w:w="1440" w:type="dxa"/>
            <w:vAlign w:val="bottom"/>
            <w:tcBorders>
              <w:top w:val="single" w:sz="8" w:color="auto"/>
            </w:tcBorders>
            <w:shd w:val="clear" w:color="auto" w:fill="CCEEFF"/>
          </w:tcPr>
          <w:p>
            <w:pPr>
              <w:jc w:val="right"/>
              <w:ind w:right="534"/>
              <w:spacing w:after="0"/>
              <w:rPr>
                <w:sz w:val="20"/>
                <w:szCs w:val="20"/>
                <w:color w:val="auto"/>
              </w:rPr>
            </w:pPr>
            <w:r>
              <w:rPr>
                <w:rFonts w:ascii="Arial" w:cs="Arial" w:eastAsia="Arial" w:hAnsi="Arial"/>
                <w:sz w:val="18"/>
                <w:szCs w:val="18"/>
                <w:color w:val="auto"/>
              </w:rPr>
              <w:t>$ 5,043</w:t>
            </w:r>
          </w:p>
        </w:tc>
        <w:tc>
          <w:tcPr>
            <w:tcW w:w="1440" w:type="dxa"/>
            <w:vAlign w:val="bottom"/>
            <w:tcBorders>
              <w:top w:val="single" w:sz="8" w:color="auto"/>
            </w:tcBorders>
            <w:shd w:val="clear" w:color="auto" w:fill="CCEEFF"/>
          </w:tcPr>
          <w:p>
            <w:pPr>
              <w:jc w:val="right"/>
              <w:ind w:right="274"/>
              <w:spacing w:after="0"/>
              <w:rPr>
                <w:sz w:val="20"/>
                <w:szCs w:val="20"/>
                <w:color w:val="auto"/>
              </w:rPr>
            </w:pPr>
            <w:r>
              <w:rPr>
                <w:rFonts w:ascii="Arial" w:cs="Arial" w:eastAsia="Arial" w:hAnsi="Arial"/>
                <w:sz w:val="18"/>
                <w:szCs w:val="18"/>
                <w:color w:val="auto"/>
              </w:rPr>
              <w:t>$ 2,658</w:t>
            </w: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(Decrease) increase in U.S. valuation allowance</w:t>
            </w:r>
          </w:p>
        </w:tc>
        <w:tc>
          <w:tcPr>
            <w:tcW w:w="1440" w:type="dxa"/>
            <w:vAlign w:val="bottom"/>
          </w:tcPr>
          <w:p>
            <w:pPr>
              <w:jc w:val="right"/>
              <w:ind w:right="474"/>
              <w:spacing w:after="0"/>
              <w:rPr>
                <w:sz w:val="20"/>
                <w:szCs w:val="20"/>
                <w:color w:val="auto"/>
              </w:rPr>
            </w:pPr>
            <w:r>
              <w:rPr>
                <w:rFonts w:ascii="Arial" w:cs="Arial" w:eastAsia="Arial" w:hAnsi="Arial"/>
                <w:sz w:val="18"/>
                <w:szCs w:val="18"/>
                <w:color w:val="auto"/>
              </w:rPr>
              <w:t>(181)</w:t>
            </w:r>
          </w:p>
        </w:tc>
        <w:tc>
          <w:tcPr>
            <w:tcW w:w="1440" w:type="dxa"/>
            <w:vAlign w:val="bottom"/>
          </w:tcPr>
          <w:p>
            <w:pPr>
              <w:jc w:val="right"/>
              <w:ind w:right="274"/>
              <w:spacing w:after="0"/>
              <w:rPr>
                <w:sz w:val="20"/>
                <w:szCs w:val="20"/>
                <w:color w:val="auto"/>
              </w:rPr>
            </w:pPr>
            <w:r>
              <w:rPr>
                <w:rFonts w:ascii="Arial" w:cs="Arial" w:eastAsia="Arial" w:hAnsi="Arial"/>
                <w:sz w:val="18"/>
                <w:szCs w:val="18"/>
                <w:color w:val="auto"/>
              </w:rPr>
              <w:t>1,012</w:t>
            </w: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Non-U.S. earnings taxed at lower rates</w:t>
            </w:r>
          </w:p>
        </w:tc>
        <w:tc>
          <w:tcPr>
            <w:tcW w:w="1440" w:type="dxa"/>
            <w:vAlign w:val="bottom"/>
            <w:shd w:val="clear" w:color="auto" w:fill="CCEEFF"/>
          </w:tcPr>
          <w:p>
            <w:pPr>
              <w:jc w:val="right"/>
              <w:ind w:right="474"/>
              <w:spacing w:after="0"/>
              <w:rPr>
                <w:sz w:val="20"/>
                <w:szCs w:val="20"/>
                <w:color w:val="auto"/>
              </w:rPr>
            </w:pPr>
            <w:r>
              <w:rPr>
                <w:rFonts w:ascii="Arial" w:cs="Arial" w:eastAsia="Arial" w:hAnsi="Arial"/>
                <w:sz w:val="18"/>
                <w:szCs w:val="18"/>
                <w:color w:val="auto"/>
              </w:rPr>
              <w:t>(1,522)</w:t>
            </w:r>
          </w:p>
        </w:tc>
        <w:tc>
          <w:tcPr>
            <w:tcW w:w="144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(1,125)</w:t>
            </w: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U.S. State income taxes</w:t>
            </w:r>
          </w:p>
        </w:tc>
        <w:tc>
          <w:tcPr>
            <w:tcW w:w="1440" w:type="dxa"/>
            <w:vAlign w:val="bottom"/>
          </w:tcPr>
          <w:p>
            <w:pPr>
              <w:jc w:val="right"/>
              <w:ind w:right="534"/>
              <w:spacing w:after="0"/>
              <w:rPr>
                <w:sz w:val="20"/>
                <w:szCs w:val="20"/>
                <w:color w:val="auto"/>
              </w:rPr>
            </w:pPr>
            <w:r>
              <w:rPr>
                <w:rFonts w:ascii="Arial" w:cs="Arial" w:eastAsia="Arial" w:hAnsi="Arial"/>
                <w:sz w:val="18"/>
                <w:szCs w:val="18"/>
                <w:color w:val="auto"/>
              </w:rPr>
              <w:t>123</w:t>
            </w:r>
          </w:p>
        </w:tc>
        <w:tc>
          <w:tcPr>
            <w:tcW w:w="1440" w:type="dxa"/>
            <w:vAlign w:val="bottom"/>
          </w:tcPr>
          <w:p>
            <w:pPr>
              <w:jc w:val="right"/>
              <w:ind w:right="274"/>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Other differences</w:t>
            </w:r>
          </w:p>
        </w:tc>
        <w:tc>
          <w:tcPr>
            <w:tcW w:w="1440" w:type="dxa"/>
            <w:vAlign w:val="bottom"/>
            <w:tcBorders>
              <w:bottom w:val="single" w:sz="8" w:color="auto"/>
            </w:tcBorders>
            <w:shd w:val="clear" w:color="auto" w:fill="CCEEFF"/>
          </w:tcPr>
          <w:p>
            <w:pPr>
              <w:jc w:val="right"/>
              <w:ind w:right="534"/>
              <w:spacing w:after="0"/>
              <w:rPr>
                <w:sz w:val="20"/>
                <w:szCs w:val="20"/>
                <w:color w:val="auto"/>
              </w:rPr>
            </w:pPr>
            <w:r>
              <w:rPr>
                <w:rFonts w:ascii="Arial" w:cs="Arial" w:eastAsia="Arial" w:hAnsi="Arial"/>
                <w:sz w:val="18"/>
                <w:szCs w:val="18"/>
                <w:color w:val="auto"/>
              </w:rPr>
              <w:t>36</w:t>
            </w:r>
          </w:p>
        </w:tc>
        <w:tc>
          <w:tcPr>
            <w:tcW w:w="144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8"/>
                <w:szCs w:val="18"/>
                <w:color w:val="auto"/>
              </w:rPr>
              <w:t>(76)</w:t>
            </w:r>
          </w:p>
        </w:tc>
      </w:tr>
      <w:tr>
        <w:trPr>
          <w:trHeight w:val="223"/>
        </w:trPr>
        <w:tc>
          <w:tcPr>
            <w:tcW w:w="854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440" w:type="dxa"/>
            <w:vAlign w:val="bottom"/>
            <w:tcBorders>
              <w:bottom w:val="single" w:sz="8" w:color="auto"/>
            </w:tcBorders>
          </w:tcPr>
          <w:p>
            <w:pPr>
              <w:jc w:val="right"/>
              <w:ind w:right="534"/>
              <w:spacing w:after="0"/>
              <w:rPr>
                <w:sz w:val="20"/>
                <w:szCs w:val="20"/>
                <w:color w:val="auto"/>
              </w:rPr>
            </w:pPr>
            <w:r>
              <w:rPr>
                <w:rFonts w:ascii="Arial" w:cs="Arial" w:eastAsia="Arial" w:hAnsi="Arial"/>
                <w:sz w:val="18"/>
                <w:szCs w:val="18"/>
                <w:color w:val="auto"/>
              </w:rPr>
              <w:t>$ 3,499</w:t>
            </w:r>
          </w:p>
        </w:tc>
        <w:tc>
          <w:tcPr>
            <w:tcW w:w="1440" w:type="dxa"/>
            <w:vAlign w:val="bottom"/>
            <w:tcBorders>
              <w:bottom w:val="single" w:sz="8" w:color="auto"/>
            </w:tcBorders>
          </w:tcPr>
          <w:p>
            <w:pPr>
              <w:jc w:val="right"/>
              <w:ind w:right="274"/>
              <w:spacing w:after="0"/>
              <w:rPr>
                <w:sz w:val="20"/>
                <w:szCs w:val="20"/>
                <w:color w:val="auto"/>
              </w:rPr>
            </w:pPr>
            <w:r>
              <w:rPr>
                <w:rFonts w:ascii="Arial" w:cs="Arial" w:eastAsia="Arial" w:hAnsi="Arial"/>
                <w:sz w:val="18"/>
                <w:szCs w:val="18"/>
                <w:color w:val="auto"/>
              </w:rPr>
              <w:t>$ 2,469</w:t>
            </w:r>
          </w:p>
        </w:tc>
      </w:tr>
      <w:tr>
        <w:trPr>
          <w:trHeight w:val="20"/>
        </w:trPr>
        <w:tc>
          <w:tcPr>
            <w:tcW w:w="2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During the three and six month periods ended June 30, 2011, we have begun to recognize tax expense at our Kunshan (China) Plant and our Kysucke (Slovakia) Plant as we have fully utilized the previous net operating losses at these foreign jurisdictions.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We do not foresee any significant changes to our unrecognized tax benefits within the next twelve months.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Commitments and Contingencies</w:t>
      </w:r>
    </w:p>
    <w:p>
      <w:pPr>
        <w:spacing w:after="0" w:line="121"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As described more fully in our Form 10-K for 2010, we continue to monitor the remediation efforts at a former waste recycling vendor used by our former Walterboro, South Carolina facility. The costs associated with the remediation, which has been tentatively approved by the EPA, are estimated to be approximately $10,000. Our allocated share is approximately $143 which has been fully accrued as of June 30, 2011. While there can be no assurances, we believe that the $143 is the maximum amount for which we will be liable under the tentatively accepted remediation plan.</w:t>
      </w:r>
    </w:p>
    <w:p>
      <w:pPr>
        <w:spacing w:after="0" w:line="63"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All other legal matters are of an ordinary and routine nature and are incidental to our operations. Management believes that such proceedings should not, individually or in the aggregate, have a material adverse effect on our business or financial condition or on the results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Property Plant and Equipment</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During the first quarter of 2011, $1,343 of property, plant and equipment at Eltmann was deconsolidated from the financial statements of NN. (See Note 1 of the Notes to the Condensed Consolidated Financial Statements).</w:t>
      </w:r>
    </w:p>
    <w:p>
      <w:pPr>
        <w:spacing w:after="0" w:line="6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During the first quarter of 2010, we incurred $1,000 of accelerated depreciation to adjust certain assets that ceased to be used as of part of the Tempe Plant closure to the new estimated salvage values. (See Note 2 of the Notes to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Fair Value of Financial Instruments</w:t>
      </w:r>
    </w:p>
    <w:p>
      <w:pPr>
        <w:spacing w:after="0" w:line="121"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The fair values of the Company’s fixed rate long-term borrowings are calculated by using a discounted cash flow analysis factoring in current market borrowing rates for similar types of borrowing arrangements under our credit profile. The current market borrowing rates are Level 2 inputs under the U.S. GAAP fair value hierarchy. The carrying amounts and fair values of the Company’s long-term debt are in the table below:</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26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Carrying</w:t>
            </w:r>
          </w:p>
        </w:tc>
        <w:tc>
          <w:tcPr>
            <w:tcW w:w="2000" w:type="dxa"/>
            <w:vAlign w:val="bottom"/>
          </w:tcPr>
          <w:p>
            <w:pPr>
              <w:jc w:val="right"/>
              <w:ind w:right="1041"/>
              <w:spacing w:after="0"/>
              <w:rPr>
                <w:sz w:val="20"/>
                <w:szCs w:val="20"/>
                <w:color w:val="auto"/>
              </w:rPr>
            </w:pPr>
            <w:r>
              <w:rPr>
                <w:rFonts w:ascii="Arial" w:cs="Arial" w:eastAsia="Arial" w:hAnsi="Arial"/>
                <w:sz w:val="14"/>
                <w:szCs w:val="14"/>
                <w:b w:val="1"/>
                <w:bCs w:val="1"/>
                <w:color w:val="auto"/>
                <w:w w:val="94"/>
              </w:rPr>
              <w:t>June 30, 2011</w:t>
            </w:r>
          </w:p>
        </w:tc>
        <w:tc>
          <w:tcPr>
            <w:tcW w:w="2960" w:type="dxa"/>
            <w:vAlign w:val="bottom"/>
            <w:gridSpan w:val="2"/>
          </w:tcPr>
          <w:p>
            <w:pPr>
              <w:jc w:val="right"/>
              <w:ind w:right="679"/>
              <w:spacing w:after="0"/>
              <w:rPr>
                <w:sz w:val="20"/>
                <w:szCs w:val="20"/>
                <w:color w:val="auto"/>
              </w:rPr>
            </w:pPr>
            <w:r>
              <w:rPr>
                <w:rFonts w:ascii="Arial" w:cs="Arial" w:eastAsia="Arial" w:hAnsi="Arial"/>
                <w:sz w:val="14"/>
                <w:szCs w:val="14"/>
                <w:b w:val="1"/>
                <w:bCs w:val="1"/>
                <w:color w:val="auto"/>
              </w:rPr>
              <w:t>December 31, 2010</w:t>
            </w: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2640" w:type="dxa"/>
            <w:vAlign w:val="bottom"/>
            <w:vMerge w:val="continue"/>
          </w:tcPr>
          <w:p>
            <w:pPr>
              <w:spacing w:after="0"/>
              <w:rPr>
                <w:sz w:val="12"/>
                <w:szCs w:val="12"/>
                <w:color w:val="auto"/>
              </w:rPr>
            </w:pPr>
          </w:p>
        </w:tc>
        <w:tc>
          <w:tcPr>
            <w:tcW w:w="2000" w:type="dxa"/>
            <w:vAlign w:val="bottom"/>
          </w:tcPr>
          <w:p>
            <w:pPr>
              <w:jc w:val="right"/>
              <w:ind w:right="541"/>
              <w:spacing w:after="0" w:line="149" w:lineRule="exact"/>
              <w:rPr>
                <w:sz w:val="20"/>
                <w:szCs w:val="20"/>
                <w:color w:val="auto"/>
              </w:rPr>
            </w:pPr>
            <w:r>
              <w:rPr>
                <w:rFonts w:ascii="Arial" w:cs="Arial" w:eastAsia="Arial" w:hAnsi="Arial"/>
                <w:sz w:val="14"/>
                <w:szCs w:val="14"/>
                <w:b w:val="1"/>
                <w:bCs w:val="1"/>
                <w:color w:val="auto"/>
              </w:rPr>
              <w:t>Fair</w:t>
            </w:r>
          </w:p>
        </w:tc>
        <w:tc>
          <w:tcPr>
            <w:tcW w:w="1600" w:type="dxa"/>
            <w:vAlign w:val="bottom"/>
          </w:tcPr>
          <w:p>
            <w:pPr>
              <w:jc w:val="right"/>
              <w:ind w:right="401"/>
              <w:spacing w:after="0" w:line="149" w:lineRule="exact"/>
              <w:rPr>
                <w:sz w:val="20"/>
                <w:szCs w:val="20"/>
                <w:color w:val="auto"/>
              </w:rPr>
            </w:pPr>
            <w:r>
              <w:rPr>
                <w:rFonts w:ascii="Arial" w:cs="Arial" w:eastAsia="Arial" w:hAnsi="Arial"/>
                <w:sz w:val="14"/>
                <w:szCs w:val="14"/>
                <w:b w:val="1"/>
                <w:bCs w:val="1"/>
                <w:color w:val="auto"/>
              </w:rPr>
              <w:t>Carrying</w:t>
            </w:r>
          </w:p>
        </w:tc>
        <w:tc>
          <w:tcPr>
            <w:tcW w:w="1360" w:type="dxa"/>
            <w:vAlign w:val="bottom"/>
          </w:tcPr>
          <w:p>
            <w:pPr>
              <w:jc w:val="right"/>
              <w:ind w:right="339"/>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38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Thousands of Dollars)</w:t>
            </w:r>
          </w:p>
        </w:tc>
        <w:tc>
          <w:tcPr>
            <w:tcW w:w="2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20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Value</w:t>
            </w:r>
          </w:p>
        </w:tc>
        <w:tc>
          <w:tcPr>
            <w:tcW w:w="160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Amount</w:t>
            </w:r>
          </w:p>
        </w:tc>
        <w:tc>
          <w:tcPr>
            <w:tcW w:w="136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411"/>
        </w:trPr>
        <w:tc>
          <w:tcPr>
            <w:tcW w:w="3820" w:type="dxa"/>
            <w:vAlign w:val="bottom"/>
          </w:tcPr>
          <w:p>
            <w:pPr>
              <w:spacing w:after="0"/>
              <w:rPr>
                <w:sz w:val="20"/>
                <w:szCs w:val="20"/>
                <w:color w:val="auto"/>
              </w:rPr>
            </w:pPr>
            <w:r>
              <w:rPr>
                <w:rFonts w:ascii="Arial" w:cs="Arial" w:eastAsia="Arial" w:hAnsi="Arial"/>
                <w:sz w:val="18"/>
                <w:szCs w:val="18"/>
                <w:color w:val="auto"/>
              </w:rPr>
              <w:t>Variable rate long-term debt</w:t>
            </w:r>
          </w:p>
        </w:tc>
        <w:tc>
          <w:tcPr>
            <w:tcW w:w="2640" w:type="dxa"/>
            <w:vAlign w:val="bottom"/>
          </w:tcPr>
          <w:p>
            <w:pPr>
              <w:jc w:val="right"/>
              <w:spacing w:after="0"/>
              <w:rPr>
                <w:sz w:val="20"/>
                <w:szCs w:val="20"/>
                <w:color w:val="auto"/>
              </w:rPr>
            </w:pPr>
            <w:r>
              <w:rPr>
                <w:rFonts w:ascii="Arial" w:cs="Arial" w:eastAsia="Arial" w:hAnsi="Arial"/>
                <w:sz w:val="18"/>
                <w:szCs w:val="18"/>
                <w:color w:val="auto"/>
              </w:rPr>
              <w:t>$69,641</w:t>
            </w:r>
          </w:p>
        </w:tc>
        <w:tc>
          <w:tcPr>
            <w:tcW w:w="2000" w:type="dxa"/>
            <w:vAlign w:val="bottom"/>
          </w:tcPr>
          <w:p>
            <w:pPr>
              <w:jc w:val="right"/>
              <w:ind w:right="421"/>
              <w:spacing w:after="0"/>
              <w:rPr>
                <w:sz w:val="20"/>
                <w:szCs w:val="20"/>
                <w:color w:val="auto"/>
              </w:rPr>
            </w:pPr>
            <w:r>
              <w:rPr>
                <w:rFonts w:ascii="Arial" w:cs="Arial" w:eastAsia="Arial" w:hAnsi="Arial"/>
                <w:sz w:val="18"/>
                <w:szCs w:val="18"/>
                <w:color w:val="auto"/>
              </w:rPr>
              <w:t>$69,641</w:t>
            </w:r>
          </w:p>
        </w:tc>
        <w:tc>
          <w:tcPr>
            <w:tcW w:w="1600" w:type="dxa"/>
            <w:vAlign w:val="bottom"/>
          </w:tcPr>
          <w:p>
            <w:pPr>
              <w:jc w:val="right"/>
              <w:ind w:right="441"/>
              <w:spacing w:after="0"/>
              <w:rPr>
                <w:sz w:val="20"/>
                <w:szCs w:val="20"/>
                <w:color w:val="auto"/>
              </w:rPr>
            </w:pPr>
            <w:r>
              <w:rPr>
                <w:rFonts w:ascii="Arial" w:cs="Arial" w:eastAsia="Arial" w:hAnsi="Arial"/>
                <w:sz w:val="18"/>
                <w:szCs w:val="18"/>
                <w:color w:val="auto"/>
              </w:rPr>
              <w:t>$50,500</w:t>
            </w:r>
          </w:p>
        </w:tc>
        <w:tc>
          <w:tcPr>
            <w:tcW w:w="1360" w:type="dxa"/>
            <w:vAlign w:val="bottom"/>
          </w:tcPr>
          <w:p>
            <w:pPr>
              <w:jc w:val="right"/>
              <w:ind w:right="219"/>
              <w:spacing w:after="0"/>
              <w:rPr>
                <w:sz w:val="20"/>
                <w:szCs w:val="20"/>
                <w:color w:val="auto"/>
              </w:rPr>
            </w:pPr>
            <w:r>
              <w:rPr>
                <w:rFonts w:ascii="Arial" w:cs="Arial" w:eastAsia="Arial" w:hAnsi="Arial"/>
                <w:sz w:val="18"/>
                <w:szCs w:val="18"/>
                <w:color w:val="auto"/>
              </w:rPr>
              <w:t>$50,500</w:t>
            </w: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Fixed rate long-term debt</w:t>
            </w:r>
          </w:p>
        </w:tc>
        <w:tc>
          <w:tcPr>
            <w:tcW w:w="2640" w:type="dxa"/>
            <w:vAlign w:val="bottom"/>
          </w:tcPr>
          <w:p>
            <w:pPr>
              <w:jc w:val="right"/>
              <w:spacing w:after="0"/>
              <w:rPr>
                <w:sz w:val="20"/>
                <w:szCs w:val="20"/>
                <w:color w:val="auto"/>
              </w:rPr>
            </w:pPr>
            <w:r>
              <w:rPr>
                <w:rFonts w:ascii="Arial" w:cs="Arial" w:eastAsia="Arial" w:hAnsi="Arial"/>
                <w:sz w:val="18"/>
                <w:szCs w:val="18"/>
                <w:color w:val="auto"/>
              </w:rPr>
              <w:t>$17,143</w:t>
            </w:r>
          </w:p>
        </w:tc>
        <w:tc>
          <w:tcPr>
            <w:tcW w:w="2000" w:type="dxa"/>
            <w:vAlign w:val="bottom"/>
          </w:tcPr>
          <w:p>
            <w:pPr>
              <w:jc w:val="right"/>
              <w:ind w:right="421"/>
              <w:spacing w:after="0"/>
              <w:rPr>
                <w:sz w:val="20"/>
                <w:szCs w:val="20"/>
                <w:color w:val="auto"/>
              </w:rPr>
            </w:pPr>
            <w:r>
              <w:rPr>
                <w:rFonts w:ascii="Arial" w:cs="Arial" w:eastAsia="Arial" w:hAnsi="Arial"/>
                <w:sz w:val="18"/>
                <w:szCs w:val="18"/>
                <w:color w:val="auto"/>
              </w:rPr>
              <w:t>$16,860</w:t>
            </w:r>
          </w:p>
        </w:tc>
        <w:tc>
          <w:tcPr>
            <w:tcW w:w="1600" w:type="dxa"/>
            <w:vAlign w:val="bottom"/>
          </w:tcPr>
          <w:p>
            <w:pPr>
              <w:jc w:val="right"/>
              <w:ind w:right="441"/>
              <w:spacing w:after="0"/>
              <w:rPr>
                <w:sz w:val="20"/>
                <w:szCs w:val="20"/>
                <w:color w:val="auto"/>
              </w:rPr>
            </w:pPr>
            <w:r>
              <w:rPr>
                <w:rFonts w:ascii="Arial" w:cs="Arial" w:eastAsia="Arial" w:hAnsi="Arial"/>
                <w:sz w:val="18"/>
                <w:szCs w:val="18"/>
                <w:color w:val="auto"/>
              </w:rPr>
              <w:t>$22,857</w:t>
            </w:r>
          </w:p>
        </w:tc>
        <w:tc>
          <w:tcPr>
            <w:tcW w:w="1360" w:type="dxa"/>
            <w:vAlign w:val="bottom"/>
          </w:tcPr>
          <w:p>
            <w:pPr>
              <w:jc w:val="right"/>
              <w:ind w:right="219"/>
              <w:spacing w:after="0"/>
              <w:rPr>
                <w:sz w:val="20"/>
                <w:szCs w:val="20"/>
                <w:color w:val="auto"/>
              </w:rPr>
            </w:pPr>
            <w:r>
              <w:rPr>
                <w:rFonts w:ascii="Arial" w:cs="Arial" w:eastAsia="Arial" w:hAnsi="Arial"/>
                <w:sz w:val="18"/>
                <w:szCs w:val="18"/>
                <w:color w:val="auto"/>
              </w:rPr>
              <w:t>$22,195</w:t>
            </w:r>
          </w:p>
        </w:tc>
        <w:tc>
          <w:tcPr>
            <w:tcW w:w="0" w:type="dxa"/>
            <w:vAlign w:val="bottom"/>
          </w:tcPr>
          <w:p>
            <w:pPr>
              <w:spacing w:after="0"/>
              <w:rPr>
                <w:sz w:val="1"/>
                <w:szCs w:val="1"/>
                <w:color w:val="auto"/>
              </w:rPr>
            </w:pPr>
          </w:p>
        </w:tc>
      </w:tr>
      <w:tr>
        <w:trPr>
          <w:trHeight w:val="405"/>
        </w:trPr>
        <w:tc>
          <w:tcPr>
            <w:tcW w:w="3820" w:type="dxa"/>
            <w:vAlign w:val="bottom"/>
          </w:tcPr>
          <w:p>
            <w:pPr>
              <w:spacing w:after="0"/>
              <w:rPr>
                <w:sz w:val="24"/>
                <w:szCs w:val="24"/>
                <w:color w:val="auto"/>
              </w:rPr>
            </w:pPr>
          </w:p>
        </w:tc>
        <w:tc>
          <w:tcPr>
            <w:tcW w:w="2640" w:type="dxa"/>
            <w:vAlign w:val="bottom"/>
          </w:tcPr>
          <w:p>
            <w:pPr>
              <w:jc w:val="right"/>
              <w:ind w:right="577"/>
              <w:spacing w:after="0"/>
              <w:rPr>
                <w:sz w:val="20"/>
                <w:szCs w:val="20"/>
                <w:color w:val="auto"/>
              </w:rPr>
            </w:pPr>
            <w:r>
              <w:rPr>
                <w:rFonts w:ascii="Arial" w:cs="Arial" w:eastAsia="Arial" w:hAnsi="Arial"/>
                <w:sz w:val="18"/>
                <w:szCs w:val="18"/>
                <w:color w:val="auto"/>
              </w:rPr>
              <w:t>14</w:t>
            </w:r>
          </w:p>
        </w:tc>
        <w:tc>
          <w:tcPr>
            <w:tcW w:w="20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820" w:type="dxa"/>
            <w:vAlign w:val="bottom"/>
            <w:tcBorders>
              <w:bottom w:val="single" w:sz="8" w:color="808080"/>
            </w:tcBorders>
          </w:tcPr>
          <w:p>
            <w:pPr>
              <w:spacing w:after="0"/>
              <w:rPr>
                <w:sz w:val="19"/>
                <w:szCs w:val="19"/>
                <w:color w:val="auto"/>
              </w:rPr>
            </w:pPr>
          </w:p>
        </w:tc>
        <w:tc>
          <w:tcPr>
            <w:tcW w:w="2640" w:type="dxa"/>
            <w:vAlign w:val="bottom"/>
            <w:tcBorders>
              <w:bottom w:val="single" w:sz="8" w:color="808080"/>
            </w:tcBorders>
          </w:tcPr>
          <w:p>
            <w:pPr>
              <w:spacing w:after="0"/>
              <w:rPr>
                <w:sz w:val="19"/>
                <w:szCs w:val="19"/>
                <w:color w:val="auto"/>
              </w:rPr>
            </w:pPr>
          </w:p>
        </w:tc>
        <w:tc>
          <w:tcPr>
            <w:tcW w:w="2000" w:type="dxa"/>
            <w:vAlign w:val="bottom"/>
            <w:tcBorders>
              <w:bottom w:val="single" w:sz="8" w:color="808080"/>
            </w:tcBorders>
          </w:tcPr>
          <w:p>
            <w:pPr>
              <w:spacing w:after="0"/>
              <w:rPr>
                <w:sz w:val="19"/>
                <w:szCs w:val="19"/>
                <w:color w:val="auto"/>
              </w:rPr>
            </w:pPr>
          </w:p>
        </w:tc>
        <w:tc>
          <w:tcPr>
            <w:tcW w:w="16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Our risk factors are disclosed in our Annual Report on Form 10-K for the fiscal year ended December 31, 2010 under Item 1.A. “Risk Factors.” There have been no material changes to these risk factors since December 31, 2010.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2011 Compared to the Three Months Ended June 30, 2010.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 RESULTS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6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of Dollars)</w:t>
            </w: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NN, Inc.</w:t>
            </w:r>
          </w:p>
        </w:tc>
        <w:tc>
          <w:tcPr>
            <w:tcW w:w="8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60" w:type="dxa"/>
            <w:vAlign w:val="bottom"/>
            <w:gridSpan w:val="2"/>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51"/>
              <w:spacing w:after="0" w:line="142" w:lineRule="exact"/>
              <w:rPr>
                <w:sz w:val="20"/>
                <w:szCs w:val="20"/>
                <w:color w:val="auto"/>
              </w:rPr>
            </w:pPr>
            <w:r>
              <w:rPr>
                <w:rFonts w:ascii="Arial" w:cs="Arial" w:eastAsia="Arial" w:hAnsi="Arial"/>
                <w:sz w:val="14"/>
                <w:szCs w:val="14"/>
                <w:b w:val="1"/>
                <w:bCs w:val="1"/>
                <w:color w:val="auto"/>
              </w:rPr>
              <w:t>2011</w:t>
            </w:r>
          </w:p>
        </w:tc>
        <w:tc>
          <w:tcPr>
            <w:tcW w:w="5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2010</w:t>
            </w:r>
          </w:p>
        </w:tc>
        <w:tc>
          <w:tcPr>
            <w:tcW w:w="9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ind w:right="1028"/>
              <w:spacing w:after="0" w:line="142" w:lineRule="exact"/>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ind w:right="391"/>
              <w:spacing w:after="0"/>
              <w:rPr>
                <w:sz w:val="20"/>
                <w:szCs w:val="20"/>
                <w:color w:val="auto"/>
              </w:rPr>
            </w:pPr>
            <w:r>
              <w:rPr>
                <w:rFonts w:ascii="Arial" w:cs="Arial" w:eastAsia="Arial" w:hAnsi="Arial"/>
                <w:sz w:val="18"/>
                <w:szCs w:val="18"/>
                <w:b w:val="1"/>
                <w:bCs w:val="1"/>
                <w:color w:val="auto"/>
                <w:w w:val="86"/>
              </w:rPr>
              <w:t>115,922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w w:val="83"/>
              </w:rPr>
              <w:t>92,693</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87"/>
              </w:rPr>
              <w:t>23,229</w:t>
            </w: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400"/>
              <w:spacing w:after="0"/>
              <w:rPr>
                <w:sz w:val="20"/>
                <w:szCs w:val="20"/>
                <w:color w:val="auto"/>
              </w:rPr>
            </w:pPr>
            <w:r>
              <w:rPr>
                <w:rFonts w:ascii="Arial" w:cs="Arial" w:eastAsia="Arial" w:hAnsi="Arial"/>
                <w:sz w:val="18"/>
                <w:szCs w:val="18"/>
                <w:i w:val="1"/>
                <w:iCs w:val="1"/>
                <w:color w:val="auto"/>
              </w:rPr>
              <w:t>Foreign exchange effects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360" w:type="dxa"/>
            <w:vAlign w:val="bottom"/>
            <w:gridSpan w:val="2"/>
          </w:tcPr>
          <w:p>
            <w:pPr>
              <w:jc w:val="right"/>
              <w:ind w:right="228"/>
              <w:spacing w:after="0"/>
              <w:rPr>
                <w:sz w:val="20"/>
                <w:szCs w:val="20"/>
                <w:color w:val="auto"/>
              </w:rPr>
            </w:pPr>
            <w:r>
              <w:rPr>
                <w:rFonts w:ascii="Arial" w:cs="Arial" w:eastAsia="Arial" w:hAnsi="Arial"/>
                <w:sz w:val="18"/>
                <w:szCs w:val="18"/>
                <w:i w:val="1"/>
                <w:iCs w:val="1"/>
                <w:color w:val="auto"/>
              </w:rPr>
              <w:t>6,280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400"/>
              <w:spacing w:after="0"/>
              <w:rPr>
                <w:sz w:val="20"/>
                <w:szCs w:val="20"/>
                <w:color w:val="auto"/>
              </w:rPr>
            </w:pPr>
            <w:r>
              <w:rPr>
                <w:rFonts w:ascii="Arial" w:cs="Arial" w:eastAsia="Arial" w:hAnsi="Arial"/>
                <w:sz w:val="18"/>
                <w:szCs w:val="18"/>
                <w:i w:val="1"/>
                <w:iCs w:val="1"/>
                <w:color w:val="auto"/>
              </w:rPr>
              <w:t>Volume</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i w:val="1"/>
                <w:iCs w:val="1"/>
                <w:color w:val="auto"/>
              </w:rPr>
              <w:t>11,129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400"/>
              <w:spacing w:after="0"/>
              <w:rPr>
                <w:sz w:val="20"/>
                <w:szCs w:val="20"/>
                <w:color w:val="auto"/>
              </w:rPr>
            </w:pPr>
            <w:r>
              <w:rPr>
                <w:rFonts w:ascii="Arial" w:cs="Arial" w:eastAsia="Arial" w:hAnsi="Arial"/>
                <w:sz w:val="18"/>
                <w:szCs w:val="18"/>
                <w:i w:val="1"/>
                <w:iCs w:val="1"/>
                <w:color w:val="auto"/>
              </w:rPr>
              <w:t>Price</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360" w:type="dxa"/>
            <w:vAlign w:val="bottom"/>
            <w:gridSpan w:val="2"/>
          </w:tcPr>
          <w:p>
            <w:pPr>
              <w:jc w:val="right"/>
              <w:ind w:right="228"/>
              <w:spacing w:after="0"/>
              <w:rPr>
                <w:sz w:val="20"/>
                <w:szCs w:val="20"/>
                <w:color w:val="auto"/>
              </w:rPr>
            </w:pPr>
            <w:r>
              <w:rPr>
                <w:rFonts w:ascii="Arial" w:cs="Arial" w:eastAsia="Arial" w:hAnsi="Arial"/>
                <w:sz w:val="18"/>
                <w:szCs w:val="18"/>
                <w:i w:val="1"/>
                <w:iCs w:val="1"/>
                <w:color w:val="auto"/>
              </w:rPr>
              <w:t>1,944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400"/>
              <w:spacing w:after="0"/>
              <w:rPr>
                <w:sz w:val="20"/>
                <w:szCs w:val="20"/>
                <w:color w:val="auto"/>
              </w:rPr>
            </w:pPr>
            <w:r>
              <w:rPr>
                <w:rFonts w:ascii="Arial" w:cs="Arial" w:eastAsia="Arial" w:hAnsi="Arial"/>
                <w:sz w:val="18"/>
                <w:szCs w:val="18"/>
                <w:i w:val="1"/>
                <w:iCs w:val="1"/>
                <w:color w:val="auto"/>
              </w:rPr>
              <w:t>Mix</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i w:val="1"/>
                <w:iCs w:val="1"/>
                <w:color w:val="auto"/>
              </w:rPr>
              <w:t>288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40" w:type="dxa"/>
            <w:vAlign w:val="bottom"/>
          </w:tcPr>
          <w:p>
            <w:pPr>
              <w:ind w:left="400"/>
              <w:spacing w:after="0"/>
              <w:rPr>
                <w:sz w:val="20"/>
                <w:szCs w:val="20"/>
                <w:color w:val="auto"/>
              </w:rPr>
            </w:pPr>
            <w:r>
              <w:rPr>
                <w:rFonts w:ascii="Arial" w:cs="Arial" w:eastAsia="Arial" w:hAnsi="Arial"/>
                <w:sz w:val="18"/>
                <w:szCs w:val="18"/>
                <w:i w:val="1"/>
                <w:iCs w:val="1"/>
                <w:color w:val="auto"/>
              </w:rPr>
              <w:t>Material inflation pass-through</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360" w:type="dxa"/>
            <w:vAlign w:val="bottom"/>
            <w:gridSpan w:val="2"/>
          </w:tcPr>
          <w:p>
            <w:pPr>
              <w:jc w:val="right"/>
              <w:ind w:right="228"/>
              <w:spacing w:after="0"/>
              <w:rPr>
                <w:sz w:val="20"/>
                <w:szCs w:val="20"/>
                <w:color w:val="auto"/>
              </w:rPr>
            </w:pPr>
            <w:r>
              <w:rPr>
                <w:rFonts w:ascii="Arial" w:cs="Arial" w:eastAsia="Arial" w:hAnsi="Arial"/>
                <w:sz w:val="18"/>
                <w:szCs w:val="18"/>
                <w:i w:val="1"/>
                <w:iCs w:val="1"/>
                <w:color w:val="auto"/>
              </w:rPr>
              <w:t>3,588</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Cost of products sold (exclusive of depreciation and amortization</w:t>
            </w:r>
          </w:p>
        </w:tc>
        <w:tc>
          <w:tcPr>
            <w:tcW w:w="30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391"/>
              <w:spacing w:after="0"/>
              <w:rPr>
                <w:sz w:val="20"/>
                <w:szCs w:val="20"/>
                <w:color w:val="auto"/>
              </w:rPr>
            </w:pPr>
            <w:r>
              <w:rPr>
                <w:rFonts w:ascii="Arial" w:cs="Arial" w:eastAsia="Arial" w:hAnsi="Arial"/>
                <w:sz w:val="18"/>
                <w:szCs w:val="18"/>
                <w:b w:val="1"/>
                <w:bCs w:val="1"/>
                <w:color w:val="auto"/>
              </w:rPr>
              <w:t>94,657</w:t>
            </w:r>
          </w:p>
        </w:tc>
        <w:tc>
          <w:tcPr>
            <w:tcW w:w="58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b w:val="1"/>
                <w:bCs w:val="1"/>
                <w:color w:val="auto"/>
                <w:w w:val="83"/>
              </w:rPr>
              <w:t>73,423</w:t>
            </w:r>
          </w:p>
        </w:tc>
        <w:tc>
          <w:tcPr>
            <w:tcW w:w="92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87"/>
              </w:rPr>
              <w:t>21,234</w:t>
            </w: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shown separately below)</w:t>
            </w:r>
          </w:p>
        </w:tc>
        <w:tc>
          <w:tcPr>
            <w:tcW w:w="300" w:type="dxa"/>
            <w:vAlign w:val="bottom"/>
            <w:shd w:val="clear" w:color="auto" w:fill="CCEEFF"/>
          </w:tcPr>
          <w:p>
            <w:pPr>
              <w:spacing w:after="0"/>
              <w:rPr>
                <w:sz w:val="20"/>
                <w:szCs w:val="20"/>
                <w:color w:val="auto"/>
              </w:rPr>
            </w:pPr>
          </w:p>
        </w:tc>
        <w:tc>
          <w:tcPr>
            <w:tcW w:w="1060" w:type="dxa"/>
            <w:vAlign w:val="bottom"/>
            <w:vMerge w:val="continue"/>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640" w:type="dxa"/>
            <w:vAlign w:val="bottom"/>
            <w:vMerge w:val="continue"/>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0" w:type="dxa"/>
            <w:vAlign w:val="bottom"/>
            <w:vMerge w:val="continue"/>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400"/>
              <w:spacing w:after="0"/>
              <w:rPr>
                <w:sz w:val="20"/>
                <w:szCs w:val="20"/>
                <w:color w:val="auto"/>
              </w:rPr>
            </w:pPr>
            <w:r>
              <w:rPr>
                <w:rFonts w:ascii="Arial" w:cs="Arial" w:eastAsia="Arial" w:hAnsi="Arial"/>
                <w:sz w:val="18"/>
                <w:szCs w:val="18"/>
                <w:i w:val="1"/>
                <w:iCs w:val="1"/>
                <w:color w:val="auto"/>
              </w:rPr>
              <w:t>Foreign exchange effects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360" w:type="dxa"/>
            <w:vAlign w:val="bottom"/>
            <w:gridSpan w:val="2"/>
          </w:tcPr>
          <w:p>
            <w:pPr>
              <w:jc w:val="right"/>
              <w:ind w:right="228"/>
              <w:spacing w:after="0"/>
              <w:rPr>
                <w:sz w:val="20"/>
                <w:szCs w:val="20"/>
                <w:color w:val="auto"/>
              </w:rPr>
            </w:pPr>
            <w:r>
              <w:rPr>
                <w:rFonts w:ascii="Arial" w:cs="Arial" w:eastAsia="Arial" w:hAnsi="Arial"/>
                <w:sz w:val="18"/>
                <w:szCs w:val="18"/>
                <w:i w:val="1"/>
                <w:iCs w:val="1"/>
                <w:color w:val="auto"/>
              </w:rPr>
              <w:t>5,890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400"/>
              <w:spacing w:after="0"/>
              <w:rPr>
                <w:sz w:val="20"/>
                <w:szCs w:val="20"/>
                <w:color w:val="auto"/>
              </w:rPr>
            </w:pPr>
            <w:r>
              <w:rPr>
                <w:rFonts w:ascii="Arial" w:cs="Arial" w:eastAsia="Arial" w:hAnsi="Arial"/>
                <w:sz w:val="18"/>
                <w:szCs w:val="18"/>
                <w:i w:val="1"/>
                <w:iCs w:val="1"/>
                <w:color w:val="auto"/>
              </w:rPr>
              <w:t>Volume</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i w:val="1"/>
                <w:iCs w:val="1"/>
                <w:color w:val="auto"/>
              </w:rPr>
              <w:t>7,608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400"/>
              <w:spacing w:after="0"/>
              <w:rPr>
                <w:sz w:val="20"/>
                <w:szCs w:val="20"/>
                <w:color w:val="auto"/>
              </w:rPr>
            </w:pPr>
            <w:r>
              <w:rPr>
                <w:rFonts w:ascii="Arial" w:cs="Arial" w:eastAsia="Arial" w:hAnsi="Arial"/>
                <w:sz w:val="18"/>
                <w:szCs w:val="18"/>
                <w:i w:val="1"/>
                <w:iCs w:val="1"/>
                <w:color w:val="auto"/>
              </w:rPr>
              <w:t>Cost reduction</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360" w:type="dxa"/>
            <w:vAlign w:val="bottom"/>
            <w:gridSpan w:val="2"/>
          </w:tcPr>
          <w:p>
            <w:pPr>
              <w:jc w:val="right"/>
              <w:ind w:right="168"/>
              <w:spacing w:after="0"/>
              <w:rPr>
                <w:sz w:val="20"/>
                <w:szCs w:val="20"/>
                <w:color w:val="auto"/>
              </w:rPr>
            </w:pPr>
            <w:r>
              <w:rPr>
                <w:rFonts w:ascii="Arial" w:cs="Arial" w:eastAsia="Arial" w:hAnsi="Arial"/>
                <w:sz w:val="18"/>
                <w:szCs w:val="18"/>
                <w:i w:val="1"/>
                <w:iCs w:val="1"/>
                <w:color w:val="auto"/>
              </w:rPr>
              <w:t>(1,936)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400"/>
              <w:spacing w:after="0"/>
              <w:rPr>
                <w:sz w:val="20"/>
                <w:szCs w:val="20"/>
                <w:color w:val="auto"/>
              </w:rPr>
            </w:pPr>
            <w:r>
              <w:rPr>
                <w:rFonts w:ascii="Arial" w:cs="Arial" w:eastAsia="Arial" w:hAnsi="Arial"/>
                <w:sz w:val="18"/>
                <w:szCs w:val="18"/>
                <w:i w:val="1"/>
                <w:iCs w:val="1"/>
                <w:color w:val="auto"/>
              </w:rPr>
              <w:t>Mix</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i w:val="1"/>
                <w:iCs w:val="1"/>
                <w:color w:val="auto"/>
              </w:rPr>
              <w:t>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400"/>
              <w:spacing w:after="0"/>
              <w:rPr>
                <w:sz w:val="20"/>
                <w:szCs w:val="20"/>
                <w:color w:val="auto"/>
              </w:rPr>
            </w:pPr>
            <w:r>
              <w:rPr>
                <w:rFonts w:ascii="Arial" w:cs="Arial" w:eastAsia="Arial" w:hAnsi="Arial"/>
                <w:sz w:val="18"/>
                <w:szCs w:val="18"/>
                <w:i w:val="1"/>
                <w:iCs w:val="1"/>
                <w:color w:val="auto"/>
              </w:rPr>
              <w:t>Inflation</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360" w:type="dxa"/>
            <w:vAlign w:val="bottom"/>
            <w:gridSpan w:val="2"/>
          </w:tcPr>
          <w:p>
            <w:pPr>
              <w:jc w:val="right"/>
              <w:ind w:right="228"/>
              <w:spacing w:after="0"/>
              <w:rPr>
                <w:sz w:val="20"/>
                <w:szCs w:val="20"/>
                <w:color w:val="auto"/>
              </w:rPr>
            </w:pPr>
            <w:r>
              <w:rPr>
                <w:rFonts w:ascii="Arial" w:cs="Arial" w:eastAsia="Arial" w:hAnsi="Arial"/>
                <w:sz w:val="18"/>
                <w:szCs w:val="18"/>
                <w:i w:val="1"/>
                <w:iCs w:val="1"/>
                <w:color w:val="auto"/>
              </w:rPr>
              <w:t>4,747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4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i w:val="1"/>
                <w:iCs w:val="1"/>
                <w:color w:val="auto"/>
              </w:rPr>
              <w:t>New sales program start-up costs and other specific costs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40" w:type="dxa"/>
            <w:vAlign w:val="bottom"/>
            <w:shd w:val="clear" w:color="auto" w:fill="CCEEFF"/>
          </w:tcPr>
          <w:p>
            <w:pPr>
              <w:ind w:left="600"/>
              <w:spacing w:after="0"/>
              <w:rPr>
                <w:sz w:val="20"/>
                <w:szCs w:val="20"/>
                <w:color w:val="auto"/>
              </w:rPr>
            </w:pPr>
            <w:r>
              <w:rPr>
                <w:rFonts w:ascii="Arial" w:cs="Arial" w:eastAsia="Arial" w:hAnsi="Arial"/>
                <w:sz w:val="18"/>
                <w:szCs w:val="18"/>
                <w:i w:val="1"/>
                <w:iCs w:val="1"/>
                <w:color w:val="auto"/>
              </w:rPr>
              <w:t>increases</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36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i w:val="1"/>
                <w:iCs w:val="1"/>
                <w:color w:val="auto"/>
              </w:rPr>
              <w:t>4,475</w:t>
            </w:r>
          </w:p>
        </w:tc>
        <w:tc>
          <w:tcPr>
            <w:tcW w:w="0" w:type="dxa"/>
            <w:vAlign w:val="bottom"/>
          </w:tcPr>
          <w:p>
            <w:pPr>
              <w:spacing w:after="0"/>
              <w:rPr>
                <w:sz w:val="1"/>
                <w:szCs w:val="1"/>
                <w:color w:val="auto"/>
              </w:rPr>
            </w:pPr>
          </w:p>
        </w:tc>
      </w:tr>
      <w:tr>
        <w:trPr>
          <w:trHeight w:val="432"/>
        </w:trPr>
        <w:tc>
          <w:tcPr>
            <w:tcW w:w="556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24"/>
                <w:szCs w:val="24"/>
                <w:color w:val="auto"/>
              </w:rPr>
            </w:pPr>
          </w:p>
        </w:tc>
        <w:tc>
          <w:tcPr>
            <w:tcW w:w="1060" w:type="dxa"/>
            <w:vAlign w:val="bottom"/>
          </w:tcPr>
          <w:p>
            <w:pPr>
              <w:jc w:val="right"/>
              <w:ind w:right="391"/>
              <w:spacing w:after="0"/>
              <w:rPr>
                <w:sz w:val="20"/>
                <w:szCs w:val="20"/>
                <w:color w:val="auto"/>
              </w:rPr>
            </w:pPr>
            <w:r>
              <w:rPr>
                <w:rFonts w:ascii="Arial" w:cs="Arial" w:eastAsia="Arial" w:hAnsi="Arial"/>
                <w:sz w:val="18"/>
                <w:szCs w:val="18"/>
                <w:b w:val="1"/>
                <w:bCs w:val="1"/>
                <w:color w:val="auto"/>
              </w:rPr>
              <w:t>7,720</w:t>
            </w:r>
          </w:p>
        </w:tc>
        <w:tc>
          <w:tcPr>
            <w:tcW w:w="580" w:type="dxa"/>
            <w:vAlign w:val="bottom"/>
          </w:tcPr>
          <w:p>
            <w:pPr>
              <w:spacing w:after="0"/>
              <w:rPr>
                <w:sz w:val="24"/>
                <w:szCs w:val="24"/>
                <w:color w:val="auto"/>
              </w:rPr>
            </w:pPr>
          </w:p>
        </w:tc>
        <w:tc>
          <w:tcPr>
            <w:tcW w:w="640" w:type="dxa"/>
            <w:vAlign w:val="bottom"/>
          </w:tcPr>
          <w:p>
            <w:pPr>
              <w:jc w:val="right"/>
              <w:ind w:right="71"/>
              <w:spacing w:after="0"/>
              <w:rPr>
                <w:sz w:val="20"/>
                <w:szCs w:val="20"/>
                <w:color w:val="auto"/>
              </w:rPr>
            </w:pPr>
            <w:r>
              <w:rPr>
                <w:rFonts w:ascii="Arial" w:cs="Arial" w:eastAsia="Arial" w:hAnsi="Arial"/>
                <w:sz w:val="18"/>
                <w:szCs w:val="18"/>
                <w:b w:val="1"/>
                <w:bCs w:val="1"/>
                <w:color w:val="auto"/>
              </w:rPr>
              <w:t>7,150</w:t>
            </w:r>
          </w:p>
        </w:tc>
        <w:tc>
          <w:tcPr>
            <w:tcW w:w="920" w:type="dxa"/>
            <w:vAlign w:val="bottom"/>
          </w:tcPr>
          <w:p>
            <w:pPr>
              <w:spacing w:after="0"/>
              <w:rPr>
                <w:sz w:val="24"/>
                <w:szCs w:val="24"/>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b w:val="1"/>
                <w:bCs w:val="1"/>
                <w:color w:val="auto"/>
              </w:rPr>
              <w:t>570</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400"/>
              <w:spacing w:after="0"/>
              <w:rPr>
                <w:sz w:val="20"/>
                <w:szCs w:val="20"/>
                <w:color w:val="auto"/>
              </w:rPr>
            </w:pPr>
            <w:r>
              <w:rPr>
                <w:rFonts w:ascii="Arial" w:cs="Arial" w:eastAsia="Arial" w:hAnsi="Arial"/>
                <w:sz w:val="18"/>
                <w:szCs w:val="18"/>
                <w:i w:val="1"/>
                <w:iCs w:val="1"/>
                <w:color w:val="auto"/>
              </w:rPr>
              <w:t>Foreign exchange effects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i w:val="1"/>
                <w:iCs w:val="1"/>
                <w:color w:val="auto"/>
              </w:rPr>
              <w:t>333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40" w:type="dxa"/>
            <w:vAlign w:val="bottom"/>
          </w:tcPr>
          <w:p>
            <w:pPr>
              <w:ind w:left="400"/>
              <w:spacing w:after="0"/>
              <w:rPr>
                <w:sz w:val="20"/>
                <w:szCs w:val="20"/>
                <w:color w:val="auto"/>
              </w:rPr>
            </w:pPr>
            <w:r>
              <w:rPr>
                <w:rFonts w:ascii="Arial" w:cs="Arial" w:eastAsia="Arial" w:hAnsi="Arial"/>
                <w:sz w:val="18"/>
                <w:szCs w:val="18"/>
                <w:i w:val="1"/>
                <w:iCs w:val="1"/>
                <w:color w:val="auto"/>
              </w:rPr>
              <w:t>Increase in spending</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360" w:type="dxa"/>
            <w:vAlign w:val="bottom"/>
            <w:gridSpan w:val="2"/>
          </w:tcPr>
          <w:p>
            <w:pPr>
              <w:jc w:val="right"/>
              <w:ind w:right="228"/>
              <w:spacing w:after="0"/>
              <w:rPr>
                <w:sz w:val="20"/>
                <w:szCs w:val="20"/>
                <w:color w:val="auto"/>
              </w:rPr>
            </w:pPr>
            <w:r>
              <w:rPr>
                <w:rFonts w:ascii="Arial" w:cs="Arial" w:eastAsia="Arial" w:hAnsi="Arial"/>
                <w:sz w:val="18"/>
                <w:szCs w:val="18"/>
                <w:i w:val="1"/>
                <w:iCs w:val="1"/>
                <w:color w:val="auto"/>
              </w:rPr>
              <w:t>237</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91"/>
              <w:spacing w:after="0"/>
              <w:rPr>
                <w:sz w:val="20"/>
                <w:szCs w:val="20"/>
                <w:color w:val="auto"/>
              </w:rPr>
            </w:pPr>
            <w:r>
              <w:rPr>
                <w:rFonts w:ascii="Arial" w:cs="Arial" w:eastAsia="Arial" w:hAnsi="Arial"/>
                <w:sz w:val="18"/>
                <w:szCs w:val="18"/>
                <w:b w:val="1"/>
                <w:bCs w:val="1"/>
                <w:color w:val="auto"/>
              </w:rPr>
              <w:t>4,291</w:t>
            </w: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4,842</w:t>
            </w:r>
          </w:p>
        </w:tc>
        <w:tc>
          <w:tcPr>
            <w:tcW w:w="9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(551)</w:t>
            </w: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400"/>
              <w:spacing w:after="0"/>
              <w:rPr>
                <w:sz w:val="20"/>
                <w:szCs w:val="20"/>
                <w:color w:val="auto"/>
              </w:rPr>
            </w:pPr>
            <w:r>
              <w:rPr>
                <w:rFonts w:ascii="Arial" w:cs="Arial" w:eastAsia="Arial" w:hAnsi="Arial"/>
                <w:sz w:val="18"/>
                <w:szCs w:val="18"/>
                <w:i w:val="1"/>
                <w:iCs w:val="1"/>
                <w:color w:val="auto"/>
              </w:rPr>
              <w:t>Foreign exchange effects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360" w:type="dxa"/>
            <w:vAlign w:val="bottom"/>
            <w:gridSpan w:val="2"/>
          </w:tcPr>
          <w:p>
            <w:pPr>
              <w:jc w:val="right"/>
              <w:ind w:right="228"/>
              <w:spacing w:after="0"/>
              <w:rPr>
                <w:sz w:val="20"/>
                <w:szCs w:val="20"/>
                <w:color w:val="auto"/>
              </w:rPr>
            </w:pPr>
            <w:r>
              <w:rPr>
                <w:rFonts w:ascii="Arial" w:cs="Arial" w:eastAsia="Arial" w:hAnsi="Arial"/>
                <w:sz w:val="18"/>
                <w:szCs w:val="18"/>
                <w:i w:val="1"/>
                <w:iCs w:val="1"/>
                <w:color w:val="auto"/>
              </w:rPr>
              <w:t>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400"/>
              <w:spacing w:after="0"/>
              <w:rPr>
                <w:sz w:val="20"/>
                <w:szCs w:val="20"/>
                <w:color w:val="auto"/>
              </w:rPr>
            </w:pPr>
            <w:r>
              <w:rPr>
                <w:rFonts w:ascii="Arial" w:cs="Arial" w:eastAsia="Arial" w:hAnsi="Arial"/>
                <w:sz w:val="18"/>
                <w:szCs w:val="18"/>
                <w:i w:val="1"/>
                <w:iCs w:val="1"/>
                <w:color w:val="auto"/>
              </w:rPr>
              <w:t>Elimination of depreciation expense on fully depreciated assets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i w:val="1"/>
                <w:iCs w:val="1"/>
                <w:color w:val="auto"/>
              </w:rPr>
              <w:t>(799)</w:t>
            </w:r>
          </w:p>
        </w:tc>
        <w:tc>
          <w:tcPr>
            <w:tcW w:w="0" w:type="dxa"/>
            <w:vAlign w:val="bottom"/>
          </w:tcPr>
          <w:p>
            <w:pPr>
              <w:spacing w:after="0"/>
              <w:rPr>
                <w:sz w:val="1"/>
                <w:szCs w:val="1"/>
                <w:color w:val="auto"/>
              </w:rPr>
            </w:pPr>
          </w:p>
        </w:tc>
      </w:tr>
      <w:tr>
        <w:trPr>
          <w:trHeight w:val="432"/>
        </w:trPr>
        <w:tc>
          <w:tcPr>
            <w:tcW w:w="5560" w:type="dxa"/>
            <w:vAlign w:val="bottom"/>
            <w:gridSpan w:val="2"/>
          </w:tcPr>
          <w:p>
            <w:pPr>
              <w:spacing w:after="0"/>
              <w:rPr>
                <w:sz w:val="20"/>
                <w:szCs w:val="20"/>
                <w:color w:val="auto"/>
              </w:rPr>
            </w:pPr>
            <w:r>
              <w:rPr>
                <w:rFonts w:ascii="Arial" w:cs="Arial" w:eastAsia="Arial" w:hAnsi="Arial"/>
                <w:sz w:val="18"/>
                <w:szCs w:val="18"/>
                <w:color w:val="auto"/>
              </w:rPr>
              <w:t>Restructuring and impairment charges</w:t>
            </w:r>
          </w:p>
        </w:tc>
        <w:tc>
          <w:tcPr>
            <w:tcW w:w="300" w:type="dxa"/>
            <w:vAlign w:val="bottom"/>
          </w:tcPr>
          <w:p>
            <w:pPr>
              <w:spacing w:after="0"/>
              <w:rPr>
                <w:sz w:val="24"/>
                <w:szCs w:val="24"/>
                <w:color w:val="auto"/>
              </w:rPr>
            </w:pPr>
          </w:p>
        </w:tc>
        <w:tc>
          <w:tcPr>
            <w:tcW w:w="1060" w:type="dxa"/>
            <w:vAlign w:val="bottom"/>
          </w:tcPr>
          <w:p>
            <w:pPr>
              <w:jc w:val="right"/>
              <w:ind w:right="391"/>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spacing w:after="0"/>
              <w:rPr>
                <w:sz w:val="24"/>
                <w:szCs w:val="24"/>
                <w:color w:val="auto"/>
              </w:rPr>
            </w:pPr>
          </w:p>
        </w:tc>
        <w:tc>
          <w:tcPr>
            <w:tcW w:w="640" w:type="dxa"/>
            <w:vAlign w:val="bottom"/>
          </w:tcPr>
          <w:p>
            <w:pPr>
              <w:jc w:val="right"/>
              <w:ind w:right="71"/>
              <w:spacing w:after="0"/>
              <w:rPr>
                <w:sz w:val="20"/>
                <w:szCs w:val="20"/>
                <w:color w:val="auto"/>
              </w:rPr>
            </w:pPr>
            <w:r>
              <w:rPr>
                <w:rFonts w:ascii="Arial" w:cs="Arial" w:eastAsia="Arial" w:hAnsi="Arial"/>
                <w:sz w:val="18"/>
                <w:szCs w:val="18"/>
                <w:b w:val="1"/>
                <w:bCs w:val="1"/>
                <w:color w:val="auto"/>
              </w:rPr>
              <w:t>667</w:t>
            </w:r>
          </w:p>
        </w:tc>
        <w:tc>
          <w:tcPr>
            <w:tcW w:w="920" w:type="dxa"/>
            <w:vAlign w:val="bottom"/>
          </w:tcPr>
          <w:p>
            <w:pPr>
              <w:spacing w:after="0"/>
              <w:rPr>
                <w:sz w:val="24"/>
                <w:szCs w:val="24"/>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b w:val="1"/>
                <w:bCs w:val="1"/>
                <w:color w:val="auto"/>
              </w:rPr>
              <w:t>(667)</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91"/>
              <w:spacing w:after="0"/>
              <w:rPr>
                <w:sz w:val="20"/>
                <w:szCs w:val="20"/>
                <w:color w:val="auto"/>
              </w:rPr>
            </w:pPr>
            <w:r>
              <w:rPr>
                <w:rFonts w:ascii="Arial" w:cs="Arial" w:eastAsia="Arial" w:hAnsi="Arial"/>
                <w:sz w:val="18"/>
                <w:szCs w:val="18"/>
                <w:b w:val="1"/>
                <w:bCs w:val="1"/>
                <w:color w:val="auto"/>
              </w:rPr>
              <w:t>1,220</w:t>
            </w: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1,755</w:t>
            </w:r>
          </w:p>
        </w:tc>
        <w:tc>
          <w:tcPr>
            <w:tcW w:w="9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(535)</w:t>
            </w: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Loss on disposal of assets</w:t>
            </w:r>
          </w:p>
        </w:tc>
        <w:tc>
          <w:tcPr>
            <w:tcW w:w="300" w:type="dxa"/>
            <w:vAlign w:val="bottom"/>
          </w:tcPr>
          <w:p>
            <w:pPr>
              <w:spacing w:after="0"/>
              <w:rPr>
                <w:sz w:val="18"/>
                <w:szCs w:val="18"/>
                <w:color w:val="auto"/>
              </w:rPr>
            </w:pPr>
          </w:p>
        </w:tc>
        <w:tc>
          <w:tcPr>
            <w:tcW w:w="1060" w:type="dxa"/>
            <w:vAlign w:val="bottom"/>
          </w:tcPr>
          <w:p>
            <w:pPr>
              <w:jc w:val="right"/>
              <w:ind w:right="391"/>
              <w:spacing w:after="0"/>
              <w:rPr>
                <w:sz w:val="20"/>
                <w:szCs w:val="20"/>
                <w:color w:val="auto"/>
              </w:rPr>
            </w:pPr>
            <w:r>
              <w:rPr>
                <w:rFonts w:ascii="Arial" w:cs="Arial" w:eastAsia="Arial" w:hAnsi="Arial"/>
                <w:sz w:val="18"/>
                <w:szCs w:val="18"/>
                <w:b w:val="1"/>
                <w:bCs w:val="1"/>
                <w:color w:val="auto"/>
              </w:rPr>
              <w:t>3</w:t>
            </w:r>
          </w:p>
        </w:tc>
        <w:tc>
          <w:tcPr>
            <w:tcW w:w="580" w:type="dxa"/>
            <w:vAlign w:val="bottom"/>
          </w:tcPr>
          <w:p>
            <w:pPr>
              <w:spacing w:after="0"/>
              <w:rPr>
                <w:sz w:val="18"/>
                <w:szCs w:val="18"/>
                <w:color w:val="auto"/>
              </w:rPr>
            </w:pPr>
          </w:p>
        </w:tc>
        <w:tc>
          <w:tcPr>
            <w:tcW w:w="640" w:type="dxa"/>
            <w:vAlign w:val="bottom"/>
          </w:tcPr>
          <w:p>
            <w:pPr>
              <w:jc w:val="right"/>
              <w:ind w:right="71"/>
              <w:spacing w:after="0"/>
              <w:rPr>
                <w:sz w:val="20"/>
                <w:szCs w:val="20"/>
                <w:color w:val="auto"/>
              </w:rPr>
            </w:pPr>
            <w:r>
              <w:rPr>
                <w:rFonts w:ascii="Arial" w:cs="Arial" w:eastAsia="Arial" w:hAnsi="Arial"/>
                <w:sz w:val="18"/>
                <w:szCs w:val="18"/>
                <w:b w:val="1"/>
                <w:bCs w:val="1"/>
                <w:color w:val="auto"/>
              </w:rPr>
              <w:t>2</w:t>
            </w:r>
          </w:p>
        </w:tc>
        <w:tc>
          <w:tcPr>
            <w:tcW w:w="920" w:type="dxa"/>
            <w:vAlign w:val="bottom"/>
          </w:tcPr>
          <w:p>
            <w:pPr>
              <w:spacing w:after="0"/>
              <w:rPr>
                <w:sz w:val="18"/>
                <w:szCs w:val="18"/>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b w:val="1"/>
                <w:bCs w:val="1"/>
                <w:color w:val="auto"/>
              </w:rPr>
              <w:t>1</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91"/>
              <w:spacing w:after="0"/>
              <w:rPr>
                <w:sz w:val="20"/>
                <w:szCs w:val="20"/>
                <w:color w:val="auto"/>
              </w:rPr>
            </w:pPr>
            <w:r>
              <w:rPr>
                <w:rFonts w:ascii="Arial" w:cs="Arial" w:eastAsia="Arial" w:hAnsi="Arial"/>
                <w:sz w:val="18"/>
                <w:szCs w:val="18"/>
                <w:b w:val="1"/>
                <w:bCs w:val="1"/>
                <w:color w:val="auto"/>
              </w:rPr>
              <w:t>155</w:t>
            </w:r>
          </w:p>
        </w:tc>
        <w:tc>
          <w:tcPr>
            <w:tcW w:w="5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91"/>
              </w:rPr>
              <w:t>(1,789)</w:t>
            </w:r>
          </w:p>
        </w:tc>
        <w:tc>
          <w:tcPr>
            <w:tcW w:w="9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1,944</w:t>
            </w: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60" w:type="dxa"/>
            <w:vAlign w:val="bottom"/>
            <w:gridSpan w:val="2"/>
          </w:tcPr>
          <w:p>
            <w:pPr>
              <w:spacing w:after="0"/>
              <w:rPr>
                <w:sz w:val="20"/>
                <w:szCs w:val="20"/>
                <w:color w:val="auto"/>
              </w:rPr>
            </w:pPr>
            <w:r>
              <w:rPr>
                <w:rFonts w:ascii="Arial" w:cs="Arial" w:eastAsia="Arial" w:hAnsi="Arial"/>
                <w:sz w:val="18"/>
                <w:szCs w:val="18"/>
                <w:color w:val="auto"/>
              </w:rPr>
              <w:t>Income before provision for income taxes</w:t>
            </w:r>
          </w:p>
        </w:tc>
        <w:tc>
          <w:tcPr>
            <w:tcW w:w="300" w:type="dxa"/>
            <w:vAlign w:val="bottom"/>
          </w:tcPr>
          <w:p>
            <w:pPr>
              <w:spacing w:after="0"/>
              <w:rPr>
                <w:sz w:val="19"/>
                <w:szCs w:val="19"/>
                <w:color w:val="auto"/>
              </w:rPr>
            </w:pPr>
          </w:p>
        </w:tc>
        <w:tc>
          <w:tcPr>
            <w:tcW w:w="1060" w:type="dxa"/>
            <w:vAlign w:val="bottom"/>
          </w:tcPr>
          <w:p>
            <w:pPr>
              <w:jc w:val="right"/>
              <w:ind w:right="391"/>
              <w:spacing w:after="0"/>
              <w:rPr>
                <w:sz w:val="20"/>
                <w:szCs w:val="20"/>
                <w:color w:val="auto"/>
              </w:rPr>
            </w:pPr>
            <w:r>
              <w:rPr>
                <w:rFonts w:ascii="Arial" w:cs="Arial" w:eastAsia="Arial" w:hAnsi="Arial"/>
                <w:sz w:val="18"/>
                <w:szCs w:val="18"/>
                <w:b w:val="1"/>
                <w:bCs w:val="1"/>
                <w:color w:val="auto"/>
              </w:rPr>
              <w:t>7,876</w:t>
            </w:r>
          </w:p>
        </w:tc>
        <w:tc>
          <w:tcPr>
            <w:tcW w:w="580" w:type="dxa"/>
            <w:vAlign w:val="bottom"/>
          </w:tcPr>
          <w:p>
            <w:pPr>
              <w:spacing w:after="0"/>
              <w:rPr>
                <w:sz w:val="19"/>
                <w:szCs w:val="19"/>
                <w:color w:val="auto"/>
              </w:rPr>
            </w:pPr>
          </w:p>
        </w:tc>
        <w:tc>
          <w:tcPr>
            <w:tcW w:w="640" w:type="dxa"/>
            <w:vAlign w:val="bottom"/>
          </w:tcPr>
          <w:p>
            <w:pPr>
              <w:jc w:val="right"/>
              <w:ind w:right="71"/>
              <w:spacing w:after="0"/>
              <w:rPr>
                <w:sz w:val="20"/>
                <w:szCs w:val="20"/>
                <w:color w:val="auto"/>
              </w:rPr>
            </w:pPr>
            <w:r>
              <w:rPr>
                <w:rFonts w:ascii="Arial" w:cs="Arial" w:eastAsia="Arial" w:hAnsi="Arial"/>
                <w:sz w:val="18"/>
                <w:szCs w:val="18"/>
                <w:b w:val="1"/>
                <w:bCs w:val="1"/>
                <w:color w:val="auto"/>
              </w:rPr>
              <w:t>6,643</w:t>
            </w:r>
          </w:p>
        </w:tc>
        <w:tc>
          <w:tcPr>
            <w:tcW w:w="920" w:type="dxa"/>
            <w:vAlign w:val="bottom"/>
          </w:tcPr>
          <w:p>
            <w:pPr>
              <w:spacing w:after="0"/>
              <w:rPr>
                <w:sz w:val="19"/>
                <w:szCs w:val="19"/>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b w:val="1"/>
                <w:bCs w:val="1"/>
                <w:color w:val="auto"/>
              </w:rPr>
              <w:t>1,233</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91"/>
              <w:spacing w:after="0"/>
              <w:rPr>
                <w:sz w:val="20"/>
                <w:szCs w:val="20"/>
                <w:color w:val="auto"/>
              </w:rPr>
            </w:pPr>
            <w:r>
              <w:rPr>
                <w:rFonts w:ascii="Arial" w:cs="Arial" w:eastAsia="Arial" w:hAnsi="Arial"/>
                <w:sz w:val="18"/>
                <w:szCs w:val="18"/>
                <w:b w:val="1"/>
                <w:bCs w:val="1"/>
                <w:color w:val="auto"/>
              </w:rPr>
              <w:t>2,049</w:t>
            </w:r>
          </w:p>
        </w:tc>
        <w:tc>
          <w:tcPr>
            <w:tcW w:w="5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1,520</w:t>
            </w:r>
          </w:p>
        </w:tc>
        <w:tc>
          <w:tcPr>
            <w:tcW w:w="9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529</w:t>
            </w: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5,827</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5,123</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704</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increased during the second quarter of 2011 from the second quarter of 2010 due to sales growth in the customer end markets we serve.</w:t>
      </w:r>
      <w:r>
        <w:rPr>
          <w:rFonts w:ascii="Arial" w:cs="Arial" w:eastAsia="Arial" w:hAnsi="Arial"/>
          <w:sz w:val="18"/>
          <w:szCs w:val="18"/>
          <w:i w:val="1"/>
          <w:iCs w:val="1"/>
          <w:color w:val="auto"/>
        </w:rPr>
        <w:t xml:space="preserve"> </w:t>
      </w:r>
      <w:r>
        <w:rPr>
          <w:rFonts w:ascii="Arial" w:cs="Arial" w:eastAsia="Arial" w:hAnsi="Arial"/>
          <w:sz w:val="18"/>
          <w:szCs w:val="18"/>
          <w:color w:val="auto"/>
        </w:rPr>
        <w:t>Both automotive and industrial end markets have experienced year over year sales growth due to the overall macroeconomic growth and higher consumer demand. Additionally, sales were higher due to the appreciation in value of Euro denominated sales. However, the growth in sales volume during the second quarter of 2011 was relatively flat compared with the first quarter of 2011. The increase in sales due to price was the result of targeted price increases to our customers across all businesses and product lines. The increase in sales from material inflation pass-through was due to increasing sales prices to our customers to recover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actual material inflation incurred during the second quarter of 2011.</w:t>
      </w:r>
    </w:p>
    <w:p>
      <w:pPr>
        <w:spacing w:after="0" w:line="11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i w:val="1"/>
          <w:iCs w:val="1"/>
          <w:color w:val="auto"/>
        </w:rPr>
        <w:t xml:space="preserve">Cost of Products Sold (exclusive of depreciation). </w:t>
      </w:r>
      <w:r>
        <w:rPr>
          <w:rFonts w:ascii="Arial" w:cs="Arial" w:eastAsia="Arial" w:hAnsi="Arial"/>
          <w:sz w:val="17"/>
          <w:szCs w:val="17"/>
          <w:color w:val="auto"/>
        </w:rPr>
        <w:t>The majority of the increase was due to the sales volume increases discussed above and from the</w:t>
      </w:r>
      <w:r>
        <w:rPr>
          <w:rFonts w:ascii="Arial" w:cs="Arial" w:eastAsia="Arial" w:hAnsi="Arial"/>
          <w:sz w:val="17"/>
          <w:szCs w:val="17"/>
          <w:i w:val="1"/>
          <w:iCs w:val="1"/>
          <w:color w:val="auto"/>
        </w:rPr>
        <w:t xml:space="preserve"> </w:t>
      </w:r>
      <w:r>
        <w:rPr>
          <w:rFonts w:ascii="Arial" w:cs="Arial" w:eastAsia="Arial" w:hAnsi="Arial"/>
          <w:sz w:val="17"/>
          <w:szCs w:val="17"/>
          <w:color w:val="auto"/>
        </w:rPr>
        <w:t>appreciation of Euro denominated costs. Cost of products sold increased $2.0 million due to production inefficiencies and additional incurred costs from starting up production on new multi-year sales programs at our Wellington Plants of the Precision Metal Components Segment (discussed below). Additionally, cost of products sold increased due to specific costs added during the second quarter of 2011 for compensation related costs ($0.7 million), and from higher levels of spending on scheduled repairs and maintenance and for manufacturing supplies ($1.4 million). During the first quarter of 2010, spending was greatly depressed in these areas due to the global recession. Finally, there were one time benefits during the second quarter of 2010 related to credits from a material supplier ($0.4 million) in Europe that did not repeat in the second quarter of 2011.</w:t>
      </w:r>
    </w:p>
    <w:p>
      <w:pPr>
        <w:spacing w:after="0" w:line="7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During the second quarter of 2011, our cost of products sold as a percentage of sales was approximately 81.7%, which is slightly higher than our historical range. The higher cost of products sold was due to operational inefficiencies related to the new sales program start-ups and additional specific costs mentioned above.</w:t>
      </w:r>
    </w:p>
    <w:p>
      <w:pPr>
        <w:spacing w:after="0" w:line="73"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i w:val="1"/>
          <w:iCs w:val="1"/>
          <w:color w:val="auto"/>
        </w:rPr>
        <w:t xml:space="preserve">Selling, General and Administrative. </w:t>
      </w:r>
      <w:r>
        <w:rPr>
          <w:rFonts w:ascii="Arial" w:cs="Arial" w:eastAsia="Arial" w:hAnsi="Arial"/>
          <w:sz w:val="17"/>
          <w:szCs w:val="17"/>
          <w:color w:val="auto"/>
        </w:rPr>
        <w:t>The increase in spending in selling, general and administrative expenses was due to higher incentive compensation at</w:t>
      </w:r>
      <w:r>
        <w:rPr>
          <w:rFonts w:ascii="Arial" w:cs="Arial" w:eastAsia="Arial" w:hAnsi="Arial"/>
          <w:sz w:val="17"/>
          <w:szCs w:val="17"/>
          <w:i w:val="1"/>
          <w:iCs w:val="1"/>
          <w:color w:val="auto"/>
        </w:rPr>
        <w:t xml:space="preserve"> </w:t>
      </w:r>
      <w:r>
        <w:rPr>
          <w:rFonts w:ascii="Arial" w:cs="Arial" w:eastAsia="Arial" w:hAnsi="Arial"/>
          <w:sz w:val="17"/>
          <w:szCs w:val="17"/>
          <w:color w:val="auto"/>
        </w:rPr>
        <w:t>most locations and from the addition of certain key positions at our Precision Metal Segment to support growth in this business.</w:t>
      </w:r>
    </w:p>
    <w:p>
      <w:pPr>
        <w:spacing w:after="0" w:line="38"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The reduction was due to certain assets, which are still in use, at our Pinerolo Plant becoming fully depreciated from the</w:t>
      </w:r>
      <w:r>
        <w:rPr>
          <w:rFonts w:ascii="Arial" w:cs="Arial" w:eastAsia="Arial" w:hAnsi="Arial"/>
          <w:sz w:val="17"/>
          <w:szCs w:val="17"/>
          <w:i w:val="1"/>
          <w:iCs w:val="1"/>
          <w:color w:val="auto"/>
        </w:rPr>
        <w:t xml:space="preserve"> </w:t>
      </w:r>
      <w:r>
        <w:rPr>
          <w:rFonts w:ascii="Arial" w:cs="Arial" w:eastAsia="Arial" w:hAnsi="Arial"/>
          <w:sz w:val="17"/>
          <w:szCs w:val="17"/>
          <w:color w:val="auto"/>
        </w:rPr>
        <w:t>second quarter of 2010 onward and from the elimination of the Tempe Plant depreciation due to ceasing operations in August 2010.</w:t>
      </w:r>
    </w:p>
    <w:p>
      <w:pPr>
        <w:spacing w:after="0" w:line="38"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i w:val="1"/>
          <w:iCs w:val="1"/>
          <w:color w:val="auto"/>
        </w:rPr>
        <w:t xml:space="preserve">Interest Expense. </w:t>
      </w:r>
      <w:r>
        <w:rPr>
          <w:rFonts w:ascii="Arial" w:cs="Arial" w:eastAsia="Arial" w:hAnsi="Arial"/>
          <w:sz w:val="16"/>
          <w:szCs w:val="16"/>
          <w:color w:val="auto"/>
        </w:rPr>
        <w:t>Interest expense was lower primarily due to decreases in the interest rate spread charged on our LIBOR credit facility and our senior notes,</w:t>
      </w:r>
      <w:r>
        <w:rPr>
          <w:rFonts w:ascii="Arial" w:cs="Arial" w:eastAsia="Arial" w:hAnsi="Arial"/>
          <w:sz w:val="16"/>
          <w:szCs w:val="16"/>
          <w:i w:val="1"/>
          <w:iCs w:val="1"/>
          <w:color w:val="auto"/>
        </w:rPr>
        <w:t xml:space="preserve"> </w:t>
      </w:r>
      <w:r>
        <w:rPr>
          <w:rFonts w:ascii="Arial" w:cs="Arial" w:eastAsia="Arial" w:hAnsi="Arial"/>
          <w:sz w:val="16"/>
          <w:szCs w:val="16"/>
          <w:color w:val="auto"/>
        </w:rPr>
        <w:t>partially offset by higher overall debt levels during 2011. These savings were achieved under the new credit agreement entered into in December 2010.</w:t>
      </w:r>
    </w:p>
    <w:p>
      <w:pPr>
        <w:spacing w:after="0" w:line="1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 xml:space="preserve">Restructuring and impairment charges. </w:t>
      </w:r>
      <w:r>
        <w:rPr>
          <w:rFonts w:ascii="Arial" w:cs="Arial" w:eastAsia="Arial" w:hAnsi="Arial"/>
          <w:sz w:val="18"/>
          <w:szCs w:val="18"/>
          <w:color w:val="auto"/>
        </w:rPr>
        <w:t>During the three month period ended June 30, 2010, we incurred $0.7 million in restructuring charges related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closure of our Tempe Plant. (See Note 2 of the Notes to Condensed Consolidated Financial Statements).</w:t>
      </w:r>
    </w:p>
    <w:p>
      <w:pPr>
        <w:spacing w:after="0" w:line="62" w:lineRule="exact"/>
        <w:rPr>
          <w:sz w:val="20"/>
          <w:szCs w:val="20"/>
          <w:color w:val="auto"/>
        </w:rPr>
      </w:pPr>
    </w:p>
    <w:p>
      <w:pPr>
        <w:ind w:right="500"/>
        <w:spacing w:after="0" w:line="286" w:lineRule="auto"/>
        <w:rPr>
          <w:sz w:val="20"/>
          <w:szCs w:val="20"/>
          <w:color w:val="auto"/>
        </w:rPr>
      </w:pPr>
      <w:r>
        <w:rPr>
          <w:rFonts w:ascii="Arial" w:cs="Arial" w:eastAsia="Arial" w:hAnsi="Arial"/>
          <w:sz w:val="17"/>
          <w:szCs w:val="17"/>
          <w:i w:val="1"/>
          <w:iCs w:val="1"/>
          <w:color w:val="auto"/>
        </w:rPr>
        <w:t xml:space="preserve">Other expense (income), net. </w:t>
      </w:r>
      <w:r>
        <w:rPr>
          <w:rFonts w:ascii="Arial" w:cs="Arial" w:eastAsia="Arial" w:hAnsi="Arial"/>
          <w:sz w:val="17"/>
          <w:szCs w:val="17"/>
          <w:color w:val="auto"/>
        </w:rPr>
        <w:t>Included in other expense (income), net, during the three months ended June 30, 2011, was $0.3 million related to foreign</w:t>
      </w:r>
      <w:r>
        <w:rPr>
          <w:rFonts w:ascii="Arial" w:cs="Arial" w:eastAsia="Arial" w:hAnsi="Arial"/>
          <w:sz w:val="17"/>
          <w:szCs w:val="17"/>
          <w:i w:val="1"/>
          <w:iCs w:val="1"/>
          <w:color w:val="auto"/>
        </w:rPr>
        <w:t xml:space="preserve"> </w:t>
      </w:r>
      <w:r>
        <w:rPr>
          <w:rFonts w:ascii="Arial" w:cs="Arial" w:eastAsia="Arial" w:hAnsi="Arial"/>
          <w:sz w:val="17"/>
          <w:szCs w:val="17"/>
          <w:color w:val="auto"/>
        </w:rPr>
        <w:t>exchange losses on inter-company loans. During the three months ended June 30, 2010, inter-company loans generated foreign exchange gains of $1.7 million. The gains and losses are a function of the appreciation or depreciation of the Euro versus the U.S. Dollar.</w:t>
      </w:r>
    </w:p>
    <w:p>
      <w:pPr>
        <w:spacing w:after="0" w:line="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For the three months ended June 30, 2011 and 2010, the difference between the effective tax rates of 26% and 23%, respectively,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was mainly due to accruing tax expense in China and Slovakia for the first time during 2011 as the previous net operating losses for these locations have been fully utilized. (See Note 13 of the Notes to Condensed Consolidated Financial Statements).</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BY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METAL BEARING COMPONENTS SEGMENT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80" w:type="dxa"/>
            <w:vAlign w:val="bottom"/>
            <w:gridSpan w:val="3"/>
          </w:tcPr>
          <w:p>
            <w:pPr>
              <w:jc w:val="right"/>
              <w:ind w:right="2112"/>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566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of Dollars)</w:t>
            </w: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June 30,</w:t>
            </w:r>
          </w:p>
        </w:tc>
        <w:tc>
          <w:tcPr>
            <w:tcW w:w="22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60" w:type="dxa"/>
            <w:vAlign w:val="bottom"/>
            <w:gridSpan w:val="2"/>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16"/>
              <w:spacing w:after="0" w:line="142" w:lineRule="exact"/>
              <w:rPr>
                <w:sz w:val="20"/>
                <w:szCs w:val="20"/>
                <w:color w:val="auto"/>
              </w:rPr>
            </w:pPr>
            <w:r>
              <w:rPr>
                <w:rFonts w:ascii="Arial" w:cs="Arial" w:eastAsia="Arial" w:hAnsi="Arial"/>
                <w:sz w:val="14"/>
                <w:szCs w:val="14"/>
                <w:b w:val="1"/>
                <w:bCs w:val="1"/>
                <w:color w:val="auto"/>
              </w:rPr>
              <w:t>2011</w:t>
            </w:r>
          </w:p>
        </w:tc>
        <w:tc>
          <w:tcPr>
            <w:tcW w:w="5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2010</w:t>
            </w:r>
          </w:p>
        </w:tc>
        <w:tc>
          <w:tcPr>
            <w:tcW w:w="980" w:type="dxa"/>
            <w:vAlign w:val="bottom"/>
            <w:tcBorders>
              <w:bottom w:val="single" w:sz="8" w:color="auto"/>
            </w:tcBorders>
          </w:tcPr>
          <w:p>
            <w:pPr>
              <w:spacing w:after="0"/>
              <w:rPr>
                <w:sz w:val="12"/>
                <w:szCs w:val="12"/>
                <w:color w:val="auto"/>
              </w:rPr>
            </w:pPr>
          </w:p>
        </w:tc>
        <w:tc>
          <w:tcPr>
            <w:tcW w:w="2280" w:type="dxa"/>
            <w:vAlign w:val="bottom"/>
            <w:tcBorders>
              <w:bottom w:val="single" w:sz="8" w:color="auto"/>
            </w:tcBorders>
          </w:tcPr>
          <w:p>
            <w:pPr>
              <w:jc w:val="right"/>
              <w:ind w:right="972"/>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416"/>
              <w:spacing w:after="0"/>
              <w:rPr>
                <w:sz w:val="20"/>
                <w:szCs w:val="20"/>
                <w:color w:val="auto"/>
              </w:rPr>
            </w:pPr>
            <w:r>
              <w:rPr>
                <w:rFonts w:ascii="Arial" w:cs="Arial" w:eastAsia="Arial" w:hAnsi="Arial"/>
                <w:sz w:val="18"/>
                <w:szCs w:val="18"/>
                <w:b w:val="1"/>
                <w:bCs w:val="1"/>
                <w:color w:val="auto"/>
                <w:w w:val="87"/>
              </w:rPr>
              <w:t>84,827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w w:val="87"/>
              </w:rPr>
              <w:t>66,866</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80" w:type="dxa"/>
            <w:vAlign w:val="bottom"/>
            <w:shd w:val="clear" w:color="auto" w:fill="CCEEFF"/>
          </w:tcPr>
          <w:p>
            <w:pPr>
              <w:jc w:val="right"/>
              <w:ind w:right="1692"/>
              <w:spacing w:after="0"/>
              <w:rPr>
                <w:sz w:val="20"/>
                <w:szCs w:val="20"/>
                <w:color w:val="auto"/>
              </w:rPr>
            </w:pPr>
            <w:r>
              <w:rPr>
                <w:rFonts w:ascii="Arial" w:cs="Arial" w:eastAsia="Arial" w:hAnsi="Arial"/>
                <w:sz w:val="18"/>
                <w:szCs w:val="18"/>
                <w:b w:val="1"/>
                <w:bCs w:val="1"/>
                <w:color w:val="auto"/>
                <w:w w:val="87"/>
              </w:rPr>
              <w:t>17,961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200"/>
              <w:spacing w:after="0"/>
              <w:rPr>
                <w:sz w:val="20"/>
                <w:szCs w:val="20"/>
                <w:color w:val="auto"/>
              </w:rPr>
            </w:pPr>
            <w:r>
              <w:rPr>
                <w:rFonts w:ascii="Arial" w:cs="Arial" w:eastAsia="Arial" w:hAnsi="Arial"/>
                <w:sz w:val="18"/>
                <w:szCs w:val="18"/>
                <w:i w:val="1"/>
                <w:iCs w:val="1"/>
                <w:color w:val="auto"/>
              </w:rPr>
              <w:t>Foreign exchange effects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80" w:type="dxa"/>
            <w:vAlign w:val="bottom"/>
          </w:tcPr>
          <w:p>
            <w:pPr>
              <w:jc w:val="right"/>
              <w:ind w:right="212"/>
              <w:spacing w:after="0"/>
              <w:rPr>
                <w:sz w:val="20"/>
                <w:szCs w:val="20"/>
                <w:color w:val="auto"/>
              </w:rPr>
            </w:pPr>
            <w:r>
              <w:rPr>
                <w:rFonts w:ascii="Arial" w:cs="Arial" w:eastAsia="Arial" w:hAnsi="Arial"/>
                <w:sz w:val="18"/>
                <w:szCs w:val="18"/>
                <w:i w:val="1"/>
                <w:iCs w:val="1"/>
                <w:color w:val="auto"/>
              </w:rPr>
              <w:t>6,280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Volume</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80" w:type="dxa"/>
            <w:vAlign w:val="bottom"/>
            <w:shd w:val="clear" w:color="auto" w:fill="CCEEFF"/>
          </w:tcPr>
          <w:p>
            <w:pPr>
              <w:jc w:val="right"/>
              <w:ind w:right="212"/>
              <w:spacing w:after="0"/>
              <w:rPr>
                <w:sz w:val="20"/>
                <w:szCs w:val="20"/>
                <w:color w:val="auto"/>
              </w:rPr>
            </w:pPr>
            <w:r>
              <w:rPr>
                <w:rFonts w:ascii="Arial" w:cs="Arial" w:eastAsia="Arial" w:hAnsi="Arial"/>
                <w:sz w:val="18"/>
                <w:szCs w:val="18"/>
                <w:i w:val="1"/>
                <w:iCs w:val="1"/>
                <w:color w:val="auto"/>
              </w:rPr>
              <w:t>7,416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200"/>
              <w:spacing w:after="0"/>
              <w:rPr>
                <w:sz w:val="20"/>
                <w:szCs w:val="20"/>
                <w:color w:val="auto"/>
              </w:rPr>
            </w:pPr>
            <w:r>
              <w:rPr>
                <w:rFonts w:ascii="Arial" w:cs="Arial" w:eastAsia="Arial" w:hAnsi="Arial"/>
                <w:sz w:val="18"/>
                <w:szCs w:val="18"/>
                <w:i w:val="1"/>
                <w:iCs w:val="1"/>
                <w:color w:val="auto"/>
              </w:rPr>
              <w:t>Price</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80" w:type="dxa"/>
            <w:vAlign w:val="bottom"/>
          </w:tcPr>
          <w:p>
            <w:pPr>
              <w:jc w:val="right"/>
              <w:ind w:right="212"/>
              <w:spacing w:after="0"/>
              <w:rPr>
                <w:sz w:val="20"/>
                <w:szCs w:val="20"/>
                <w:color w:val="auto"/>
              </w:rPr>
            </w:pPr>
            <w:r>
              <w:rPr>
                <w:rFonts w:ascii="Arial" w:cs="Arial" w:eastAsia="Arial" w:hAnsi="Arial"/>
                <w:sz w:val="18"/>
                <w:szCs w:val="18"/>
                <w:i w:val="1"/>
                <w:iCs w:val="1"/>
                <w:color w:val="auto"/>
              </w:rPr>
              <w:t>1,029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Mix</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80" w:type="dxa"/>
            <w:vAlign w:val="bottom"/>
            <w:shd w:val="clear" w:color="auto" w:fill="CCEEFF"/>
          </w:tcPr>
          <w:p>
            <w:pPr>
              <w:jc w:val="right"/>
              <w:ind w:right="212"/>
              <w:spacing w:after="0"/>
              <w:rPr>
                <w:sz w:val="20"/>
                <w:szCs w:val="20"/>
                <w:color w:val="auto"/>
              </w:rPr>
            </w:pPr>
            <w:r>
              <w:rPr>
                <w:rFonts w:ascii="Arial" w:cs="Arial" w:eastAsia="Arial" w:hAnsi="Arial"/>
                <w:sz w:val="18"/>
                <w:szCs w:val="18"/>
                <w:i w:val="1"/>
                <w:iCs w:val="1"/>
                <w:color w:val="auto"/>
              </w:rPr>
              <w:t>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200"/>
              <w:spacing w:after="0"/>
              <w:rPr>
                <w:sz w:val="20"/>
                <w:szCs w:val="20"/>
                <w:color w:val="auto"/>
              </w:rPr>
            </w:pPr>
            <w:r>
              <w:rPr>
                <w:rFonts w:ascii="Arial" w:cs="Arial" w:eastAsia="Arial" w:hAnsi="Arial"/>
                <w:sz w:val="18"/>
                <w:szCs w:val="18"/>
                <w:i w:val="1"/>
                <w:iCs w:val="1"/>
                <w:color w:val="auto"/>
              </w:rPr>
              <w:t>Material inflation pass-through</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80" w:type="dxa"/>
            <w:vAlign w:val="bottom"/>
          </w:tcPr>
          <w:p>
            <w:pPr>
              <w:jc w:val="right"/>
              <w:ind w:right="212"/>
              <w:spacing w:after="0"/>
              <w:rPr>
                <w:sz w:val="20"/>
                <w:szCs w:val="20"/>
                <w:color w:val="auto"/>
              </w:rPr>
            </w:pPr>
            <w:r>
              <w:rPr>
                <w:rFonts w:ascii="Arial" w:cs="Arial" w:eastAsia="Arial" w:hAnsi="Arial"/>
                <w:sz w:val="18"/>
                <w:szCs w:val="18"/>
                <w:i w:val="1"/>
                <w:iCs w:val="1"/>
                <w:color w:val="auto"/>
              </w:rPr>
              <w:t>2,948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Segment net income</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416"/>
              <w:spacing w:after="0"/>
              <w:rPr>
                <w:sz w:val="20"/>
                <w:szCs w:val="20"/>
                <w:color w:val="auto"/>
              </w:rPr>
            </w:pPr>
            <w:r>
              <w:rPr>
                <w:rFonts w:ascii="Arial" w:cs="Arial" w:eastAsia="Arial" w:hAnsi="Arial"/>
                <w:sz w:val="18"/>
                <w:szCs w:val="18"/>
                <w:b w:val="1"/>
                <w:bCs w:val="1"/>
                <w:color w:val="auto"/>
              </w:rPr>
              <w:t>8,898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8,256</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80" w:type="dxa"/>
            <w:vAlign w:val="bottom"/>
            <w:shd w:val="clear" w:color="auto" w:fill="CCEEFF"/>
          </w:tcPr>
          <w:p>
            <w:pPr>
              <w:jc w:val="right"/>
              <w:ind w:right="1692"/>
              <w:spacing w:after="0"/>
              <w:rPr>
                <w:sz w:val="20"/>
                <w:szCs w:val="20"/>
                <w:color w:val="auto"/>
              </w:rPr>
            </w:pPr>
            <w:r>
              <w:rPr>
                <w:rFonts w:ascii="Arial" w:cs="Arial" w:eastAsia="Arial" w:hAnsi="Arial"/>
                <w:sz w:val="18"/>
                <w:szCs w:val="18"/>
                <w:b w:val="1"/>
                <w:bCs w:val="1"/>
                <w:color w:val="auto"/>
              </w:rPr>
              <w:t>642</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The majority of our sales volume increase has been in our core Metal Bearings Component Segment. During the second quarter the majority of our growth was at our U.S. based businesses which serve both domestic and international automotive and industrial markets. During the second quarter, sales volumes were flat at this segment compared to the levels experienced during the first quarter of 2011.</w:t>
      </w:r>
    </w:p>
    <w:p>
      <w:pPr>
        <w:spacing w:after="0" w:line="7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segment net income was impacted primarily by the increase in sales volume and the related production efficiencies and leveraging of fixed production costs. Additionally, the segment net income was higher due to the sales price increases. Finally, the segment results were favorably impacted by the implementation of planned cost reduction projects. The 2010 segment net income included $1.4 million in after-tax foreign exchange gains on certain inter-company loans as discussed above.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PRECISION METAL COMPONENTS SEGMENT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0" w:type="dxa"/>
            <w:vAlign w:val="bottom"/>
            <w:gridSpan w:val="2"/>
          </w:tcPr>
          <w:p>
            <w:pPr>
              <w:jc w:val="right"/>
              <w:ind w:right="2095"/>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570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of Dollars)</w:t>
            </w:r>
          </w:p>
        </w:tc>
        <w:tc>
          <w:tcPr>
            <w:tcW w:w="13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tcPr>
          <w:p>
            <w:pPr>
              <w:jc w:val="right"/>
              <w:ind w:right="2515"/>
              <w:spacing w:after="0"/>
              <w:rPr>
                <w:sz w:val="20"/>
                <w:szCs w:val="20"/>
                <w:color w:val="auto"/>
              </w:rPr>
            </w:pPr>
            <w:r>
              <w:rPr>
                <w:rFonts w:ascii="Arial" w:cs="Arial" w:eastAsia="Arial" w:hAnsi="Arial"/>
                <w:sz w:val="14"/>
                <w:szCs w:val="14"/>
                <w:b w:val="1"/>
                <w:bCs w:val="1"/>
                <w:color w:val="auto"/>
                <w:w w:val="99"/>
              </w:rPr>
              <w:t>June 30,</w:t>
            </w:r>
          </w:p>
        </w:tc>
        <w:tc>
          <w:tcPr>
            <w:tcW w:w="0" w:type="dxa"/>
            <w:vAlign w:val="bottom"/>
          </w:tcPr>
          <w:p>
            <w:pPr>
              <w:spacing w:after="0"/>
              <w:rPr>
                <w:sz w:val="1"/>
                <w:szCs w:val="1"/>
                <w:color w:val="auto"/>
              </w:rPr>
            </w:pPr>
          </w:p>
        </w:tc>
      </w:tr>
      <w:tr>
        <w:trPr>
          <w:trHeight w:val="142"/>
        </w:trPr>
        <w:tc>
          <w:tcPr>
            <w:tcW w:w="5700" w:type="dxa"/>
            <w:vAlign w:val="bottom"/>
            <w:gridSpan w:val="2"/>
            <w:vMerge w:val="continue"/>
          </w:tcPr>
          <w:p>
            <w:pPr>
              <w:spacing w:after="0"/>
              <w:rPr>
                <w:sz w:val="12"/>
                <w:szCs w:val="12"/>
                <w:color w:val="auto"/>
              </w:rPr>
            </w:pPr>
          </w:p>
        </w:tc>
        <w:tc>
          <w:tcPr>
            <w:tcW w:w="1340" w:type="dxa"/>
            <w:vAlign w:val="bottom"/>
            <w:tcBorders>
              <w:bottom w:val="single" w:sz="8" w:color="auto"/>
            </w:tcBorders>
          </w:tcPr>
          <w:p>
            <w:pPr>
              <w:jc w:val="right"/>
              <w:ind w:right="556"/>
              <w:spacing w:after="0" w:line="142" w:lineRule="exact"/>
              <w:rPr>
                <w:sz w:val="20"/>
                <w:szCs w:val="20"/>
                <w:color w:val="auto"/>
              </w:rPr>
            </w:pPr>
            <w:r>
              <w:rPr>
                <w:rFonts w:ascii="Arial" w:cs="Arial" w:eastAsia="Arial" w:hAnsi="Arial"/>
                <w:sz w:val="14"/>
                <w:szCs w:val="14"/>
                <w:b w:val="1"/>
                <w:bCs w:val="1"/>
                <w:color w:val="auto"/>
              </w:rPr>
              <w:t>2011</w:t>
            </w:r>
          </w:p>
        </w:tc>
        <w:tc>
          <w:tcPr>
            <w:tcW w:w="5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2010</w:t>
            </w:r>
          </w:p>
        </w:tc>
        <w:tc>
          <w:tcPr>
            <w:tcW w:w="3180" w:type="dxa"/>
            <w:vAlign w:val="bottom"/>
            <w:tcBorders>
              <w:bottom w:val="single" w:sz="8" w:color="auto"/>
            </w:tcBorders>
          </w:tcPr>
          <w:p>
            <w:pPr>
              <w:jc w:val="right"/>
              <w:ind w:right="935"/>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6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34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$19,534</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w w:val="87"/>
              </w:rPr>
              <w:t>16,017</w:t>
            </w:r>
          </w:p>
        </w:tc>
        <w:tc>
          <w:tcPr>
            <w:tcW w:w="318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$3,517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Arial" w:cs="Arial" w:eastAsia="Arial" w:hAnsi="Arial"/>
                <w:sz w:val="18"/>
                <w:szCs w:val="18"/>
                <w:i w:val="1"/>
                <w:iCs w:val="1"/>
                <w:color w:val="auto"/>
              </w:rPr>
              <w:t>Volume</w:t>
            </w:r>
          </w:p>
        </w:tc>
        <w:tc>
          <w:tcPr>
            <w:tcW w:w="1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180" w:type="dxa"/>
            <w:vAlign w:val="bottom"/>
          </w:tcPr>
          <w:p>
            <w:pPr>
              <w:jc w:val="right"/>
              <w:ind w:right="215"/>
              <w:spacing w:after="0"/>
              <w:rPr>
                <w:sz w:val="20"/>
                <w:szCs w:val="20"/>
                <w:color w:val="auto"/>
              </w:rPr>
            </w:pPr>
            <w:r>
              <w:rPr>
                <w:rFonts w:ascii="Arial" w:cs="Arial" w:eastAsia="Arial" w:hAnsi="Arial"/>
                <w:sz w:val="18"/>
                <w:szCs w:val="18"/>
                <w:i w:val="1"/>
                <w:iCs w:val="1"/>
                <w:color w:val="auto"/>
              </w:rPr>
              <w:t>2,516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Price</w:t>
            </w:r>
          </w:p>
        </w:tc>
        <w:tc>
          <w:tcPr>
            <w:tcW w:w="1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180" w:type="dxa"/>
            <w:vAlign w:val="bottom"/>
            <w:shd w:val="clear" w:color="auto" w:fill="CCEEFF"/>
          </w:tcPr>
          <w:p>
            <w:pPr>
              <w:jc w:val="right"/>
              <w:ind w:right="215"/>
              <w:spacing w:after="0"/>
              <w:rPr>
                <w:sz w:val="20"/>
                <w:szCs w:val="20"/>
                <w:color w:val="auto"/>
              </w:rPr>
            </w:pPr>
            <w:r>
              <w:rPr>
                <w:rFonts w:ascii="Arial" w:cs="Arial" w:eastAsia="Arial" w:hAnsi="Arial"/>
                <w:sz w:val="18"/>
                <w:szCs w:val="18"/>
                <w:i w:val="1"/>
                <w:iCs w:val="1"/>
                <w:color w:val="auto"/>
              </w:rPr>
              <w:t>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Arial" w:cs="Arial" w:eastAsia="Arial" w:hAnsi="Arial"/>
                <w:sz w:val="18"/>
                <w:szCs w:val="18"/>
                <w:i w:val="1"/>
                <w:iCs w:val="1"/>
                <w:color w:val="auto"/>
              </w:rPr>
              <w:t>Material inflation pass-through</w:t>
            </w:r>
          </w:p>
        </w:tc>
        <w:tc>
          <w:tcPr>
            <w:tcW w:w="1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180" w:type="dxa"/>
            <w:vAlign w:val="bottom"/>
          </w:tcPr>
          <w:p>
            <w:pPr>
              <w:jc w:val="right"/>
              <w:ind w:right="215"/>
              <w:spacing w:after="0"/>
              <w:rPr>
                <w:sz w:val="20"/>
                <w:szCs w:val="20"/>
                <w:color w:val="auto"/>
              </w:rPr>
            </w:pPr>
            <w:r>
              <w:rPr>
                <w:rFonts w:ascii="Arial" w:cs="Arial" w:eastAsia="Arial" w:hAnsi="Arial"/>
                <w:sz w:val="18"/>
                <w:szCs w:val="18"/>
                <w:i w:val="1"/>
                <w:iCs w:val="1"/>
                <w:color w:val="auto"/>
              </w:rPr>
              <w:t>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Segment net loss</w:t>
            </w:r>
          </w:p>
        </w:tc>
        <w:tc>
          <w:tcPr>
            <w:tcW w:w="134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 (1,130)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(592)</w:t>
            </w:r>
          </w:p>
        </w:tc>
        <w:tc>
          <w:tcPr>
            <w:tcW w:w="318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 (538)</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majority of the increase in sales at this segment was due to the addition of four new multi-year sales programs. Partially offsetting the volume increases from the new sales programs was volume lost due to ceasing operations at the Tempe Plant during the third quarter of 2010. Additionally sales were higher due to targeted price increases rolled out during early 2011.</w:t>
      </w:r>
    </w:p>
    <w:p>
      <w:pPr>
        <w:spacing w:after="0" w:line="7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segment net loss in the second quarter of 2011 was affected by $2.0 million in operational inefficiencies and additional incurred costs related to ramping up production for four new large multi-year sales programs. We have begun to see reductions in start-up costs on the first major sales program from the levels experienced during the fourth quarter of 2010 and the first quarter of 2011. However, we have begun to incur substantial start-up costs on the other major multi-year sales programs as production of these products began during the first quarter of 2011. The start-up costs for these programs more than offset the benefits from the additional sales volume during the second quarter of 2011.</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PLASTIC AND RUBBER COMPONENTS SEGMENT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20" w:type="dxa"/>
            <w:vAlign w:val="bottom"/>
            <w:gridSpan w:val="3"/>
          </w:tcPr>
          <w:p>
            <w:pPr>
              <w:jc w:val="right"/>
              <w:ind w:right="2113"/>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570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of Dollars)</w:t>
            </w: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June 30,</w:t>
            </w:r>
          </w:p>
        </w:tc>
        <w:tc>
          <w:tcPr>
            <w:tcW w:w="22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00" w:type="dxa"/>
            <w:vAlign w:val="bottom"/>
            <w:gridSpan w:val="2"/>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36"/>
              <w:spacing w:after="0" w:line="142" w:lineRule="exact"/>
              <w:rPr>
                <w:sz w:val="20"/>
                <w:szCs w:val="20"/>
                <w:color w:val="auto"/>
              </w:rPr>
            </w:pPr>
            <w:r>
              <w:rPr>
                <w:rFonts w:ascii="Arial" w:cs="Arial" w:eastAsia="Arial" w:hAnsi="Arial"/>
                <w:sz w:val="14"/>
                <w:szCs w:val="14"/>
                <w:b w:val="1"/>
                <w:bCs w:val="1"/>
                <w:color w:val="auto"/>
              </w:rPr>
              <w:t>2011</w:t>
            </w:r>
          </w:p>
        </w:tc>
        <w:tc>
          <w:tcPr>
            <w:tcW w:w="6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2010</w:t>
            </w:r>
          </w:p>
        </w:tc>
        <w:tc>
          <w:tcPr>
            <w:tcW w:w="1040" w:type="dxa"/>
            <w:vAlign w:val="bottom"/>
            <w:tcBorders>
              <w:bottom w:val="single" w:sz="8" w:color="auto"/>
            </w:tcBorders>
          </w:tcPr>
          <w:p>
            <w:pPr>
              <w:spacing w:after="0"/>
              <w:rPr>
                <w:sz w:val="12"/>
                <w:szCs w:val="12"/>
                <w:color w:val="auto"/>
              </w:rPr>
            </w:pPr>
          </w:p>
        </w:tc>
        <w:tc>
          <w:tcPr>
            <w:tcW w:w="2220" w:type="dxa"/>
            <w:vAlign w:val="bottom"/>
            <w:tcBorders>
              <w:bottom w:val="single" w:sz="8" w:color="auto"/>
            </w:tcBorders>
          </w:tcPr>
          <w:p>
            <w:pPr>
              <w:jc w:val="right"/>
              <w:ind w:right="953"/>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416"/>
              <w:spacing w:after="0"/>
              <w:rPr>
                <w:sz w:val="20"/>
                <w:szCs w:val="20"/>
                <w:color w:val="auto"/>
              </w:rPr>
            </w:pPr>
            <w:r>
              <w:rPr>
                <w:rFonts w:ascii="Arial" w:cs="Arial" w:eastAsia="Arial" w:hAnsi="Arial"/>
                <w:sz w:val="18"/>
                <w:szCs w:val="18"/>
                <w:b w:val="1"/>
                <w:bCs w:val="1"/>
                <w:color w:val="auto"/>
                <w:w w:val="87"/>
              </w:rPr>
              <w:t>11,561</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ind w:right="79"/>
              <w:spacing w:after="0"/>
              <w:rPr>
                <w:sz w:val="20"/>
                <w:szCs w:val="20"/>
                <w:color w:val="auto"/>
              </w:rPr>
            </w:pPr>
            <w:r>
              <w:rPr>
                <w:rFonts w:ascii="Arial" w:cs="Arial" w:eastAsia="Arial" w:hAnsi="Arial"/>
                <w:sz w:val="18"/>
                <w:szCs w:val="18"/>
                <w:b w:val="1"/>
                <w:bCs w:val="1"/>
                <w:color w:val="auto"/>
                <w:w w:val="84"/>
              </w:rPr>
              <w:t>9,810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20" w:type="dxa"/>
            <w:vAlign w:val="bottom"/>
            <w:shd w:val="clear" w:color="auto" w:fill="CCEEFF"/>
          </w:tcPr>
          <w:p>
            <w:pPr>
              <w:jc w:val="right"/>
              <w:ind w:right="1733"/>
              <w:spacing w:after="0"/>
              <w:rPr>
                <w:sz w:val="20"/>
                <w:szCs w:val="20"/>
                <w:color w:val="auto"/>
              </w:rPr>
            </w:pPr>
            <w:r>
              <w:rPr>
                <w:rFonts w:ascii="Arial" w:cs="Arial" w:eastAsia="Arial" w:hAnsi="Arial"/>
                <w:sz w:val="18"/>
                <w:szCs w:val="18"/>
                <w:b w:val="1"/>
                <w:bCs w:val="1"/>
                <w:color w:val="auto"/>
                <w:w w:val="84"/>
              </w:rPr>
              <w:t>1,751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Arial" w:cs="Arial" w:eastAsia="Arial" w:hAnsi="Arial"/>
                <w:sz w:val="18"/>
                <w:szCs w:val="18"/>
                <w:i w:val="1"/>
                <w:iCs w:val="1"/>
                <w:color w:val="auto"/>
              </w:rPr>
              <w:t>Volume</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20" w:type="dxa"/>
            <w:vAlign w:val="bottom"/>
          </w:tcPr>
          <w:p>
            <w:pPr>
              <w:jc w:val="right"/>
              <w:ind w:right="213"/>
              <w:spacing w:after="0"/>
              <w:rPr>
                <w:sz w:val="20"/>
                <w:szCs w:val="20"/>
                <w:color w:val="auto"/>
              </w:rPr>
            </w:pPr>
            <w:r>
              <w:rPr>
                <w:rFonts w:ascii="Arial" w:cs="Arial" w:eastAsia="Arial" w:hAnsi="Arial"/>
                <w:sz w:val="18"/>
                <w:szCs w:val="18"/>
                <w:i w:val="1"/>
                <w:iCs w:val="1"/>
                <w:color w:val="auto"/>
              </w:rPr>
              <w:t>1,197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Price</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20" w:type="dxa"/>
            <w:vAlign w:val="bottom"/>
            <w:shd w:val="clear" w:color="auto" w:fill="CCEEFF"/>
          </w:tcPr>
          <w:p>
            <w:pPr>
              <w:jc w:val="right"/>
              <w:ind w:right="213"/>
              <w:spacing w:after="0"/>
              <w:rPr>
                <w:sz w:val="20"/>
                <w:szCs w:val="20"/>
                <w:color w:val="auto"/>
              </w:rPr>
            </w:pPr>
            <w:r>
              <w:rPr>
                <w:rFonts w:ascii="Arial" w:cs="Arial" w:eastAsia="Arial" w:hAnsi="Arial"/>
                <w:sz w:val="18"/>
                <w:szCs w:val="18"/>
                <w:i w:val="1"/>
                <w:iCs w:val="1"/>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Arial" w:cs="Arial" w:eastAsia="Arial" w:hAnsi="Arial"/>
                <w:sz w:val="18"/>
                <w:szCs w:val="18"/>
                <w:i w:val="1"/>
                <w:iCs w:val="1"/>
                <w:color w:val="auto"/>
              </w:rPr>
              <w:t>Material inflation pass-through</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20" w:type="dxa"/>
            <w:vAlign w:val="bottom"/>
          </w:tcPr>
          <w:p>
            <w:pPr>
              <w:jc w:val="right"/>
              <w:ind w:right="213"/>
              <w:spacing w:after="0"/>
              <w:rPr>
                <w:sz w:val="20"/>
                <w:szCs w:val="20"/>
                <w:color w:val="auto"/>
              </w:rPr>
            </w:pPr>
            <w:r>
              <w:rPr>
                <w:rFonts w:ascii="Arial" w:cs="Arial" w:eastAsia="Arial" w:hAnsi="Arial"/>
                <w:sz w:val="18"/>
                <w:szCs w:val="18"/>
                <w:i w:val="1"/>
                <w:iCs w:val="1"/>
                <w:color w:val="auto"/>
              </w:rPr>
              <w:t>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Segment net income</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416"/>
              <w:spacing w:after="0"/>
              <w:rPr>
                <w:sz w:val="20"/>
                <w:szCs w:val="20"/>
                <w:color w:val="auto"/>
              </w:rPr>
            </w:pPr>
            <w:r>
              <w:rPr>
                <w:rFonts w:ascii="Arial" w:cs="Arial" w:eastAsia="Arial" w:hAnsi="Arial"/>
                <w:sz w:val="18"/>
                <w:szCs w:val="18"/>
                <w:b w:val="1"/>
                <w:bCs w:val="1"/>
                <w:color w:val="auto"/>
              </w:rPr>
              <w:t>918</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ind w:right="79"/>
              <w:spacing w:after="0"/>
              <w:rPr>
                <w:sz w:val="20"/>
                <w:szCs w:val="20"/>
                <w:color w:val="auto"/>
              </w:rPr>
            </w:pPr>
            <w:r>
              <w:rPr>
                <w:rFonts w:ascii="Arial" w:cs="Arial" w:eastAsia="Arial" w:hAnsi="Arial"/>
                <w:sz w:val="18"/>
                <w:szCs w:val="18"/>
                <w:b w:val="1"/>
                <w:bCs w:val="1"/>
                <w:color w:val="auto"/>
              </w:rPr>
              <w:t>750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20" w:type="dxa"/>
            <w:vAlign w:val="bottom"/>
            <w:shd w:val="clear" w:color="auto" w:fill="CCEEFF"/>
          </w:tcPr>
          <w:p>
            <w:pPr>
              <w:jc w:val="right"/>
              <w:ind w:right="1733"/>
              <w:spacing w:after="0"/>
              <w:rPr>
                <w:sz w:val="20"/>
                <w:szCs w:val="20"/>
                <w:color w:val="auto"/>
              </w:rPr>
            </w:pPr>
            <w:r>
              <w:rPr>
                <w:rFonts w:ascii="Arial" w:cs="Arial" w:eastAsia="Arial" w:hAnsi="Arial"/>
                <w:sz w:val="18"/>
                <w:szCs w:val="18"/>
                <w:b w:val="1"/>
                <w:bCs w:val="1"/>
                <w:color w:val="auto"/>
              </w:rPr>
              <w:t>168</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volume increase for this segment was related to increased U.S. automotive end market demand as the economy and consumer demand have returned to more normalized levels.</w:t>
      </w:r>
    </w:p>
    <w:p>
      <w:pPr>
        <w:spacing w:after="0" w:line="6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increase in segment net income for the first quarter of 2011 resulted from the 18% increase in sales and the related operational efficiencies from higher levels of production partially offset by operational inefficiencies due to starting-up a new sales program.</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2011 Compared to the Six Months Ended June 30, 2010</w:t>
      </w:r>
      <w:r>
        <w:rPr>
          <w:rFonts w:ascii="Arial" w:cs="Arial" w:eastAsia="Arial" w:hAnsi="Arial"/>
          <w:sz w:val="18"/>
          <w:szCs w:val="18"/>
          <w:b w:val="1"/>
          <w:bCs w:val="1"/>
          <w:i w:val="1"/>
          <w:iCs w:val="1"/>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 RESULTS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8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of Dollars)</w:t>
            </w:r>
          </w:p>
        </w:tc>
        <w:tc>
          <w:tcPr>
            <w:tcW w:w="3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00" w:type="dxa"/>
            <w:vAlign w:val="bottom"/>
            <w:tcBorders>
              <w:bottom w:val="single" w:sz="8" w:color="auto"/>
            </w:tcBorders>
            <w:gridSpan w:val="4"/>
          </w:tcPr>
          <w:p>
            <w:pPr>
              <w:jc w:val="right"/>
              <w:ind w:right="2300"/>
              <w:spacing w:after="0"/>
              <w:rPr>
                <w:sz w:val="20"/>
                <w:szCs w:val="20"/>
                <w:color w:val="auto"/>
              </w:rPr>
            </w:pPr>
            <w:r>
              <w:rPr>
                <w:rFonts w:ascii="Arial" w:cs="Arial" w:eastAsia="Arial" w:hAnsi="Arial"/>
                <w:sz w:val="14"/>
                <w:szCs w:val="14"/>
                <w:b w:val="1"/>
                <w:bCs w:val="1"/>
                <w:color w:val="auto"/>
              </w:rPr>
              <w:t>Consolidated NN, Inc.</w:t>
            </w:r>
          </w:p>
        </w:tc>
        <w:tc>
          <w:tcPr>
            <w:tcW w:w="0" w:type="dxa"/>
            <w:vAlign w:val="bottom"/>
          </w:tcPr>
          <w:p>
            <w:pPr>
              <w:spacing w:after="0"/>
              <w:rPr>
                <w:sz w:val="1"/>
                <w:szCs w:val="1"/>
                <w:color w:val="auto"/>
              </w:rPr>
            </w:pPr>
          </w:p>
        </w:tc>
      </w:tr>
      <w:tr>
        <w:trPr>
          <w:trHeight w:val="149"/>
        </w:trPr>
        <w:tc>
          <w:tcPr>
            <w:tcW w:w="5480" w:type="dxa"/>
            <w:vAlign w:val="bottom"/>
            <w:gridSpan w:val="2"/>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91"/>
              <w:spacing w:after="0" w:line="142" w:lineRule="exact"/>
              <w:rPr>
                <w:sz w:val="20"/>
                <w:szCs w:val="20"/>
                <w:color w:val="auto"/>
              </w:rPr>
            </w:pPr>
            <w:r>
              <w:rPr>
                <w:rFonts w:ascii="Arial" w:cs="Arial" w:eastAsia="Arial" w:hAnsi="Arial"/>
                <w:sz w:val="14"/>
                <w:szCs w:val="14"/>
                <w:b w:val="1"/>
                <w:bCs w:val="1"/>
                <w:color w:val="auto"/>
              </w:rPr>
              <w:t>2011</w:t>
            </w:r>
          </w:p>
        </w:tc>
        <w:tc>
          <w:tcPr>
            <w:tcW w:w="5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72"/>
              <w:spacing w:after="0" w:line="142" w:lineRule="exact"/>
              <w:rPr>
                <w:sz w:val="20"/>
                <w:szCs w:val="20"/>
                <w:color w:val="auto"/>
              </w:rPr>
            </w:pPr>
            <w:r>
              <w:rPr>
                <w:rFonts w:ascii="Arial" w:cs="Arial" w:eastAsia="Arial" w:hAnsi="Arial"/>
                <w:sz w:val="14"/>
                <w:szCs w:val="14"/>
                <w:b w:val="1"/>
                <w:bCs w:val="1"/>
                <w:color w:val="auto"/>
              </w:rPr>
              <w:t>2010</w:t>
            </w:r>
          </w:p>
        </w:tc>
        <w:tc>
          <w:tcPr>
            <w:tcW w:w="560" w:type="dxa"/>
            <w:vAlign w:val="bottom"/>
            <w:tcBorders>
              <w:bottom w:val="single" w:sz="8" w:color="auto"/>
            </w:tcBorders>
          </w:tcPr>
          <w:p>
            <w:pPr>
              <w:spacing w:after="0"/>
              <w:rPr>
                <w:sz w:val="12"/>
                <w:szCs w:val="12"/>
                <w:color w:val="auto"/>
              </w:rPr>
            </w:pPr>
          </w:p>
        </w:tc>
        <w:tc>
          <w:tcPr>
            <w:tcW w:w="2340" w:type="dxa"/>
            <w:vAlign w:val="bottom"/>
            <w:tcBorders>
              <w:bottom w:val="single" w:sz="8" w:color="auto"/>
            </w:tcBorders>
            <w:gridSpan w:val="2"/>
          </w:tcPr>
          <w:p>
            <w:pPr>
              <w:jc w:val="right"/>
              <w:ind w:right="1080"/>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ind w:right="431"/>
              <w:spacing w:after="0"/>
              <w:rPr>
                <w:sz w:val="20"/>
                <w:szCs w:val="20"/>
                <w:color w:val="auto"/>
              </w:rPr>
            </w:pPr>
            <w:r>
              <w:rPr>
                <w:rFonts w:ascii="Arial" w:cs="Arial" w:eastAsia="Arial" w:hAnsi="Arial"/>
                <w:sz w:val="18"/>
                <w:szCs w:val="18"/>
                <w:b w:val="1"/>
                <w:bCs w:val="1"/>
                <w:color w:val="auto"/>
                <w:w w:val="86"/>
              </w:rPr>
              <w:t>227,229</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ind w:right="412"/>
              <w:spacing w:after="0"/>
              <w:rPr>
                <w:sz w:val="20"/>
                <w:szCs w:val="20"/>
                <w:color w:val="auto"/>
              </w:rPr>
            </w:pPr>
            <w:r>
              <w:rPr>
                <w:rFonts w:ascii="Arial" w:cs="Arial" w:eastAsia="Arial" w:hAnsi="Arial"/>
                <w:sz w:val="18"/>
                <w:szCs w:val="18"/>
                <w:b w:val="1"/>
                <w:bCs w:val="1"/>
                <w:color w:val="auto"/>
                <w:w w:val="89"/>
              </w:rPr>
              <w:t>178,033</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ind w:right="191"/>
              <w:spacing w:after="0"/>
              <w:rPr>
                <w:sz w:val="20"/>
                <w:szCs w:val="20"/>
                <w:color w:val="auto"/>
              </w:rPr>
            </w:pPr>
            <w:r>
              <w:rPr>
                <w:rFonts w:ascii="Arial" w:cs="Arial" w:eastAsia="Arial" w:hAnsi="Arial"/>
                <w:sz w:val="18"/>
                <w:szCs w:val="18"/>
                <w:b w:val="1"/>
                <w:bCs w:val="1"/>
                <w:color w:val="auto"/>
                <w:w w:val="87"/>
              </w:rPr>
              <w:t>49,196</w:t>
            </w: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200"/>
              <w:spacing w:after="0"/>
              <w:rPr>
                <w:sz w:val="20"/>
                <w:szCs w:val="20"/>
                <w:color w:val="auto"/>
              </w:rPr>
            </w:pPr>
            <w:r>
              <w:rPr>
                <w:rFonts w:ascii="Arial" w:cs="Arial" w:eastAsia="Arial" w:hAnsi="Arial"/>
                <w:sz w:val="18"/>
                <w:szCs w:val="18"/>
                <w:i w:val="1"/>
                <w:iCs w:val="1"/>
                <w:color w:val="auto"/>
              </w:rPr>
              <w:t>Foreign exchange effects</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340" w:type="dxa"/>
            <w:vAlign w:val="bottom"/>
            <w:gridSpan w:val="2"/>
          </w:tcPr>
          <w:p>
            <w:pPr>
              <w:jc w:val="right"/>
              <w:ind w:right="300"/>
              <w:spacing w:after="0"/>
              <w:rPr>
                <w:sz w:val="20"/>
                <w:szCs w:val="20"/>
                <w:color w:val="auto"/>
              </w:rPr>
            </w:pPr>
            <w:r>
              <w:rPr>
                <w:rFonts w:ascii="Arial" w:cs="Arial" w:eastAsia="Arial" w:hAnsi="Arial"/>
                <w:sz w:val="18"/>
                <w:szCs w:val="18"/>
                <w:i w:val="1"/>
                <w:iCs w:val="1"/>
                <w:color w:val="auto"/>
              </w:rPr>
              <w:t>6,442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Volume</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i w:val="1"/>
                <w:iCs w:val="1"/>
                <w:color w:val="auto"/>
              </w:rPr>
              <w:t>31,904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200"/>
              <w:spacing w:after="0"/>
              <w:rPr>
                <w:sz w:val="20"/>
                <w:szCs w:val="20"/>
                <w:color w:val="auto"/>
              </w:rPr>
            </w:pPr>
            <w:r>
              <w:rPr>
                <w:rFonts w:ascii="Arial" w:cs="Arial" w:eastAsia="Arial" w:hAnsi="Arial"/>
                <w:sz w:val="18"/>
                <w:szCs w:val="18"/>
                <w:i w:val="1"/>
                <w:iCs w:val="1"/>
                <w:color w:val="auto"/>
              </w:rPr>
              <w:t>Price</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340" w:type="dxa"/>
            <w:vAlign w:val="bottom"/>
            <w:gridSpan w:val="2"/>
          </w:tcPr>
          <w:p>
            <w:pPr>
              <w:jc w:val="right"/>
              <w:ind w:right="300"/>
              <w:spacing w:after="0"/>
              <w:rPr>
                <w:sz w:val="20"/>
                <w:szCs w:val="20"/>
                <w:color w:val="auto"/>
              </w:rPr>
            </w:pPr>
            <w:r>
              <w:rPr>
                <w:rFonts w:ascii="Arial" w:cs="Arial" w:eastAsia="Arial" w:hAnsi="Arial"/>
                <w:sz w:val="18"/>
                <w:szCs w:val="18"/>
                <w:i w:val="1"/>
                <w:iCs w:val="1"/>
                <w:color w:val="auto"/>
              </w:rPr>
              <w:t>3,648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Mix</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i w:val="1"/>
                <w:iCs w:val="1"/>
                <w:color w:val="auto"/>
              </w:rPr>
              <w:t>674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60" w:type="dxa"/>
            <w:vAlign w:val="bottom"/>
          </w:tcPr>
          <w:p>
            <w:pPr>
              <w:ind w:left="200"/>
              <w:spacing w:after="0"/>
              <w:rPr>
                <w:sz w:val="20"/>
                <w:szCs w:val="20"/>
                <w:color w:val="auto"/>
              </w:rPr>
            </w:pPr>
            <w:r>
              <w:rPr>
                <w:rFonts w:ascii="Arial" w:cs="Arial" w:eastAsia="Arial" w:hAnsi="Arial"/>
                <w:sz w:val="18"/>
                <w:szCs w:val="18"/>
                <w:i w:val="1"/>
                <w:iCs w:val="1"/>
                <w:color w:val="auto"/>
              </w:rPr>
              <w:t>Material inflation pass-through</w:t>
            </w: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340" w:type="dxa"/>
            <w:vAlign w:val="bottom"/>
            <w:gridSpan w:val="2"/>
          </w:tcPr>
          <w:p>
            <w:pPr>
              <w:jc w:val="right"/>
              <w:ind w:right="300"/>
              <w:spacing w:after="0"/>
              <w:rPr>
                <w:sz w:val="20"/>
                <w:szCs w:val="20"/>
                <w:color w:val="auto"/>
              </w:rPr>
            </w:pPr>
            <w:r>
              <w:rPr>
                <w:rFonts w:ascii="Arial" w:cs="Arial" w:eastAsia="Arial" w:hAnsi="Arial"/>
                <w:sz w:val="18"/>
                <w:szCs w:val="18"/>
                <w:i w:val="1"/>
                <w:iCs w:val="1"/>
                <w:color w:val="auto"/>
              </w:rPr>
              <w:t>6,528</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Cost of products sold (exclusive of depreciation and amortization</w:t>
            </w:r>
          </w:p>
        </w:tc>
        <w:tc>
          <w:tcPr>
            <w:tcW w:w="30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431"/>
              <w:spacing w:after="0"/>
              <w:rPr>
                <w:sz w:val="20"/>
                <w:szCs w:val="20"/>
                <w:color w:val="auto"/>
              </w:rPr>
            </w:pPr>
            <w:r>
              <w:rPr>
                <w:rFonts w:ascii="Arial" w:cs="Arial" w:eastAsia="Arial" w:hAnsi="Arial"/>
                <w:sz w:val="18"/>
                <w:szCs w:val="18"/>
                <w:b w:val="1"/>
                <w:bCs w:val="1"/>
                <w:color w:val="auto"/>
                <w:w w:val="86"/>
              </w:rPr>
              <w:t>184,955</w:t>
            </w:r>
          </w:p>
        </w:tc>
        <w:tc>
          <w:tcPr>
            <w:tcW w:w="5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412"/>
              <w:spacing w:after="0"/>
              <w:rPr>
                <w:sz w:val="20"/>
                <w:szCs w:val="20"/>
                <w:color w:val="auto"/>
              </w:rPr>
            </w:pPr>
            <w:r>
              <w:rPr>
                <w:rFonts w:ascii="Arial" w:cs="Arial" w:eastAsia="Arial" w:hAnsi="Arial"/>
                <w:sz w:val="18"/>
                <w:szCs w:val="18"/>
                <w:b w:val="1"/>
                <w:bCs w:val="1"/>
                <w:color w:val="auto"/>
                <w:w w:val="89"/>
              </w:rPr>
              <w:t>142,339</w:t>
            </w:r>
          </w:p>
        </w:tc>
        <w:tc>
          <w:tcPr>
            <w:tcW w:w="56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191"/>
              <w:spacing w:after="0"/>
              <w:rPr>
                <w:sz w:val="20"/>
                <w:szCs w:val="20"/>
                <w:color w:val="auto"/>
              </w:rPr>
            </w:pPr>
            <w:r>
              <w:rPr>
                <w:rFonts w:ascii="Arial" w:cs="Arial" w:eastAsia="Arial" w:hAnsi="Arial"/>
                <w:sz w:val="18"/>
                <w:szCs w:val="18"/>
                <w:b w:val="1"/>
                <w:bCs w:val="1"/>
                <w:color w:val="auto"/>
                <w:w w:val="87"/>
              </w:rPr>
              <w:t>42,616</w:t>
            </w: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shown separately below)</w:t>
            </w:r>
          </w:p>
        </w:tc>
        <w:tc>
          <w:tcPr>
            <w:tcW w:w="300" w:type="dxa"/>
            <w:vAlign w:val="bottom"/>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780" w:type="dxa"/>
            <w:vAlign w:val="bottom"/>
            <w:vMerge w:val="continue"/>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200"/>
              <w:spacing w:after="0"/>
              <w:rPr>
                <w:sz w:val="20"/>
                <w:szCs w:val="20"/>
                <w:color w:val="auto"/>
              </w:rPr>
            </w:pPr>
            <w:r>
              <w:rPr>
                <w:rFonts w:ascii="Arial" w:cs="Arial" w:eastAsia="Arial" w:hAnsi="Arial"/>
                <w:sz w:val="18"/>
                <w:szCs w:val="18"/>
                <w:i w:val="1"/>
                <w:iCs w:val="1"/>
                <w:color w:val="auto"/>
              </w:rPr>
              <w:t>Foreign exchange effects</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340" w:type="dxa"/>
            <w:vAlign w:val="bottom"/>
            <w:gridSpan w:val="2"/>
          </w:tcPr>
          <w:p>
            <w:pPr>
              <w:jc w:val="right"/>
              <w:ind w:right="300"/>
              <w:spacing w:after="0"/>
              <w:rPr>
                <w:sz w:val="20"/>
                <w:szCs w:val="20"/>
                <w:color w:val="auto"/>
              </w:rPr>
            </w:pPr>
            <w:r>
              <w:rPr>
                <w:rFonts w:ascii="Arial" w:cs="Arial" w:eastAsia="Arial" w:hAnsi="Arial"/>
                <w:sz w:val="18"/>
                <w:szCs w:val="18"/>
                <w:i w:val="1"/>
                <w:iCs w:val="1"/>
                <w:color w:val="auto"/>
              </w:rPr>
              <w:t>5,798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Volume</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i w:val="1"/>
                <w:iCs w:val="1"/>
                <w:color w:val="auto"/>
              </w:rPr>
              <w:t>22,565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200"/>
              <w:spacing w:after="0"/>
              <w:rPr>
                <w:sz w:val="20"/>
                <w:szCs w:val="20"/>
                <w:color w:val="auto"/>
              </w:rPr>
            </w:pPr>
            <w:r>
              <w:rPr>
                <w:rFonts w:ascii="Arial" w:cs="Arial" w:eastAsia="Arial" w:hAnsi="Arial"/>
                <w:sz w:val="18"/>
                <w:szCs w:val="18"/>
                <w:i w:val="1"/>
                <w:iCs w:val="1"/>
                <w:color w:val="auto"/>
              </w:rPr>
              <w:t>Cost reduction</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340" w:type="dxa"/>
            <w:vAlign w:val="bottom"/>
            <w:gridSpan w:val="2"/>
          </w:tcPr>
          <w:p>
            <w:pPr>
              <w:jc w:val="right"/>
              <w:ind w:right="240"/>
              <w:spacing w:after="0"/>
              <w:rPr>
                <w:sz w:val="20"/>
                <w:szCs w:val="20"/>
                <w:color w:val="auto"/>
              </w:rPr>
            </w:pPr>
            <w:r>
              <w:rPr>
                <w:rFonts w:ascii="Arial" w:cs="Arial" w:eastAsia="Arial" w:hAnsi="Arial"/>
                <w:sz w:val="18"/>
                <w:szCs w:val="18"/>
                <w:i w:val="1"/>
                <w:iCs w:val="1"/>
                <w:color w:val="auto"/>
              </w:rPr>
              <w:t>(3,641)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Mix</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i w:val="1"/>
                <w:iCs w:val="1"/>
                <w:color w:val="auto"/>
              </w:rPr>
              <w:t>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200"/>
              <w:spacing w:after="0"/>
              <w:rPr>
                <w:sz w:val="20"/>
                <w:szCs w:val="20"/>
                <w:color w:val="auto"/>
              </w:rPr>
            </w:pPr>
            <w:r>
              <w:rPr>
                <w:rFonts w:ascii="Arial" w:cs="Arial" w:eastAsia="Arial" w:hAnsi="Arial"/>
                <w:sz w:val="18"/>
                <w:szCs w:val="18"/>
                <w:i w:val="1"/>
                <w:iCs w:val="1"/>
                <w:color w:val="auto"/>
              </w:rPr>
              <w:t>Inflation</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340" w:type="dxa"/>
            <w:vAlign w:val="bottom"/>
            <w:gridSpan w:val="2"/>
          </w:tcPr>
          <w:p>
            <w:pPr>
              <w:jc w:val="right"/>
              <w:ind w:right="300"/>
              <w:spacing w:after="0"/>
              <w:rPr>
                <w:sz w:val="20"/>
                <w:szCs w:val="20"/>
                <w:color w:val="auto"/>
              </w:rPr>
            </w:pPr>
            <w:r>
              <w:rPr>
                <w:rFonts w:ascii="Arial" w:cs="Arial" w:eastAsia="Arial" w:hAnsi="Arial"/>
                <w:sz w:val="18"/>
                <w:szCs w:val="18"/>
                <w:i w:val="1"/>
                <w:iCs w:val="1"/>
                <w:color w:val="auto"/>
              </w:rPr>
              <w:t>8,454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i w:val="1"/>
                <w:iCs w:val="1"/>
                <w:color w:val="auto"/>
              </w:rPr>
              <w:t>New sales program start-up costs and other specific costs</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60" w:type="dxa"/>
            <w:vAlign w:val="bottom"/>
            <w:shd w:val="clear" w:color="auto" w:fill="CCEEFF"/>
          </w:tcPr>
          <w:p>
            <w:pPr>
              <w:ind w:left="400"/>
              <w:spacing w:after="0"/>
              <w:rPr>
                <w:sz w:val="20"/>
                <w:szCs w:val="20"/>
                <w:color w:val="auto"/>
              </w:rPr>
            </w:pPr>
            <w:r>
              <w:rPr>
                <w:rFonts w:ascii="Arial" w:cs="Arial" w:eastAsia="Arial" w:hAnsi="Arial"/>
                <w:sz w:val="18"/>
                <w:szCs w:val="18"/>
                <w:i w:val="1"/>
                <w:iCs w:val="1"/>
                <w:color w:val="auto"/>
              </w:rPr>
              <w:t>increases</w:t>
            </w: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i w:val="1"/>
                <w:iCs w:val="1"/>
                <w:color w:val="auto"/>
              </w:rPr>
              <w:t>8,766</w:t>
            </w:r>
          </w:p>
        </w:tc>
        <w:tc>
          <w:tcPr>
            <w:tcW w:w="0" w:type="dxa"/>
            <w:vAlign w:val="bottom"/>
          </w:tcPr>
          <w:p>
            <w:pPr>
              <w:spacing w:after="0"/>
              <w:rPr>
                <w:sz w:val="1"/>
                <w:szCs w:val="1"/>
                <w:color w:val="auto"/>
              </w:rPr>
            </w:pPr>
          </w:p>
        </w:tc>
      </w:tr>
      <w:tr>
        <w:trPr>
          <w:trHeight w:val="432"/>
        </w:trPr>
        <w:tc>
          <w:tcPr>
            <w:tcW w:w="548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24"/>
                <w:szCs w:val="24"/>
                <w:color w:val="auto"/>
              </w:rPr>
            </w:pPr>
          </w:p>
        </w:tc>
        <w:tc>
          <w:tcPr>
            <w:tcW w:w="1100" w:type="dxa"/>
            <w:vAlign w:val="bottom"/>
          </w:tcPr>
          <w:p>
            <w:pPr>
              <w:jc w:val="right"/>
              <w:ind w:right="431"/>
              <w:spacing w:after="0"/>
              <w:rPr>
                <w:sz w:val="20"/>
                <w:szCs w:val="20"/>
                <w:color w:val="auto"/>
              </w:rPr>
            </w:pPr>
            <w:r>
              <w:rPr>
                <w:rFonts w:ascii="Arial" w:cs="Arial" w:eastAsia="Arial" w:hAnsi="Arial"/>
                <w:sz w:val="18"/>
                <w:szCs w:val="18"/>
                <w:b w:val="1"/>
                <w:bCs w:val="1"/>
                <w:color w:val="auto"/>
              </w:rPr>
              <w:t>15,686</w:t>
            </w:r>
          </w:p>
        </w:tc>
        <w:tc>
          <w:tcPr>
            <w:tcW w:w="540" w:type="dxa"/>
            <w:vAlign w:val="bottom"/>
          </w:tcPr>
          <w:p>
            <w:pPr>
              <w:spacing w:after="0"/>
              <w:rPr>
                <w:sz w:val="24"/>
                <w:szCs w:val="24"/>
                <w:color w:val="auto"/>
              </w:rPr>
            </w:pPr>
          </w:p>
        </w:tc>
        <w:tc>
          <w:tcPr>
            <w:tcW w:w="1100" w:type="dxa"/>
            <w:vAlign w:val="bottom"/>
          </w:tcPr>
          <w:p>
            <w:pPr>
              <w:jc w:val="right"/>
              <w:ind w:right="412"/>
              <w:spacing w:after="0"/>
              <w:rPr>
                <w:sz w:val="20"/>
                <w:szCs w:val="20"/>
                <w:color w:val="auto"/>
              </w:rPr>
            </w:pPr>
            <w:r>
              <w:rPr>
                <w:rFonts w:ascii="Arial" w:cs="Arial" w:eastAsia="Arial" w:hAnsi="Arial"/>
                <w:sz w:val="18"/>
                <w:szCs w:val="18"/>
                <w:b w:val="1"/>
                <w:bCs w:val="1"/>
                <w:color w:val="auto"/>
              </w:rPr>
              <w:t>15,040</w:t>
            </w:r>
          </w:p>
        </w:tc>
        <w:tc>
          <w:tcPr>
            <w:tcW w:w="560" w:type="dxa"/>
            <w:vAlign w:val="bottom"/>
          </w:tcPr>
          <w:p>
            <w:pPr>
              <w:spacing w:after="0"/>
              <w:rPr>
                <w:sz w:val="24"/>
                <w:szCs w:val="24"/>
                <w:color w:val="auto"/>
              </w:rPr>
            </w:pPr>
          </w:p>
        </w:tc>
        <w:tc>
          <w:tcPr>
            <w:tcW w:w="780" w:type="dxa"/>
            <w:vAlign w:val="bottom"/>
          </w:tcPr>
          <w:p>
            <w:pPr>
              <w:jc w:val="right"/>
              <w:ind w:right="211"/>
              <w:spacing w:after="0"/>
              <w:rPr>
                <w:sz w:val="20"/>
                <w:szCs w:val="20"/>
                <w:color w:val="auto"/>
              </w:rPr>
            </w:pPr>
            <w:r>
              <w:rPr>
                <w:rFonts w:ascii="Arial" w:cs="Arial" w:eastAsia="Arial" w:hAnsi="Arial"/>
                <w:sz w:val="18"/>
                <w:szCs w:val="18"/>
                <w:b w:val="1"/>
                <w:bCs w:val="1"/>
                <w:color w:val="auto"/>
              </w:rPr>
              <w:t>646</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Foreign exchange effects</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i w:val="1"/>
                <w:iCs w:val="1"/>
                <w:color w:val="auto"/>
              </w:rPr>
              <w:t>283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60" w:type="dxa"/>
            <w:vAlign w:val="bottom"/>
          </w:tcPr>
          <w:p>
            <w:pPr>
              <w:ind w:left="200"/>
              <w:spacing w:after="0"/>
              <w:rPr>
                <w:sz w:val="20"/>
                <w:szCs w:val="20"/>
                <w:color w:val="auto"/>
              </w:rPr>
            </w:pPr>
            <w:r>
              <w:rPr>
                <w:rFonts w:ascii="Arial" w:cs="Arial" w:eastAsia="Arial" w:hAnsi="Arial"/>
                <w:sz w:val="18"/>
                <w:szCs w:val="18"/>
                <w:i w:val="1"/>
                <w:iCs w:val="1"/>
                <w:color w:val="auto"/>
              </w:rPr>
              <w:t>Increase in spending</w:t>
            </w: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340" w:type="dxa"/>
            <w:vAlign w:val="bottom"/>
            <w:gridSpan w:val="2"/>
          </w:tcPr>
          <w:p>
            <w:pPr>
              <w:jc w:val="right"/>
              <w:ind w:right="300"/>
              <w:spacing w:after="0"/>
              <w:rPr>
                <w:sz w:val="20"/>
                <w:szCs w:val="20"/>
                <w:color w:val="auto"/>
              </w:rPr>
            </w:pPr>
            <w:r>
              <w:rPr>
                <w:rFonts w:ascii="Arial" w:cs="Arial" w:eastAsia="Arial" w:hAnsi="Arial"/>
                <w:sz w:val="18"/>
                <w:szCs w:val="18"/>
                <w:i w:val="1"/>
                <w:iCs w:val="1"/>
                <w:color w:val="auto"/>
              </w:rPr>
              <w:t>363</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31"/>
              <w:spacing w:after="0"/>
              <w:rPr>
                <w:sz w:val="20"/>
                <w:szCs w:val="20"/>
                <w:color w:val="auto"/>
              </w:rPr>
            </w:pPr>
            <w:r>
              <w:rPr>
                <w:rFonts w:ascii="Arial" w:cs="Arial" w:eastAsia="Arial" w:hAnsi="Arial"/>
                <w:sz w:val="18"/>
                <w:szCs w:val="18"/>
                <w:b w:val="1"/>
                <w:bCs w:val="1"/>
                <w:color w:val="auto"/>
              </w:rPr>
              <w:t>8,326</w:t>
            </w: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12"/>
              <w:spacing w:after="0"/>
              <w:rPr>
                <w:sz w:val="20"/>
                <w:szCs w:val="20"/>
                <w:color w:val="auto"/>
              </w:rPr>
            </w:pPr>
            <w:r>
              <w:rPr>
                <w:rFonts w:ascii="Arial" w:cs="Arial" w:eastAsia="Arial" w:hAnsi="Arial"/>
                <w:sz w:val="18"/>
                <w:szCs w:val="18"/>
                <w:b w:val="1"/>
                <w:bCs w:val="1"/>
                <w:color w:val="auto"/>
              </w:rPr>
              <w:t>10,962</w:t>
            </w: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w w:val="91"/>
              </w:rPr>
              <w:t>(2,636)</w:t>
            </w: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200"/>
              <w:spacing w:after="0"/>
              <w:rPr>
                <w:sz w:val="20"/>
                <w:szCs w:val="20"/>
                <w:color w:val="auto"/>
              </w:rPr>
            </w:pPr>
            <w:r>
              <w:rPr>
                <w:rFonts w:ascii="Arial" w:cs="Arial" w:eastAsia="Arial" w:hAnsi="Arial"/>
                <w:sz w:val="18"/>
                <w:szCs w:val="18"/>
                <w:i w:val="1"/>
                <w:iCs w:val="1"/>
                <w:color w:val="auto"/>
              </w:rPr>
              <w:t>Foreign exchange effects</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340" w:type="dxa"/>
            <w:vAlign w:val="bottom"/>
            <w:gridSpan w:val="2"/>
          </w:tcPr>
          <w:p>
            <w:pPr>
              <w:jc w:val="right"/>
              <w:ind w:right="300"/>
              <w:spacing w:after="0"/>
              <w:rPr>
                <w:sz w:val="20"/>
                <w:szCs w:val="20"/>
                <w:color w:val="auto"/>
              </w:rPr>
            </w:pPr>
            <w:r>
              <w:rPr>
                <w:rFonts w:ascii="Arial" w:cs="Arial" w:eastAsia="Arial" w:hAnsi="Arial"/>
                <w:sz w:val="18"/>
                <w:szCs w:val="18"/>
                <w:i w:val="1"/>
                <w:iCs w:val="1"/>
                <w:color w:val="auto"/>
              </w:rPr>
              <w:t>203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i w:val="1"/>
                <w:iCs w:val="1"/>
                <w:color w:val="auto"/>
              </w:rPr>
              <w:t>Accelerated depreciation due to plant closure during 2010 that</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60" w:type="dxa"/>
            <w:vAlign w:val="bottom"/>
            <w:shd w:val="clear" w:color="auto" w:fill="CCEEFF"/>
          </w:tcPr>
          <w:p>
            <w:pPr>
              <w:ind w:left="400"/>
              <w:spacing w:after="0"/>
              <w:rPr>
                <w:sz w:val="20"/>
                <w:szCs w:val="20"/>
                <w:color w:val="auto"/>
              </w:rPr>
            </w:pPr>
            <w:r>
              <w:rPr>
                <w:rFonts w:ascii="Arial" w:cs="Arial" w:eastAsia="Arial" w:hAnsi="Arial"/>
                <w:sz w:val="18"/>
                <w:szCs w:val="18"/>
                <w:i w:val="1"/>
                <w:iCs w:val="1"/>
                <w:color w:val="auto"/>
              </w:rPr>
              <w:t>did not repeat in 2011</w:t>
            </w: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i w:val="1"/>
                <w:iCs w:val="1"/>
                <w:color w:val="auto"/>
              </w:rPr>
              <w:t>(1,000)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60" w:type="dxa"/>
            <w:vAlign w:val="bottom"/>
          </w:tcPr>
          <w:p>
            <w:pPr>
              <w:ind w:left="200"/>
              <w:spacing w:after="0"/>
              <w:rPr>
                <w:sz w:val="20"/>
                <w:szCs w:val="20"/>
                <w:color w:val="auto"/>
              </w:rPr>
            </w:pPr>
            <w:r>
              <w:rPr>
                <w:rFonts w:ascii="Arial" w:cs="Arial" w:eastAsia="Arial" w:hAnsi="Arial"/>
                <w:sz w:val="18"/>
                <w:szCs w:val="18"/>
                <w:i w:val="1"/>
                <w:iCs w:val="1"/>
                <w:color w:val="auto"/>
              </w:rPr>
              <w:t>Elimination of depreciation expense on fully depreciated assets</w:t>
            </w: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340" w:type="dxa"/>
            <w:vAlign w:val="bottom"/>
            <w:gridSpan w:val="2"/>
          </w:tcPr>
          <w:p>
            <w:pPr>
              <w:jc w:val="right"/>
              <w:ind w:right="240"/>
              <w:spacing w:after="0"/>
              <w:rPr>
                <w:sz w:val="20"/>
                <w:szCs w:val="20"/>
                <w:color w:val="auto"/>
              </w:rPr>
            </w:pPr>
            <w:r>
              <w:rPr>
                <w:rFonts w:ascii="Arial" w:cs="Arial" w:eastAsia="Arial" w:hAnsi="Arial"/>
                <w:sz w:val="18"/>
                <w:szCs w:val="18"/>
                <w:i w:val="1"/>
                <w:iCs w:val="1"/>
                <w:color w:val="auto"/>
              </w:rPr>
              <w:t>(1,839)</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impairment charges</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31"/>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12"/>
              <w:spacing w:after="0"/>
              <w:rPr>
                <w:sz w:val="20"/>
                <w:szCs w:val="20"/>
                <w:color w:val="auto"/>
              </w:rPr>
            </w:pPr>
            <w:r>
              <w:rPr>
                <w:rFonts w:ascii="Arial" w:cs="Arial" w:eastAsia="Arial" w:hAnsi="Arial"/>
                <w:sz w:val="18"/>
                <w:szCs w:val="18"/>
                <w:b w:val="1"/>
                <w:bCs w:val="1"/>
                <w:color w:val="auto"/>
              </w:rPr>
              <w:t>1,236</w:t>
            </w: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w w:val="91"/>
              </w:rPr>
              <w:t>(1,236)</w:t>
            </w: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Gain from deconsolidation of bankrupt subsidiary</w:t>
            </w:r>
          </w:p>
        </w:tc>
        <w:tc>
          <w:tcPr>
            <w:tcW w:w="300" w:type="dxa"/>
            <w:vAlign w:val="bottom"/>
          </w:tcPr>
          <w:p>
            <w:pPr>
              <w:spacing w:after="0"/>
              <w:rPr>
                <w:sz w:val="18"/>
                <w:szCs w:val="18"/>
                <w:color w:val="auto"/>
              </w:rPr>
            </w:pPr>
          </w:p>
        </w:tc>
        <w:tc>
          <w:tcPr>
            <w:tcW w:w="1100" w:type="dxa"/>
            <w:vAlign w:val="bottom"/>
          </w:tcPr>
          <w:p>
            <w:pPr>
              <w:jc w:val="right"/>
              <w:ind w:right="371"/>
              <w:spacing w:after="0"/>
              <w:rPr>
                <w:sz w:val="20"/>
                <w:szCs w:val="20"/>
                <w:color w:val="auto"/>
              </w:rPr>
            </w:pPr>
            <w:r>
              <w:rPr>
                <w:rFonts w:ascii="Arial" w:cs="Arial" w:eastAsia="Arial" w:hAnsi="Arial"/>
                <w:sz w:val="18"/>
                <w:szCs w:val="18"/>
                <w:b w:val="1"/>
                <w:bCs w:val="1"/>
                <w:color w:val="auto"/>
              </w:rPr>
              <w:t>(209)</w:t>
            </w:r>
          </w:p>
        </w:tc>
        <w:tc>
          <w:tcPr>
            <w:tcW w:w="540" w:type="dxa"/>
            <w:vAlign w:val="bottom"/>
          </w:tcPr>
          <w:p>
            <w:pPr>
              <w:spacing w:after="0"/>
              <w:rPr>
                <w:sz w:val="18"/>
                <w:szCs w:val="18"/>
                <w:color w:val="auto"/>
              </w:rPr>
            </w:pPr>
          </w:p>
        </w:tc>
        <w:tc>
          <w:tcPr>
            <w:tcW w:w="1100" w:type="dxa"/>
            <w:vAlign w:val="bottom"/>
          </w:tcPr>
          <w:p>
            <w:pPr>
              <w:jc w:val="right"/>
              <w:ind w:right="412"/>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spacing w:after="0"/>
              <w:rPr>
                <w:sz w:val="18"/>
                <w:szCs w:val="18"/>
                <w:color w:val="auto"/>
              </w:rPr>
            </w:pPr>
          </w:p>
        </w:tc>
        <w:tc>
          <w:tcPr>
            <w:tcW w:w="780" w:type="dxa"/>
            <w:vAlign w:val="bottom"/>
          </w:tcPr>
          <w:p>
            <w:pPr>
              <w:jc w:val="right"/>
              <w:ind w:right="151"/>
              <w:spacing w:after="0"/>
              <w:rPr>
                <w:sz w:val="20"/>
                <w:szCs w:val="20"/>
                <w:color w:val="auto"/>
              </w:rPr>
            </w:pPr>
            <w:r>
              <w:rPr>
                <w:rFonts w:ascii="Arial" w:cs="Arial" w:eastAsia="Arial" w:hAnsi="Arial"/>
                <w:sz w:val="18"/>
                <w:szCs w:val="18"/>
                <w:b w:val="1"/>
                <w:bCs w:val="1"/>
                <w:color w:val="auto"/>
              </w:rPr>
              <w:t>(209)</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31"/>
              <w:spacing w:after="0"/>
              <w:rPr>
                <w:sz w:val="20"/>
                <w:szCs w:val="20"/>
                <w:color w:val="auto"/>
              </w:rPr>
            </w:pPr>
            <w:r>
              <w:rPr>
                <w:rFonts w:ascii="Arial" w:cs="Arial" w:eastAsia="Arial" w:hAnsi="Arial"/>
                <w:sz w:val="18"/>
                <w:szCs w:val="18"/>
                <w:b w:val="1"/>
                <w:bCs w:val="1"/>
                <w:color w:val="auto"/>
              </w:rPr>
              <w:t>2,444</w:t>
            </w: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12"/>
              <w:spacing w:after="0"/>
              <w:rPr>
                <w:sz w:val="20"/>
                <w:szCs w:val="20"/>
                <w:color w:val="auto"/>
              </w:rPr>
            </w:pPr>
            <w:r>
              <w:rPr>
                <w:rFonts w:ascii="Arial" w:cs="Arial" w:eastAsia="Arial" w:hAnsi="Arial"/>
                <w:sz w:val="18"/>
                <w:szCs w:val="18"/>
                <w:b w:val="1"/>
                <w:bCs w:val="1"/>
                <w:color w:val="auto"/>
              </w:rPr>
              <w:t>3,483</w:t>
            </w: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w w:val="91"/>
              </w:rPr>
              <w:t>(1,039)</w:t>
            </w: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(Gain) loss on disposal of assets</w:t>
            </w:r>
          </w:p>
        </w:tc>
        <w:tc>
          <w:tcPr>
            <w:tcW w:w="300" w:type="dxa"/>
            <w:vAlign w:val="bottom"/>
          </w:tcPr>
          <w:p>
            <w:pPr>
              <w:spacing w:after="0"/>
              <w:rPr>
                <w:sz w:val="18"/>
                <w:szCs w:val="18"/>
                <w:color w:val="auto"/>
              </w:rPr>
            </w:pPr>
          </w:p>
        </w:tc>
        <w:tc>
          <w:tcPr>
            <w:tcW w:w="1100" w:type="dxa"/>
            <w:vAlign w:val="bottom"/>
          </w:tcPr>
          <w:p>
            <w:pPr>
              <w:jc w:val="right"/>
              <w:ind w:right="431"/>
              <w:spacing w:after="0"/>
              <w:rPr>
                <w:sz w:val="20"/>
                <w:szCs w:val="20"/>
                <w:color w:val="auto"/>
              </w:rPr>
            </w:pPr>
            <w:r>
              <w:rPr>
                <w:rFonts w:ascii="Arial" w:cs="Arial" w:eastAsia="Arial" w:hAnsi="Arial"/>
                <w:sz w:val="18"/>
                <w:szCs w:val="18"/>
                <w:b w:val="1"/>
                <w:bCs w:val="1"/>
                <w:color w:val="auto"/>
              </w:rPr>
              <w:t>3</w:t>
            </w:r>
          </w:p>
        </w:tc>
        <w:tc>
          <w:tcPr>
            <w:tcW w:w="540" w:type="dxa"/>
            <w:vAlign w:val="bottom"/>
          </w:tcPr>
          <w:p>
            <w:pPr>
              <w:spacing w:after="0"/>
              <w:rPr>
                <w:sz w:val="18"/>
                <w:szCs w:val="18"/>
                <w:color w:val="auto"/>
              </w:rPr>
            </w:pPr>
          </w:p>
        </w:tc>
        <w:tc>
          <w:tcPr>
            <w:tcW w:w="1100" w:type="dxa"/>
            <w:vAlign w:val="bottom"/>
          </w:tcPr>
          <w:p>
            <w:pPr>
              <w:jc w:val="right"/>
              <w:ind w:right="412"/>
              <w:spacing w:after="0"/>
              <w:rPr>
                <w:sz w:val="20"/>
                <w:szCs w:val="20"/>
                <w:color w:val="auto"/>
              </w:rPr>
            </w:pPr>
            <w:r>
              <w:rPr>
                <w:rFonts w:ascii="Arial" w:cs="Arial" w:eastAsia="Arial" w:hAnsi="Arial"/>
                <w:sz w:val="18"/>
                <w:szCs w:val="18"/>
                <w:b w:val="1"/>
                <w:bCs w:val="1"/>
                <w:color w:val="auto"/>
              </w:rPr>
              <w:t>3</w:t>
            </w:r>
          </w:p>
        </w:tc>
        <w:tc>
          <w:tcPr>
            <w:tcW w:w="560" w:type="dxa"/>
            <w:vAlign w:val="bottom"/>
          </w:tcPr>
          <w:p>
            <w:pPr>
              <w:spacing w:after="0"/>
              <w:rPr>
                <w:sz w:val="18"/>
                <w:szCs w:val="18"/>
                <w:color w:val="auto"/>
              </w:rPr>
            </w:pPr>
          </w:p>
        </w:tc>
        <w:tc>
          <w:tcPr>
            <w:tcW w:w="2340" w:type="dxa"/>
            <w:vAlign w:val="bottom"/>
            <w:gridSpan w:val="2"/>
          </w:tcPr>
          <w:p>
            <w:pPr>
              <w:jc w:val="right"/>
              <w:ind w:right="18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Write-off of unamortized debt issuance cost</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31"/>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12"/>
              <w:spacing w:after="0"/>
              <w:rPr>
                <w:sz w:val="20"/>
                <w:szCs w:val="20"/>
                <w:color w:val="auto"/>
              </w:rPr>
            </w:pPr>
            <w:r>
              <w:rPr>
                <w:rFonts w:ascii="Arial" w:cs="Arial" w:eastAsia="Arial" w:hAnsi="Arial"/>
                <w:sz w:val="18"/>
                <w:szCs w:val="18"/>
                <w:b w:val="1"/>
                <w:bCs w:val="1"/>
                <w:color w:val="auto"/>
              </w:rPr>
              <w:t>130</w:t>
            </w: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(130)</w:t>
            </w: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1,191</w:t>
            </w: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(2,977)</w:t>
            </w:r>
          </w:p>
        </w:tc>
        <w:tc>
          <w:tcPr>
            <w:tcW w:w="5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4,168</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31"/>
              <w:spacing w:after="0"/>
              <w:rPr>
                <w:sz w:val="20"/>
                <w:szCs w:val="20"/>
                <w:color w:val="auto"/>
              </w:rPr>
            </w:pPr>
            <w:r>
              <w:rPr>
                <w:rFonts w:ascii="Arial" w:cs="Arial" w:eastAsia="Arial" w:hAnsi="Arial"/>
                <w:sz w:val="18"/>
                <w:szCs w:val="18"/>
                <w:b w:val="1"/>
                <w:bCs w:val="1"/>
                <w:color w:val="auto"/>
              </w:rPr>
              <w:t>14,833</w:t>
            </w: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12"/>
              <w:spacing w:after="0"/>
              <w:rPr>
                <w:sz w:val="20"/>
                <w:szCs w:val="20"/>
                <w:color w:val="auto"/>
              </w:rPr>
            </w:pPr>
            <w:r>
              <w:rPr>
                <w:rFonts w:ascii="Arial" w:cs="Arial" w:eastAsia="Arial" w:hAnsi="Arial"/>
                <w:sz w:val="18"/>
                <w:szCs w:val="18"/>
                <w:b w:val="1"/>
                <w:bCs w:val="1"/>
                <w:color w:val="auto"/>
              </w:rPr>
              <w:t>7,817</w:t>
            </w: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11"/>
              <w:spacing w:after="0"/>
              <w:rPr>
                <w:sz w:val="20"/>
                <w:szCs w:val="20"/>
                <w:color w:val="auto"/>
              </w:rPr>
            </w:pPr>
            <w:r>
              <w:rPr>
                <w:rFonts w:ascii="Arial" w:cs="Arial" w:eastAsia="Arial" w:hAnsi="Arial"/>
                <w:sz w:val="18"/>
                <w:szCs w:val="18"/>
                <w:b w:val="1"/>
                <w:bCs w:val="1"/>
                <w:color w:val="auto"/>
              </w:rPr>
              <w:t>7,016</w:t>
            </w: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3,499</w:t>
            </w: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2,469</w:t>
            </w:r>
          </w:p>
        </w:tc>
        <w:tc>
          <w:tcPr>
            <w:tcW w:w="5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1,030</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shd w:val="clear" w:color="auto" w:fill="CCEEFF"/>
          </w:tcPr>
          <w:p>
            <w:pPr>
              <w:jc w:val="right"/>
              <w:ind w:right="431"/>
              <w:spacing w:after="0"/>
              <w:rPr>
                <w:sz w:val="20"/>
                <w:szCs w:val="20"/>
                <w:color w:val="auto"/>
              </w:rPr>
            </w:pPr>
            <w:r>
              <w:rPr>
                <w:rFonts w:ascii="Arial" w:cs="Arial" w:eastAsia="Arial" w:hAnsi="Arial"/>
                <w:sz w:val="18"/>
                <w:szCs w:val="18"/>
                <w:b w:val="1"/>
                <w:bCs w:val="1"/>
                <w:color w:val="auto"/>
              </w:rPr>
              <w:t>11,334</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8"/>
                <w:szCs w:val="18"/>
                <w:b w:val="1"/>
                <w:bCs w:val="1"/>
                <w:color w:val="auto"/>
              </w:rPr>
              <w:t>5,348</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b w:val="1"/>
                <w:bCs w:val="1"/>
                <w:color w:val="auto"/>
              </w:rPr>
              <w:t>5,986</w:t>
            </w: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increased during the first half of 2011 from the first half of 2010 due to sales growth in the customer end markets we serve. Both</w:t>
      </w:r>
      <w:r>
        <w:rPr>
          <w:rFonts w:ascii="Arial" w:cs="Arial" w:eastAsia="Arial" w:hAnsi="Arial"/>
          <w:sz w:val="18"/>
          <w:szCs w:val="18"/>
          <w:i w:val="1"/>
          <w:iCs w:val="1"/>
          <w:color w:val="auto"/>
        </w:rPr>
        <w:t xml:space="preserve"> </w:t>
      </w:r>
      <w:r>
        <w:rPr>
          <w:rFonts w:ascii="Arial" w:cs="Arial" w:eastAsia="Arial" w:hAnsi="Arial"/>
          <w:sz w:val="18"/>
          <w:szCs w:val="18"/>
          <w:color w:val="auto"/>
        </w:rPr>
        <w:t>automotive and industrial end markets have experienced strong year over year sales growth due to the overall macro-economic growth and higher consumer demand. The increase in sales due to price was the result of targeted price increases to our customers across all businesses and product lines. The increase in sales from material inflation pass-through was due to increasing sales prices to our customers to recover actual material inflation incurred during the first half of 2011.</w:t>
      </w:r>
    </w:p>
    <w:p>
      <w:pPr>
        <w:spacing w:after="0" w:line="8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 xml:space="preserve">Cost of Products Sold (exclusive of depreciation). </w:t>
      </w:r>
      <w:r>
        <w:rPr>
          <w:rFonts w:ascii="Arial" w:cs="Arial" w:eastAsia="Arial" w:hAnsi="Arial"/>
          <w:sz w:val="18"/>
          <w:szCs w:val="18"/>
          <w:color w:val="auto"/>
        </w:rPr>
        <w:t>The majority of the increase was due to the same sales volume increases discussed above. Cost of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sold increased $4.5 million due to production inefficiencies and additional incurred costs from starting up production on new multi-year sales programs at our Wellington Plants of the Precision Metal Components Segment (discussed below). Additionally, cost of products sold increased due to specific costs added during the first half of 2011 for incentive compensation and compensation related costs ($1.4 million), and from higher levels of spending on scheduled repairs and maintenance and for manufacturing supplies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($2.0 million). During the first half of 2010, spending was greatly depressed in these areas due to the global recession. Finally, there were various one time benefits during the first half of 2010 related to labor concessions and credits from a material supplier (totaling $1.0 million) in Europe that did not repeat in the first half of 2011.</w:t>
      </w:r>
    </w:p>
    <w:p>
      <w:pPr>
        <w:spacing w:after="0" w:line="73"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During the first half of 2011, our cost of products sold as a percentage of sales was approximately 81.4%, which is slightly higher than our historical range. The higher cost of products sold was due to operational inefficiencies related to the new sales program start-ups and additional specific costs mentioned above.</w:t>
      </w:r>
    </w:p>
    <w:p>
      <w:pPr>
        <w:spacing w:after="0" w:line="7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i w:val="1"/>
          <w:iCs w:val="1"/>
          <w:color w:val="auto"/>
        </w:rPr>
        <w:t xml:space="preserve">Selling, General and Administrative. </w:t>
      </w:r>
      <w:r>
        <w:rPr>
          <w:rFonts w:ascii="Arial" w:cs="Arial" w:eastAsia="Arial" w:hAnsi="Arial"/>
          <w:sz w:val="18"/>
          <w:szCs w:val="18"/>
          <w:color w:val="auto"/>
        </w:rPr>
        <w:t>The increase in spending in selling, general and administrative expenses was due to the addition of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that was not in place during 2010 and from the addition of certain key positions at our Precision Metal Components Segment to support growth in this business.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A large portion of the decrease in depreciation and amortization expense was due to the accelerated depreciation of</w:t>
      </w:r>
    </w:p>
    <w:p>
      <w:pPr>
        <w:spacing w:after="0" w:line="3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$1.0 million on certain fixed assets at our Tempe Plant during the first quarter of 2010, which did not repeat during 2011, and the elimination of the Tempe Plant depreciation from the 2011 expense due to ceasing operations in August 2010. The remainder of the reduction was due to certain assets, which are still in use, at our Pinerolo Plant becoming fully depreciated from the second quarter of 2010 onward.</w:t>
      </w:r>
    </w:p>
    <w:p>
      <w:pPr>
        <w:spacing w:after="0" w:line="82"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i w:val="1"/>
          <w:iCs w:val="1"/>
          <w:color w:val="auto"/>
        </w:rPr>
        <w:t xml:space="preserve">Interest Expense. </w:t>
      </w:r>
      <w:r>
        <w:rPr>
          <w:rFonts w:ascii="Arial" w:cs="Arial" w:eastAsia="Arial" w:hAnsi="Arial"/>
          <w:sz w:val="16"/>
          <w:szCs w:val="16"/>
          <w:color w:val="auto"/>
        </w:rPr>
        <w:t>Interest expense was lower primarily due to decreases in the interest rate spread charged on our LIBOR credit facility and our senior notes</w:t>
      </w:r>
      <w:r>
        <w:rPr>
          <w:rFonts w:ascii="Arial" w:cs="Arial" w:eastAsia="Arial" w:hAnsi="Arial"/>
          <w:sz w:val="16"/>
          <w:szCs w:val="16"/>
          <w:i w:val="1"/>
          <w:iCs w:val="1"/>
          <w:color w:val="auto"/>
        </w:rPr>
        <w:t xml:space="preserve"> </w:t>
      </w:r>
      <w:r>
        <w:rPr>
          <w:rFonts w:ascii="Arial" w:cs="Arial" w:eastAsia="Arial" w:hAnsi="Arial"/>
          <w:sz w:val="16"/>
          <w:szCs w:val="16"/>
          <w:color w:val="auto"/>
        </w:rPr>
        <w:t>partially offset by higher overall debt levels during 2011. These savings were achieved under the new credit agreement entered into in December 2010.</w:t>
      </w:r>
    </w:p>
    <w:p>
      <w:pPr>
        <w:spacing w:after="0" w:line="1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color w:val="auto"/>
        </w:rPr>
        <w:t xml:space="preserve">Restructuring and impairment charges. </w:t>
      </w:r>
      <w:r>
        <w:rPr>
          <w:rFonts w:ascii="Arial" w:cs="Arial" w:eastAsia="Arial" w:hAnsi="Arial"/>
          <w:sz w:val="18"/>
          <w:szCs w:val="18"/>
          <w:color w:val="auto"/>
        </w:rPr>
        <w:t>During the six month period ended June 30, 2010, we incurred $1.2 million in restructuring charges related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closure of our Tempe Plant. (See Note 2 of the Notes to Condensed Consolidated Financial Statements).</w:t>
      </w:r>
    </w:p>
    <w:p>
      <w:pPr>
        <w:spacing w:after="0" w:line="6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i w:val="1"/>
          <w:iCs w:val="1"/>
          <w:color w:val="auto"/>
        </w:rPr>
        <w:t xml:space="preserve">Other expense (income), net. </w:t>
      </w:r>
      <w:r>
        <w:rPr>
          <w:rFonts w:ascii="Arial" w:cs="Arial" w:eastAsia="Arial" w:hAnsi="Arial"/>
          <w:sz w:val="18"/>
          <w:szCs w:val="18"/>
          <w:color w:val="auto"/>
        </w:rPr>
        <w:t>Included in other expense (income), net, during the six months ended June 30, 2011, was $1.1 million related to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losses on inter-company loans. During the six months ended June 30, 2010, inter-company loans generated foreign exchange gains of $2.8 million. The gains and losses are a function of the appreciation or depreciation of the Euro versus the U.S. Dollar.</w:t>
      </w:r>
    </w:p>
    <w:p>
      <w:pPr>
        <w:spacing w:after="0" w:line="73"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i w:val="1"/>
          <w:iCs w:val="1"/>
          <w:color w:val="auto"/>
        </w:rPr>
        <w:t xml:space="preserve">Provision for income taxes. </w:t>
      </w:r>
      <w:r>
        <w:rPr>
          <w:rFonts w:ascii="Arial" w:cs="Arial" w:eastAsia="Arial" w:hAnsi="Arial"/>
          <w:sz w:val="17"/>
          <w:szCs w:val="17"/>
          <w:color w:val="auto"/>
        </w:rPr>
        <w:t>For the six months ended June 30, 2011 and 2010, the difference between the effective tax rates of 24% and 32%, respectively,</w:t>
      </w:r>
      <w:r>
        <w:rPr>
          <w:rFonts w:ascii="Arial" w:cs="Arial" w:eastAsia="Arial" w:hAnsi="Arial"/>
          <w:sz w:val="17"/>
          <w:szCs w:val="17"/>
          <w:i w:val="1"/>
          <w:iCs w:val="1"/>
          <w:color w:val="auto"/>
        </w:rPr>
        <w:t xml:space="preserve"> </w:t>
      </w:r>
      <w:r>
        <w:rPr>
          <w:rFonts w:ascii="Arial" w:cs="Arial" w:eastAsia="Arial" w:hAnsi="Arial"/>
          <w:sz w:val="17"/>
          <w:szCs w:val="17"/>
          <w:color w:val="auto"/>
        </w:rPr>
        <w:t>was mainly due to the 2011 tax rate being reduced from a greater portion of non-U.S. earnings being taxed at lower rates and from recognizing tax benefits related to the Eltmann deconsolidation. (See Note 13 of the Notes to Condensed Consolidated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BY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METAL BEARING COMPONENTS SEGMENT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40" w:type="dxa"/>
            <w:vAlign w:val="bottom"/>
            <w:gridSpan w:val="2"/>
          </w:tcPr>
          <w:p>
            <w:pPr>
              <w:jc w:val="right"/>
              <w:spacing w:after="0"/>
              <w:rPr>
                <w:sz w:val="20"/>
                <w:szCs w:val="20"/>
                <w:color w:val="auto"/>
              </w:rPr>
            </w:pPr>
            <w:r>
              <w:rPr>
                <w:rFonts w:ascii="Arial" w:cs="Arial" w:eastAsia="Arial" w:hAnsi="Arial"/>
                <w:sz w:val="14"/>
                <w:szCs w:val="14"/>
                <w:b w:val="1"/>
                <w:bCs w:val="1"/>
                <w:color w:val="auto"/>
              </w:rPr>
              <w:t>Six months ended</w:t>
            </w: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50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of Dollars)</w:t>
            </w: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w w:val="89"/>
              </w:rPr>
              <w:t>June 30,</w:t>
            </w:r>
          </w:p>
        </w:tc>
        <w:tc>
          <w:tcPr>
            <w:tcW w:w="2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00" w:type="dxa"/>
            <w:vAlign w:val="bottom"/>
            <w:gridSpan w:val="2"/>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56"/>
              <w:spacing w:after="0" w:line="142" w:lineRule="exact"/>
              <w:rPr>
                <w:sz w:val="20"/>
                <w:szCs w:val="20"/>
                <w:color w:val="auto"/>
              </w:rPr>
            </w:pPr>
            <w:r>
              <w:rPr>
                <w:rFonts w:ascii="Arial" w:cs="Arial" w:eastAsia="Arial" w:hAnsi="Arial"/>
                <w:sz w:val="14"/>
                <w:szCs w:val="14"/>
                <w:b w:val="1"/>
                <w:bCs w:val="1"/>
                <w:color w:val="auto"/>
              </w:rPr>
              <w:t>2011</w:t>
            </w:r>
          </w:p>
        </w:tc>
        <w:tc>
          <w:tcPr>
            <w:tcW w:w="5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2010</w:t>
            </w:r>
          </w:p>
        </w:tc>
        <w:tc>
          <w:tcPr>
            <w:tcW w:w="900" w:type="dxa"/>
            <w:vAlign w:val="bottom"/>
            <w:tcBorders>
              <w:bottom w:val="single" w:sz="8" w:color="auto"/>
            </w:tcBorders>
          </w:tcPr>
          <w:p>
            <w:pPr>
              <w:spacing w:after="0"/>
              <w:rPr>
                <w:sz w:val="12"/>
                <w:szCs w:val="12"/>
                <w:color w:val="auto"/>
              </w:rPr>
            </w:pPr>
          </w:p>
        </w:tc>
        <w:tc>
          <w:tcPr>
            <w:tcW w:w="2320" w:type="dxa"/>
            <w:vAlign w:val="bottom"/>
            <w:tcBorders>
              <w:bottom w:val="single" w:sz="8" w:color="auto"/>
            </w:tcBorders>
          </w:tcPr>
          <w:p>
            <w:pPr>
              <w:jc w:val="right"/>
              <w:ind w:right="992"/>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396"/>
              <w:spacing w:after="0"/>
              <w:rPr>
                <w:sz w:val="20"/>
                <w:szCs w:val="20"/>
                <w:color w:val="auto"/>
              </w:rPr>
            </w:pPr>
            <w:r>
              <w:rPr>
                <w:rFonts w:ascii="Arial" w:cs="Arial" w:eastAsia="Arial" w:hAnsi="Arial"/>
                <w:sz w:val="18"/>
                <w:szCs w:val="18"/>
                <w:b w:val="1"/>
                <w:bCs w:val="1"/>
                <w:color w:val="auto"/>
                <w:w w:val="89"/>
              </w:rPr>
              <w:t>168,609</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8"/>
                <w:szCs w:val="18"/>
                <w:b w:val="1"/>
                <w:bCs w:val="1"/>
                <w:color w:val="auto"/>
                <w:w w:val="86"/>
              </w:rPr>
              <w:t>128,889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320" w:type="dxa"/>
            <w:vAlign w:val="bottom"/>
            <w:shd w:val="clear" w:color="auto" w:fill="CCEEFF"/>
          </w:tcPr>
          <w:p>
            <w:pPr>
              <w:jc w:val="right"/>
              <w:ind w:right="1732"/>
              <w:spacing w:after="0"/>
              <w:rPr>
                <w:sz w:val="20"/>
                <w:szCs w:val="20"/>
                <w:color w:val="auto"/>
              </w:rPr>
            </w:pPr>
            <w:r>
              <w:rPr>
                <w:rFonts w:ascii="Arial" w:cs="Arial" w:eastAsia="Arial" w:hAnsi="Arial"/>
                <w:sz w:val="18"/>
                <w:szCs w:val="18"/>
                <w:b w:val="1"/>
                <w:bCs w:val="1"/>
                <w:color w:val="auto"/>
                <w:w w:val="87"/>
              </w:rPr>
              <w:t>39,720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i w:val="1"/>
                <w:iCs w:val="1"/>
                <w:color w:val="auto"/>
              </w:rPr>
              <w:t>Foreign exchange effects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320" w:type="dxa"/>
            <w:vAlign w:val="bottom"/>
          </w:tcPr>
          <w:p>
            <w:pPr>
              <w:jc w:val="right"/>
              <w:ind w:right="192"/>
              <w:spacing w:after="0"/>
              <w:rPr>
                <w:sz w:val="20"/>
                <w:szCs w:val="20"/>
                <w:color w:val="auto"/>
              </w:rPr>
            </w:pPr>
            <w:r>
              <w:rPr>
                <w:rFonts w:ascii="Arial" w:cs="Arial" w:eastAsia="Arial" w:hAnsi="Arial"/>
                <w:sz w:val="18"/>
                <w:szCs w:val="18"/>
                <w:i w:val="1"/>
                <w:iCs w:val="1"/>
                <w:color w:val="auto"/>
              </w:rPr>
              <w:t>6,442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Volume</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320" w:type="dxa"/>
            <w:vAlign w:val="bottom"/>
            <w:shd w:val="clear" w:color="auto" w:fill="CCEEFF"/>
          </w:tcPr>
          <w:p>
            <w:pPr>
              <w:jc w:val="right"/>
              <w:ind w:right="192"/>
              <w:spacing w:after="0"/>
              <w:rPr>
                <w:sz w:val="20"/>
                <w:szCs w:val="20"/>
                <w:color w:val="auto"/>
              </w:rPr>
            </w:pPr>
            <w:r>
              <w:rPr>
                <w:rFonts w:ascii="Arial" w:cs="Arial" w:eastAsia="Arial" w:hAnsi="Arial"/>
                <w:sz w:val="18"/>
                <w:szCs w:val="18"/>
                <w:i w:val="1"/>
                <w:iCs w:val="1"/>
                <w:color w:val="auto"/>
              </w:rPr>
              <w:t>24,759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i w:val="1"/>
                <w:iCs w:val="1"/>
                <w:color w:val="auto"/>
              </w:rPr>
              <w:t>Price</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320" w:type="dxa"/>
            <w:vAlign w:val="bottom"/>
          </w:tcPr>
          <w:p>
            <w:pPr>
              <w:jc w:val="right"/>
              <w:ind w:right="192"/>
              <w:spacing w:after="0"/>
              <w:rPr>
                <w:sz w:val="20"/>
                <w:szCs w:val="20"/>
                <w:color w:val="auto"/>
              </w:rPr>
            </w:pPr>
            <w:r>
              <w:rPr>
                <w:rFonts w:ascii="Arial" w:cs="Arial" w:eastAsia="Arial" w:hAnsi="Arial"/>
                <w:sz w:val="18"/>
                <w:szCs w:val="18"/>
                <w:i w:val="1"/>
                <w:iCs w:val="1"/>
                <w:color w:val="auto"/>
              </w:rPr>
              <w:t>2,284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Mix</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320" w:type="dxa"/>
            <w:vAlign w:val="bottom"/>
            <w:shd w:val="clear" w:color="auto" w:fill="CCEEFF"/>
          </w:tcPr>
          <w:p>
            <w:pPr>
              <w:jc w:val="right"/>
              <w:ind w:right="192"/>
              <w:spacing w:after="0"/>
              <w:rPr>
                <w:sz w:val="20"/>
                <w:szCs w:val="20"/>
                <w:color w:val="auto"/>
              </w:rPr>
            </w:pPr>
            <w:r>
              <w:rPr>
                <w:rFonts w:ascii="Arial" w:cs="Arial" w:eastAsia="Arial" w:hAnsi="Arial"/>
                <w:sz w:val="18"/>
                <w:szCs w:val="18"/>
                <w:i w:val="1"/>
                <w:iCs w:val="1"/>
                <w:color w:val="auto"/>
              </w:rPr>
              <w:t>674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tcPr>
          <w:p>
            <w:pPr>
              <w:ind w:left="200"/>
              <w:spacing w:after="0"/>
              <w:rPr>
                <w:sz w:val="20"/>
                <w:szCs w:val="20"/>
                <w:color w:val="auto"/>
              </w:rPr>
            </w:pPr>
            <w:r>
              <w:rPr>
                <w:rFonts w:ascii="Arial" w:cs="Arial" w:eastAsia="Arial" w:hAnsi="Arial"/>
                <w:sz w:val="18"/>
                <w:szCs w:val="18"/>
                <w:i w:val="1"/>
                <w:iCs w:val="1"/>
                <w:color w:val="auto"/>
              </w:rPr>
              <w:t>Material inflation pass-through</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320" w:type="dxa"/>
            <w:vAlign w:val="bottom"/>
          </w:tcPr>
          <w:p>
            <w:pPr>
              <w:jc w:val="right"/>
              <w:ind w:right="192"/>
              <w:spacing w:after="0"/>
              <w:rPr>
                <w:sz w:val="20"/>
                <w:szCs w:val="20"/>
                <w:color w:val="auto"/>
              </w:rPr>
            </w:pPr>
            <w:r>
              <w:rPr>
                <w:rFonts w:ascii="Arial" w:cs="Arial" w:eastAsia="Arial" w:hAnsi="Arial"/>
                <w:sz w:val="18"/>
                <w:szCs w:val="18"/>
                <w:i w:val="1"/>
                <w:iCs w:val="1"/>
                <w:color w:val="auto"/>
              </w:rPr>
              <w:t>5,561</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Segment net income</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396"/>
              <w:spacing w:after="0"/>
              <w:rPr>
                <w:sz w:val="20"/>
                <w:szCs w:val="20"/>
                <w:color w:val="auto"/>
              </w:rPr>
            </w:pPr>
            <w:r>
              <w:rPr>
                <w:rFonts w:ascii="Arial" w:cs="Arial" w:eastAsia="Arial" w:hAnsi="Arial"/>
                <w:sz w:val="18"/>
                <w:szCs w:val="18"/>
                <w:b w:val="1"/>
                <w:bCs w:val="1"/>
                <w:color w:val="auto"/>
              </w:rPr>
              <w:t>18,729</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8"/>
                <w:szCs w:val="18"/>
                <w:b w:val="1"/>
                <w:bCs w:val="1"/>
                <w:color w:val="auto"/>
              </w:rPr>
              <w:t>13,290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320" w:type="dxa"/>
            <w:vAlign w:val="bottom"/>
            <w:shd w:val="clear" w:color="auto" w:fill="CCEEFF"/>
          </w:tcPr>
          <w:p>
            <w:pPr>
              <w:jc w:val="right"/>
              <w:ind w:right="1732"/>
              <w:spacing w:after="0"/>
              <w:rPr>
                <w:sz w:val="20"/>
                <w:szCs w:val="20"/>
                <w:color w:val="auto"/>
              </w:rPr>
            </w:pPr>
            <w:r>
              <w:rPr>
                <w:rFonts w:ascii="Arial" w:cs="Arial" w:eastAsia="Arial" w:hAnsi="Arial"/>
                <w:sz w:val="18"/>
                <w:szCs w:val="18"/>
                <w:b w:val="1"/>
                <w:bCs w:val="1"/>
                <w:color w:val="auto"/>
              </w:rPr>
              <w:t>5,439</w:t>
            </w:r>
          </w:p>
        </w:tc>
        <w:tc>
          <w:tcPr>
            <w:tcW w:w="0" w:type="dxa"/>
            <w:vAlign w:val="bottom"/>
          </w:tcPr>
          <w:p>
            <w:pPr>
              <w:spacing w:after="0"/>
              <w:rPr>
                <w:sz w:val="1"/>
                <w:szCs w:val="1"/>
                <w:color w:val="auto"/>
              </w:rPr>
            </w:pPr>
          </w:p>
        </w:tc>
      </w:tr>
      <w:tr>
        <w:trPr>
          <w:trHeight w:val="324"/>
        </w:trPr>
        <w:tc>
          <w:tcPr>
            <w:tcW w:w="8200" w:type="dxa"/>
            <w:vAlign w:val="bottom"/>
            <w:gridSpan w:val="6"/>
          </w:tcPr>
          <w:p>
            <w:pPr>
              <w:spacing w:after="0"/>
              <w:rPr>
                <w:sz w:val="20"/>
                <w:szCs w:val="20"/>
                <w:color w:val="auto"/>
              </w:rPr>
            </w:pPr>
            <w:r>
              <w:rPr>
                <w:rFonts w:ascii="Arial" w:cs="Arial" w:eastAsia="Arial" w:hAnsi="Arial"/>
                <w:sz w:val="18"/>
                <w:szCs w:val="18"/>
                <w:color w:val="auto"/>
                <w:w w:val="90"/>
              </w:rPr>
              <w:t>The majority of our sales volume increase has been in our core Metal Bearings Component Segment. This growth</w:t>
            </w:r>
          </w:p>
        </w:tc>
        <w:tc>
          <w:tcPr>
            <w:tcW w:w="9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20</w:t>
            </w: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4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23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has been across all geographic regions and all end markets served, principally automotive and industrial. However, sales volume did not grow incrementally from the first quarter of 2011 primarily due to lower sales to a specific customer in Western Europe.</w:t>
      </w:r>
    </w:p>
    <w:p>
      <w:pPr>
        <w:spacing w:after="0" w:line="6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segment net income was impacted primarily by the large increase in sales volume and the related production efficiencies and leveraging of fixed production costs. The impact of fixed costs and related leveraging of production capacity is significant in this segment because a large portion of our installed capacity is in Western Europe, where labor cost is semi-variable. Additionally, the segment results were favorably impacted by the implementation of planned cost reduction projects. The 2010 segment net income included $2.2 million in after-tax foreign exchange gains on certain inter-company loans as discussed above.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PRECISION METAL COMPONENTS SEGMENT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360" w:type="dxa"/>
            <w:vAlign w:val="bottom"/>
            <w:gridSpan w:val="2"/>
          </w:tcPr>
          <w:p>
            <w:pPr>
              <w:jc w:val="right"/>
              <w:ind w:right="2175"/>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70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of Dollars)</w:t>
            </w:r>
          </w:p>
        </w:tc>
        <w:tc>
          <w:tcPr>
            <w:tcW w:w="1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tcPr>
          <w:p>
            <w:pPr>
              <w:jc w:val="right"/>
              <w:ind w:right="2515"/>
              <w:spacing w:after="0"/>
              <w:rPr>
                <w:sz w:val="20"/>
                <w:szCs w:val="20"/>
                <w:color w:val="auto"/>
              </w:rPr>
            </w:pPr>
            <w:r>
              <w:rPr>
                <w:rFonts w:ascii="Arial" w:cs="Arial" w:eastAsia="Arial" w:hAnsi="Arial"/>
                <w:sz w:val="14"/>
                <w:szCs w:val="14"/>
                <w:b w:val="1"/>
                <w:bCs w:val="1"/>
                <w:color w:val="auto"/>
                <w:w w:val="99"/>
              </w:rPr>
              <w:t>June 30,</w:t>
            </w:r>
          </w:p>
        </w:tc>
        <w:tc>
          <w:tcPr>
            <w:tcW w:w="0" w:type="dxa"/>
            <w:vAlign w:val="bottom"/>
          </w:tcPr>
          <w:p>
            <w:pPr>
              <w:spacing w:after="0"/>
              <w:rPr>
                <w:sz w:val="1"/>
                <w:szCs w:val="1"/>
                <w:color w:val="auto"/>
              </w:rPr>
            </w:pPr>
          </w:p>
        </w:tc>
      </w:tr>
      <w:tr>
        <w:trPr>
          <w:trHeight w:val="142"/>
        </w:trPr>
        <w:tc>
          <w:tcPr>
            <w:tcW w:w="5700" w:type="dxa"/>
            <w:vAlign w:val="bottom"/>
            <w:gridSpan w:val="2"/>
            <w:vMerge w:val="continue"/>
          </w:tcPr>
          <w:p>
            <w:pPr>
              <w:spacing w:after="0"/>
              <w:rPr>
                <w:sz w:val="12"/>
                <w:szCs w:val="12"/>
                <w:color w:val="auto"/>
              </w:rPr>
            </w:pPr>
          </w:p>
        </w:tc>
        <w:tc>
          <w:tcPr>
            <w:tcW w:w="1360" w:type="dxa"/>
            <w:vAlign w:val="bottom"/>
            <w:tcBorders>
              <w:bottom w:val="single" w:sz="8" w:color="auto"/>
            </w:tcBorders>
          </w:tcPr>
          <w:p>
            <w:pPr>
              <w:jc w:val="right"/>
              <w:ind w:right="576"/>
              <w:spacing w:after="0" w:line="142" w:lineRule="exact"/>
              <w:rPr>
                <w:sz w:val="20"/>
                <w:szCs w:val="20"/>
                <w:color w:val="auto"/>
              </w:rPr>
            </w:pPr>
            <w:r>
              <w:rPr>
                <w:rFonts w:ascii="Arial" w:cs="Arial" w:eastAsia="Arial" w:hAnsi="Arial"/>
                <w:sz w:val="14"/>
                <w:szCs w:val="14"/>
                <w:b w:val="1"/>
                <w:bCs w:val="1"/>
                <w:color w:val="auto"/>
              </w:rPr>
              <w:t>2011</w:t>
            </w:r>
          </w:p>
        </w:tc>
        <w:tc>
          <w:tcPr>
            <w:tcW w:w="1180" w:type="dxa"/>
            <w:vAlign w:val="bottom"/>
            <w:tcBorders>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2010</w:t>
            </w:r>
          </w:p>
        </w:tc>
        <w:tc>
          <w:tcPr>
            <w:tcW w:w="3180" w:type="dxa"/>
            <w:vAlign w:val="bottom"/>
            <w:tcBorders>
              <w:bottom w:val="single" w:sz="8" w:color="auto"/>
            </w:tcBorders>
          </w:tcPr>
          <w:p>
            <w:pPr>
              <w:jc w:val="right"/>
              <w:ind w:right="935"/>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6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36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$35,936</w:t>
            </w:r>
          </w:p>
        </w:tc>
        <w:tc>
          <w:tcPr>
            <w:tcW w:w="118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$29,611</w:t>
            </w:r>
          </w:p>
        </w:tc>
        <w:tc>
          <w:tcPr>
            <w:tcW w:w="318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$6,325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Arial" w:cs="Arial" w:eastAsia="Arial" w:hAnsi="Arial"/>
                <w:sz w:val="18"/>
                <w:szCs w:val="18"/>
                <w:i w:val="1"/>
                <w:iCs w:val="1"/>
                <w:color w:val="auto"/>
              </w:rPr>
              <w:t>Volume</w:t>
            </w:r>
          </w:p>
        </w:tc>
        <w:tc>
          <w:tcPr>
            <w:tcW w:w="1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180" w:type="dxa"/>
            <w:vAlign w:val="bottom"/>
          </w:tcPr>
          <w:p>
            <w:pPr>
              <w:jc w:val="right"/>
              <w:ind w:right="215"/>
              <w:spacing w:after="0"/>
              <w:rPr>
                <w:sz w:val="20"/>
                <w:szCs w:val="20"/>
                <w:color w:val="auto"/>
              </w:rPr>
            </w:pPr>
            <w:r>
              <w:rPr>
                <w:rFonts w:ascii="Arial" w:cs="Arial" w:eastAsia="Arial" w:hAnsi="Arial"/>
                <w:sz w:val="18"/>
                <w:szCs w:val="18"/>
                <w:i w:val="1"/>
                <w:iCs w:val="1"/>
                <w:color w:val="auto"/>
              </w:rPr>
              <w:t>5,074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Price/Mix</w:t>
            </w:r>
          </w:p>
        </w:tc>
        <w:tc>
          <w:tcPr>
            <w:tcW w:w="1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180" w:type="dxa"/>
            <w:vAlign w:val="bottom"/>
            <w:shd w:val="clear" w:color="auto" w:fill="CCEEFF"/>
          </w:tcPr>
          <w:p>
            <w:pPr>
              <w:jc w:val="right"/>
              <w:ind w:right="215"/>
              <w:spacing w:after="0"/>
              <w:rPr>
                <w:sz w:val="20"/>
                <w:szCs w:val="20"/>
                <w:color w:val="auto"/>
              </w:rPr>
            </w:pPr>
            <w:r>
              <w:rPr>
                <w:rFonts w:ascii="Arial" w:cs="Arial" w:eastAsia="Arial" w:hAnsi="Arial"/>
                <w:sz w:val="18"/>
                <w:szCs w:val="18"/>
                <w:i w:val="1"/>
                <w:iCs w:val="1"/>
                <w:color w:val="auto"/>
              </w:rPr>
              <w:t>967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80" w:type="dxa"/>
            <w:vAlign w:val="bottom"/>
          </w:tcPr>
          <w:p>
            <w:pPr>
              <w:ind w:left="200"/>
              <w:spacing w:after="0"/>
              <w:rPr>
                <w:sz w:val="20"/>
                <w:szCs w:val="20"/>
                <w:color w:val="auto"/>
              </w:rPr>
            </w:pPr>
            <w:r>
              <w:rPr>
                <w:rFonts w:ascii="Arial" w:cs="Arial" w:eastAsia="Arial" w:hAnsi="Arial"/>
                <w:sz w:val="18"/>
                <w:szCs w:val="18"/>
                <w:i w:val="1"/>
                <w:iCs w:val="1"/>
                <w:color w:val="auto"/>
              </w:rPr>
              <w:t>Material inflation pass-through</w:t>
            </w:r>
          </w:p>
        </w:tc>
        <w:tc>
          <w:tcPr>
            <w:tcW w:w="1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180" w:type="dxa"/>
            <w:vAlign w:val="bottom"/>
          </w:tcPr>
          <w:p>
            <w:pPr>
              <w:jc w:val="right"/>
              <w:ind w:right="215"/>
              <w:spacing w:after="0"/>
              <w:rPr>
                <w:sz w:val="20"/>
                <w:szCs w:val="20"/>
                <w:color w:val="auto"/>
              </w:rPr>
            </w:pPr>
            <w:r>
              <w:rPr>
                <w:rFonts w:ascii="Arial" w:cs="Arial" w:eastAsia="Arial" w:hAnsi="Arial"/>
                <w:sz w:val="18"/>
                <w:szCs w:val="18"/>
                <w:i w:val="1"/>
                <w:iCs w:val="1"/>
                <w:color w:val="auto"/>
              </w:rPr>
              <w:t>284</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6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Segment net loss</w:t>
            </w:r>
          </w:p>
        </w:tc>
        <w:tc>
          <w:tcPr>
            <w:tcW w:w="136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 (3,338)</w:t>
            </w:r>
          </w:p>
        </w:tc>
        <w:tc>
          <w:tcPr>
            <w:tcW w:w="118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w w:val="94"/>
              </w:rPr>
              <w:t>$ (2,499)</w:t>
            </w:r>
          </w:p>
        </w:tc>
        <w:tc>
          <w:tcPr>
            <w:tcW w:w="318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 (839)</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 majority of the increase in sales at this segment was due to the addition of four new multi-year sales programs. Partially offsetting the volume increases from the new sales programs was volume lost due to ceasing operations at the Tempe Plant during the third quarter of 2010.</w:t>
      </w:r>
    </w:p>
    <w:p>
      <w:pPr>
        <w:spacing w:after="0" w:line="38" w:lineRule="exact"/>
        <w:rPr>
          <w:sz w:val="20"/>
          <w:szCs w:val="20"/>
          <w:color w:val="auto"/>
        </w:rPr>
      </w:pPr>
    </w:p>
    <w:p>
      <w:pPr>
        <w:jc w:val="both"/>
        <w:ind w:right="280"/>
        <w:spacing w:after="0" w:line="257" w:lineRule="auto"/>
        <w:rPr>
          <w:sz w:val="20"/>
          <w:szCs w:val="20"/>
          <w:color w:val="auto"/>
        </w:rPr>
      </w:pPr>
      <w:r>
        <w:rPr>
          <w:rFonts w:ascii="Arial" w:cs="Arial" w:eastAsia="Arial" w:hAnsi="Arial"/>
          <w:sz w:val="18"/>
          <w:szCs w:val="18"/>
          <w:color w:val="auto"/>
        </w:rPr>
        <w:t>The segment net loss in the first half of 2011 was affected by $4.5 million in operational inefficiencies and additional incurred costs related to ramping up production for four new large multi-year sales programs. We have begun to see reductions in start-up costs on the first major sales program from the levels experienced during the fourth quarter of 2010. However, we have begun to incur substantial start-up costs on the other major multi-year sales programs as production of these products began during the first quarter of 2011. The start-up costs for these programs more than offset the benefits from the additional sales volume during 2011.</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PLASTIC AND RUBBER COMPONENTS SEGMENT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b w:val="1"/>
                <w:bCs w:val="1"/>
                <w:color w:val="auto"/>
              </w:rPr>
              <w:t>Six months ended</w:t>
            </w: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70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of Dollars)</w:t>
            </w: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June 30,</w:t>
            </w:r>
          </w:p>
        </w:tc>
        <w:tc>
          <w:tcPr>
            <w:tcW w:w="2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00" w:type="dxa"/>
            <w:vAlign w:val="bottom"/>
            <w:gridSpan w:val="2"/>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36"/>
              <w:spacing w:after="0" w:line="142" w:lineRule="exact"/>
              <w:rPr>
                <w:sz w:val="20"/>
                <w:szCs w:val="20"/>
                <w:color w:val="auto"/>
              </w:rPr>
            </w:pPr>
            <w:r>
              <w:rPr>
                <w:rFonts w:ascii="Arial" w:cs="Arial" w:eastAsia="Arial" w:hAnsi="Arial"/>
                <w:sz w:val="14"/>
                <w:szCs w:val="14"/>
                <w:b w:val="1"/>
                <w:bCs w:val="1"/>
                <w:color w:val="auto"/>
              </w:rPr>
              <w:t>2011</w:t>
            </w:r>
          </w:p>
        </w:tc>
        <w:tc>
          <w:tcPr>
            <w:tcW w:w="6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2010</w:t>
            </w:r>
          </w:p>
        </w:tc>
        <w:tc>
          <w:tcPr>
            <w:tcW w:w="1020" w:type="dxa"/>
            <w:vAlign w:val="bottom"/>
            <w:tcBorders>
              <w:bottom w:val="single" w:sz="8" w:color="auto"/>
            </w:tcBorders>
          </w:tcPr>
          <w:p>
            <w:pPr>
              <w:spacing w:after="0"/>
              <w:rPr>
                <w:sz w:val="12"/>
                <w:szCs w:val="12"/>
                <w:color w:val="auto"/>
              </w:rPr>
            </w:pPr>
          </w:p>
        </w:tc>
        <w:tc>
          <w:tcPr>
            <w:tcW w:w="2200" w:type="dxa"/>
            <w:vAlign w:val="bottom"/>
            <w:tcBorders>
              <w:bottom w:val="single" w:sz="8" w:color="auto"/>
            </w:tcBorders>
          </w:tcPr>
          <w:p>
            <w:pPr>
              <w:jc w:val="right"/>
              <w:ind w:right="933"/>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416"/>
              <w:spacing w:after="0"/>
              <w:rPr>
                <w:sz w:val="20"/>
                <w:szCs w:val="20"/>
                <w:color w:val="auto"/>
              </w:rPr>
            </w:pPr>
            <w:r>
              <w:rPr>
                <w:rFonts w:ascii="Arial" w:cs="Arial" w:eastAsia="Arial" w:hAnsi="Arial"/>
                <w:sz w:val="18"/>
                <w:szCs w:val="18"/>
                <w:b w:val="1"/>
                <w:bCs w:val="1"/>
                <w:color w:val="auto"/>
                <w:w w:val="87"/>
              </w:rPr>
              <w:t>22,684</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19,533</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0" w:type="dxa"/>
            <w:vAlign w:val="bottom"/>
            <w:shd w:val="clear" w:color="auto" w:fill="CCEEFF"/>
          </w:tcPr>
          <w:p>
            <w:pPr>
              <w:jc w:val="right"/>
              <w:ind w:right="1713"/>
              <w:spacing w:after="0"/>
              <w:rPr>
                <w:sz w:val="20"/>
                <w:szCs w:val="20"/>
                <w:color w:val="auto"/>
              </w:rPr>
            </w:pPr>
            <w:r>
              <w:rPr>
                <w:rFonts w:ascii="Arial" w:cs="Arial" w:eastAsia="Arial" w:hAnsi="Arial"/>
                <w:sz w:val="18"/>
                <w:szCs w:val="18"/>
                <w:b w:val="1"/>
                <w:bCs w:val="1"/>
                <w:color w:val="auto"/>
                <w:w w:val="84"/>
              </w:rPr>
              <w:t>3,151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Arial" w:cs="Arial" w:eastAsia="Arial" w:hAnsi="Arial"/>
                <w:sz w:val="18"/>
                <w:szCs w:val="18"/>
                <w:i w:val="1"/>
                <w:iCs w:val="1"/>
                <w:color w:val="auto"/>
              </w:rPr>
              <w:t>Volume</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0" w:type="dxa"/>
            <w:vAlign w:val="bottom"/>
          </w:tcPr>
          <w:p>
            <w:pPr>
              <w:jc w:val="right"/>
              <w:ind w:right="213"/>
              <w:spacing w:after="0"/>
              <w:rPr>
                <w:sz w:val="20"/>
                <w:szCs w:val="20"/>
                <w:color w:val="auto"/>
              </w:rPr>
            </w:pPr>
            <w:r>
              <w:rPr>
                <w:rFonts w:ascii="Arial" w:cs="Arial" w:eastAsia="Arial" w:hAnsi="Arial"/>
                <w:sz w:val="18"/>
                <w:szCs w:val="18"/>
                <w:i w:val="1"/>
                <w:iCs w:val="1"/>
                <w:color w:val="auto"/>
              </w:rPr>
              <w:t>2,070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Price/Mix</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0" w:type="dxa"/>
            <w:vAlign w:val="bottom"/>
            <w:shd w:val="clear" w:color="auto" w:fill="CCEEFF"/>
          </w:tcPr>
          <w:p>
            <w:pPr>
              <w:jc w:val="right"/>
              <w:ind w:right="213"/>
              <w:spacing w:after="0"/>
              <w:rPr>
                <w:sz w:val="20"/>
                <w:szCs w:val="20"/>
                <w:color w:val="auto"/>
              </w:rPr>
            </w:pPr>
            <w:r>
              <w:rPr>
                <w:rFonts w:ascii="Arial" w:cs="Arial" w:eastAsia="Arial" w:hAnsi="Arial"/>
                <w:sz w:val="18"/>
                <w:szCs w:val="18"/>
                <w:i w:val="1"/>
                <w:iCs w:val="1"/>
                <w:color w:val="auto"/>
              </w:rPr>
              <w:t>398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80" w:type="dxa"/>
            <w:vAlign w:val="bottom"/>
          </w:tcPr>
          <w:p>
            <w:pPr>
              <w:ind w:left="200"/>
              <w:spacing w:after="0"/>
              <w:rPr>
                <w:sz w:val="20"/>
                <w:szCs w:val="20"/>
                <w:color w:val="auto"/>
              </w:rPr>
            </w:pPr>
            <w:r>
              <w:rPr>
                <w:rFonts w:ascii="Arial" w:cs="Arial" w:eastAsia="Arial" w:hAnsi="Arial"/>
                <w:sz w:val="18"/>
                <w:szCs w:val="18"/>
                <w:i w:val="1"/>
                <w:iCs w:val="1"/>
                <w:color w:val="auto"/>
              </w:rPr>
              <w:t>Material inflation pass-through</w:t>
            </w: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0" w:type="dxa"/>
            <w:vAlign w:val="bottom"/>
          </w:tcPr>
          <w:p>
            <w:pPr>
              <w:jc w:val="right"/>
              <w:ind w:right="213"/>
              <w:spacing w:after="0"/>
              <w:rPr>
                <w:sz w:val="20"/>
                <w:szCs w:val="20"/>
                <w:color w:val="auto"/>
              </w:rPr>
            </w:pPr>
            <w:r>
              <w:rPr>
                <w:rFonts w:ascii="Arial" w:cs="Arial" w:eastAsia="Arial" w:hAnsi="Arial"/>
                <w:sz w:val="18"/>
                <w:szCs w:val="18"/>
                <w:i w:val="1"/>
                <w:iCs w:val="1"/>
                <w:color w:val="auto"/>
              </w:rPr>
              <w:t>683</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Segment net income</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416"/>
              <w:spacing w:after="0"/>
              <w:rPr>
                <w:sz w:val="20"/>
                <w:szCs w:val="20"/>
                <w:color w:val="auto"/>
              </w:rPr>
            </w:pPr>
            <w:r>
              <w:rPr>
                <w:rFonts w:ascii="Arial" w:cs="Arial" w:eastAsia="Arial" w:hAnsi="Arial"/>
                <w:sz w:val="18"/>
                <w:szCs w:val="18"/>
                <w:b w:val="1"/>
                <w:bCs w:val="1"/>
                <w:color w:val="auto"/>
              </w:rPr>
              <w:t>1,736</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1,450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0" w:type="dxa"/>
            <w:vAlign w:val="bottom"/>
            <w:shd w:val="clear" w:color="auto" w:fill="CCEEFF"/>
          </w:tcPr>
          <w:p>
            <w:pPr>
              <w:jc w:val="right"/>
              <w:ind w:right="1713"/>
              <w:spacing w:after="0"/>
              <w:rPr>
                <w:sz w:val="20"/>
                <w:szCs w:val="20"/>
                <w:color w:val="auto"/>
              </w:rPr>
            </w:pPr>
            <w:r>
              <w:rPr>
                <w:rFonts w:ascii="Arial" w:cs="Arial" w:eastAsia="Arial" w:hAnsi="Arial"/>
                <w:sz w:val="18"/>
                <w:szCs w:val="18"/>
                <w:b w:val="1"/>
                <w:bCs w:val="1"/>
                <w:color w:val="auto"/>
              </w:rPr>
              <w:t>286</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right="320"/>
        <w:spacing w:after="0" w:line="277" w:lineRule="auto"/>
        <w:rPr>
          <w:sz w:val="20"/>
          <w:szCs w:val="20"/>
          <w:color w:val="auto"/>
        </w:rPr>
      </w:pPr>
      <w:r>
        <w:rPr>
          <w:rFonts w:ascii="Arial" w:cs="Arial" w:eastAsia="Arial" w:hAnsi="Arial"/>
          <w:sz w:val="18"/>
          <w:szCs w:val="18"/>
          <w:color w:val="auto"/>
        </w:rPr>
        <w:t>The volume increase for this segment was related to increased U.S. automotive end market demand as the economy and consumer demand has returned to more normalized levels.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segment net income for the first half of 2011 resulted from the 16% increase in sales and the related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operational efficiencies from higher levels of production partially offset by operational inefficiencies due to starting-up a new sales program.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Financial Condition</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From December 31, 2010 to June 30, 2011, our total assets increased $30.2 million and our current assets increased $24.0 million. The appreciation in the value of Euro and Chinese Yuan denominated account balances relative to the U.S. Dollar caused total assets and current assets to increase approximately $10.5 million and $4.9 million, respectively, from December 31, 2010. Excluding the foreign exchange effects, accounts receivable was higher by $15.6 million due to the 30% increase in sales volume experienced in June and May of 2011 from sales levels in December and November of 2010. Additionally, the days sales outstanding have increased 2 days as of June 30, 2011 due to timing of certain customer receipts and higher mix of export customers with payment terms greater than 30 days at June 30, 2011. Partially offsetting these increases was a $3.4 million reduction from the deconsolidation of Eltmann’s accounts receivable balances effective January 20, 2011. Net overdue receivables remained unchanged at approximately 12% of total accounts receivable at December 31, 2010 and at June 30, 2011. Excluding the foreign exchange effects, inventories decreased by $0.8 million from December 31, 2010, primarily from the deconsolidation of Eltmann’s inventory balances totaling $2.4 million effective January 20, 2011. Excluding the foreign exchange effects, property, plant and equipment increased $0.1 million as year to date capital spending was $1.4 million higher than depreciation which was mostly offset by machinery at Eltmann with a net book value of $1.3 million which was deconsolidated effective January 20, 2011.</w:t>
      </w:r>
    </w:p>
    <w:p>
      <w:pPr>
        <w:spacing w:after="0" w:line="6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From December 31, 2010 to June 30, 2011, our total liabilities increased $7.9 million. The appreciation in the value of Euro and Chinese Yuan denominated account balances relative to the U.S. Dollar caused total liabilities to increase approximately $5.0 million from December 31, 2010. Debt increased by $13.4 million in part to fund working capital due to the large growth in sales and production volumes experienced during the first half of 2011. Partially offsetting this increase in debt was the elimination of the Eltmann accrued pension liability totaling $5.6 million due to deconsolidation of Eltmann. Finally, excluding foreign exchange effects, accounts payable decreased $2.7 million due to deconsolidating Eltmann accounts payable of $1.9 million and due to timing of payments to certain vendors.</w:t>
      </w:r>
    </w:p>
    <w:p>
      <w:pPr>
        <w:spacing w:after="0" w:line="8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Working capital, which consists principally of accounts receivable and inventories offset by accounts payable and current maturities of long-term debt, was $56.3 million at June 30, 2011 as compared to $32.1 million at December 31, 2010. The ratio of current assets to current liabilities increased from 1.38:1 at December 31, 2010 to 1.68:1 at June 30, 2011. The increase in working capital was due primarily to the growth in accounts receivable from the 30% increase in sales volume experienced during the second quarter of 2011.</w:t>
      </w:r>
    </w:p>
    <w:p>
      <w:pPr>
        <w:spacing w:after="0" w:line="79"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Cash flow used by operations was $2.0 million for the first six months of 2011 compared with cash flow provided by operations of $5.1 million for the same period in 2010. The unfavorable variance in cash flow used by operations was principally due to a current year decrease in accounts payable compared to an increase in accounts payable in 2010 as discussed above.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Amounts outstanding under our $100.0 million credit facility and our $40.0 million senior notes as of June 30, 2011 were $69.6 million, including</w:t>
      </w:r>
    </w:p>
    <w:p>
      <w:pPr>
        <w:spacing w:after="0" w:line="3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$0.9 million under our swing line of credit, and $17.1 million, respectively. As of June 30, 2011, we can borrow up to an additional $29.7 million under the $100.0 million credit facility, including $9.1 million under our swing line of credit, subject to limitations based on existing financial covenants. However, based on current forecasts we do not expect any limitations on access to this available credit. The $29.7 million is net of $0.7 million of outstanding letters of credit at June 30, 2011 which are considered as usage of the facility.</w:t>
      </w:r>
    </w:p>
    <w:p>
      <w:pPr>
        <w:spacing w:after="0" w:line="8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were in compliance with all covenants related to the amended and restated $100.0 million credit facility and the amended and restated $40.0 million senior notes as of June 30, 2011. The specific covenants to which we are subject and our actual results compared to those covenants are disclosed in Note 9 of the Notes to Condensed Consolidated Financial Statements. While the actual fixed charge coverage ratio approximates the required ratio at June 30, 2011, we do not project any failures of our financial covenants within the next 12 months due to projected</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earnings before interest, taxes, depreciation, and amortization. The main drivers of the fixed charge coverage ratio are rolling four quarters earnings before interest, taxes, depreciation, and amortization and rolling four quarters capital expenditures. The reasons the actual ratio approximated the required ratio at June 30, 2011, were lower Q3 2010 earnings before interest, taxes, depreciation, and amortization and a higher level of capital expenditure in the second quarter of 2011 versus the first quarter of 2011. The lower Q3 2010 earnings before interest, taxes, depreciation, and amortization was due to lower income from operations related to normal seasonality and from almost $2.2 million of cash and non-cash restructuring charges incurred in that quarter. If necessary to maintain financial covenant compliance, we can control subsequent quarterly capital expenditure levels.</w:t>
      </w:r>
    </w:p>
    <w:p>
      <w:pPr>
        <w:spacing w:after="0" w:line="5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Many of our locations use the Euro as their functional currency. In 2011, the fluctuation of the Euro against the U.S. Dollar favorably impacted revenue, increased the value of assets and liabilities of certain foreign subsidiaries and had an unfavorable impact on net income due to losses on translation of intercompany loans. As of June 30, 2011, no currency hedges were in place. Changes in value of the U.S. Dollar and/or Euro against foreign currencies could impair our ability to compete with international competitors for foreign as well as domestic sales.</w:t>
      </w:r>
    </w:p>
    <w:p>
      <w:pPr>
        <w:spacing w:after="0" w:line="7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have made planned capital expenditures totaling $10.2 million as of June 30, 2011. During 2011, we expect to spend approximately $23.0 million on capital expenditures, the majority of which relate to new or expanded business. We are considering growth initiatives which could increase our spending on capital expenditures during the remainder of 2011. We believe that funds generated from operations and borrowings from the credit facilities will be sufficient to finance our capital expenditures and working capital needs through June 2012. We base this assertion on our current availability for borrowing of up to $29.7 million and our forecasted positive cash flow from operations for the remaining quarters of 2011.</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Fluctuation in Quarterly Results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Historically, our net sales in the Metal Bearing Components Segment have been of a seasonal nature due to the fact that a significant portion of our sales are to European customers that have significantly slower production during the month of August.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Our critical accounting policies, including the assumptions and judgments underlying them, are disclosed in our annual report on Form 10-K for the year ended December 31, 2010, including those policies as discussed in Note 1 to the annual report. There have been no changes to these policies during the six month period ended June 30, 2011.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are exposed to changes in financial market conditions in the normal course of our business due to use of certain financial instruments as well as transacting in various foreign currencies. To mitigate the exposure to these market risks, we have established policies, procedures and internal processes governing our management of financial market risks. We are exposed to changes in interest rates primarily as a result of our borrowing activities. At June 30, 2011, we had $69.6 million outstanding under our variable rate revolving credit facilities and $17.1 million fixed rate senior notes outstanding. See Note 9 of the Notes to Condensed Consolidated Financial Statements. At June 30, 2011, a one-percent increase in the interest rate charged on our outstanding variable rate borrowings would result in interest expense increasing annually by approximately $0.7 million.</w:t>
      </w:r>
    </w:p>
    <w:p>
      <w:pPr>
        <w:spacing w:after="0" w:line="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Translation of our operating cash flows denominated in foreign currencies is impacted by changes in foreign exchange rates. We did not hold a position in any foreign currency hedging instruments as of June 30, 2011.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Under the supervision and with the participation of our management, including our Chief Executive Officer and Chief Financial Officer, the Company conducted an evaluation of the effectiveness of the design and operation of our disclosure controls and procedures pursuant to Rule 13a-15 and 15d-15 of the Securities Exchange Act of 1934 (the “Exchange Act”). Based upon that evaluation, the Chief Executive Officer and Chief Financial Officer,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concluded that our disclosure controls and procedures are effective as of June 30, 2011, the end of the period covered by this quarterly report.</w:t>
      </w:r>
    </w:p>
    <w:p>
      <w:pPr>
        <w:spacing w:after="0" w:line="11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There have been no changes in the fiscal quarter ended June 30, 2011 in our internal control over financial reporting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As described more fully in our Form 10-K for 2010, we continue to monitor the remediation efforts at a former waste recycling vendor used by our former Walterboro, South Carolina facility. The costs associated with the remediation, which has been tentatively approved by the EPA, are estimated to be approximately $10 million of which our allocated share is approximately $0.1 million which has been fully accrued for as of June 30, 2011. While there can be no assurances, we believe that the $0.1 million is the maximum amount for which we will be liable under the tentatively accepted remediation plan.</w:t>
      </w:r>
    </w:p>
    <w:p>
      <w:pPr>
        <w:spacing w:after="0" w:line="46"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All of our other legal proceedings are of an ordinary and routine nature and are incidental to our operations. Management believes that such proceedings should not, individually or in the aggregate, have a material adverse effect on our business or financial condition or on the 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Our risk factors are disclosed in our Annual Report on Form 10-K for the fiscal year ended December 31, 2010 under Item 1.A. “Risk Factors.” There have been no material changes to these risk factors since December 31, 2010.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(Removed and Reserved)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31.1</w:t>
            </w:r>
          </w:p>
        </w:tc>
        <w:tc>
          <w:tcPr>
            <w:tcW w:w="10800" w:type="dxa"/>
            <w:vAlign w:val="bottom"/>
          </w:tcPr>
          <w:p>
            <w:pPr>
              <w:ind w:left="300"/>
              <w:spacing w:after="0"/>
              <w:rPr>
                <w:sz w:val="20"/>
                <w:szCs w:val="20"/>
                <w:color w:val="auto"/>
              </w:rPr>
            </w:pPr>
            <w:r>
              <w:rPr>
                <w:rFonts w:ascii="Arial" w:cs="Arial" w:eastAsia="Arial" w:hAnsi="Arial"/>
                <w:sz w:val="18"/>
                <w:szCs w:val="18"/>
                <w:color w:val="auto"/>
              </w:rPr>
              <w:t>Certification Pursuant to Rules 13a-14(a) and 15d-14(a) under the Securities Exchange Act of 1934, as amended.</w:t>
            </w:r>
          </w:p>
        </w:tc>
      </w:tr>
      <w:tr>
        <w:trPr>
          <w:trHeight w:val="216"/>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31.2</w:t>
            </w:r>
          </w:p>
        </w:tc>
        <w:tc>
          <w:tcPr>
            <w:tcW w:w="10800" w:type="dxa"/>
            <w:vAlign w:val="bottom"/>
          </w:tcPr>
          <w:p>
            <w:pPr>
              <w:ind w:left="300"/>
              <w:spacing w:after="0"/>
              <w:rPr>
                <w:sz w:val="20"/>
                <w:szCs w:val="20"/>
                <w:color w:val="auto"/>
              </w:rPr>
            </w:pPr>
            <w:r>
              <w:rPr>
                <w:rFonts w:ascii="Arial" w:cs="Arial" w:eastAsia="Arial" w:hAnsi="Arial"/>
                <w:sz w:val="18"/>
                <w:szCs w:val="18"/>
                <w:color w:val="auto"/>
              </w:rPr>
              <w:t>Certification Pursuant to Rules 13a-14(a) and 15d-14(a) under the Securities Exchange Act of 1934, as amended.</w:t>
            </w:r>
          </w:p>
        </w:tc>
      </w:tr>
      <w:tr>
        <w:trPr>
          <w:trHeight w:val="216"/>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32.1</w:t>
            </w:r>
          </w:p>
        </w:tc>
        <w:tc>
          <w:tcPr>
            <w:tcW w:w="10800" w:type="dxa"/>
            <w:vAlign w:val="bottom"/>
          </w:tcPr>
          <w:p>
            <w:pPr>
              <w:ind w:left="300"/>
              <w:spacing w:after="0"/>
              <w:rPr>
                <w:sz w:val="20"/>
                <w:szCs w:val="20"/>
                <w:color w:val="auto"/>
              </w:rPr>
            </w:pPr>
            <w:r>
              <w:rPr>
                <w:rFonts w:ascii="Arial" w:cs="Arial" w:eastAsia="Arial" w:hAnsi="Arial"/>
                <w:sz w:val="18"/>
                <w:szCs w:val="18"/>
                <w:color w:val="auto"/>
              </w:rPr>
              <w:t>Certification of Chief Executive Officer pursuant to Section 906 of Sarbanes-Oxley Act.</w:t>
            </w:r>
          </w:p>
        </w:tc>
      </w:tr>
      <w:tr>
        <w:trPr>
          <w:trHeight w:val="230"/>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32.2</w:t>
            </w:r>
          </w:p>
        </w:tc>
        <w:tc>
          <w:tcPr>
            <w:tcW w:w="10800" w:type="dxa"/>
            <w:vAlign w:val="bottom"/>
          </w:tcPr>
          <w:p>
            <w:pPr>
              <w:ind w:left="300"/>
              <w:spacing w:after="0"/>
              <w:rPr>
                <w:sz w:val="20"/>
                <w:szCs w:val="20"/>
                <w:color w:val="auto"/>
              </w:rPr>
            </w:pPr>
            <w:r>
              <w:rPr>
                <w:rFonts w:ascii="Arial" w:cs="Arial" w:eastAsia="Arial" w:hAnsi="Arial"/>
                <w:sz w:val="18"/>
                <w:szCs w:val="18"/>
                <w:color w:val="auto"/>
              </w:rPr>
              <w:t>Certification of Chief Financial Officer pursuant to Section 906 of Sarbanes-Oxley Act.</w:t>
            </w:r>
          </w:p>
        </w:tc>
      </w:tr>
      <w:tr>
        <w:trPr>
          <w:trHeight w:val="405"/>
        </w:trPr>
        <w:tc>
          <w:tcPr>
            <w:tcW w:w="620" w:type="dxa"/>
            <w:vAlign w:val="bottom"/>
          </w:tcPr>
          <w:p>
            <w:pPr>
              <w:spacing w:after="0"/>
              <w:rPr>
                <w:sz w:val="24"/>
                <w:szCs w:val="24"/>
                <w:color w:val="auto"/>
              </w:rPr>
            </w:pPr>
          </w:p>
        </w:tc>
        <w:tc>
          <w:tcPr>
            <w:tcW w:w="10800" w:type="dxa"/>
            <w:vAlign w:val="bottom"/>
          </w:tcPr>
          <w:p>
            <w:pPr>
              <w:ind w:left="5000"/>
              <w:spacing w:after="0"/>
              <w:rPr>
                <w:sz w:val="20"/>
                <w:szCs w:val="20"/>
                <w:color w:val="auto"/>
              </w:rPr>
            </w:pPr>
            <w:r>
              <w:rPr>
                <w:rFonts w:ascii="Arial" w:cs="Arial" w:eastAsia="Arial" w:hAnsi="Arial"/>
                <w:sz w:val="18"/>
                <w:szCs w:val="18"/>
                <w:color w:val="auto"/>
              </w:rPr>
              <w:t>24</w:t>
            </w:r>
          </w:p>
        </w:tc>
      </w:tr>
      <w:tr>
        <w:trPr>
          <w:trHeight w:val="226"/>
        </w:trPr>
        <w:tc>
          <w:tcPr>
            <w:tcW w:w="620" w:type="dxa"/>
            <w:vAlign w:val="bottom"/>
            <w:tcBorders>
              <w:bottom w:val="single" w:sz="8" w:color="808080"/>
            </w:tcBorders>
          </w:tcPr>
          <w:p>
            <w:pPr>
              <w:spacing w:after="0"/>
              <w:rPr>
                <w:sz w:val="19"/>
                <w:szCs w:val="19"/>
                <w:color w:val="auto"/>
              </w:rPr>
            </w:pPr>
          </w:p>
        </w:tc>
        <w:tc>
          <w:tcPr>
            <w:tcW w:w="108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NN, Inc.</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(Registrant)</w:t>
            </w:r>
          </w:p>
        </w:tc>
      </w:tr>
      <w:tr>
        <w:trPr>
          <w:trHeight w:val="432"/>
        </w:trPr>
        <w:tc>
          <w:tcPr>
            <w:tcW w:w="5500" w:type="dxa"/>
            <w:vAlign w:val="bottom"/>
          </w:tcPr>
          <w:p>
            <w:pPr>
              <w:spacing w:after="0"/>
              <w:rPr>
                <w:sz w:val="20"/>
                <w:szCs w:val="20"/>
                <w:color w:val="auto"/>
              </w:rPr>
            </w:pPr>
            <w:r>
              <w:rPr>
                <w:rFonts w:ascii="Arial" w:cs="Arial" w:eastAsia="Arial" w:hAnsi="Arial"/>
                <w:sz w:val="18"/>
                <w:szCs w:val="18"/>
                <w:color w:val="auto"/>
              </w:rPr>
              <w:t>Date: August 9, 2011</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Roderick R. Baty</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Roderick R. Baty,</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Chairman, President and Chief Executive Officer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(Duly Authorized Officer)</w:t>
            </w:r>
          </w:p>
        </w:tc>
      </w:tr>
      <w:tr>
        <w:trPr>
          <w:trHeight w:val="648"/>
        </w:trPr>
        <w:tc>
          <w:tcPr>
            <w:tcW w:w="5500" w:type="dxa"/>
            <w:vAlign w:val="bottom"/>
          </w:tcPr>
          <w:p>
            <w:pPr>
              <w:spacing w:after="0"/>
              <w:rPr>
                <w:sz w:val="20"/>
                <w:szCs w:val="20"/>
                <w:color w:val="auto"/>
              </w:rPr>
            </w:pPr>
            <w:r>
              <w:rPr>
                <w:rFonts w:ascii="Arial" w:cs="Arial" w:eastAsia="Arial" w:hAnsi="Arial"/>
                <w:sz w:val="18"/>
                <w:szCs w:val="18"/>
                <w:color w:val="auto"/>
              </w:rPr>
              <w:t>Date: August 9, 2011</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H. Dorton</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James H. Dorton</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8"/>
              </w:rPr>
              <w:t>Senior Vice President — Corporate Development and</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Financial Officer (Principal Financial Officer)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(Duly Authorized Officer)</w:t>
            </w:r>
          </w:p>
        </w:tc>
      </w:tr>
      <w:tr>
        <w:trPr>
          <w:trHeight w:val="648"/>
        </w:trPr>
        <w:tc>
          <w:tcPr>
            <w:tcW w:w="5500" w:type="dxa"/>
            <w:vAlign w:val="bottom"/>
          </w:tcPr>
          <w:p>
            <w:pPr>
              <w:spacing w:after="0"/>
              <w:rPr>
                <w:sz w:val="20"/>
                <w:szCs w:val="20"/>
                <w:color w:val="auto"/>
              </w:rPr>
            </w:pPr>
            <w:r>
              <w:rPr>
                <w:rFonts w:ascii="Arial" w:cs="Arial" w:eastAsia="Arial" w:hAnsi="Arial"/>
                <w:sz w:val="18"/>
                <w:szCs w:val="18"/>
                <w:color w:val="auto"/>
              </w:rPr>
              <w:t>Date: August 9, 2011</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C. Kelly, Jr.</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William C. Kelly, Jr.,</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Vice President and</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Administrative Officer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(Duly Authorized Officer)</w:t>
            </w:r>
          </w:p>
        </w:tc>
      </w:tr>
      <w:tr>
        <w:trPr>
          <w:trHeight w:val="648"/>
        </w:trPr>
        <w:tc>
          <w:tcPr>
            <w:tcW w:w="5500" w:type="dxa"/>
            <w:vAlign w:val="bottom"/>
          </w:tcPr>
          <w:p>
            <w:pPr>
              <w:spacing w:after="0"/>
              <w:rPr>
                <w:sz w:val="20"/>
                <w:szCs w:val="20"/>
                <w:color w:val="auto"/>
              </w:rPr>
            </w:pPr>
            <w:r>
              <w:rPr>
                <w:rFonts w:ascii="Arial" w:cs="Arial" w:eastAsia="Arial" w:hAnsi="Arial"/>
                <w:sz w:val="18"/>
                <w:szCs w:val="18"/>
                <w:color w:val="auto"/>
              </w:rPr>
              <w:t>Date: August 9, 2011</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C. Burwell, Jr.</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Thomas C. Burwell, Jr.</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Corporate Controller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(Principal Accounting Officer)</w:t>
            </w:r>
          </w:p>
        </w:tc>
      </w:tr>
      <w:tr>
        <w:trPr>
          <w:trHeight w:val="621"/>
        </w:trPr>
        <w:tc>
          <w:tcPr>
            <w:tcW w:w="5500" w:type="dxa"/>
            <w:vAlign w:val="bottom"/>
          </w:tcPr>
          <w:p>
            <w:pPr>
              <w:spacing w:after="0"/>
              <w:rPr>
                <w:sz w:val="24"/>
                <w:szCs w:val="24"/>
                <w:color w:val="auto"/>
              </w:rPr>
            </w:pPr>
          </w:p>
        </w:tc>
        <w:tc>
          <w:tcPr>
            <w:tcW w:w="4220" w:type="dxa"/>
            <w:vAlign w:val="bottom"/>
          </w:tcPr>
          <w:p>
            <w:pPr>
              <w:ind w:left="120"/>
              <w:spacing w:after="0"/>
              <w:rPr>
                <w:sz w:val="20"/>
                <w:szCs w:val="20"/>
                <w:color w:val="auto"/>
              </w:rPr>
            </w:pPr>
            <w:r>
              <w:rPr>
                <w:rFonts w:ascii="Arial" w:cs="Arial" w:eastAsia="Arial" w:hAnsi="Arial"/>
                <w:sz w:val="18"/>
                <w:szCs w:val="18"/>
                <w:color w:val="auto"/>
              </w:rPr>
              <w:t>25</w:t>
            </w:r>
          </w:p>
        </w:tc>
      </w:tr>
    </w:tbl>
    <w:p>
      <w:pPr>
        <w:sectPr>
          <w:pgSz w:w="11900" w:h="16838" w:orient="portrait"/>
          <w:cols w:equalWidth="0" w:num="1">
            <w:col w:w="11220"/>
          </w:cols>
          <w:pgMar w:left="240" w:top="419" w:right="4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RULES 13a-14(a) AND 15d-14(a) UNDER THE SECURITIES EXCHANGE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ACT OF 1934, AS AMENDED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Roderick R. Baty, certify that:</w:t>
      </w:r>
    </w:p>
    <w:p>
      <w:pPr>
        <w:spacing w:after="0" w:line="117" w:lineRule="exact"/>
        <w:rPr>
          <w:sz w:val="20"/>
          <w:szCs w:val="20"/>
          <w:color w:val="auto"/>
        </w:rPr>
      </w:pPr>
    </w:p>
    <w:p>
      <w:pPr>
        <w:ind w:left="280" w:hanging="272"/>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NN, Inc.;</w:t>
      </w:r>
    </w:p>
    <w:p>
      <w:pPr>
        <w:spacing w:after="0" w:line="117" w:lineRule="exact"/>
        <w:rPr>
          <w:rFonts w:ascii="Arial" w:cs="Arial" w:eastAsia="Arial" w:hAnsi="Arial"/>
          <w:sz w:val="18"/>
          <w:szCs w:val="18"/>
          <w:color w:val="auto"/>
        </w:rPr>
      </w:pPr>
    </w:p>
    <w:p>
      <w:pPr>
        <w:ind w:left="280" w:right="160" w:hanging="272"/>
        <w:spacing w:after="0" w:line="342" w:lineRule="auto"/>
        <w:tabs>
          <w:tab w:leader="none" w:pos="280" w:val="left"/>
        </w:tabs>
        <w:numPr>
          <w:ilvl w:val="0"/>
          <w:numId w:val="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280" w:right="640" w:hanging="272"/>
        <w:spacing w:after="0" w:line="308" w:lineRule="auto"/>
        <w:tabs>
          <w:tab w:leader="none" w:pos="280" w:val="left"/>
        </w:tabs>
        <w:numPr>
          <w:ilvl w:val="0"/>
          <w:numId w:val="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280" w:right="100" w:hanging="272"/>
        <w:spacing w:after="0" w:line="264" w:lineRule="auto"/>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660" w:right="20" w:hanging="436"/>
        <w:spacing w:after="0" w:line="264" w:lineRule="auto"/>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660" w:right="20" w:hanging="436"/>
        <w:spacing w:after="0" w:line="264" w:lineRule="auto"/>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660" w:right="60" w:hanging="436"/>
        <w:spacing w:after="0" w:line="308" w:lineRule="auto"/>
        <w:tabs>
          <w:tab w:leader="none" w:pos="660" w:val="left"/>
        </w:tabs>
        <w:numPr>
          <w:ilvl w:val="1"/>
          <w:numId w:val="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jc w:val="both"/>
        <w:ind w:left="660" w:right="100" w:hanging="436"/>
        <w:spacing w:after="0" w:line="264" w:lineRule="auto"/>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280" w:right="560" w:hanging="272"/>
        <w:spacing w:after="0" w:line="308" w:lineRule="auto"/>
        <w:tabs>
          <w:tab w:leader="none" w:pos="2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60" w:right="440" w:hanging="436"/>
        <w:spacing w:after="0" w:line="277" w:lineRule="auto"/>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660" w:right="40" w:hanging="436"/>
        <w:spacing w:after="0" w:line="277" w:lineRule="auto"/>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August 9, 2011</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Roderick R. Baty</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Roderick R. Baty</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Chairman, President and Chief Executive Officer</w:t>
            </w:r>
          </w:p>
        </w:tc>
      </w:tr>
      <w:tr>
        <w:trPr>
          <w:trHeight w:val="392"/>
        </w:trPr>
        <w:tc>
          <w:tcPr>
            <w:tcW w:w="5500" w:type="dxa"/>
            <w:vAlign w:val="bottom"/>
          </w:tcPr>
          <w:p>
            <w:pPr>
              <w:spacing w:after="0"/>
              <w:rPr>
                <w:sz w:val="24"/>
                <w:szCs w:val="24"/>
                <w:color w:val="auto"/>
              </w:rPr>
            </w:pPr>
          </w:p>
        </w:tc>
        <w:tc>
          <w:tcPr>
            <w:tcW w:w="4220" w:type="dxa"/>
            <w:vAlign w:val="bottom"/>
          </w:tcPr>
          <w:p>
            <w:pPr>
              <w:jc w:val="right"/>
              <w:ind w:right="3830"/>
              <w:spacing w:after="0"/>
              <w:rPr>
                <w:sz w:val="20"/>
                <w:szCs w:val="20"/>
                <w:color w:val="auto"/>
              </w:rPr>
            </w:pPr>
            <w:r>
              <w:rPr>
                <w:rFonts w:ascii="Arial" w:cs="Arial" w:eastAsia="Arial" w:hAnsi="Arial"/>
                <w:sz w:val="18"/>
                <w:szCs w:val="18"/>
                <w:color w:val="auto"/>
              </w:rPr>
              <w:t>26</w:t>
            </w:r>
          </w:p>
        </w:tc>
      </w:tr>
    </w:tbl>
    <w:p>
      <w:pPr>
        <w:sectPr>
          <w:pgSz w:w="11900" w:h="16838" w:orient="portrait"/>
          <w:cols w:equalWidth="0" w:num="1">
            <w:col w:w="11420"/>
          </w:cols>
          <w:pgMar w:left="240" w:top="125"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RULES 13a-14(a) AND 15d-14(a) UNDER THE SECURITIES EXCHANGE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ACT OF 1934, AS AMENDED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James H. Dorton, certify that:</w:t>
      </w:r>
    </w:p>
    <w:p>
      <w:pPr>
        <w:spacing w:after="0" w:line="117" w:lineRule="exact"/>
        <w:rPr>
          <w:sz w:val="20"/>
          <w:szCs w:val="20"/>
          <w:color w:val="auto"/>
        </w:rPr>
      </w:pPr>
    </w:p>
    <w:p>
      <w:pPr>
        <w:ind w:left="280" w:hanging="272"/>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NN, Inc.;</w:t>
      </w:r>
    </w:p>
    <w:p>
      <w:pPr>
        <w:spacing w:after="0" w:line="117" w:lineRule="exact"/>
        <w:rPr>
          <w:rFonts w:ascii="Arial" w:cs="Arial" w:eastAsia="Arial" w:hAnsi="Arial"/>
          <w:sz w:val="18"/>
          <w:szCs w:val="18"/>
          <w:color w:val="auto"/>
        </w:rPr>
      </w:pPr>
    </w:p>
    <w:p>
      <w:pPr>
        <w:ind w:left="280" w:right="160" w:hanging="272"/>
        <w:spacing w:after="0" w:line="342" w:lineRule="auto"/>
        <w:tabs>
          <w:tab w:leader="none" w:pos="280"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280" w:right="640" w:hanging="272"/>
        <w:spacing w:after="0" w:line="308" w:lineRule="auto"/>
        <w:tabs>
          <w:tab w:leader="none" w:pos="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280" w:right="100" w:hanging="272"/>
        <w:spacing w:after="0" w:line="264" w:lineRule="auto"/>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660" w:right="20" w:hanging="436"/>
        <w:spacing w:after="0" w:line="264"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660" w:right="20" w:hanging="436"/>
        <w:spacing w:after="0" w:line="264"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660" w:right="60" w:hanging="436"/>
        <w:spacing w:after="0" w:line="308" w:lineRule="auto"/>
        <w:tabs>
          <w:tab w:leader="none" w:pos="660" w:val="left"/>
        </w:tabs>
        <w:numPr>
          <w:ilvl w:val="1"/>
          <w:numId w:val="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jc w:val="both"/>
        <w:ind w:left="660" w:right="100" w:hanging="436"/>
        <w:spacing w:after="0" w:line="264"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280" w:right="560" w:hanging="272"/>
        <w:spacing w:after="0" w:line="308" w:lineRule="auto"/>
        <w:tabs>
          <w:tab w:leader="none" w:pos="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60" w:right="440" w:hanging="436"/>
        <w:spacing w:after="0" w:line="277"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660" w:right="40" w:hanging="436"/>
        <w:spacing w:after="0" w:line="277"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August 9, 2011</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H. Dorton</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James H. Dorton</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8"/>
              </w:rPr>
              <w:t>Senior Vice President — Corporate Development and</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392"/>
        </w:trPr>
        <w:tc>
          <w:tcPr>
            <w:tcW w:w="5500" w:type="dxa"/>
            <w:vAlign w:val="bottom"/>
          </w:tcPr>
          <w:p>
            <w:pPr>
              <w:spacing w:after="0"/>
              <w:rPr>
                <w:sz w:val="24"/>
                <w:szCs w:val="24"/>
                <w:color w:val="auto"/>
              </w:rPr>
            </w:pPr>
          </w:p>
        </w:tc>
        <w:tc>
          <w:tcPr>
            <w:tcW w:w="4220" w:type="dxa"/>
            <w:vAlign w:val="bottom"/>
          </w:tcPr>
          <w:p>
            <w:pPr>
              <w:ind w:left="120"/>
              <w:spacing w:after="0"/>
              <w:rPr>
                <w:sz w:val="20"/>
                <w:szCs w:val="20"/>
                <w:color w:val="auto"/>
              </w:rPr>
            </w:pPr>
            <w:r>
              <w:rPr>
                <w:rFonts w:ascii="Arial" w:cs="Arial" w:eastAsia="Arial" w:hAnsi="Arial"/>
                <w:sz w:val="18"/>
                <w:szCs w:val="18"/>
                <w:color w:val="auto"/>
              </w:rPr>
              <w:t>27</w:t>
            </w:r>
          </w:p>
        </w:tc>
      </w:tr>
    </w:tbl>
    <w:p>
      <w:pPr>
        <w:sectPr>
          <w:pgSz w:w="11900" w:h="16838" w:orient="portrait"/>
          <w:cols w:equalWidth="0" w:num="1">
            <w:col w:w="11420"/>
          </w:cols>
          <w:pgMar w:left="240" w:top="557"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906 OF THE SARBANES-OXLEY ACT OF 2002</w:t>
      </w:r>
    </w:p>
    <w:p>
      <w:pPr>
        <w:spacing w:after="0" w:line="10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connection with the Quarterly Report of NN, Inc. (the “Company”) on Form 10-Q for the interim period ended June 30, 2011,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August 9, 2011</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Roderick R. Baty</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Roderick R. Baty</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Chairman, President and Chief Executive Officer</w:t>
            </w:r>
          </w:p>
        </w:tc>
      </w:tr>
    </w:tbl>
    <w:p>
      <w:pPr>
        <w:spacing w:after="0" w:line="31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NN, Inc. and will be retained by NN, Inc. and furnished to the Securities and Exchange Commission or its staff upon request.]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57"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906 OF THE SARBANES-OXLEY ACT OF 2002</w:t>
      </w:r>
    </w:p>
    <w:p>
      <w:pPr>
        <w:spacing w:after="0" w:line="10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connection with the Quarterly Report of NN, Inc. (the “Company”) on Form 10-Q for the interim period ended June 30, 2011,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August 9, 2011</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H. Dorton</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James H. Dorton</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8"/>
              </w:rPr>
              <w:t>Senior Vice President — Corporate Development and</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31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NN, Inc. and will be retained by NN, Inc. and furnished to the Securities and Exchange Commission or its staff upon request.]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o"/>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1"/>
    </w:lvl>
    <w:lvl w:ilvl="1">
      <w:lvlJc w:val="left"/>
      <w:lvlText w:val="%2)"/>
      <w:numFmt w:val="lowerLetter"/>
      <w:start w:val="1"/>
    </w:lvl>
  </w:abstractNum>
  <w:abstractNum w:abstractNumId="4">
    <w:nsid w:val="46E87CC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2019-12-10T13:10:25Z</dcterms:created>
  <dcterms:modified xsi:type="dcterms:W3CDTF">2019-12-10T13:10:25Z</dcterms:modified>
</cp:coreProperties>
</file>