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4" w:lineRule="exact"/>
        <w:rPr>
          <w:sz w:val="24"/>
          <w:szCs w:val="24"/>
          <w:color w:val="auto"/>
        </w:rPr>
      </w:pPr>
    </w:p>
    <w:p>
      <w:pPr>
        <w:ind w:right="851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 Common Stock Cusip #629337106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#629337106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1,265,039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1,265,039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7.776%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#629337106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1,265,039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1,265,039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7.776%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1,265,039</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7.776%</w:t>
      </w:r>
    </w:p>
    <w:p>
      <w:pPr>
        <w:spacing w:after="0" w:line="207"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1,265,039</w:t>
            </w:r>
          </w:p>
        </w:tc>
      </w:tr>
    </w:tbl>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NN INC. The interest of one person, Fidelity Low-Priced Stock Fund, an investment</w:t>
      </w:r>
    </w:p>
    <w:p>
      <w:pPr>
        <w:spacing w:after="0" w:line="5"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company registered under the Investment Company Act of 1940, in the Common Stock of NN INC, amounted to</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1,115,039 shares or 6.854% of the total outstanding Common Stock at December 31, 2009.</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1,265,039 shares or 7.776% of the Common Stock outstanding of NN INC ("the</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Low-Priced Stock Fund, amounted to 1,115,039 shares or 6.854% of the Common Stock outstanding. Fidelity Low-Priced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1,265,039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NN INC at December 31, 2009.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ectPr>
          <w:pgSz w:w="11900" w:h="16838" w:orient="portrait"/>
          <w:cols w:equalWidth="0" w:num="1">
            <w:col w:w="10219"/>
          </w:cols>
          <w:pgMar w:left="240" w:top="75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Scott C. Goebel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2019-12-10T12:01:55Z</dcterms:created>
  <dcterms:modified xsi:type="dcterms:W3CDTF">2019-12-10T12:01:55Z</dcterms:modified>
</cp:coreProperties>
</file>