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May 7, 2018 (May 7,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577215</wp:posOffset>
            </wp:positionV>
            <wp:extent cx="823595" cy="823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3595" cy="823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4120" w:type="dxa"/>
            <w:vAlign w:val="bottom"/>
          </w:tcPr>
          <w:p>
            <w:pPr>
              <w:jc w:val="center"/>
              <w:ind w:right="235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240"/>
              <w:spacing w:after="0"/>
              <w:rPr>
                <w:sz w:val="20"/>
                <w:szCs w:val="20"/>
                <w:color w:val="auto"/>
              </w:rPr>
            </w:pPr>
            <w:r>
              <w:rPr>
                <w:rFonts w:ascii="Arial" w:cs="Arial" w:eastAsia="Arial" w:hAnsi="Arial"/>
                <w:sz w:val="18"/>
                <w:szCs w:val="18"/>
                <w:b w:val="1"/>
                <w:bCs w:val="1"/>
                <w:color w:val="auto"/>
              </w:rPr>
              <w:t>000-23486</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62-1096725</w:t>
            </w:r>
          </w:p>
        </w:tc>
      </w:tr>
      <w:tr>
        <w:trPr>
          <w:trHeight w:val="149"/>
        </w:trPr>
        <w:tc>
          <w:tcPr>
            <w:tcW w:w="4120" w:type="dxa"/>
            <w:vAlign w:val="bottom"/>
          </w:tcPr>
          <w:p>
            <w:pPr>
              <w:jc w:val="center"/>
              <w:ind w:right="233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20" w:type="dxa"/>
            <w:vAlign w:val="bottom"/>
          </w:tcPr>
          <w:p>
            <w:pPr>
              <w:jc w:val="center"/>
              <w:ind w:right="233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120" w:type="dxa"/>
            <w:vAlign w:val="bottom"/>
          </w:tcPr>
          <w:p>
            <w:pPr>
              <w:jc w:val="center"/>
              <w:ind w:left="1279"/>
              <w:spacing w:after="0"/>
              <w:rPr>
                <w:sz w:val="20"/>
                <w:szCs w:val="20"/>
                <w:color w:val="auto"/>
              </w:rPr>
            </w:pPr>
            <w:r>
              <w:rPr>
                <w:rFonts w:ascii="Arial" w:cs="Arial" w:eastAsia="Arial" w:hAnsi="Arial"/>
                <w:sz w:val="18"/>
                <w:szCs w:val="18"/>
                <w:b w:val="1"/>
                <w:bCs w:val="1"/>
                <w:color w:val="auto"/>
                <w:w w:val="93"/>
              </w:rPr>
              <w:t>207 Mockingbird Lane</w:t>
            </w:r>
          </w:p>
        </w:tc>
        <w:tc>
          <w:tcPr>
            <w:tcW w:w="24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5"/>
        </w:trPr>
        <w:tc>
          <w:tcPr>
            <w:tcW w:w="4120" w:type="dxa"/>
            <w:vAlign w:val="bottom"/>
          </w:tcPr>
          <w:p>
            <w:pPr>
              <w:jc w:val="center"/>
              <w:ind w:left="1259"/>
              <w:spacing w:after="0"/>
              <w:rPr>
                <w:sz w:val="20"/>
                <w:szCs w:val="20"/>
                <w:color w:val="auto"/>
              </w:rPr>
            </w:pPr>
            <w:r>
              <w:rPr>
                <w:rFonts w:ascii="Arial" w:cs="Arial" w:eastAsia="Arial" w:hAnsi="Arial"/>
                <w:sz w:val="18"/>
                <w:szCs w:val="18"/>
                <w:b w:val="1"/>
                <w:bCs w:val="1"/>
                <w:color w:val="auto"/>
                <w:w w:val="85"/>
              </w:rPr>
              <w:t>Johnson City, Tennessee</w:t>
            </w:r>
          </w:p>
        </w:tc>
        <w:tc>
          <w:tcPr>
            <w:tcW w:w="2420" w:type="dxa"/>
            <w:vAlign w:val="bottom"/>
          </w:tcPr>
          <w:p>
            <w:pPr>
              <w:spacing w:after="0"/>
              <w:rPr>
                <w:sz w:val="19"/>
                <w:szCs w:val="19"/>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37604</w:t>
            </w:r>
          </w:p>
        </w:tc>
      </w:tr>
      <w:tr>
        <w:trPr>
          <w:trHeight w:val="186"/>
        </w:trPr>
        <w:tc>
          <w:tcPr>
            <w:tcW w:w="4120" w:type="dxa"/>
            <w:vAlign w:val="bottom"/>
          </w:tcPr>
          <w:p>
            <w:pPr>
              <w:jc w:val="center"/>
              <w:ind w:left="12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2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(423) 434-8300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229235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ind w:right="60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1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May 7, 2018 (the “Closing Date”), Precision Engineered Products LLC, a Delaware limited liability company (the “Purchaser”) and wholly-owned subsidiary of NN, Inc., a Delaware corporation (the “Company”), completed its previously announced acquisition (the “Acquisition”) of all of the outstanding capital stock of PMG Intermediate Holding Corporation, a Delaware corporation (“PMG”), pursuant to that certain Stock Purchase Agreement, dated as of April 2, 2018 (the “Stock Purchase Agreement”), by and among Purchaser, PMG, Paragon Equity LLC, a Delaware limited liability company (the “Seller”) and, solely for the purposes of Article V and Article XI therein, the Company.</w:t>
      </w:r>
    </w:p>
    <w:p>
      <w:pPr>
        <w:spacing w:after="0" w:line="18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connection with the Acquisition, on the Closing Date, the Company, certain Company subsidiaries named therein, SunTrust Bank, as Administrative Agent (“SunTrust”), SunTrust Robinson Humphrey, Inc. as Lead Arranger, and certain lenders named therein entered into that certain Amendment No. 4 to Amended and Restated Credit Agreement (the “Amendment”), which amended the Company’s existing senior secured amended and restated credit agreement, dated as of September 30, 2016, by and among the Company, SunTrust, as Administrative Agent, certain lenders from time to time party thereto, et al. The Amendment permits the Acquisition and the Company’s incurring secured second lien term loans in an aggregate amount not to exceed $200.0 million and adjusts certain covenants in connection therewith.</w:t>
      </w:r>
    </w:p>
    <w:p>
      <w:pPr>
        <w:spacing w:after="0" w:line="193"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foregoing summary is subject to, and qualified in its entirety by, the full text of the Amendment, which is filed herewith as Exhibit 10.1 and incorporated herein by reference.</w:t>
      </w:r>
    </w:p>
    <w:p>
      <w:pPr>
        <w:spacing w:after="0" w:line="17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Also in connection with the Acquisition, on the Closing Date, the Company, certain Company subsidiaries named therein, SunTrust, as Administrative Agent, SunTrust Robinson Humphrey, Inc. as Lead Arranger and Bookrunner, and the lenders named therein entered into a Second Lien Credit Agreement (the “Second Lien Credit Agreement”) pursuant to which SunTrust and the other lenders extended a $200.0 million secured second lien term loan facility (the “Second Lien Facility”). The Company utilized the net proceeds from the Second Lien Facility, together with cash on hand, to pay in part the Purchase Price (as defined below) and fees and expenses related thereto.</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the Second Lien Facility.</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Interest</w:t>
      </w:r>
      <w:r>
        <w:rPr>
          <w:rFonts w:ascii="Arial" w:cs="Arial" w:eastAsia="Arial" w:hAnsi="Arial"/>
          <w:sz w:val="18"/>
          <w:szCs w:val="18"/>
          <w:color w:val="auto"/>
        </w:rPr>
        <w:t>. The interest rates applicable to borrowings under the Second Lien Facility are based on a fluctuating rate of interest measured by reference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either, at the Company’s option, (i) a base rate, plus an applicable margin, or (ii) the greater of the London Interbank Offered Rate (“LIBOR”) or 1.00%, plus an applicable margin. The initial applicable margin for all borrowings under the Second Lien Facility is 7.00% per annum with respect to base rate borrowings and 8.00% per annum with respect to LIBOR borrowings.</w:t>
      </w:r>
    </w:p>
    <w:p>
      <w:pPr>
        <w:spacing w:after="0" w:line="18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b w:val="1"/>
          <w:bCs w:val="1"/>
          <w:i w:val="1"/>
          <w:iCs w:val="1"/>
          <w:color w:val="auto"/>
        </w:rPr>
        <w:t>Prepayments</w:t>
      </w:r>
      <w:r>
        <w:rPr>
          <w:rFonts w:ascii="Arial" w:cs="Arial" w:eastAsia="Arial" w:hAnsi="Arial"/>
          <w:sz w:val="17"/>
          <w:szCs w:val="17"/>
          <w:color w:val="auto"/>
        </w:rPr>
        <w:t>. The Company may voluntarily prepay outstanding loans under the Second Lien Facility, in whole or in part without premium or penalty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a period of three months following the Closing Date or at any time following the second anniversary of the Closing Date. The Company may be subject to a prepayment penalty of 2% of the amount of such loans that it prepays more than three months after the Closing Date but prior to the first anniversary of the Closing Date. If the Company prepays any outstanding loans following the first anniversary of the Closing Date but prior to its second anniversary, the Company may be subject to a prepayment penalty of 1% of the amount prepaid. The Second Lien Credit Agreement requires the Company to prepay outstanding loans, subject to certain exceptions, with: (i) a variable percentage of excess cash flow; (ii) 100% of the net cash proceeds of non-ordinary course asset sales or other dispositions of property by the Company or any of its subsidiaries, and 100% of the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2" w:name="page3"/>
    <w:bookmarkEnd w:id="2"/>
    <w:p>
      <w:pPr>
        <w:jc w:val="both"/>
        <w:ind w:right="6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cash proceeds from certain insurance and condemnation events with respect to the Company’s assets, subject to customary thresholds and reinvestment rights; (iii) 100% of the net cash proceeds from the issuance or incurrence of debt obligations for borrowed money not permitted by the Second Lien Credit Agreement by the Company or any of its subsidiaries; and (iv) 100% of the net cash proceeds from the issuance of equity after the Closing Date and prior to the third month anniversary of the Closing Date. In addition to other exceptions set forth in the Second Lien Credit Agreement, prepayments are not required to the extent of any required prepayments under the First Lien Credit Agreement, as defined in the Second Lien Credit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Maturity</w:t>
      </w:r>
      <w:r>
        <w:rPr>
          <w:rFonts w:ascii="Arial" w:cs="Arial" w:eastAsia="Arial" w:hAnsi="Arial"/>
          <w:sz w:val="18"/>
          <w:szCs w:val="18"/>
          <w:color w:val="auto"/>
        </w:rPr>
        <w:t>. The Second Lien Facility matures on April 19, 2023.</w:t>
      </w:r>
    </w:p>
    <w:p>
      <w:pPr>
        <w:spacing w:after="0" w:line="225"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b w:val="1"/>
          <w:bCs w:val="1"/>
          <w:i w:val="1"/>
          <w:iCs w:val="1"/>
          <w:color w:val="auto"/>
        </w:rPr>
        <w:t>Guarantee and Security</w:t>
      </w:r>
      <w:r>
        <w:rPr>
          <w:rFonts w:ascii="Arial" w:cs="Arial" w:eastAsia="Arial" w:hAnsi="Arial"/>
          <w:sz w:val="16"/>
          <w:szCs w:val="16"/>
          <w:color w:val="auto"/>
        </w:rPr>
        <w:t>. The Company’s obligations under the Second Lien Facility are guaranteed by the Company and each of the Company’s direct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indirect, existing and future material, domestic subsidiaries, subject to customary exceptions and limitations. The Second Lien Facility is secured by a perfected second priority lien over substantially all of the Company’s and each guarantor’s assets, subject to certain customary exceptions.</w:t>
      </w:r>
    </w:p>
    <w:p>
      <w:pPr>
        <w:spacing w:after="0" w:line="147"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i w:val="1"/>
          <w:iCs w:val="1"/>
          <w:color w:val="auto"/>
        </w:rPr>
        <w:t>Covenants</w:t>
      </w:r>
      <w:r>
        <w:rPr>
          <w:rFonts w:ascii="Arial" w:cs="Arial" w:eastAsia="Arial" w:hAnsi="Arial"/>
          <w:sz w:val="16"/>
          <w:szCs w:val="16"/>
          <w:color w:val="auto"/>
        </w:rPr>
        <w:t>. The Second Lien Facility is subject to negative covenants that, among other things and subject to certain exceptions, limit the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ability and the ability of its restricted subsidiaries to: (i) incur liens; (ii) incur indebtedness; (iii) make investments and acquisitions; (iv) merge, liquidate or dissolve; (v) sell assets, including capital stock of subsidiaries; (vi) pay dividends on capital stock or redeem, repurchase or retire capital stock; (vii) alter the Company’s business; (viii) engage in transactions with the Company’s affiliates; (ix) enter into burdensome agreements; (x) use proceeds from the Second Lien Facility; (xi) amend organizational documents; (xii) change accounting policies or reporting practices; (xiii) prepay or repurchase other indebtedness; and (xiv) perform other actions related to its subsidiaries with exceptions set forth in the Second Lien Credit Agreement.</w:t>
      </w:r>
    </w:p>
    <w:p>
      <w:pPr>
        <w:spacing w:after="0" w:line="165" w:lineRule="exact"/>
        <w:rPr>
          <w:sz w:val="20"/>
          <w:szCs w:val="20"/>
          <w:color w:val="auto"/>
        </w:rPr>
      </w:pPr>
    </w:p>
    <w:p>
      <w:pPr>
        <w:jc w:val="both"/>
        <w:ind w:right="300" w:firstLine="456"/>
        <w:spacing w:after="0" w:line="312" w:lineRule="auto"/>
        <w:rPr>
          <w:sz w:val="20"/>
          <w:szCs w:val="20"/>
          <w:color w:val="auto"/>
        </w:rPr>
      </w:pPr>
      <w:r>
        <w:rPr>
          <w:rFonts w:ascii="Arial" w:cs="Arial" w:eastAsia="Arial" w:hAnsi="Arial"/>
          <w:sz w:val="16"/>
          <w:szCs w:val="16"/>
          <w:b w:val="1"/>
          <w:bCs w:val="1"/>
          <w:i w:val="1"/>
          <w:iCs w:val="1"/>
          <w:color w:val="auto"/>
        </w:rPr>
        <w:t>Events of Default</w:t>
      </w:r>
      <w:r>
        <w:rPr>
          <w:rFonts w:ascii="Arial" w:cs="Arial" w:eastAsia="Arial" w:hAnsi="Arial"/>
          <w:sz w:val="16"/>
          <w:szCs w:val="16"/>
          <w:color w:val="auto"/>
        </w:rPr>
        <w:t>. The Second Lien Facility also contains certain customary events of default (including, among others, an event of default upon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change of control). If an event of default occurs and is not cured or waived, the lenders under the Second Lien Facility are entitled to take various actions, including the acceleration of amounts due under the Second Lien Facility and all actions permitted to be taken by a secured creditor.</w:t>
      </w:r>
    </w:p>
    <w:p>
      <w:pPr>
        <w:spacing w:after="0" w:line="14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foregoing summary is subject to, and qualified in its entirety by, the full text of the Second Lien Credit Agreement, which is filed herewith as Exhibit 10.2 and incorporated herein by reference.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3" w:name="page4"/>
    <w:bookmarkEnd w:id="3"/>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12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Pursuant to the Stock Purchase Agreement, on the Closing Date, the Purchaser acquired all of the outstanding capital stock of PMG. The aggregate purchase price (the “Purchase Price”) for the Acquisition was $375.0 million in cash, adjusted to account for PMG’s indebtedness, working capital and cash balance at the Closing Date. The Purchase Price was also adjusted to certain Acquisition-related expenses.</w:t>
      </w:r>
    </w:p>
    <w:p>
      <w:pPr>
        <w:spacing w:after="0" w:line="166"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foregoing description of the Stock Purchase Agreement and the transactions contemplated thereby is subject to, and qualified in its entirety by, the full text of the Stock Purchase Agreement, a copy of which was previously filed as Exhibit 2.1 to the Company’s Current Report on Form 8-K filed on April 3, 2018, which is incorporated herein by reference.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in Item 1.01 of this Current Report on Form 8-K above is incorporated herein by reference.</w:t>
      </w:r>
    </w:p>
    <w:p>
      <w:pPr>
        <w:spacing w:after="0" w:line="37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On May 7, 2018, the Company issued a press release announcing the completion of the Acquisition. A copy of the press release is furnished as Exhibit 99.1 to this Current Report on Form 8-K.</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information, including the press release, furnished under this Item 7.01 shall not be deemed “filed” for the purposes of Section 18 of the Securities Exchange Act of 1934, as amended (the “Exchange Act”), or otherwise subject to the liabilities of that section, and shall not be deemed incorporated by reference into any other filing by the Company under the Exchange Act or the Securities Act of 1933, as amended, except as otherwise expressly stated in such filing.</w:t>
      </w:r>
    </w:p>
    <w:p>
      <w:pPr>
        <w:spacing w:after="0" w:line="33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1"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 of Business Acquired</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Financial statements of the business acquired will be filed by amendment to this Current Report on Form 8-K no later than 71 days following the date that this Report is required to be filed.</w:t>
      </w:r>
    </w:p>
    <w:p>
      <w:pPr>
        <w:spacing w:after="0" w:line="315"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Pro Forma Financial Information</w:t>
      </w:r>
    </w:p>
    <w:p>
      <w:pPr>
        <w:spacing w:after="0" w:line="12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Pro forma financial information will be filed by amendment to this Current Report on Form 8-K no later than 71 days following the date that this Report is required to be filed.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270" w:right="319" w:bottom="1440" w:gutter="0" w:footer="0" w:header="0"/>
        </w:sectPr>
      </w:pPr>
    </w:p>
    <w:bookmarkStart w:id="4" w:name="page5"/>
    <w:bookmarkEnd w:id="4"/>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Exhibit</w:t>
            </w:r>
          </w:p>
        </w:tc>
        <w:tc>
          <w:tcPr>
            <w:tcW w:w="5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500" w:type="dxa"/>
            <w:vAlign w:val="bottom"/>
          </w:tcPr>
          <w:p>
            <w:pPr>
              <w:jc w:val="right"/>
              <w:ind w:right="62"/>
              <w:spacing w:after="0"/>
              <w:rPr>
                <w:sz w:val="20"/>
                <w:szCs w:val="20"/>
                <w:color w:val="auto"/>
              </w:rPr>
            </w:pPr>
            <w:r>
              <w:rPr>
                <w:rFonts w:ascii="Arial" w:cs="Arial" w:eastAsia="Arial" w:hAnsi="Arial"/>
                <w:sz w:val="14"/>
                <w:szCs w:val="14"/>
                <w:color w:val="auto"/>
              </w:rPr>
              <w:t>No.</w:t>
            </w:r>
          </w:p>
        </w:tc>
        <w:tc>
          <w:tcPr>
            <w:tcW w:w="5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360" w:type="dxa"/>
            <w:vAlign w:val="bottom"/>
            <w:gridSpan w:val="6"/>
          </w:tcPr>
          <w:p>
            <w:pPr>
              <w:ind w:left="20"/>
              <w:spacing w:after="0"/>
              <w:rPr>
                <w:sz w:val="20"/>
                <w:szCs w:val="20"/>
                <w:color w:val="auto"/>
              </w:rPr>
            </w:pPr>
            <w:r>
              <w:rPr>
                <w:rFonts w:ascii="Arial" w:cs="Arial" w:eastAsia="Arial" w:hAnsi="Arial"/>
                <w:sz w:val="14"/>
                <w:szCs w:val="14"/>
                <w:color w:val="auto"/>
              </w:rPr>
              <w:t>Description</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500" w:type="dxa"/>
            <w:vAlign w:val="bottom"/>
          </w:tcPr>
          <w:p>
            <w:pPr>
              <w:jc w:val="right"/>
              <w:ind w:right="122"/>
              <w:spacing w:after="0"/>
              <w:rPr>
                <w:sz w:val="20"/>
                <w:szCs w:val="20"/>
                <w:color w:val="auto"/>
              </w:rPr>
            </w:pPr>
            <w:r>
              <w:rPr>
                <w:rFonts w:ascii="Arial" w:cs="Arial" w:eastAsia="Arial" w:hAnsi="Arial"/>
                <w:sz w:val="18"/>
                <w:szCs w:val="18"/>
                <w:color w:val="auto"/>
              </w:rPr>
              <w:t>2.1</w:t>
            </w:r>
          </w:p>
        </w:tc>
        <w:tc>
          <w:tcPr>
            <w:tcW w:w="560" w:type="dxa"/>
            <w:vAlign w:val="bottom"/>
          </w:tcPr>
          <w:p>
            <w:pPr>
              <w:spacing w:after="0"/>
              <w:rPr>
                <w:sz w:val="22"/>
                <w:szCs w:val="22"/>
                <w:color w:val="auto"/>
              </w:rPr>
            </w:pPr>
          </w:p>
        </w:tc>
        <w:tc>
          <w:tcPr>
            <w:tcW w:w="10020" w:type="dxa"/>
            <w:vAlign w:val="bottom"/>
            <w:tcBorders>
              <w:bottom w:val="single" w:sz="8" w:color="0000EE"/>
            </w:tcBorders>
            <w:gridSpan w:val="8"/>
          </w:tcPr>
          <w:p>
            <w:pPr>
              <w:spacing w:after="0"/>
              <w:rPr>
                <w:rFonts w:ascii="Arial" w:cs="Arial" w:eastAsia="Arial" w:hAnsi="Arial"/>
                <w:sz w:val="18"/>
                <w:szCs w:val="18"/>
                <w:color w:val="0000EE"/>
                <w:w w:val="91"/>
              </w:rPr>
            </w:pPr>
            <w:hyperlink r:id="rId22">
              <w:r>
                <w:rPr>
                  <w:rFonts w:ascii="Arial" w:cs="Arial" w:eastAsia="Arial" w:hAnsi="Arial"/>
                  <w:sz w:val="18"/>
                  <w:szCs w:val="18"/>
                  <w:color w:val="0000EE"/>
                  <w:w w:val="91"/>
                </w:rPr>
                <w:t>Stock Purchase Agreement, dated April 2, 2018, by and among Precision Engineered Products LLC, NN, Inc., PMG Intermediate Holding</w:t>
              </w:r>
            </w:hyperlink>
          </w:p>
        </w:tc>
        <w:tc>
          <w:tcPr>
            <w:tcW w:w="160" w:type="dxa"/>
            <w:vAlign w:val="bottom"/>
            <w:gridSpan w:val="2"/>
          </w:tcPr>
          <w:p>
            <w:pPr>
              <w:spacing w:after="0"/>
              <w:rPr>
                <w:sz w:val="22"/>
                <w:szCs w:val="22"/>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22">
              <w:r>
                <w:rPr>
                  <w:rFonts w:ascii="Arial" w:cs="Arial" w:eastAsia="Arial" w:hAnsi="Arial"/>
                  <w:sz w:val="18"/>
                  <w:szCs w:val="18"/>
                  <w:color w:val="0000EE"/>
                  <w:w w:val="92"/>
                </w:rPr>
                <w:t>Company and Paragon Equity LLC (previously filed as Exhibit 2.1 to the Current Report on Form 8-K, filed on April 3, 2018 and</w:t>
              </w:r>
            </w:hyperlink>
          </w:p>
        </w:tc>
        <w:tc>
          <w:tcPr>
            <w:tcW w:w="78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50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22">
              <w:r>
                <w:rPr>
                  <w:rFonts w:ascii="Arial" w:cs="Arial" w:eastAsia="Arial" w:hAnsi="Arial"/>
                  <w:sz w:val="18"/>
                  <w:szCs w:val="18"/>
                  <w:color w:val="0000EE"/>
                  <w:w w:val="89"/>
                </w:rPr>
                <w:t>incorporated therein by reference).</w:t>
              </w:r>
            </w:hyperlink>
          </w:p>
        </w:tc>
        <w:tc>
          <w:tcPr>
            <w:tcW w:w="7680" w:type="dxa"/>
            <w:vAlign w:val="bottom"/>
            <w:gridSpan w:val="9"/>
          </w:tcPr>
          <w:p>
            <w:pPr>
              <w:spacing w:after="0"/>
              <w:rPr>
                <w:sz w:val="17"/>
                <w:szCs w:val="17"/>
                <w:color w:val="auto"/>
              </w:rPr>
            </w:pPr>
          </w:p>
        </w:tc>
      </w:tr>
      <w:tr>
        <w:trPr>
          <w:trHeight w:val="304"/>
        </w:trPr>
        <w:tc>
          <w:tcPr>
            <w:tcW w:w="520" w:type="dxa"/>
            <w:vAlign w:val="bottom"/>
            <w:gridSpan w:val="2"/>
          </w:tcPr>
          <w:p>
            <w:pPr>
              <w:jc w:val="right"/>
              <w:ind w:right="122"/>
              <w:spacing w:after="0"/>
              <w:rPr>
                <w:sz w:val="20"/>
                <w:szCs w:val="20"/>
                <w:color w:val="auto"/>
              </w:rPr>
            </w:pPr>
            <w:r>
              <w:rPr>
                <w:rFonts w:ascii="Arial" w:cs="Arial" w:eastAsia="Arial" w:hAnsi="Arial"/>
                <w:sz w:val="18"/>
                <w:szCs w:val="18"/>
                <w:color w:val="auto"/>
                <w:w w:val="85"/>
              </w:rPr>
              <w:t>10.1</w:t>
            </w:r>
          </w:p>
        </w:tc>
        <w:tc>
          <w:tcPr>
            <w:tcW w:w="560" w:type="dxa"/>
            <w:vAlign w:val="bottom"/>
          </w:tcPr>
          <w:p>
            <w:pPr>
              <w:spacing w:after="0"/>
              <w:rPr>
                <w:sz w:val="24"/>
                <w:szCs w:val="24"/>
                <w:color w:val="auto"/>
              </w:rPr>
            </w:pPr>
          </w:p>
        </w:tc>
        <w:tc>
          <w:tcPr>
            <w:tcW w:w="10180" w:type="dxa"/>
            <w:vAlign w:val="bottom"/>
            <w:gridSpan w:val="10"/>
          </w:tcPr>
          <w:p>
            <w:pPr>
              <w:spacing w:after="0"/>
              <w:rPr>
                <w:rFonts w:ascii="Arial" w:cs="Arial" w:eastAsia="Arial" w:hAnsi="Arial"/>
                <w:sz w:val="18"/>
                <w:szCs w:val="18"/>
                <w:color w:val="0000EE"/>
                <w:w w:val="92"/>
              </w:rPr>
            </w:pPr>
            <w:hyperlink w:anchor="page7">
              <w:r>
                <w:rPr>
                  <w:rFonts w:ascii="Arial" w:cs="Arial" w:eastAsia="Arial" w:hAnsi="Arial"/>
                  <w:sz w:val="18"/>
                  <w:szCs w:val="18"/>
                  <w:color w:val="0000EE"/>
                  <w:w w:val="92"/>
                </w:rPr>
                <w:t>Amendment No. 4 to Amended and Restated Credit Agreement, dated May 7, 2018 by and among NN, Inc., the affiliated Guarantors party</w:t>
              </w:r>
            </w:hyperlink>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thereto, SunTrust Bank, SunTrust Robinson Humphrey, Inc. and the Lenders party thereto.</w:t>
              </w:r>
            </w:hyperlink>
          </w:p>
        </w:tc>
        <w:tc>
          <w:tcPr>
            <w:tcW w:w="140" w:type="dxa"/>
            <w:vAlign w:val="bottom"/>
          </w:tcPr>
          <w:p>
            <w:pPr>
              <w:spacing w:after="0"/>
              <w:rPr>
                <w:sz w:val="17"/>
                <w:szCs w:val="17"/>
                <w:color w:val="auto"/>
              </w:rPr>
            </w:pPr>
          </w:p>
        </w:tc>
      </w:tr>
      <w:tr>
        <w:trPr>
          <w:trHeight w:val="20"/>
        </w:trPr>
        <w:tc>
          <w:tcPr>
            <w:tcW w:w="5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40" w:type="dxa"/>
            <w:vAlign w:val="bottom"/>
            <w:gridSpan w:val="3"/>
            <w:shd w:val="clear" w:color="auto" w:fill="0000EE"/>
          </w:tcPr>
          <w:p>
            <w:pPr>
              <w:spacing w:after="0" w:line="20" w:lineRule="exact"/>
              <w:rPr>
                <w:sz w:val="1"/>
                <w:szCs w:val="1"/>
                <w:color w:val="auto"/>
              </w:rPr>
            </w:pPr>
          </w:p>
        </w:tc>
        <w:tc>
          <w:tcPr>
            <w:tcW w:w="3680" w:type="dxa"/>
            <w:vAlign w:val="bottom"/>
            <w:gridSpan w:val="4"/>
          </w:tcPr>
          <w:p>
            <w:pPr>
              <w:spacing w:after="0" w:line="20" w:lineRule="exact"/>
              <w:rPr>
                <w:sz w:val="1"/>
                <w:szCs w:val="1"/>
                <w:color w:val="auto"/>
              </w:rPr>
            </w:pPr>
          </w:p>
        </w:tc>
      </w:tr>
      <w:tr>
        <w:trPr>
          <w:trHeight w:val="304"/>
        </w:trPr>
        <w:tc>
          <w:tcPr>
            <w:tcW w:w="520" w:type="dxa"/>
            <w:vAlign w:val="bottom"/>
            <w:gridSpan w:val="2"/>
          </w:tcPr>
          <w:p>
            <w:pPr>
              <w:jc w:val="right"/>
              <w:ind w:right="122"/>
              <w:spacing w:after="0"/>
              <w:rPr>
                <w:sz w:val="20"/>
                <w:szCs w:val="20"/>
                <w:color w:val="auto"/>
              </w:rPr>
            </w:pPr>
            <w:r>
              <w:rPr>
                <w:rFonts w:ascii="Arial" w:cs="Arial" w:eastAsia="Arial" w:hAnsi="Arial"/>
                <w:sz w:val="18"/>
                <w:szCs w:val="18"/>
                <w:color w:val="auto"/>
                <w:w w:val="85"/>
              </w:rPr>
              <w:t>10.2</w:t>
            </w:r>
          </w:p>
        </w:tc>
        <w:tc>
          <w:tcPr>
            <w:tcW w:w="560" w:type="dxa"/>
            <w:vAlign w:val="bottom"/>
          </w:tcPr>
          <w:p>
            <w:pPr>
              <w:spacing w:after="0"/>
              <w:rPr>
                <w:sz w:val="24"/>
                <w:szCs w:val="24"/>
                <w:color w:val="auto"/>
              </w:rPr>
            </w:pPr>
          </w:p>
        </w:tc>
        <w:tc>
          <w:tcPr>
            <w:tcW w:w="1018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Second Lien Credit Agreement, dated May 7, 2018, by and among NN, Inc., the affiliated Guarantors party thereto, SunTrust Bank, SunTrust</w:t>
              </w:r>
            </w:hyperlink>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Robinson Humphrey, Inc. and the Lenders party thereto.</w:t>
              </w:r>
            </w:hyperlink>
          </w:p>
        </w:tc>
        <w:tc>
          <w:tcPr>
            <w:tcW w:w="6120" w:type="dxa"/>
            <w:vAlign w:val="bottom"/>
            <w:gridSpan w:val="7"/>
          </w:tcPr>
          <w:p>
            <w:pPr>
              <w:spacing w:after="0"/>
              <w:rPr>
                <w:sz w:val="17"/>
                <w:szCs w:val="17"/>
                <w:color w:val="auto"/>
              </w:rPr>
            </w:pPr>
          </w:p>
        </w:tc>
      </w:tr>
      <w:tr>
        <w:trPr>
          <w:trHeight w:val="304"/>
        </w:trPr>
        <w:tc>
          <w:tcPr>
            <w:tcW w:w="520" w:type="dxa"/>
            <w:vAlign w:val="bottom"/>
            <w:gridSpan w:val="2"/>
          </w:tcPr>
          <w:p>
            <w:pPr>
              <w:jc w:val="right"/>
              <w:ind w:right="122"/>
              <w:spacing w:after="0"/>
              <w:rPr>
                <w:sz w:val="20"/>
                <w:szCs w:val="20"/>
                <w:color w:val="auto"/>
              </w:rPr>
            </w:pPr>
            <w:r>
              <w:rPr>
                <w:rFonts w:ascii="Arial" w:cs="Arial" w:eastAsia="Arial" w:hAnsi="Arial"/>
                <w:sz w:val="18"/>
                <w:szCs w:val="18"/>
                <w:color w:val="auto"/>
                <w:w w:val="85"/>
              </w:rPr>
              <w:t>99.1</w:t>
            </w:r>
          </w:p>
        </w:tc>
        <w:tc>
          <w:tcPr>
            <w:tcW w:w="560" w:type="dxa"/>
            <w:vAlign w:val="bottom"/>
          </w:tcPr>
          <w:p>
            <w:pPr>
              <w:spacing w:after="0"/>
              <w:rPr>
                <w:sz w:val="24"/>
                <w:szCs w:val="24"/>
                <w:color w:val="auto"/>
              </w:rPr>
            </w:pPr>
          </w:p>
        </w:tc>
        <w:tc>
          <w:tcPr>
            <w:tcW w:w="10180" w:type="dxa"/>
            <w:vAlign w:val="bottom"/>
            <w:gridSpan w:val="10"/>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Press Release issued by NN, Inc. dated May 7, 2018.</w:t>
              </w:r>
            </w:hyperlink>
          </w:p>
        </w:tc>
      </w:tr>
      <w:tr>
        <w:trPr>
          <w:trHeight w:val="38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0" w:type="dxa"/>
            <w:vAlign w:val="bottom"/>
            <w:tcBorders>
              <w:top w:val="single" w:sz="8" w:color="0000EE"/>
            </w:tcBorders>
            <w:gridSpan w:val="2"/>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260"/>
          </w:cols>
          <w:pgMar w:left="240" w:top="270" w:right="399" w:bottom="1440" w:gutter="0" w:footer="0" w:header="0"/>
        </w:sectPr>
      </w:pPr>
    </w:p>
    <w:bookmarkStart w:id="5" w:name="page6"/>
    <w:bookmarkEnd w:id="5"/>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May 7, 2018</w:t>
      </w:r>
      <w:r>
        <w:rPr>
          <w:sz w:val="20"/>
          <w:szCs w:val="20"/>
          <w:color w:val="auto"/>
        </w:rPr>
        <w:tab/>
      </w:r>
      <w:r>
        <w:rPr>
          <w:rFonts w:ascii="Arial" w:cs="Arial" w:eastAsia="Arial" w:hAnsi="Arial"/>
          <w:sz w:val="17"/>
          <w:szCs w:val="17"/>
          <w:color w:val="auto"/>
        </w:rPr>
        <w:t>By:  /s/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Matthew S. Heiter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General Counsel</w:t>
      </w:r>
    </w:p>
    <w:p>
      <w:pPr>
        <w:sectPr>
          <w:pgSz w:w="11900" w:h="16838" w:orient="portrait"/>
          <w:cols w:equalWidth="0" w:num="1">
            <w:col w:w="11200"/>
          </w:cols>
          <w:pgMar w:left="240" w:top="270" w:right="45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 NO. 4 TO AMENDED AND RESTATED CREDIT AGREEMENT</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AMENDMENT NO. 4 TO AMENDED AND RESTATED CREDIT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is entered into as of May 7, 2018 among NN,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Guarantors, the Lenders signatory hereto that are party to the Credit Agreement referred to below, SunTrust Bank, as the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and SunTrust Robinson Humphrey Inc. (“</w:t>
      </w:r>
      <w:r>
        <w:rPr>
          <w:rFonts w:ascii="Arial" w:cs="Arial" w:eastAsia="Arial" w:hAnsi="Arial"/>
          <w:sz w:val="18"/>
          <w:szCs w:val="18"/>
          <w:u w:val="single" w:color="auto"/>
          <w:color w:val="auto"/>
        </w:rPr>
        <w:t>STRH</w:t>
      </w:r>
      <w:r>
        <w:rPr>
          <w:rFonts w:ascii="Arial" w:cs="Arial" w:eastAsia="Arial" w:hAnsi="Arial"/>
          <w:sz w:val="18"/>
          <w:szCs w:val="18"/>
          <w:color w:val="auto"/>
        </w:rPr>
        <w:t>”), as lead arranger (the “</w:t>
      </w:r>
      <w:r>
        <w:rPr>
          <w:rFonts w:ascii="Arial" w:cs="Arial" w:eastAsia="Arial" w:hAnsi="Arial"/>
          <w:sz w:val="18"/>
          <w:szCs w:val="18"/>
          <w:u w:val="single" w:color="auto"/>
          <w:color w:val="auto"/>
        </w:rPr>
        <w:t>Arranger</w:t>
      </w:r>
      <w:r>
        <w:rPr>
          <w:rFonts w:ascii="Arial" w:cs="Arial" w:eastAsia="Arial" w:hAnsi="Arial"/>
          <w:sz w:val="18"/>
          <w:szCs w:val="18"/>
          <w:color w:val="auto"/>
        </w:rPr>
        <w:t>”) of this Amendment.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WHEREAS, reference is hereby made to the Amended and Restated Credit Agreement, dated as of September 30, 2016 (as amended by the Incremental Amendment to Amended and Restated Credit Agreement, dated as of October 31, 2016, Amendment No. 1 to Amended and Restated Credit Agreement, dated as of April 3, 2017, Amendment No. 2 to Amended and Restated Credit Agreement, dated as of August 15, 2017 and Amendment No. 3 to Amended and Restated Credit Agreement, dated as of November 24, 2017, and as the same may be further amended, restated, amended and restated, supplemented, extended, refinanced or otherwise modified prior to the date hereof,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by and among the Borrower, the Lenders party thereto, the Administrative Agent and the other parties from time to time party thereto. Capitalized terms used in this Amendment but not defined herein shall have the meaning assigned to such terms in the Credit Agreement, as amended by this Amendment (as so amended, the “</w:t>
      </w:r>
      <w:r>
        <w:rPr>
          <w:rFonts w:ascii="Arial" w:cs="Arial" w:eastAsia="Arial" w:hAnsi="Arial"/>
          <w:sz w:val="16"/>
          <w:szCs w:val="16"/>
          <w:u w:val="single" w:color="auto"/>
          <w:color w:val="auto"/>
        </w:rPr>
        <w:t>Amended Credit Agreement</w:t>
      </w:r>
      <w:r>
        <w:rPr>
          <w:rFonts w:ascii="Arial" w:cs="Arial" w:eastAsia="Arial" w:hAnsi="Arial"/>
          <w:sz w:val="16"/>
          <w:szCs w:val="16"/>
          <w:color w:val="auto"/>
        </w:rPr>
        <w:t>”);</w:t>
      </w:r>
    </w:p>
    <w:p>
      <w:pPr>
        <w:spacing w:after="0" w:line="16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WHEREAS, NN, Inc. (“</w:t>
      </w:r>
      <w:r>
        <w:rPr>
          <w:rFonts w:ascii="Arial" w:cs="Arial" w:eastAsia="Arial" w:hAnsi="Arial"/>
          <w:sz w:val="18"/>
          <w:szCs w:val="18"/>
          <w:u w:val="single" w:color="auto"/>
          <w:color w:val="auto"/>
        </w:rPr>
        <w:t>NN</w:t>
      </w:r>
      <w:r>
        <w:rPr>
          <w:rFonts w:ascii="Arial" w:cs="Arial" w:eastAsia="Arial" w:hAnsi="Arial"/>
          <w:sz w:val="18"/>
          <w:szCs w:val="18"/>
          <w:color w:val="auto"/>
        </w:rPr>
        <w:t>”), Precision Engineered Products LLC, PMG Intermediate Holding Corporation (“</w:t>
      </w:r>
      <w:r>
        <w:rPr>
          <w:rFonts w:ascii="Arial" w:cs="Arial" w:eastAsia="Arial" w:hAnsi="Arial"/>
          <w:sz w:val="18"/>
          <w:szCs w:val="18"/>
          <w:u w:val="single" w:color="auto"/>
          <w:color w:val="auto"/>
        </w:rPr>
        <w:t>Target</w:t>
      </w:r>
      <w:r>
        <w:rPr>
          <w:rFonts w:ascii="Arial" w:cs="Arial" w:eastAsia="Arial" w:hAnsi="Arial"/>
          <w:sz w:val="18"/>
          <w:szCs w:val="18"/>
          <w:color w:val="auto"/>
        </w:rPr>
        <w:t>”) and Paragon Equity, LLC, the existing shareholder of the Target, entered into the Stock Purchase Agreement, dated as of April 2, 2018 (the “</w:t>
      </w:r>
      <w:r>
        <w:rPr>
          <w:rFonts w:ascii="Arial" w:cs="Arial" w:eastAsia="Arial" w:hAnsi="Arial"/>
          <w:sz w:val="18"/>
          <w:szCs w:val="18"/>
          <w:u w:val="single" w:color="auto"/>
          <w:color w:val="auto"/>
        </w:rPr>
        <w:t>Paragon Purchase Agreement</w:t>
      </w:r>
      <w:r>
        <w:rPr>
          <w:rFonts w:ascii="Arial" w:cs="Arial" w:eastAsia="Arial" w:hAnsi="Arial"/>
          <w:sz w:val="18"/>
          <w:szCs w:val="18"/>
          <w:color w:val="auto"/>
        </w:rPr>
        <w:t>” and, the transactions contemplated thereby, the “</w:t>
      </w:r>
      <w:r>
        <w:rPr>
          <w:rFonts w:ascii="Arial" w:cs="Arial" w:eastAsia="Arial" w:hAnsi="Arial"/>
          <w:sz w:val="18"/>
          <w:szCs w:val="18"/>
          <w:u w:val="single" w:color="auto"/>
          <w:color w:val="auto"/>
        </w:rPr>
        <w:t>Paragon Acquisition</w:t>
      </w:r>
      <w:r>
        <w:rPr>
          <w:rFonts w:ascii="Arial" w:cs="Arial" w:eastAsia="Arial" w:hAnsi="Arial"/>
          <w:sz w:val="18"/>
          <w:szCs w:val="18"/>
          <w:color w:val="auto"/>
        </w:rPr>
        <w:t>”);</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WHEREAS, the Borrower, certain of the Lenders and the Administrative Agent desire to amend the Credit Agreement to modify certain provisions thereof to, among other things, (i) permit the Paragon Acquisition and (ii) permit the incurrence of additional second lien term loans (the “</w:t>
      </w:r>
      <w:r>
        <w:rPr>
          <w:rFonts w:ascii="Arial" w:cs="Arial" w:eastAsia="Arial" w:hAnsi="Arial"/>
          <w:sz w:val="18"/>
          <w:szCs w:val="18"/>
          <w:u w:val="single" w:color="auto"/>
          <w:color w:val="auto"/>
        </w:rPr>
        <w:t>Second Lien Term</w:t>
      </w:r>
      <w:r>
        <w:rPr>
          <w:rFonts w:ascii="Arial" w:cs="Arial" w:eastAsia="Arial" w:hAnsi="Arial"/>
          <w:sz w:val="18"/>
          <w:szCs w:val="18"/>
          <w:color w:val="auto"/>
        </w:rPr>
        <w:t xml:space="preserve"> </w:t>
      </w:r>
      <w:r>
        <w:rPr>
          <w:rFonts w:ascii="Arial" w:cs="Arial" w:eastAsia="Arial" w:hAnsi="Arial"/>
          <w:sz w:val="18"/>
          <w:szCs w:val="18"/>
          <w:u w:val="single" w:color="auto"/>
          <w:color w:val="auto"/>
        </w:rPr>
        <w:t>Loans</w:t>
      </w:r>
      <w:r>
        <w:rPr>
          <w:rFonts w:ascii="Arial" w:cs="Arial" w:eastAsia="Arial" w:hAnsi="Arial"/>
          <w:sz w:val="18"/>
          <w:szCs w:val="18"/>
          <w:color w:val="auto"/>
        </w:rPr>
        <w:t>”) to finance a portion of the Paragon Acquisition, pursuant to the terms of the Credit Agreement; and</w:t>
      </w:r>
    </w:p>
    <w:p>
      <w:pPr>
        <w:spacing w:after="0" w:line="18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 xml:space="preserve">WHEREAS, pursuant to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of the Credit Agreement, (a) the consent of the Required Lenders is required for the effectiveness of certain of the amendments to the Credit Agreement set forth in Section 2 herein, and (b) the consent of the Required Revolving Lenders is required for the effectiveness of amendments to </w:t>
      </w:r>
      <w:r>
        <w:rPr>
          <w:rFonts w:ascii="Arial" w:cs="Arial" w:eastAsia="Arial" w:hAnsi="Arial"/>
          <w:sz w:val="17"/>
          <w:szCs w:val="17"/>
          <w:u w:val="single" w:color="auto"/>
          <w:color w:val="auto"/>
        </w:rPr>
        <w:t>Section 7.14</w:t>
      </w:r>
      <w:r>
        <w:rPr>
          <w:rFonts w:ascii="Arial" w:cs="Arial" w:eastAsia="Arial" w:hAnsi="Arial"/>
          <w:sz w:val="17"/>
          <w:szCs w:val="17"/>
          <w:color w:val="auto"/>
        </w:rPr>
        <w:t xml:space="preserve"> of the Credit Agreement set forth in Section 2 herein, and each of the Lenders whose consent is required pursuant to the foregoing clauses (a) and (b) has agreed to the foregoing as evidenced by its signature to this Amendment.</w:t>
      </w:r>
    </w:p>
    <w:p>
      <w:pPr>
        <w:sectPr>
          <w:pgSz w:w="11900" w:h="16838" w:orient="portrait"/>
          <w:cols w:equalWidth="0" w:num="1">
            <w:col w:w="11420"/>
          </w:cols>
          <w:pgMar w:left="240" w:top="121"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w:t>
      </w:r>
      <w:r>
        <w:rPr>
          <w:rFonts w:ascii="Arial" w:cs="Arial" w:eastAsia="Arial" w:hAnsi="Arial"/>
          <w:sz w:val="18"/>
          <w:szCs w:val="18"/>
          <w:b w:val="1"/>
          <w:bCs w:val="1"/>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consideration of the premises and mutual covenants herein and for other valuable consideration, the Borrower, the Administrative Agent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Lenders party hereto agree as follows:</w:t>
      </w:r>
    </w:p>
    <w:p>
      <w:pPr>
        <w:spacing w:after="0" w:line="21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Unless otherwise defined herein, each capitalized term used in this Amendment and not defined herein shall be defined in accordance with the Credit Agreement.</w:t>
      </w:r>
    </w:p>
    <w:p>
      <w:pPr>
        <w:spacing w:after="0" w:line="279"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Amendments</w:t>
      </w:r>
      <w:r>
        <w:rPr>
          <w:rFonts w:ascii="Arial" w:cs="Arial" w:eastAsia="Arial" w:hAnsi="Arial"/>
          <w:sz w:val="16"/>
          <w:szCs w:val="16"/>
          <w:color w:val="auto"/>
        </w:rPr>
        <w:t>.</w:t>
      </w:r>
    </w:p>
    <w:p>
      <w:pPr>
        <w:spacing w:after="0" w:line="11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117" w:lineRule="exact"/>
        <w:rPr>
          <w:sz w:val="20"/>
          <w:szCs w:val="20"/>
          <w:color w:val="auto"/>
        </w:rPr>
      </w:pPr>
    </w:p>
    <w:p>
      <w:pPr>
        <w:jc w:val="both"/>
        <w:ind w:left="900" w:right="1620" w:firstLine="21"/>
        <w:spacing w:after="0" w:line="375" w:lineRule="auto"/>
        <w:tabs>
          <w:tab w:leader="none" w:pos="1295"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following definitions are hereby added to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Credit Agreement in appropriate alphabetical order: “</w:t>
      </w:r>
      <w:r>
        <w:rPr>
          <w:rFonts w:ascii="Arial" w:cs="Arial" w:eastAsia="Arial" w:hAnsi="Arial"/>
          <w:sz w:val="18"/>
          <w:szCs w:val="18"/>
          <w:u w:val="single" w:color="auto"/>
          <w:color w:val="auto"/>
        </w:rPr>
        <w:t>Fourth Amendment</w:t>
      </w:r>
      <w:r>
        <w:rPr>
          <w:rFonts w:ascii="Arial" w:cs="Arial" w:eastAsia="Arial" w:hAnsi="Arial"/>
          <w:sz w:val="18"/>
          <w:szCs w:val="18"/>
          <w:color w:val="auto"/>
        </w:rPr>
        <w:t>” means the Fourth Amendment to Amended and Restated Credit Agreement dated as of May 7, 2018. “</w:t>
      </w:r>
      <w:r>
        <w:rPr>
          <w:rFonts w:ascii="Arial" w:cs="Arial" w:eastAsia="Arial" w:hAnsi="Arial"/>
          <w:sz w:val="18"/>
          <w:szCs w:val="18"/>
          <w:u w:val="single" w:color="auto"/>
          <w:color w:val="auto"/>
        </w:rPr>
        <w:t>Fourth Amendment Effective Date</w:t>
      </w:r>
      <w:r>
        <w:rPr>
          <w:rFonts w:ascii="Arial" w:cs="Arial" w:eastAsia="Arial" w:hAnsi="Arial"/>
          <w:sz w:val="18"/>
          <w:szCs w:val="18"/>
          <w:color w:val="auto"/>
        </w:rPr>
        <w:t>” means May 7, 2018.”</w:t>
      </w:r>
    </w:p>
    <w:p>
      <w:pPr>
        <w:spacing w:after="0" w:line="2"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Indebtedness</w:t>
      </w:r>
      <w:r>
        <w:rPr>
          <w:rFonts w:ascii="Arial" w:cs="Arial" w:eastAsia="Arial" w:hAnsi="Arial"/>
          <w:sz w:val="18"/>
          <w:szCs w:val="18"/>
          <w:color w:val="auto"/>
        </w:rPr>
        <w:t>” means Indebtedness incurred pursuant to Section 7.02(p) hereof.</w:t>
      </w:r>
    </w:p>
    <w:p>
      <w:pPr>
        <w:spacing w:after="0" w:line="117" w:lineRule="exact"/>
        <w:rPr>
          <w:sz w:val="20"/>
          <w:szCs w:val="20"/>
          <w:color w:val="auto"/>
        </w:rPr>
      </w:pPr>
    </w:p>
    <w:p>
      <w:pPr>
        <w:ind w:left="460" w:right="8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Paragon Acquisition</w:t>
      </w:r>
      <w:r>
        <w:rPr>
          <w:rFonts w:ascii="Arial" w:cs="Arial" w:eastAsia="Arial" w:hAnsi="Arial"/>
          <w:sz w:val="18"/>
          <w:szCs w:val="18"/>
          <w:color w:val="auto"/>
        </w:rPr>
        <w:t>” means the transaction contemplated by the Borrower, Precision Engineered Products LLC, PMG Intermediate Holding Corporation (“</w:t>
      </w:r>
      <w:r>
        <w:rPr>
          <w:rFonts w:ascii="Arial" w:cs="Arial" w:eastAsia="Arial" w:hAnsi="Arial"/>
          <w:sz w:val="18"/>
          <w:szCs w:val="18"/>
          <w:u w:val="single" w:color="auto"/>
          <w:color w:val="auto"/>
        </w:rPr>
        <w:t>Target</w:t>
      </w:r>
      <w:r>
        <w:rPr>
          <w:rFonts w:ascii="Arial" w:cs="Arial" w:eastAsia="Arial" w:hAnsi="Arial"/>
          <w:sz w:val="18"/>
          <w:szCs w:val="18"/>
          <w:color w:val="auto"/>
        </w:rPr>
        <w:t>”) and Paragon Equity, LLC, the existing shareholder of the Target entering into a Stock Purchase Agreement, dated as of April 2, 2018.</w:t>
      </w:r>
    </w:p>
    <w:p>
      <w:pPr>
        <w:spacing w:after="0" w:line="181" w:lineRule="exact"/>
        <w:rPr>
          <w:sz w:val="20"/>
          <w:szCs w:val="20"/>
          <w:color w:val="auto"/>
        </w:rPr>
      </w:pPr>
    </w:p>
    <w:p>
      <w:pPr>
        <w:ind w:firstLine="921"/>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definition of “Consolidated EBITDA”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Credit Agreement is hereby amended by replacing clause (vi) thereof in its entirety with the following:</w:t>
      </w:r>
    </w:p>
    <w:p>
      <w:pPr>
        <w:spacing w:after="0" w:line="62" w:lineRule="exact"/>
        <w:rPr>
          <w:sz w:val="20"/>
          <w:szCs w:val="20"/>
          <w:color w:val="auto"/>
        </w:rPr>
      </w:pPr>
    </w:p>
    <w:p>
      <w:pPr>
        <w:ind w:left="460" w:right="60"/>
        <w:spacing w:after="0" w:line="285" w:lineRule="auto"/>
        <w:rPr>
          <w:sz w:val="20"/>
          <w:szCs w:val="20"/>
          <w:color w:val="auto"/>
        </w:rPr>
      </w:pPr>
      <w:r>
        <w:rPr>
          <w:rFonts w:ascii="Arial" w:cs="Arial" w:eastAsia="Arial" w:hAnsi="Arial"/>
          <w:sz w:val="16"/>
          <w:szCs w:val="16"/>
          <w:color w:val="auto"/>
        </w:rPr>
        <w:t xml:space="preserve">“(vi) synergies, cost savings, operational expense reductions, other operating improvements and other pro forma adjustments to actual historical Consolidated EBITDA in connection with the Paragon Acquisition, any Acquisition or Disposition permitted pursuant to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7.05</w:t>
      </w:r>
      <w:r>
        <w:rPr>
          <w:rFonts w:ascii="Arial" w:cs="Arial" w:eastAsia="Arial" w:hAnsi="Arial"/>
          <w:sz w:val="16"/>
          <w:szCs w:val="16"/>
          <w:color w:val="auto"/>
        </w:rPr>
        <w:t xml:space="preserve">, restructurings and cost savings initiatives to the extent projected by the Borrower in good faith to be realized within 24 months of the Paragon Acquisition or such Acquisition, Disposition, restructuring or cost savings initiative,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synergies, cost savings and other adjustments are (A) directly attributable to the Paragon Acquisition or such Acquisition, Disposition, restructuring or cost savings initiative,</w:t>
      </w:r>
    </w:p>
    <w:p>
      <w:pPr>
        <w:spacing w:after="0" w:line="2" w:lineRule="exact"/>
        <w:rPr>
          <w:sz w:val="20"/>
          <w:szCs w:val="20"/>
          <w:color w:val="auto"/>
        </w:rPr>
      </w:pPr>
    </w:p>
    <w:p>
      <w:pPr>
        <w:ind w:left="460" w:right="340" w:firstLine="4"/>
        <w:spacing w:after="0" w:line="277" w:lineRule="auto"/>
        <w:tabs>
          <w:tab w:leader="none" w:pos="745"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factually supportable, (C) reasonably identifiable and (D) expected to have a continuing impact on the Borrower and its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aggregate amounts added to Consolidated EBITDA pursuant to this clause (vi) in any such period shall not exceed 25% of Consolidated EBITDA for such period (calculated before giving effect to the adjustment set forth in this clause (vi))”</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8" w:name="page9"/>
    <w:bookmarkEnd w:id="8"/>
    <w:p>
      <w:pPr>
        <w:ind w:left="912"/>
        <w:spacing w:after="0"/>
        <w:tabs>
          <w:tab w:leader="none" w:pos="127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w:t>
      </w:r>
      <w:r>
        <w:rPr>
          <w:sz w:val="20"/>
          <w:szCs w:val="20"/>
          <w:color w:val="auto"/>
        </w:rPr>
        <w:tab/>
      </w:r>
      <w:r>
        <w:rPr>
          <w:rFonts w:ascii="Arial" w:cs="Arial" w:eastAsia="Arial" w:hAnsi="Arial"/>
          <w:sz w:val="16"/>
          <w:szCs w:val="16"/>
          <w:color w:val="auto"/>
        </w:rPr>
        <w:t xml:space="preserve">The definition of “Restricted Payment” in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of the Credit Agreement is hereby amended and restated in its entirety as follows:</w:t>
      </w:r>
    </w:p>
    <w:p>
      <w:pPr>
        <w:spacing w:after="0" w:line="117" w:lineRule="exact"/>
        <w:rPr>
          <w:sz w:val="20"/>
          <w:szCs w:val="20"/>
          <w:color w:val="auto"/>
        </w:rPr>
      </w:pPr>
    </w:p>
    <w:p>
      <w:pPr>
        <w:ind w:left="452" w:right="2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with respect to the Borrower or any of its Subsidiaries, (a) any Capital Distribution and (b) any amount paid by the Borrower or any of its Subsidiaries in repayment, redemption, retirement or repurchase, directly or indirectly, of any Subordinated Indebtedness, any Junior Indebtedness or the Indebtedness evidenced by the New Notes.”</w:t>
      </w:r>
    </w:p>
    <w:p>
      <w:pPr>
        <w:spacing w:after="0" w:line="289" w:lineRule="exact"/>
        <w:rPr>
          <w:sz w:val="20"/>
          <w:szCs w:val="20"/>
          <w:color w:val="auto"/>
        </w:rPr>
      </w:pPr>
    </w:p>
    <w:p>
      <w:pPr>
        <w:ind w:left="452"/>
        <w:spacing w:after="0"/>
        <w:tabs>
          <w:tab w:leader="none" w:pos="832"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Negative Covenants</w:t>
      </w:r>
      <w:r>
        <w:rPr>
          <w:rFonts w:ascii="Arial" w:cs="Arial" w:eastAsia="Arial" w:hAnsi="Arial"/>
          <w:sz w:val="16"/>
          <w:szCs w:val="16"/>
          <w:color w:val="auto"/>
        </w:rPr>
        <w:t>.</w:t>
      </w:r>
    </w:p>
    <w:p>
      <w:pPr>
        <w:spacing w:after="0" w:line="117" w:lineRule="exact"/>
        <w:rPr>
          <w:sz w:val="20"/>
          <w:szCs w:val="20"/>
          <w:color w:val="auto"/>
        </w:rPr>
      </w:pPr>
    </w:p>
    <w:p>
      <w:pPr>
        <w:ind w:left="1292" w:hanging="379"/>
        <w:spacing w:after="0"/>
        <w:tabs>
          <w:tab w:leader="none" w:pos="1292" w:val="left"/>
        </w:tabs>
        <w:numPr>
          <w:ilvl w:val="1"/>
          <w:numId w:val="8"/>
        </w:numPr>
        <w:rPr>
          <w:rFonts w:ascii="Arial" w:cs="Arial" w:eastAsia="Arial" w:hAnsi="Arial"/>
          <w:sz w:val="16"/>
          <w:szCs w:val="16"/>
          <w:color w:val="auto"/>
        </w:rPr>
      </w:pP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of the Credit Agreement is hereby amended by deleting the “and” at the end of clause (o), replacing the “.” at the end of clause</w:t>
      </w:r>
    </w:p>
    <w:p>
      <w:pPr>
        <w:spacing w:after="0" w:line="46" w:lineRule="exact"/>
        <w:rPr>
          <w:rFonts w:ascii="Arial" w:cs="Arial" w:eastAsia="Arial" w:hAnsi="Arial"/>
          <w:sz w:val="16"/>
          <w:szCs w:val="16"/>
          <w:color w:val="auto"/>
        </w:rPr>
      </w:pPr>
    </w:p>
    <w:p>
      <w:pPr>
        <w:ind w:left="252" w:hanging="252"/>
        <w:spacing w:after="0"/>
        <w:tabs>
          <w:tab w:leader="none" w:pos="252"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 “;” and adding the following sub-clauses (q) and (r):</w:t>
      </w:r>
    </w:p>
    <w:p>
      <w:pPr>
        <w:spacing w:after="0" w:line="103" w:lineRule="exact"/>
        <w:rPr>
          <w:sz w:val="20"/>
          <w:szCs w:val="20"/>
          <w:color w:val="auto"/>
        </w:rPr>
      </w:pPr>
    </w:p>
    <w:p>
      <w:pPr>
        <w:ind w:left="452"/>
        <w:spacing w:after="0"/>
        <w:tabs>
          <w:tab w:leader="none" w:pos="912" w:val="left"/>
        </w:tabs>
        <w:rPr>
          <w:sz w:val="20"/>
          <w:szCs w:val="20"/>
          <w:color w:val="auto"/>
        </w:rPr>
      </w:pPr>
      <w:r>
        <w:rPr>
          <w:rFonts w:ascii="Arial" w:cs="Arial" w:eastAsia="Arial" w:hAnsi="Arial"/>
          <w:sz w:val="18"/>
          <w:szCs w:val="18"/>
          <w:color w:val="auto"/>
        </w:rPr>
        <w:t>“(q)</w:t>
      </w:r>
      <w:r>
        <w:rPr>
          <w:sz w:val="20"/>
          <w:szCs w:val="20"/>
          <w:color w:val="auto"/>
        </w:rPr>
        <w:tab/>
      </w:r>
      <w:r>
        <w:rPr>
          <w:rFonts w:ascii="Arial" w:cs="Arial" w:eastAsia="Arial" w:hAnsi="Arial"/>
          <w:sz w:val="16"/>
          <w:szCs w:val="16"/>
          <w:color w:val="auto"/>
        </w:rPr>
        <w:t>Liens on the Collateral securing Indebtedness permitted under Section 7.02(p);</w:t>
      </w:r>
    </w:p>
    <w:p>
      <w:pPr>
        <w:spacing w:after="0" w:line="117" w:lineRule="exact"/>
        <w:rPr>
          <w:sz w:val="20"/>
          <w:szCs w:val="20"/>
          <w:color w:val="auto"/>
        </w:rPr>
      </w:pPr>
    </w:p>
    <w:p>
      <w:pPr>
        <w:ind w:left="452" w:right="40" w:firstLine="4"/>
        <w:spacing w:after="0" w:line="259" w:lineRule="auto"/>
        <w:tabs>
          <w:tab w:leader="none" w:pos="812"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Liens existing on the Fourth Amendment Effective Date securing Indebtedness that has been repaid;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Lien permitted by this </w:t>
      </w:r>
      <w:r>
        <w:rPr>
          <w:rFonts w:ascii="Arial" w:cs="Arial" w:eastAsia="Arial" w:hAnsi="Arial"/>
          <w:sz w:val="18"/>
          <w:szCs w:val="18"/>
          <w:u w:val="single" w:color="auto"/>
          <w:color w:val="auto"/>
        </w:rPr>
        <w:t>clause (r)</w:t>
      </w:r>
      <w:r>
        <w:rPr>
          <w:rFonts w:ascii="Arial" w:cs="Arial" w:eastAsia="Arial" w:hAnsi="Arial"/>
          <w:sz w:val="18"/>
          <w:szCs w:val="18"/>
          <w:color w:val="auto"/>
        </w:rPr>
        <w:t xml:space="preserve"> is permitted only for so long as is reasonably necessary for the affected Loan Party or the affected Subsidiary, using its best efforts, to remove, discharge or otherwise eliminate such Lien;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in no event shall any Lien permitted by this </w:t>
      </w:r>
      <w:r>
        <w:rPr>
          <w:rFonts w:ascii="Arial" w:cs="Arial" w:eastAsia="Arial" w:hAnsi="Arial"/>
          <w:sz w:val="18"/>
          <w:szCs w:val="18"/>
          <w:u w:val="single" w:color="auto"/>
          <w:color w:val="auto"/>
        </w:rPr>
        <w:t>clause (r)</w:t>
      </w:r>
      <w:r>
        <w:rPr>
          <w:rFonts w:ascii="Arial" w:cs="Arial" w:eastAsia="Arial" w:hAnsi="Arial"/>
          <w:sz w:val="18"/>
          <w:szCs w:val="18"/>
          <w:color w:val="auto"/>
        </w:rPr>
        <w:t xml:space="preserve"> be permitted for more than 90 days.”</w:t>
      </w:r>
    </w:p>
    <w:p>
      <w:pPr>
        <w:spacing w:after="0" w:line="187" w:lineRule="exact"/>
        <w:rPr>
          <w:sz w:val="20"/>
          <w:szCs w:val="20"/>
          <w:color w:val="auto"/>
        </w:rPr>
      </w:pPr>
    </w:p>
    <w:p>
      <w:pPr>
        <w:ind w:left="912"/>
        <w:spacing w:after="0"/>
        <w:tabs>
          <w:tab w:leader="none" w:pos="1292"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u w:val="single" w:color="auto"/>
          <w:color w:val="auto"/>
        </w:rPr>
        <w:t xml:space="preserve">Section 7.02 </w:t>
      </w:r>
      <w:r>
        <w:rPr>
          <w:rFonts w:ascii="Arial" w:cs="Arial" w:eastAsia="Arial" w:hAnsi="Arial"/>
          <w:sz w:val="16"/>
          <w:szCs w:val="16"/>
          <w:color w:val="auto"/>
        </w:rPr>
        <w:t>of the Credit Agreement is hereby amended by adding the following sub-clause (p):</w:t>
      </w:r>
    </w:p>
    <w:p>
      <w:pPr>
        <w:spacing w:after="0" w:line="117" w:lineRule="exact"/>
        <w:rPr>
          <w:sz w:val="20"/>
          <w:szCs w:val="20"/>
          <w:color w:val="auto"/>
        </w:rPr>
      </w:pPr>
    </w:p>
    <w:p>
      <w:pPr>
        <w:ind w:left="452"/>
        <w:spacing w:after="0" w:line="257" w:lineRule="auto"/>
        <w:rPr>
          <w:sz w:val="20"/>
          <w:szCs w:val="20"/>
          <w:color w:val="auto"/>
        </w:rPr>
      </w:pPr>
      <w:r>
        <w:rPr>
          <w:rFonts w:ascii="Arial" w:cs="Arial" w:eastAsia="Arial" w:hAnsi="Arial"/>
          <w:sz w:val="18"/>
          <w:szCs w:val="18"/>
          <w:color w:val="auto"/>
        </w:rPr>
        <w:t xml:space="preserve">“(p) Indebtedness consisting of Second Lien Term Loans (as defined in the Fourth Amendment) secured by Liens on a junior priority basis to the Liens securing the Term Loans and the Revolving Credit Loans, in an aggregate amount not to exceed $200,000,000, and any Refinancing Indebtedness in respect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Indebtedness (x) shall not be secured by any assets other than the Collateral or guaranteed by any entities other than the Guarantors, and (y) shall be subject to the provisions of an intercreditor agreement in a customary form that is reasonably acceptable to the Borrower and the Administrative Agent;”</w:t>
      </w:r>
    </w:p>
    <w:p>
      <w:pPr>
        <w:spacing w:after="0" w:line="188" w:lineRule="exact"/>
        <w:rPr>
          <w:sz w:val="20"/>
          <w:szCs w:val="20"/>
          <w:color w:val="auto"/>
        </w:rPr>
      </w:pPr>
    </w:p>
    <w:p>
      <w:pPr>
        <w:ind w:left="-8" w:right="300" w:firstLine="921"/>
        <w:spacing w:after="0" w:line="264" w:lineRule="auto"/>
        <w:tabs>
          <w:tab w:leader="none" w:pos="128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Section 7.03(b)</w:t>
      </w:r>
      <w:r>
        <w:rPr>
          <w:rFonts w:ascii="Arial" w:cs="Arial" w:eastAsia="Arial" w:hAnsi="Arial"/>
          <w:sz w:val="18"/>
          <w:szCs w:val="18"/>
          <w:color w:val="auto"/>
        </w:rPr>
        <w:t xml:space="preserve"> of the Credit Agreement is hereby amended by (1) adding a “(i)” immediately before “an Acquisition so long as”, (2) renumbering the existing clauses (i) through (vii) as clauses (i)(A) through (G), (3) adding “[reserved]” as new clauses (ii) through (vii) and (4) adding the below as a new </w:t>
      </w:r>
      <w:r>
        <w:rPr>
          <w:rFonts w:ascii="Arial" w:cs="Arial" w:eastAsia="Arial" w:hAnsi="Arial"/>
          <w:sz w:val="18"/>
          <w:szCs w:val="18"/>
          <w:u w:val="single" w:color="auto"/>
          <w:color w:val="auto"/>
        </w:rPr>
        <w:t>Section 7.03(b)(ix)</w:t>
      </w:r>
      <w:r>
        <w:rPr>
          <w:rFonts w:ascii="Arial" w:cs="Arial" w:eastAsia="Arial" w:hAnsi="Arial"/>
          <w:sz w:val="18"/>
          <w:szCs w:val="18"/>
          <w:color w:val="auto"/>
        </w:rPr>
        <w:t xml:space="preserve"> with the existing </w:t>
      </w:r>
      <w:r>
        <w:rPr>
          <w:rFonts w:ascii="Arial" w:cs="Arial" w:eastAsia="Arial" w:hAnsi="Arial"/>
          <w:sz w:val="18"/>
          <w:szCs w:val="18"/>
          <w:u w:val="single" w:color="auto"/>
          <w:color w:val="auto"/>
        </w:rPr>
        <w:t>Section 7.03(b)(ix)</w:t>
      </w:r>
      <w:r>
        <w:rPr>
          <w:rFonts w:ascii="Arial" w:cs="Arial" w:eastAsia="Arial" w:hAnsi="Arial"/>
          <w:sz w:val="18"/>
          <w:szCs w:val="18"/>
          <w:color w:val="auto"/>
        </w:rPr>
        <w:t xml:space="preserve"> becoming </w:t>
      </w:r>
      <w:r>
        <w:rPr>
          <w:rFonts w:ascii="Arial" w:cs="Arial" w:eastAsia="Arial" w:hAnsi="Arial"/>
          <w:sz w:val="18"/>
          <w:szCs w:val="18"/>
          <w:u w:val="single" w:color="auto"/>
          <w:color w:val="auto"/>
        </w:rPr>
        <w:t>Section 7.03(b)(x)</w:t>
      </w:r>
      <w:r>
        <w:rPr>
          <w:rFonts w:ascii="Arial" w:cs="Arial" w:eastAsia="Arial" w:hAnsi="Arial"/>
          <w:sz w:val="18"/>
          <w:szCs w:val="18"/>
          <w:color w:val="auto"/>
        </w:rPr>
        <w:t>:</w:t>
      </w:r>
    </w:p>
    <w:p>
      <w:pPr>
        <w:spacing w:after="0" w:line="181" w:lineRule="exact"/>
        <w:rPr>
          <w:sz w:val="20"/>
          <w:szCs w:val="20"/>
          <w:color w:val="auto"/>
        </w:rPr>
      </w:pPr>
    </w:p>
    <w:p>
      <w:pPr>
        <w:ind w:left="452"/>
        <w:spacing w:after="0"/>
        <w:rPr>
          <w:sz w:val="20"/>
          <w:szCs w:val="20"/>
          <w:color w:val="auto"/>
        </w:rPr>
      </w:pPr>
      <w:r>
        <w:rPr>
          <w:rFonts w:ascii="Arial" w:cs="Arial" w:eastAsia="Arial" w:hAnsi="Arial"/>
          <w:sz w:val="18"/>
          <w:szCs w:val="18"/>
          <w:color w:val="auto"/>
        </w:rPr>
        <w:t>“(ix) the Paragon Acquisition;”</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12"/>
          </w:cols>
          <w:pgMar w:left="248" w:top="274" w:right="239" w:bottom="1440" w:gutter="0" w:footer="0" w:header="0"/>
        </w:sectPr>
      </w:pPr>
    </w:p>
    <w:bookmarkStart w:id="9" w:name="page10"/>
    <w:bookmarkEnd w:id="9"/>
    <w:p>
      <w:pPr>
        <w:ind w:left="460"/>
        <w:spacing w:after="0"/>
        <w:tabs>
          <w:tab w:leader="none" w:pos="8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w:t>
      </w:r>
      <w:r>
        <w:rPr>
          <w:sz w:val="20"/>
          <w:szCs w:val="20"/>
          <w:color w:val="auto"/>
        </w:rPr>
        <w:tab/>
      </w:r>
      <w:r>
        <w:rPr>
          <w:rFonts w:ascii="Arial" w:cs="Arial" w:eastAsia="Arial" w:hAnsi="Arial"/>
          <w:sz w:val="16"/>
          <w:szCs w:val="16"/>
          <w:u w:val="single" w:color="auto"/>
          <w:color w:val="auto"/>
        </w:rPr>
        <w:t xml:space="preserve">Section 7.03(b)(vii) </w:t>
      </w:r>
      <w:r>
        <w:rPr>
          <w:rFonts w:ascii="Arial" w:cs="Arial" w:eastAsia="Arial" w:hAnsi="Arial"/>
          <w:sz w:val="16"/>
          <w:szCs w:val="16"/>
          <w:color w:val="auto"/>
        </w:rPr>
        <w:t>of the Credit Agreement is hereby amended and restated in its entirety as</w:t>
      </w:r>
      <w:r>
        <w:rPr>
          <w:rFonts w:ascii="Arial" w:cs="Arial" w:eastAsia="Arial" w:hAnsi="Arial"/>
          <w:sz w:val="16"/>
          <w:szCs w:val="16"/>
          <w:u w:val="single" w:color="auto"/>
          <w:color w:val="auto"/>
        </w:rPr>
        <w:t xml:space="preserve"> Section 7.03(b)(i)(G) </w:t>
      </w:r>
      <w:r>
        <w:rPr>
          <w:rFonts w:ascii="Arial" w:cs="Arial" w:eastAsia="Arial" w:hAnsi="Arial"/>
          <w:sz w:val="16"/>
          <w:szCs w:val="16"/>
          <w:color w:val="auto"/>
        </w:rPr>
        <w:t>as follows:</w:t>
      </w:r>
    </w:p>
    <w:p>
      <w:pPr>
        <w:spacing w:after="0" w:line="11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“other than in connection with the Paragon Acquisition, the Borrower and its Subsidiaries shall be in compliance with the Pro Forma Leverage Test, and if the aggregate Consideration for any Acquisition permitted under this clause (b) is greater than or equal to $15,000,000, the Borrower shall have provided to the Administrative Agent and the Lenders, at least five (5) days prior to such Acquisition, a certificate of a Financial Officer of the Borrower showing that, both before and after giving pro forma effect to such Acquisition (and to any Indebtedness incurred, assumed or acquired in connection therewith), the Borrower and its Subsidiaries shall be in compliance with the Pro Forma Leverage Test.”</w:t>
      </w:r>
    </w:p>
    <w:p>
      <w:pPr>
        <w:spacing w:after="0" w:line="158" w:lineRule="exact"/>
        <w:rPr>
          <w:sz w:val="20"/>
          <w:szCs w:val="20"/>
          <w:color w:val="auto"/>
        </w:rPr>
      </w:pPr>
    </w:p>
    <w:p>
      <w:pPr>
        <w:ind w:left="460"/>
        <w:spacing w:after="0"/>
        <w:tabs>
          <w:tab w:leader="none" w:pos="82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6"/>
          <w:szCs w:val="16"/>
          <w:u w:val="single" w:color="auto"/>
          <w:color w:val="auto"/>
        </w:rPr>
        <w:t xml:space="preserve">Section 7.06(b) </w:t>
      </w:r>
      <w:r>
        <w:rPr>
          <w:rFonts w:ascii="Arial" w:cs="Arial" w:eastAsia="Arial" w:hAnsi="Arial"/>
          <w:sz w:val="16"/>
          <w:szCs w:val="16"/>
          <w:color w:val="auto"/>
        </w:rPr>
        <w:t>of the Credit Agreement is hereby restated in its entirety as follows:</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“so long as no Default has occurred and is continuing or would result therefrom, the Borrower and its Subsidiaries may make payment of current interest, expenses and indemnities in respect of Junior Indebtedness and Subordinated Indebtedness (other than any such payments prohibited by the intercreditor agreement or subordination provisions applicable thereto);”</w:t>
      </w:r>
    </w:p>
    <w:p>
      <w:pPr>
        <w:spacing w:after="0" w:line="181" w:lineRule="exact"/>
        <w:rPr>
          <w:sz w:val="20"/>
          <w:szCs w:val="20"/>
          <w:color w:val="auto"/>
        </w:rPr>
      </w:pPr>
    </w:p>
    <w:p>
      <w:pPr>
        <w:ind w:left="460"/>
        <w:spacing w:after="0"/>
        <w:tabs>
          <w:tab w:leader="none" w:pos="800" w:val="left"/>
        </w:tabs>
        <w:rPr>
          <w:sz w:val="20"/>
          <w:szCs w:val="20"/>
          <w:color w:val="auto"/>
        </w:rPr>
      </w:pPr>
      <w:r>
        <w:rPr>
          <w:rFonts w:ascii="Arial" w:cs="Arial" w:eastAsia="Arial" w:hAnsi="Arial"/>
          <w:sz w:val="18"/>
          <w:szCs w:val="18"/>
          <w:color w:val="auto"/>
        </w:rPr>
        <w:t>(f)</w:t>
      </w:r>
      <w:r>
        <w:rPr>
          <w:sz w:val="20"/>
          <w:szCs w:val="20"/>
          <w:color w:val="auto"/>
        </w:rPr>
        <w:tab/>
      </w:r>
      <w:r>
        <w:rPr>
          <w:rFonts w:ascii="Arial" w:cs="Arial" w:eastAsia="Arial" w:hAnsi="Arial"/>
          <w:sz w:val="16"/>
          <w:szCs w:val="16"/>
          <w:u w:val="single" w:color="auto"/>
          <w:color w:val="auto"/>
        </w:rPr>
        <w:t xml:space="preserve">Section 7.14 </w:t>
      </w:r>
      <w:r>
        <w:rPr>
          <w:rFonts w:ascii="Arial" w:cs="Arial" w:eastAsia="Arial" w:hAnsi="Arial"/>
          <w:sz w:val="16"/>
          <w:szCs w:val="16"/>
          <w:color w:val="auto"/>
        </w:rPr>
        <w:t>of the Credit Agreement is hereby restated in its entirety as follows:</w:t>
      </w:r>
    </w:p>
    <w:p>
      <w:pPr>
        <w:spacing w:after="0" w:line="117" w:lineRule="exact"/>
        <w:rPr>
          <w:sz w:val="20"/>
          <w:szCs w:val="20"/>
          <w:color w:val="auto"/>
        </w:rPr>
      </w:pPr>
    </w:p>
    <w:p>
      <w:pPr>
        <w:ind w:firstLine="438"/>
        <w:spacing w:after="0" w:line="286" w:lineRule="auto"/>
        <w:rPr>
          <w:sz w:val="20"/>
          <w:szCs w:val="20"/>
          <w:color w:val="auto"/>
        </w:rPr>
      </w:pPr>
      <w:r>
        <w:rPr>
          <w:rFonts w:ascii="Arial" w:cs="Arial" w:eastAsia="Arial" w:hAnsi="Arial"/>
          <w:sz w:val="16"/>
          <w:szCs w:val="16"/>
          <w:color w:val="auto"/>
        </w:rPr>
        <w:t xml:space="preserve">“7.14 </w:t>
      </w:r>
      <w:r>
        <w:rPr>
          <w:rFonts w:ascii="Arial" w:cs="Arial" w:eastAsia="Arial" w:hAnsi="Arial"/>
          <w:sz w:val="16"/>
          <w:szCs w:val="16"/>
          <w:u w:val="single" w:color="auto"/>
          <w:color w:val="auto"/>
        </w:rPr>
        <w:t>Financial Covenant.</w:t>
      </w:r>
      <w:r>
        <w:rPr>
          <w:rFonts w:ascii="Arial" w:cs="Arial" w:eastAsia="Arial" w:hAnsi="Arial"/>
          <w:sz w:val="16"/>
          <w:szCs w:val="16"/>
          <w:color w:val="auto"/>
        </w:rPr>
        <w:t xml:space="preserve"> For the benefit of the Revolving Credit Lenders, the Swing Line Lender and the L/C Issuers only (and the Administrative Agent on their behalf), permit the Consolidated Net Leverage Ratio of the Borrower and its Subsidiaries as of the last day of any fiscal quarter of the Borrower to exceed the Consolidated Net Leverage Ratio set forth in the applicable fiscal quarter below if the aggregate Revolving Credit Exposure (excluding any Revolving Credit Exposure in respect of any existing Letter of Credit with respect to precious metals or any Letter of Credit</w:t>
      </w:r>
    </w:p>
    <w:p>
      <w:pPr>
        <w:spacing w:after="0" w:line="2" w:lineRule="exact"/>
        <w:rPr>
          <w:sz w:val="20"/>
          <w:szCs w:val="20"/>
          <w:color w:val="auto"/>
        </w:rPr>
      </w:pPr>
    </w:p>
    <w:p>
      <w:pPr>
        <w:ind w:right="320" w:firstLine="4"/>
        <w:spacing w:after="0" w:line="295" w:lineRule="auto"/>
        <w:tabs>
          <w:tab w:leader="none" w:pos="245"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which has been cash collateralized in an amount equal to 103% or more of the maximum stated amount of such Letter of Credit and (b) which remains undrawn;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Revolving Credit Exposure in respect of any such Letters of Credit that have not been cash collateralized as set forth in the foregoing clause (a) shall only be excluded to the extent the aggregate Revolving Credit Exposure of all such Letters of Credit excluded pursuant to this clause (b) does not exceed $5,000,000) outstanding as of the last day of such fiscal quarter exceeds $0.</w:t>
      </w:r>
    </w:p>
    <w:p>
      <w:pPr>
        <w:spacing w:after="0" w:line="180"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Fiscal Quarter</w:t>
            </w:r>
          </w:p>
        </w:tc>
        <w:tc>
          <w:tcPr>
            <w:tcW w:w="222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Consolidated Net Leverage Ratio</w:t>
            </w:r>
          </w:p>
        </w:tc>
      </w:tr>
      <w:tr>
        <w:trPr>
          <w:trHeight w:val="210"/>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2018</w:t>
            </w:r>
          </w:p>
        </w:tc>
        <w:tc>
          <w:tcPr>
            <w:tcW w:w="1080" w:type="dxa"/>
            <w:vAlign w:val="bottom"/>
            <w:shd w:val="clear" w:color="auto" w:fill="CCEEFF"/>
          </w:tcPr>
          <w:p>
            <w:pPr>
              <w:spacing w:after="0"/>
              <w:rPr>
                <w:sz w:val="18"/>
                <w:szCs w:val="18"/>
                <w:color w:val="auto"/>
              </w:rPr>
            </w:pPr>
          </w:p>
        </w:tc>
        <w:tc>
          <w:tcPr>
            <w:tcW w:w="3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6.50 to 1.00</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June 30, 2018</w:t>
            </w:r>
          </w:p>
        </w:tc>
        <w:tc>
          <w:tcPr>
            <w:tcW w:w="108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0"/>
              </w:rPr>
              <w:t>6.25 to 1.00</w:t>
            </w: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2018</w:t>
            </w:r>
          </w:p>
        </w:tc>
        <w:tc>
          <w:tcPr>
            <w:tcW w:w="1080" w:type="dxa"/>
            <w:vAlign w:val="bottom"/>
            <w:shd w:val="clear" w:color="auto" w:fill="CCEEFF"/>
          </w:tcPr>
          <w:p>
            <w:pPr>
              <w:spacing w:after="0"/>
              <w:rPr>
                <w:sz w:val="18"/>
                <w:szCs w:val="18"/>
                <w:color w:val="auto"/>
              </w:rPr>
            </w:pPr>
          </w:p>
        </w:tc>
        <w:tc>
          <w:tcPr>
            <w:tcW w:w="3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6.00 to 1.00</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December 31, 2018</w:t>
            </w:r>
          </w:p>
        </w:tc>
        <w:tc>
          <w:tcPr>
            <w:tcW w:w="108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0"/>
              </w:rPr>
              <w:t>5.75 to 1.00</w:t>
            </w: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2019</w:t>
            </w:r>
          </w:p>
        </w:tc>
        <w:tc>
          <w:tcPr>
            <w:tcW w:w="1080" w:type="dxa"/>
            <w:vAlign w:val="bottom"/>
            <w:shd w:val="clear" w:color="auto" w:fill="CCEEFF"/>
          </w:tcPr>
          <w:p>
            <w:pPr>
              <w:spacing w:after="0"/>
              <w:rPr>
                <w:sz w:val="18"/>
                <w:szCs w:val="18"/>
                <w:color w:val="auto"/>
              </w:rPr>
            </w:pPr>
          </w:p>
        </w:tc>
        <w:tc>
          <w:tcPr>
            <w:tcW w:w="3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5.75 to 1.00</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June 30, 2019</w:t>
            </w:r>
          </w:p>
        </w:tc>
        <w:tc>
          <w:tcPr>
            <w:tcW w:w="108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0"/>
              </w:rPr>
              <w:t>5.75 to 1.00</w:t>
            </w: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2019</w:t>
            </w:r>
          </w:p>
        </w:tc>
        <w:tc>
          <w:tcPr>
            <w:tcW w:w="1080" w:type="dxa"/>
            <w:vAlign w:val="bottom"/>
            <w:shd w:val="clear" w:color="auto" w:fill="CCEEFF"/>
          </w:tcPr>
          <w:p>
            <w:pPr>
              <w:spacing w:after="0"/>
              <w:rPr>
                <w:sz w:val="18"/>
                <w:szCs w:val="18"/>
                <w:color w:val="auto"/>
              </w:rPr>
            </w:pPr>
          </w:p>
        </w:tc>
        <w:tc>
          <w:tcPr>
            <w:tcW w:w="3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5.75 to 1.00</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December 31, 2019</w:t>
            </w:r>
          </w:p>
        </w:tc>
        <w:tc>
          <w:tcPr>
            <w:tcW w:w="108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0"/>
              </w:rPr>
              <w:t>5.50 to 1.00</w:t>
            </w: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2020</w:t>
            </w:r>
          </w:p>
        </w:tc>
        <w:tc>
          <w:tcPr>
            <w:tcW w:w="1080" w:type="dxa"/>
            <w:vAlign w:val="bottom"/>
            <w:shd w:val="clear" w:color="auto" w:fill="CCEEFF"/>
          </w:tcPr>
          <w:p>
            <w:pPr>
              <w:spacing w:after="0"/>
              <w:rPr>
                <w:sz w:val="18"/>
                <w:szCs w:val="18"/>
                <w:color w:val="auto"/>
              </w:rPr>
            </w:pPr>
          </w:p>
        </w:tc>
        <w:tc>
          <w:tcPr>
            <w:tcW w:w="3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5.50 to 1.00</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June 30, 2020</w:t>
            </w:r>
          </w:p>
        </w:tc>
        <w:tc>
          <w:tcPr>
            <w:tcW w:w="108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0"/>
              </w:rPr>
              <w:t>5.50 to 1.00</w:t>
            </w: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2020 and thereafter</w:t>
            </w:r>
          </w:p>
        </w:tc>
        <w:tc>
          <w:tcPr>
            <w:tcW w:w="1080" w:type="dxa"/>
            <w:vAlign w:val="bottom"/>
            <w:shd w:val="clear" w:color="auto" w:fill="CCEEFF"/>
          </w:tcPr>
          <w:p>
            <w:pPr>
              <w:spacing w:after="0"/>
              <w:rPr>
                <w:sz w:val="18"/>
                <w:szCs w:val="18"/>
                <w:color w:val="auto"/>
              </w:rPr>
            </w:pPr>
          </w:p>
        </w:tc>
        <w:tc>
          <w:tcPr>
            <w:tcW w:w="3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5.25 to 1.00</w:t>
            </w:r>
          </w:p>
        </w:tc>
      </w:tr>
      <w:tr>
        <w:trPr>
          <w:trHeight w:val="365"/>
        </w:trPr>
        <w:tc>
          <w:tcPr>
            <w:tcW w:w="9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-4-</w:t>
            </w:r>
          </w:p>
        </w:tc>
        <w:tc>
          <w:tcPr>
            <w:tcW w:w="3560" w:type="dxa"/>
            <w:vAlign w:val="bottom"/>
          </w:tcPr>
          <w:p>
            <w:pPr>
              <w:spacing w:after="0"/>
              <w:rPr>
                <w:sz w:val="24"/>
                <w:szCs w:val="24"/>
                <w:color w:val="auto"/>
              </w:rPr>
            </w:pPr>
          </w:p>
        </w:tc>
      </w:tr>
    </w:tbl>
    <w:p>
      <w:pPr>
        <w:sectPr>
          <w:pgSz w:w="11900" w:h="16838" w:orient="portrait"/>
          <w:cols w:equalWidth="0" w:num="1">
            <w:col w:w="10960"/>
          </w:cols>
          <w:pgMar w:left="700" w:top="274" w:right="239" w:bottom="1440" w:gutter="0" w:footer="0" w:header="0"/>
        </w:sectPr>
      </w:pPr>
    </w:p>
    <w:bookmarkStart w:id="10" w:name="page11"/>
    <w:bookmarkEnd w:id="10"/>
    <w:p>
      <w:pPr>
        <w:ind w:left="460"/>
        <w:spacing w:after="0"/>
        <w:tabs>
          <w:tab w:leader="none" w:pos="13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3.</w:t>
      </w:r>
      <w:r>
        <w:rPr>
          <w:sz w:val="20"/>
          <w:szCs w:val="20"/>
          <w:color w:val="auto"/>
        </w:rPr>
        <w:tab/>
      </w:r>
      <w:r>
        <w:rPr>
          <w:rFonts w:ascii="Arial" w:cs="Arial" w:eastAsia="Arial" w:hAnsi="Arial"/>
          <w:sz w:val="16"/>
          <w:szCs w:val="16"/>
          <w:u w:val="single" w:color="auto"/>
          <w:color w:val="auto"/>
        </w:rPr>
        <w:t>Conditions to Effectiveness</w:t>
      </w:r>
      <w:r>
        <w:rPr>
          <w:rFonts w:ascii="Arial" w:cs="Arial" w:eastAsia="Arial" w:hAnsi="Arial"/>
          <w:sz w:val="16"/>
          <w:szCs w:val="16"/>
          <w:color w:val="auto"/>
        </w:rPr>
        <w:t>.</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3.1 This Amendment shall become effective on the date (such date, the “</w:t>
      </w:r>
      <w:r>
        <w:rPr>
          <w:rFonts w:ascii="Arial" w:cs="Arial" w:eastAsia="Arial" w:hAnsi="Arial"/>
          <w:sz w:val="18"/>
          <w:szCs w:val="18"/>
          <w:u w:val="single" w:color="auto"/>
          <w:color w:val="auto"/>
        </w:rPr>
        <w:t>Fourth Amendment Effective Date</w:t>
      </w:r>
      <w:r>
        <w:rPr>
          <w:rFonts w:ascii="Arial" w:cs="Arial" w:eastAsia="Arial" w:hAnsi="Arial"/>
          <w:sz w:val="18"/>
          <w:szCs w:val="18"/>
          <w:color w:val="auto"/>
        </w:rPr>
        <w:t>”) that the following conditions shall have been satisfied:</w:t>
      </w:r>
    </w:p>
    <w:p>
      <w:pPr>
        <w:spacing w:after="0" w:line="170" w:lineRule="exact"/>
        <w:rPr>
          <w:sz w:val="20"/>
          <w:szCs w:val="20"/>
          <w:color w:val="auto"/>
        </w:rPr>
      </w:pPr>
    </w:p>
    <w:p>
      <w:pPr>
        <w:jc w:val="both"/>
        <w:ind w:right="80" w:firstLine="921"/>
        <w:spacing w:after="0" w:line="264" w:lineRule="auto"/>
        <w:tabs>
          <w:tab w:leader="none" w:pos="129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Administrative Agent (or its counsel) shall have received counterparts of this Amendment that, when taken together, bear the signatures of (A) Lenders constituting the Required Lenders, (B) Lenders constituting the Required Revolving Lenders, (C) the Administrative Agent, (D) the Borrower and (E) the Guarantors;</w:t>
      </w:r>
    </w:p>
    <w:p>
      <w:pPr>
        <w:spacing w:after="0" w:line="181" w:lineRule="exact"/>
        <w:rPr>
          <w:rFonts w:ascii="Arial" w:cs="Arial" w:eastAsia="Arial" w:hAnsi="Arial"/>
          <w:sz w:val="18"/>
          <w:szCs w:val="18"/>
          <w:color w:val="auto"/>
        </w:rPr>
      </w:pPr>
    </w:p>
    <w:p>
      <w:pPr>
        <w:ind w:right="920" w:firstLine="921"/>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Paragon Acquisition shall be consummated substantially in accordance with the Paragon Purchase Agreement substantially concurrently with the Fourth Amendment Effective Date;</w:t>
      </w:r>
    </w:p>
    <w:p>
      <w:pPr>
        <w:spacing w:after="0" w:line="170" w:lineRule="exact"/>
        <w:rPr>
          <w:rFonts w:ascii="Arial" w:cs="Arial" w:eastAsia="Arial" w:hAnsi="Arial"/>
          <w:sz w:val="18"/>
          <w:szCs w:val="18"/>
          <w:color w:val="auto"/>
        </w:rPr>
      </w:pPr>
    </w:p>
    <w:p>
      <w:pPr>
        <w:ind w:left="1300" w:hanging="379"/>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Administrative Agent shall have received the following from the Borrower:</w:t>
      </w:r>
    </w:p>
    <w:p>
      <w:pPr>
        <w:spacing w:after="0" w:line="225" w:lineRule="exact"/>
        <w:rPr>
          <w:rFonts w:ascii="Arial" w:cs="Arial" w:eastAsia="Arial" w:hAnsi="Arial"/>
          <w:sz w:val="18"/>
          <w:szCs w:val="18"/>
          <w:color w:val="auto"/>
        </w:rPr>
      </w:pPr>
    </w:p>
    <w:p>
      <w:pPr>
        <w:ind w:right="20" w:firstLine="1492"/>
        <w:spacing w:after="0" w:line="257" w:lineRule="auto"/>
        <w:tabs>
          <w:tab w:leader="none" w:pos="1833" w:val="left"/>
        </w:tabs>
        <w:numPr>
          <w:ilvl w:val="1"/>
          <w:numId w:val="13"/>
        </w:numPr>
        <w:rPr>
          <w:rFonts w:ascii="Arial" w:cs="Arial" w:eastAsia="Arial" w:hAnsi="Arial"/>
          <w:sz w:val="18"/>
          <w:szCs w:val="18"/>
          <w:color w:val="auto"/>
        </w:rPr>
      </w:pPr>
      <w:r>
        <w:rPr>
          <w:rFonts w:ascii="Arial" w:cs="Arial" w:eastAsia="Arial" w:hAnsi="Arial"/>
          <w:sz w:val="18"/>
          <w:szCs w:val="18"/>
          <w:color w:val="auto"/>
        </w:rPr>
        <w:t>for the account of each Lender under the Credit Agreement that has unconditionally and irrevocably returned a signature page to this Amendment to the Administrative Agent at or prior to 5:00 p.m., New York City time on Wednesday, April 11, 2018 (the “</w:t>
      </w:r>
      <w:r>
        <w:rPr>
          <w:rFonts w:ascii="Arial" w:cs="Arial" w:eastAsia="Arial" w:hAnsi="Arial"/>
          <w:sz w:val="18"/>
          <w:szCs w:val="18"/>
          <w:u w:val="single" w:color="auto"/>
          <w:color w:val="auto"/>
        </w:rPr>
        <w:t>Consent Deadline</w:t>
      </w:r>
      <w:r>
        <w:rPr>
          <w:rFonts w:ascii="Arial" w:cs="Arial" w:eastAsia="Arial" w:hAnsi="Arial"/>
          <w:sz w:val="18"/>
          <w:szCs w:val="18"/>
          <w:b w:val="1"/>
          <w:bCs w:val="1"/>
          <w:color w:val="auto"/>
        </w:rPr>
        <w:t>”</w:t>
      </w:r>
      <w:r>
        <w:rPr>
          <w:rFonts w:ascii="Arial" w:cs="Arial" w:eastAsia="Arial" w:hAnsi="Arial"/>
          <w:sz w:val="18"/>
          <w:szCs w:val="18"/>
          <w:color w:val="auto"/>
        </w:rPr>
        <w:t xml:space="preserve"> and each such Lender, a “</w:t>
      </w:r>
      <w:r>
        <w:rPr>
          <w:rFonts w:ascii="Arial" w:cs="Arial" w:eastAsia="Arial" w:hAnsi="Arial"/>
          <w:sz w:val="18"/>
          <w:szCs w:val="18"/>
          <w:u w:val="single" w:color="auto"/>
          <w:color w:val="auto"/>
        </w:rPr>
        <w:t>Consenting Lender</w:t>
      </w:r>
      <w:r>
        <w:rPr>
          <w:rFonts w:ascii="Arial" w:cs="Arial" w:eastAsia="Arial" w:hAnsi="Arial"/>
          <w:sz w:val="18"/>
          <w:szCs w:val="18"/>
          <w:color w:val="auto"/>
        </w:rPr>
        <w:t>”), non-refundable consent fee in an amount equal to 0.10% of the aggregate principal amount of each Consenting Lender’s outstanding Loans and Commitments held by such Consenting Lender as of the Consent Deadline with respect to which a consent was delivered pursuant to this Agreement; and</w:t>
      </w:r>
    </w:p>
    <w:p>
      <w:pPr>
        <w:spacing w:after="0" w:line="188" w:lineRule="exact"/>
        <w:rPr>
          <w:rFonts w:ascii="Arial" w:cs="Arial" w:eastAsia="Arial" w:hAnsi="Arial"/>
          <w:sz w:val="18"/>
          <w:szCs w:val="18"/>
          <w:color w:val="auto"/>
        </w:rPr>
      </w:pPr>
    </w:p>
    <w:p>
      <w:pPr>
        <w:ind w:right="60" w:firstLine="1492"/>
        <w:spacing w:after="0" w:line="259" w:lineRule="auto"/>
        <w:tabs>
          <w:tab w:leader="none" w:pos="1883"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other fees required to be paid on the Fourth Amendment Effective Date in the amounts previously agreed in writing by SunTrust and STRH to be received by SunTrust, STRH and the Lenders and all reasonable and documented out-of-pocket expenses (including the reasonable fees and expenses of counsel for the Administrative Agent and the Arrangers) incurred in connection with the Transactions to the extent invoiced one business day prior to the Fourth Amendment Effective Date;</w:t>
      </w:r>
    </w:p>
    <w:p>
      <w:pPr>
        <w:spacing w:after="0" w:line="186" w:lineRule="exact"/>
        <w:rPr>
          <w:rFonts w:ascii="Arial" w:cs="Arial" w:eastAsia="Arial" w:hAnsi="Arial"/>
          <w:sz w:val="18"/>
          <w:szCs w:val="18"/>
          <w:color w:val="auto"/>
        </w:rPr>
      </w:pPr>
    </w:p>
    <w:p>
      <w:pPr>
        <w:ind w:firstLine="921"/>
        <w:spacing w:after="0" w:line="272" w:lineRule="auto"/>
        <w:tabs>
          <w:tab w:leader="none" w:pos="1303"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Administrative Agent shall have received: (A) a certified copy of the Certificate or Articles of Incorporation or equivalent formation document of each Loan Party and any and all material amendments and restatements thereof, certified as of a recent date, in the case of the Certificate or Articles of Incorporation or equivalent formation document of the Borrower and each other Loan Party requested by the Administrative Agent, by the relevant Secretary of State of organization or formation (and to the extent such certified copies are not requested by the Administrative Agent, certified by the secretary of the relevant Loan Party); and (B) a copy of a good standing certificate, certificate of existence or other evidence of existence or formation in the jurisdiction of organization from the Secretary of State of the state of organization, dated as of a recent date, from each Loan Party listing all charter documents affecting such Loan Party and certifying as to the good standing of such Loan Party;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1" w:name="page12"/>
    <w:bookmarkEnd w:id="11"/>
    <w:p>
      <w:pPr>
        <w:ind w:right="100" w:firstLine="921"/>
        <w:spacing w:after="0" w:line="277" w:lineRule="auto"/>
        <w:tabs>
          <w:tab w:leader="none" w:pos="1293"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Administrative Agent shall have received a certificate from the Borrower, dated as of the Fourth Amendment Effective Date, certifying that the conditions set forth in clauses (b) and (g) of this Section 3.1 have been satisfied;</w:t>
      </w:r>
    </w:p>
    <w:p>
      <w:pPr>
        <w:spacing w:after="0" w:line="170" w:lineRule="exact"/>
        <w:rPr>
          <w:rFonts w:ascii="Arial" w:cs="Arial" w:eastAsia="Arial" w:hAnsi="Arial"/>
          <w:sz w:val="18"/>
          <w:szCs w:val="18"/>
          <w:color w:val="auto"/>
        </w:rPr>
      </w:pPr>
    </w:p>
    <w:p>
      <w:pPr>
        <w:ind w:firstLine="921"/>
        <w:spacing w:after="0" w:line="264" w:lineRule="auto"/>
        <w:tabs>
          <w:tab w:leader="none" w:pos="127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Administrative Agent shall have received such opinions of counsel from counsel to the Loan Parties, each of which shall be addressed to the Administrative Agent and the Lenders and dated the Fourth Amendment Effective Date and in form and substance reasonably satisfactory to the Administrative Agent; and</w:t>
      </w:r>
    </w:p>
    <w:p>
      <w:pPr>
        <w:spacing w:after="0" w:line="181" w:lineRule="exact"/>
        <w:rPr>
          <w:rFonts w:ascii="Arial" w:cs="Arial" w:eastAsia="Arial" w:hAnsi="Arial"/>
          <w:sz w:val="18"/>
          <w:szCs w:val="18"/>
          <w:color w:val="auto"/>
        </w:rPr>
      </w:pPr>
    </w:p>
    <w:p>
      <w:pPr>
        <w:ind w:right="20" w:firstLine="921"/>
        <w:spacing w:after="0" w:line="269" w:lineRule="auto"/>
        <w:tabs>
          <w:tab w:leader="none" w:pos="1303"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contained in Sections 5.01, 5.02 (as relates to due authorization, execution, delivery and enforceability of the Loan Documents), 5.03(b), (c) (solely with respect to charter and other organizational documents) and (d) (in each case, as relates to the execution, delivery and performance of the Loan Documents), 5.06 (subject to the last sentence of </w:t>
      </w:r>
      <w:r>
        <w:rPr>
          <w:rFonts w:ascii="Arial" w:cs="Arial" w:eastAsia="Arial" w:hAnsi="Arial"/>
          <w:sz w:val="17"/>
          <w:szCs w:val="17"/>
          <w:u w:val="single" w:color="auto"/>
          <w:color w:val="auto"/>
        </w:rPr>
        <w:t>Section 4.01(a)</w:t>
      </w:r>
      <w:r>
        <w:rPr>
          <w:rFonts w:ascii="Arial" w:cs="Arial" w:eastAsia="Arial" w:hAnsi="Arial"/>
          <w:sz w:val="17"/>
          <w:szCs w:val="17"/>
          <w:color w:val="auto"/>
        </w:rPr>
        <w:t xml:space="preserve"> with respect to the perfection of liens), 5.13 (determined for this purpose for the Borrower and its Subsidiaries on a consolidated basis as of Fourth Amendment Effective Date), 5.15, 5.21, 5.22 and 5.26 of the Credit Agreement and the representations and warranties made by, or with respect to, the Target and its Subsidiaries in the Paragon Purchase Agreement as are material to the interests of the Lenders (in their capacities as such), but only to the extent that Borrower (or any of its Affiliates) has the right to terminate its obligations under the Paragon Purchase Agreement (or decline or otherwise refuse to consummate the Paragon Acquisition pursuant to the Paragon Purchase Agreement) as a result of a breach of any such representation and warranty in the Paragon Purchase Agreement or any such representation and warranty not being accurate (in each case, determined without regard to any notice requirement) shall be true and correct in all material respects (without duplication of any materiality qualifier therein) as of the Fourth Amendment Effective Date (or true and correct in all material respects (without duplication of any materiality qualifier therein) as of a specified date, if earlier).</w:t>
      </w:r>
    </w:p>
    <w:p>
      <w:pPr>
        <w:spacing w:after="0" w:line="18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Acknowledgments and Affirmations of the Loan Parties</w:t>
      </w:r>
      <w:r>
        <w:rPr>
          <w:rFonts w:ascii="Arial" w:cs="Arial" w:eastAsia="Arial" w:hAnsi="Arial"/>
          <w:sz w:val="16"/>
          <w:szCs w:val="16"/>
          <w:color w:val="auto"/>
        </w:rPr>
        <w:t>. Each Loan Party hereby expressly acknowledges the terms of this Amendment and confirms and reaffirms, as of the date hereof, (i) the covenants and agreements contained in each Loan Document to which it is a party, including, in each case, such covenants and agreements as in effect immediately after giving effect to this Amendment and the transactions contemplated hereby and thereby,</w:t>
      </w:r>
    </w:p>
    <w:p>
      <w:pPr>
        <w:ind w:right="60" w:firstLine="8"/>
        <w:spacing w:after="0" w:line="253" w:lineRule="auto"/>
        <w:tabs>
          <w:tab w:leader="none" w:pos="265"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its guarantee of the Obligations under the Guaranty and (iii) its grant of Liens on the Collateral to secure the Obligations pursuant to the Collateral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on and after the effectiveness of this Amendment, each reference in the Guaranty and in each of the other Loan Documents to “the Credit Agreement,” “thereunder”, “thereof” or words of like import shall mean and be a reference to the Amended Credit Agreement. Without limiting the generality of the foregoing, the Collateral Documents to which such Loan Party is a party and all of the Collateral described therein do, and shall continue to secure, payment of all of the Obligations.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2" w:name="page13"/>
    <w:bookmarkEnd w:id="12"/>
    <w:p>
      <w:pPr>
        <w:ind w:left="460"/>
        <w:spacing w:after="0"/>
        <w:tabs>
          <w:tab w:leader="none" w:pos="13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5.</w:t>
      </w:r>
      <w:r>
        <w:rPr>
          <w:sz w:val="20"/>
          <w:szCs w:val="20"/>
          <w:color w:val="auto"/>
        </w:rPr>
        <w:tab/>
      </w: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Borrower and each Guarantor, by signing below, hereby represents and warrants to the Administrative Agent and the Lenders that:</w:t>
      </w:r>
    </w:p>
    <w:p>
      <w:pPr>
        <w:spacing w:after="0" w:line="62" w:lineRule="exact"/>
        <w:rPr>
          <w:sz w:val="20"/>
          <w:szCs w:val="20"/>
          <w:color w:val="auto"/>
        </w:rPr>
      </w:pPr>
    </w:p>
    <w:p>
      <w:pPr>
        <w:ind w:left="1260" w:hanging="357"/>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has the legal power and authority to execute and deliver this Amendment;</w:t>
      </w:r>
    </w:p>
    <w:p>
      <w:pPr>
        <w:spacing w:after="0" w:line="117" w:lineRule="exact"/>
        <w:rPr>
          <w:rFonts w:ascii="Arial" w:cs="Arial" w:eastAsia="Arial" w:hAnsi="Arial"/>
          <w:sz w:val="18"/>
          <w:szCs w:val="18"/>
          <w:color w:val="auto"/>
        </w:rPr>
      </w:pPr>
    </w:p>
    <w:p>
      <w:pPr>
        <w:ind w:left="460" w:right="200" w:firstLine="443"/>
        <w:spacing w:after="0" w:line="277" w:lineRule="auto"/>
        <w:tabs>
          <w:tab w:leader="none" w:pos="129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officers executing this Amendment on its behalf have been duly authorized to execute and deliver the same and bind it with respect to the provisions hereof;</w:t>
      </w:r>
    </w:p>
    <w:p>
      <w:pPr>
        <w:spacing w:after="0" w:line="62" w:lineRule="exact"/>
        <w:rPr>
          <w:rFonts w:ascii="Arial" w:cs="Arial" w:eastAsia="Arial" w:hAnsi="Arial"/>
          <w:sz w:val="18"/>
          <w:szCs w:val="18"/>
          <w:color w:val="auto"/>
        </w:rPr>
      </w:pPr>
    </w:p>
    <w:p>
      <w:pPr>
        <w:ind w:left="460" w:right="140" w:firstLine="443"/>
        <w:spacing w:after="0" w:line="293" w:lineRule="auto"/>
        <w:tabs>
          <w:tab w:leader="none" w:pos="1348"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the execution and delivery hereof by it and the performance and observance by it of the provisions hereof do not conflict with, result in a breach in any of the provisions of, constitute a default under, or result in the creation of a Lien (other than Liens permitted under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of the Credit Agreement) upon any assets or property of any Loan Party under the provisions of, (a) such Loan Party’s Organization Documents, (b) any material agreement to which any Loan Party is a party, (c) any order, injunction, writ or decree of any Governmental Authority or (d) any Law, except with respect to any conflict, breach, default or violation referred to in clauses (c) and (d) above, solely to the extent that such conflicts, breaches, defaults or violations, either individually or in the aggregate, would not reasonably be expected to have a Material Adverse Effect; and</w:t>
      </w:r>
    </w:p>
    <w:p>
      <w:pPr>
        <w:spacing w:after="0" w:line="56" w:lineRule="exact"/>
        <w:rPr>
          <w:rFonts w:ascii="Arial" w:cs="Arial" w:eastAsia="Arial" w:hAnsi="Arial"/>
          <w:sz w:val="16"/>
          <w:szCs w:val="16"/>
          <w:color w:val="auto"/>
        </w:rPr>
      </w:pPr>
    </w:p>
    <w:p>
      <w:pPr>
        <w:ind w:left="460" w:right="360" w:firstLine="443"/>
        <w:spacing w:after="0" w:line="264" w:lineRule="auto"/>
        <w:tabs>
          <w:tab w:leader="none" w:pos="133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Amendment constitutes its valid and binding obligation in every respect, enforceable in accordance with its terms, except as the enforceability thereof may be limited by bankruptcy, insolvency or other similar laws of general application affecting the enforcement of creditors’ rights or by general principles of equity limiting the availability of equitable remedies.</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Credit Agreement Unaffected</w:t>
      </w:r>
      <w:r>
        <w:rPr>
          <w:rFonts w:ascii="Arial" w:cs="Arial" w:eastAsia="Arial" w:hAnsi="Arial"/>
          <w:sz w:val="18"/>
          <w:szCs w:val="18"/>
          <w:color w:val="auto"/>
        </w:rPr>
        <w:t>. Each reference to the Credit Agreement or in any other Loan Document shall hereafter be construed as a reference to the Credit Agreement as amended hereby. Except as herein otherwise specifically provided, all provisions of the Credit Agreement shall remain in full force and effect and be unaffected hereby. This Amendment is a Loan Document.</w:t>
      </w:r>
    </w:p>
    <w:p>
      <w:pPr>
        <w:spacing w:after="0" w:line="181"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Guarantor Acknowledgment</w:t>
      </w:r>
      <w:r>
        <w:rPr>
          <w:rFonts w:ascii="Arial" w:cs="Arial" w:eastAsia="Arial" w:hAnsi="Arial"/>
          <w:sz w:val="16"/>
          <w:szCs w:val="16"/>
          <w:color w:val="auto"/>
        </w:rPr>
        <w:t>. Each Guarantor, by signing this Amendment:</w:t>
      </w:r>
    </w:p>
    <w:p>
      <w:pPr>
        <w:spacing w:after="0" w:line="117" w:lineRule="exact"/>
        <w:rPr>
          <w:sz w:val="20"/>
          <w:szCs w:val="20"/>
          <w:color w:val="auto"/>
        </w:rPr>
      </w:pPr>
    </w:p>
    <w:p>
      <w:pPr>
        <w:ind w:left="1260" w:hanging="357"/>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consents and agrees to and acknowledges the terms of this Amendment;</w:t>
      </w:r>
    </w:p>
    <w:p>
      <w:pPr>
        <w:spacing w:after="0" w:line="117" w:lineRule="exact"/>
        <w:rPr>
          <w:rFonts w:ascii="Arial" w:cs="Arial" w:eastAsia="Arial" w:hAnsi="Arial"/>
          <w:sz w:val="18"/>
          <w:szCs w:val="18"/>
          <w:color w:val="auto"/>
        </w:rPr>
      </w:pPr>
    </w:p>
    <w:p>
      <w:pPr>
        <w:ind w:left="460" w:right="20" w:firstLine="443"/>
        <w:spacing w:after="0" w:line="264" w:lineRule="auto"/>
        <w:tabs>
          <w:tab w:leader="none" w:pos="1298"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acknowledges and agrees that all of the Loan Documents to which such Guarantor is a party or otherwise bound shall continue in full force and effect and that all of such Guarantor’s obligations thereunder shall be valid and enforceable and shall not be impaired or limited by the execution or effectiveness of this Amendment;</w:t>
      </w:r>
    </w:p>
    <w:p>
      <w:pPr>
        <w:spacing w:after="0" w:line="73" w:lineRule="exact"/>
        <w:rPr>
          <w:rFonts w:ascii="Arial" w:cs="Arial" w:eastAsia="Arial" w:hAnsi="Arial"/>
          <w:sz w:val="18"/>
          <w:szCs w:val="18"/>
          <w:color w:val="auto"/>
        </w:rPr>
      </w:pPr>
    </w:p>
    <w:p>
      <w:pPr>
        <w:ind w:left="460" w:right="20" w:firstLine="443"/>
        <w:spacing w:after="0" w:line="312" w:lineRule="auto"/>
        <w:tabs>
          <w:tab w:leader="none" w:pos="1348"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represents and warrants to the Administrative Agent and the Lenders that all representations and warranties made by such Guarantor and contained in this Amendment or any other Loan Document to which it is a party are true and correct in all material respects on and as of the date hereof to the same extent as though made on and as of the date hereof, except to the extent that any thereof expressly relate to an earlier date; and</w:t>
      </w:r>
    </w:p>
    <w:p>
      <w:pPr>
        <w:spacing w:after="0" w:line="38" w:lineRule="exact"/>
        <w:rPr>
          <w:rFonts w:ascii="Arial" w:cs="Arial" w:eastAsia="Arial" w:hAnsi="Arial"/>
          <w:sz w:val="16"/>
          <w:szCs w:val="16"/>
          <w:color w:val="auto"/>
        </w:rPr>
      </w:pPr>
    </w:p>
    <w:p>
      <w:pPr>
        <w:ind w:left="460" w:right="480" w:firstLine="443"/>
        <w:spacing w:after="0" w:line="277" w:lineRule="auto"/>
        <w:tabs>
          <w:tab w:leader="none" w:pos="1338"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acknowledges and agrees that (A) notwithstanding the conditions to effectiveness set forth in this Amendment, such Guarantor is not required by the terms of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3" w:name="page14"/>
    <w:bookmarkEnd w:id="13"/>
    <w:p>
      <w:pPr>
        <w:ind w:left="460" w:right="3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Credit Agreement or any other Loan Document to which such Guarantor is a party to consent to the amendments to the Credit Agreement effected pursuant to this Amendment and (B) nothing in the Credit Agreement, this Amendment or any other Loan Document shall be deemed to require the consent of such Guarantor to any future amendments or modifications to the Credit Agreement.</w:t>
      </w:r>
    </w:p>
    <w:p>
      <w:pPr>
        <w:spacing w:after="0" w:line="166"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Waiver</w:t>
      </w:r>
      <w:r>
        <w:rPr>
          <w:rFonts w:ascii="Arial" w:cs="Arial" w:eastAsia="Arial" w:hAnsi="Arial"/>
          <w:sz w:val="16"/>
          <w:szCs w:val="16"/>
          <w:color w:val="auto"/>
        </w:rPr>
        <w:t>. The Borrower and each Guarantor, by signing below, hereby waives and releases the Administrative Agent and each of the Lenders and their respective Related Parties from any and all claims, offsets, defenses and counterclaims of which the Borrower and any Guarantor is aware, such waiver and release being with full knowledge and understanding of the circumstances and effect thereof and after having consulted legal counsel with respect thereto.</w:t>
      </w:r>
    </w:p>
    <w:p>
      <w:pPr>
        <w:spacing w:after="0" w:line="147"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Amendment, together with the Credit Agreement and the other Loan Documents integrate all the terms and conditions mentioned herein or incidental hereto and supersede all oral representations and negotiations and prior writings with respect to the subject matter hereof.</w:t>
      </w:r>
    </w:p>
    <w:p>
      <w:pPr>
        <w:spacing w:after="0" w:line="124" w:lineRule="exact"/>
        <w:rPr>
          <w:sz w:val="20"/>
          <w:szCs w:val="20"/>
          <w:color w:val="auto"/>
        </w:rPr>
      </w:pPr>
    </w:p>
    <w:p>
      <w:pPr>
        <w:jc w:val="both"/>
        <w:ind w:right="240" w:firstLine="456"/>
        <w:spacing w:after="0" w:line="312"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Counterparts</w:t>
      </w:r>
      <w:r>
        <w:rPr>
          <w:rFonts w:ascii="Arial" w:cs="Arial" w:eastAsia="Arial" w:hAnsi="Arial"/>
          <w:sz w:val="16"/>
          <w:szCs w:val="16"/>
          <w:color w:val="auto"/>
        </w:rPr>
        <w:t>.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telecopy or e-mail (including in a “.pdf” format) shall be effective as delivery of a manually executed counterpart of this Amendment.</w:t>
      </w:r>
    </w:p>
    <w:p>
      <w:pPr>
        <w:spacing w:after="0" w:line="14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Governing Law; Submission to Jurisdiction; Venue; Waiver of Jury Trial</w:t>
      </w:r>
      <w:r>
        <w:rPr>
          <w:rFonts w:ascii="Arial" w:cs="Arial" w:eastAsia="Arial" w:hAnsi="Arial"/>
          <w:sz w:val="17"/>
          <w:szCs w:val="17"/>
          <w:color w:val="auto"/>
        </w:rPr>
        <w:t xml:space="preserve">. THIS AMENDMENT AND ANY CLAIMS, CONTROVERSY, DISPUTE OR CAUSE OF ACTION (WHETHER IN CONTRACT OR TORT OR OTHERWISE) BASED UPON, ARISING OUT OF OR RELATING TO THIS AMENDMENT AND THE TRANSACTIONS CONTEMPLATED HEREBY SHALL BE GOVERNED BY, AND CONSTRUED IN ACCORDANCE WITH, THE LAW OF THE STATE OF NEW YORK. SECTIONS 10.14 AND 10.15 OF THE CREDIT AGREEMENT ARE HEREBY INCORPORATED BY REFERENCE INTO THIS AMENDMENT AND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HERETO.</w:t>
      </w:r>
    </w:p>
    <w:p>
      <w:pPr>
        <w:spacing w:after="0" w:line="173"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Joint Lead Arrangers</w:t>
      </w:r>
      <w:r>
        <w:rPr>
          <w:rFonts w:ascii="Arial" w:cs="Arial" w:eastAsia="Arial" w:hAnsi="Arial"/>
          <w:sz w:val="18"/>
          <w:szCs w:val="18"/>
          <w:color w:val="auto"/>
        </w:rPr>
        <w:t>. Each party hereto agrees that each Arranger shall have no duties or obligations under any Loan Documents to any Lender or any Loan Party arising from such designation as an Arranger.</w:t>
      </w:r>
    </w:p>
    <w:p>
      <w:pPr>
        <w:spacing w:after="0" w:line="170"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Severability</w:t>
      </w:r>
      <w:r>
        <w:rPr>
          <w:rFonts w:ascii="Arial" w:cs="Arial" w:eastAsia="Arial" w:hAnsi="Arial"/>
          <w:sz w:val="17"/>
          <w:szCs w:val="17"/>
          <w:color w:val="auto"/>
        </w:rPr>
        <w:t>. Any term or provision of this Amendment which is invalid or unenforceable in any jurisdiction shall, as to that jurisdiction, be ineffective to the extent of such invalidity or unenforceability without rendering invalid or unenforceable the remaining terms and provisions of this Amendment or affecting the validity or enforceability of any of the terms or provisions of this Amendment in any other jurisdiction. If any provision of this Amendment is so broad as to be unenforceable, the provision shall be interpreted to be only so broad as would be enforceable.</w:t>
      </w:r>
    </w:p>
    <w:p>
      <w:pPr>
        <w:spacing w:after="0" w:line="17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No Novation</w:t>
      </w:r>
      <w:r>
        <w:rPr>
          <w:rFonts w:ascii="Arial" w:cs="Arial" w:eastAsia="Arial" w:hAnsi="Arial"/>
          <w:sz w:val="18"/>
          <w:szCs w:val="18"/>
          <w:color w:val="auto"/>
        </w:rPr>
        <w:t>. The parties hereto acknowledge and agree that the amendment of the Credit Agreement pursuant to this Amendment and all other Loan Documents amended and/or executed and delivered in connection herewith shall not constitute a novation of the Credit Agreement and the other Loan Documents as in effect prior to the Fourth Amendment Effective Date.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this Amendment has been duly executed and delivered as of the date first above written.</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NN, INC.</w:t>
      </w:r>
      <w:r>
        <w:rPr>
          <w:rFonts w:ascii="Arial" w:cs="Arial" w:eastAsia="Arial" w:hAnsi="Arial"/>
          <w:sz w:val="18"/>
          <w:szCs w:val="18"/>
          <w:color w:val="auto"/>
        </w:rPr>
        <w:t>, as the Borrower</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14605</wp:posOffset>
            </wp:positionV>
            <wp:extent cx="26930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Thomas C. Burwell, Jr.</w:t>
      </w:r>
    </w:p>
    <w:p>
      <w:pPr>
        <w:spacing w:after="0" w:line="23" w:lineRule="exact"/>
        <w:rPr>
          <w:sz w:val="20"/>
          <w:szCs w:val="20"/>
          <w:color w:val="auto"/>
        </w:rPr>
      </w:pPr>
    </w:p>
    <w:p>
      <w:pPr>
        <w:ind w:left="6720"/>
        <w:spacing w:after="0"/>
        <w:tabs>
          <w:tab w:leader="none" w:pos="7300" w:val="left"/>
        </w:tabs>
        <w:rPr>
          <w:sz w:val="20"/>
          <w:szCs w:val="20"/>
          <w:color w:val="auto"/>
        </w:rPr>
      </w:pPr>
      <w:r>
        <w:rPr>
          <w:rFonts w:ascii="Arial" w:cs="Arial" w:eastAsia="Arial" w:hAnsi="Arial"/>
          <w:sz w:val="16"/>
          <w:szCs w:val="16"/>
          <w:color w:val="auto"/>
        </w:rPr>
        <w:t>Title:</w:t>
        <w:tab/>
        <w:t>Senior Vice President , Chief Financial Officer</w:t>
      </w:r>
    </w:p>
    <w:p>
      <w:pPr>
        <w:spacing w:after="0" w:line="32"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and Treasurer</w:t>
      </w:r>
    </w:p>
    <w:p>
      <w:pPr>
        <w:spacing w:after="0" w:line="143" w:lineRule="exact"/>
        <w:rPr>
          <w:sz w:val="20"/>
          <w:szCs w:val="20"/>
          <w:color w:val="auto"/>
        </w:rPr>
      </w:pPr>
    </w:p>
    <w:p>
      <w:pPr>
        <w:jc w:val="center"/>
        <w:ind w:right="180"/>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ind w:right="180"/>
        <w:spacing w:after="0"/>
        <w:rPr>
          <w:sz w:val="20"/>
          <w:szCs w:val="20"/>
          <w:color w:val="auto"/>
        </w:rPr>
      </w:pPr>
      <w:r>
        <w:rPr>
          <w:rFonts w:ascii="Arial" w:cs="Arial" w:eastAsia="Arial" w:hAnsi="Arial"/>
          <w:sz w:val="18"/>
          <w:szCs w:val="18"/>
          <w:i w:val="1"/>
          <w:iCs w:val="1"/>
          <w:color w:val="auto"/>
        </w:rPr>
        <w:t>Amendment No. 4 to Amended and Restated Credit Agreement</w:t>
      </w:r>
    </w:p>
    <w:p>
      <w:pPr>
        <w:sectPr>
          <w:pgSz w:w="11900" w:h="16838" w:orient="portrait"/>
          <w:cols w:equalWidth="0" w:num="1">
            <w:col w:w="10680"/>
          </w:cols>
          <w:pgMar w:left="700" w:top="274" w:right="519" w:bottom="1440" w:gutter="0" w:footer="0" w:header="0"/>
        </w:sectPr>
      </w:pPr>
    </w:p>
    <w:bookmarkStart w:id="15" w:name="page16"/>
    <w:bookmarkEnd w:id="15"/>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Acknowledged and agreed to by each of the undersigned</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Guarantors:</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AUTOCAM CORPORATION</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AUTOCAM-PAX, INC.</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Thomas C. Burwell, Jr.</w:t>
      </w:r>
    </w:p>
    <w:p>
      <w:pPr>
        <w:spacing w:after="0" w:line="2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8"/>
          <w:szCs w:val="18"/>
          <w:color w:val="auto"/>
        </w:rPr>
        <w:t>Title:</w:t>
        <w:tab/>
        <w:t>Vice President and Assistant Secretary</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PRECISION ENGINEERED PRODUCTS HOLDINGS,</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INC.</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PRECISION ENGINEERED PRODUCTS LLC</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Thomas C. Burwell, Jr.</w:t>
      </w:r>
    </w:p>
    <w:p>
      <w:pPr>
        <w:spacing w:after="0" w:line="2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8"/>
          <w:szCs w:val="18"/>
          <w:color w:val="auto"/>
        </w:rPr>
        <w:t>Title:</w:t>
        <w:tab/>
        <w:t>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INDUSTRIAL MOLDING CORPORATION</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WHIRLAWAY CORPORATION</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PNC ACQUISITION COMPANY, INC.</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PMC USA ACQUISITION COMPANY, INC.</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PMC ACQUISITION COMPANY, INC.</w:t>
      </w:r>
    </w:p>
    <w:p>
      <w:pPr>
        <w:spacing w:after="0" w:line="9" w:lineRule="exact"/>
        <w:rPr>
          <w:sz w:val="20"/>
          <w:szCs w:val="20"/>
          <w:color w:val="auto"/>
        </w:rPr>
      </w:pPr>
    </w:p>
    <w:p>
      <w:pPr>
        <w:ind w:left="5660" w:right="780" w:hanging="5"/>
        <w:spacing w:after="0" w:line="250" w:lineRule="auto"/>
        <w:tabs>
          <w:tab w:leader="none" w:pos="5965"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PRECISION PLASTICS, INC. CAPROCK MANUFACTURING, INC. CAPROCK ENCLOSURES, LLC BRAININ-ADVANCE INDUSTRIES LLC WAUCONDA TOOL &amp; ENGINEERING LLC LACEY MANUFACTURING COMPANY, LLC GENERAL METAL FINISHING LLC POLYMETALLURGICAL LLC</w:t>
      </w:r>
    </w:p>
    <w:p>
      <w:pPr>
        <w:spacing w:after="0" w:line="3" w:lineRule="exact"/>
        <w:rPr>
          <w:rFonts w:ascii="Arial" w:cs="Arial" w:eastAsia="Arial" w:hAnsi="Arial"/>
          <w:sz w:val="18"/>
          <w:szCs w:val="18"/>
          <w:b w:val="1"/>
          <w:bCs w:val="1"/>
          <w:color w:val="auto"/>
        </w:rPr>
      </w:pPr>
    </w:p>
    <w:p>
      <w:pPr>
        <w:ind w:left="5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MATRIX I LLC</w:t>
      </w:r>
    </w:p>
    <w:p>
      <w:pPr>
        <w:spacing w:after="0" w:line="9" w:lineRule="exact"/>
        <w:rPr>
          <w:rFonts w:ascii="Arial" w:cs="Arial" w:eastAsia="Arial" w:hAnsi="Arial"/>
          <w:sz w:val="18"/>
          <w:szCs w:val="18"/>
          <w:b w:val="1"/>
          <w:bCs w:val="1"/>
          <w:color w:val="auto"/>
        </w:rPr>
      </w:pPr>
    </w:p>
    <w:p>
      <w:pPr>
        <w:ind w:left="5660" w:right="260"/>
        <w:spacing w:after="0" w:line="250" w:lineRule="auto"/>
        <w:rPr>
          <w:rFonts w:ascii="Arial" w:cs="Arial" w:eastAsia="Arial" w:hAnsi="Arial"/>
          <w:sz w:val="18"/>
          <w:szCs w:val="18"/>
          <w:b w:val="1"/>
          <w:bCs w:val="1"/>
          <w:color w:val="auto"/>
        </w:rPr>
      </w:pPr>
      <w:r>
        <w:rPr>
          <w:rFonts w:ascii="Arial" w:cs="Arial" w:eastAsia="Arial" w:hAnsi="Arial"/>
          <w:sz w:val="18"/>
          <w:szCs w:val="18"/>
          <w:b w:val="1"/>
          <w:bCs w:val="1"/>
          <w:color w:val="auto"/>
        </w:rPr>
        <w:t>BOSTON ENDO-SURGICAL TECHNOLOGIES LLC CONNECTICUT PLASTICS LLC</w:t>
      </w:r>
    </w:p>
    <w:p>
      <w:pPr>
        <w:ind w:left="5660" w:right="960"/>
        <w:spacing w:after="0" w:line="250" w:lineRule="auto"/>
        <w:rPr>
          <w:rFonts w:ascii="Arial" w:cs="Arial" w:eastAsia="Arial" w:hAnsi="Arial"/>
          <w:sz w:val="18"/>
          <w:szCs w:val="18"/>
          <w:b w:val="1"/>
          <w:bCs w:val="1"/>
          <w:color w:val="auto"/>
        </w:rPr>
      </w:pPr>
      <w:r>
        <w:rPr>
          <w:rFonts w:ascii="Arial" w:cs="Arial" w:eastAsia="Arial" w:hAnsi="Arial"/>
          <w:sz w:val="18"/>
          <w:szCs w:val="18"/>
          <w:b w:val="1"/>
          <w:bCs w:val="1"/>
          <w:color w:val="auto"/>
        </w:rPr>
        <w:t>ADVANCED PRECISION PRODUCTS, INC. HOWESTEMCO, LLC</w:t>
      </w:r>
    </w:p>
    <w:p>
      <w:pPr>
        <w:ind w:left="5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PREMCO, INC.</w:t>
      </w:r>
    </w:p>
    <w:p>
      <w:pPr>
        <w:spacing w:after="0" w:line="9" w:lineRule="exact"/>
        <w:rPr>
          <w:rFonts w:ascii="Arial" w:cs="Arial" w:eastAsia="Arial" w:hAnsi="Arial"/>
          <w:sz w:val="18"/>
          <w:szCs w:val="18"/>
          <w:b w:val="1"/>
          <w:bCs w:val="1"/>
          <w:color w:val="auto"/>
        </w:rPr>
      </w:pPr>
    </w:p>
    <w:p>
      <w:pPr>
        <w:ind w:left="5660" w:right="2100"/>
        <w:spacing w:after="0" w:line="265" w:lineRule="auto"/>
        <w:rPr>
          <w:rFonts w:ascii="Arial" w:cs="Arial" w:eastAsia="Arial" w:hAnsi="Arial"/>
          <w:sz w:val="18"/>
          <w:szCs w:val="18"/>
          <w:b w:val="1"/>
          <w:bCs w:val="1"/>
          <w:color w:val="auto"/>
        </w:rPr>
      </w:pPr>
      <w:r>
        <w:rPr>
          <w:rFonts w:ascii="Arial" w:cs="Arial" w:eastAsia="Arial" w:hAnsi="Arial"/>
          <w:sz w:val="17"/>
          <w:szCs w:val="17"/>
          <w:b w:val="1"/>
          <w:bCs w:val="1"/>
          <w:color w:val="auto"/>
        </w:rPr>
        <w:t>PROFILES INCORPORATED HOLMED, LLC</w:t>
      </w:r>
    </w:p>
    <w:p>
      <w:pPr>
        <w:ind w:left="5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TRIGON INTERNATIONAL LLC</w:t>
      </w:r>
    </w:p>
    <w:p>
      <w:pPr>
        <w:spacing w:after="0" w:line="9" w:lineRule="exact"/>
        <w:rPr>
          <w:rFonts w:ascii="Arial" w:cs="Arial" w:eastAsia="Arial" w:hAnsi="Arial"/>
          <w:sz w:val="18"/>
          <w:szCs w:val="18"/>
          <w:b w:val="1"/>
          <w:bCs w:val="1"/>
          <w:color w:val="auto"/>
        </w:rPr>
      </w:pPr>
    </w:p>
    <w:p>
      <w:pPr>
        <w:ind w:left="566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NN LIFE SCIENCES DESIGN &amp; DEVELOPMENT, LLC NN LIFE SCIENCES – VANDALIA, LLC</w:t>
      </w:r>
    </w:p>
    <w:p>
      <w:pPr>
        <w:spacing w:after="0" w:line="18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Thomas C. Burwell, Jr.</w:t>
      </w:r>
    </w:p>
    <w:p>
      <w:pPr>
        <w:spacing w:after="0" w:line="2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8"/>
          <w:szCs w:val="18"/>
          <w:color w:val="auto"/>
        </w:rPr>
        <w:t>Title:</w:t>
        <w:tab/>
        <w:t>Vice President and Treasurer</w:t>
      </w:r>
    </w:p>
    <w:p>
      <w:pPr>
        <w:spacing w:after="0" w:line="143" w:lineRule="exact"/>
        <w:rPr>
          <w:sz w:val="20"/>
          <w:szCs w:val="20"/>
          <w:color w:val="auto"/>
        </w:rPr>
      </w:pPr>
    </w:p>
    <w:p>
      <w:pPr>
        <w:jc w:val="center"/>
        <w:ind w:right="1120"/>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5"/>
          <w:szCs w:val="15"/>
          <w:i w:val="1"/>
          <w:iCs w:val="1"/>
          <w:color w:val="auto"/>
        </w:rPr>
        <w:t>Amendment No. 4 to Amended and Restated Credit Agreement</w:t>
      </w:r>
    </w:p>
    <w:p>
      <w:pPr>
        <w:sectPr>
          <w:pgSz w:w="11900" w:h="16838" w:orient="portrait"/>
          <w:cols w:equalWidth="0" w:num="1">
            <w:col w:w="10160"/>
          </w:cols>
          <w:pgMar w:left="1440" w:top="274" w:right="299" w:bottom="1440" w:gutter="0" w:footer="0" w:header="0"/>
        </w:sectPr>
      </w:pPr>
    </w:p>
    <w:bookmarkStart w:id="16" w:name="page17"/>
    <w:bookmarkEnd w:id="16"/>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SUNTRUST BANK</w:t>
      </w:r>
      <w:r>
        <w:rPr>
          <w:rFonts w:ascii="Arial" w:cs="Arial" w:eastAsia="Arial" w:hAnsi="Arial"/>
          <w:sz w:val="17"/>
          <w:szCs w:val="17"/>
          <w:color w:val="auto"/>
        </w:rPr>
        <w:t>, as Administrative Agent</w:t>
      </w: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Thomas Parrott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Thomas Parrott</w:t>
      </w:r>
    </w:p>
    <w:p>
      <w:pPr>
        <w:spacing w:after="0" w:line="2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8"/>
          <w:szCs w:val="18"/>
          <w:color w:val="auto"/>
        </w:rPr>
        <w:t>Title:</w:t>
        <w:tab/>
        <w:t>Managing Director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5"/>
          <w:szCs w:val="15"/>
          <w:i w:val="1"/>
          <w:iCs w:val="1"/>
          <w:color w:val="auto"/>
        </w:rPr>
        <w:t>Amendment No. 4 to Amended and Restated Credit Agreement</w:t>
      </w:r>
    </w:p>
    <w:p>
      <w:pPr>
        <w:sectPr>
          <w:pgSz w:w="11900" w:h="16838" w:orient="portrait"/>
          <w:cols w:equalWidth="0" w:num="1">
            <w:col w:w="9020"/>
          </w:cols>
          <w:pgMar w:left="1440" w:top="270" w:right="1439" w:bottom="1440" w:gutter="0" w:footer="0" w:header="0"/>
        </w:sectPr>
      </w:pPr>
    </w:p>
    <w:bookmarkStart w:id="17" w:name="page18"/>
    <w:bookmarkEnd w:id="17"/>
    <w:p>
      <w:pPr>
        <w:ind w:left="56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undersigned hereby consents to and approves of the</w:t>
      </w:r>
    </w:p>
    <w:p>
      <w:pPr>
        <w:spacing w:after="0" w:line="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foregoing amendment: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SUNTRUST BANK</w:t>
      </w:r>
      <w:r>
        <w:rPr>
          <w:rFonts w:ascii="Arial" w:cs="Arial" w:eastAsia="Arial" w:hAnsi="Arial"/>
          <w:sz w:val="18"/>
          <w:szCs w:val="18"/>
          <w:color w:val="auto"/>
        </w:rPr>
        <w:t>, as Revolving Credit Lender</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Thomas Parrott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Thomas Parrott</w:t>
      </w:r>
    </w:p>
    <w:p>
      <w:pPr>
        <w:spacing w:after="0" w:line="2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8"/>
          <w:szCs w:val="18"/>
          <w:color w:val="auto"/>
        </w:rPr>
        <w:t>Title:</w:t>
        <w:tab/>
        <w:t>Managing Director</w:t>
      </w:r>
    </w:p>
    <w:p>
      <w:pPr>
        <w:spacing w:after="0" w:line="143" w:lineRule="exact"/>
        <w:rPr>
          <w:sz w:val="20"/>
          <w:szCs w:val="20"/>
          <w:color w:val="auto"/>
        </w:rPr>
      </w:pPr>
    </w:p>
    <w:p>
      <w:pPr>
        <w:jc w:val="center"/>
        <w:ind w:right="660"/>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ind w:right="660"/>
        <w:spacing w:after="0"/>
        <w:rPr>
          <w:sz w:val="20"/>
          <w:szCs w:val="20"/>
          <w:color w:val="auto"/>
        </w:rPr>
      </w:pPr>
      <w:r>
        <w:rPr>
          <w:rFonts w:ascii="Arial" w:cs="Arial" w:eastAsia="Arial" w:hAnsi="Arial"/>
          <w:sz w:val="15"/>
          <w:szCs w:val="15"/>
          <w:i w:val="1"/>
          <w:iCs w:val="1"/>
          <w:color w:val="auto"/>
        </w:rPr>
        <w:t>Amendment No. 4 to Amended and Restated Credit Agreement</w:t>
      </w:r>
    </w:p>
    <w:p>
      <w:pPr>
        <w:sectPr>
          <w:pgSz w:w="11900" w:h="16838" w:orient="portrait"/>
          <w:cols w:equalWidth="0" w:num="1">
            <w:col w:w="9700"/>
          </w:cols>
          <w:pgMar w:left="1440" w:top="274" w:right="759" w:bottom="1440" w:gutter="0" w:footer="0" w:header="0"/>
        </w:sectPr>
      </w:pPr>
    </w:p>
    <w:bookmarkStart w:id="18" w:name="page19"/>
    <w:bookmarkEnd w:id="18"/>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SUNTRUST ROBINSON HUMPHREY, INC.</w:t>
      </w:r>
      <w:r>
        <w:rPr>
          <w:rFonts w:ascii="Arial" w:cs="Arial" w:eastAsia="Arial" w:hAnsi="Arial"/>
          <w:sz w:val="17"/>
          <w:szCs w:val="17"/>
          <w:color w:val="auto"/>
        </w:rPr>
        <w:t>, as Joint</w:t>
      </w:r>
    </w:p>
    <w:p>
      <w:pPr>
        <w:spacing w:after="0" w:line="3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Lead Arranger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Noyes Palmer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Noyes Palmer</w:t>
      </w:r>
    </w:p>
    <w:p>
      <w:pPr>
        <w:spacing w:after="0" w:line="2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jc w:val="center"/>
        <w:ind w:right="780"/>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ind w:right="780"/>
        <w:spacing w:after="0"/>
        <w:rPr>
          <w:sz w:val="20"/>
          <w:szCs w:val="20"/>
          <w:color w:val="auto"/>
        </w:rPr>
      </w:pPr>
      <w:r>
        <w:rPr>
          <w:rFonts w:ascii="Arial" w:cs="Arial" w:eastAsia="Arial" w:hAnsi="Arial"/>
          <w:sz w:val="15"/>
          <w:szCs w:val="15"/>
          <w:i w:val="1"/>
          <w:iCs w:val="1"/>
          <w:color w:val="auto"/>
        </w:rPr>
        <w:t>Amendment No. 4 to Amended and Restated Credit Agreement</w:t>
      </w:r>
    </w:p>
    <w:p>
      <w:pPr>
        <w:sectPr>
          <w:pgSz w:w="11900" w:h="16838" w:orient="portrait"/>
          <w:cols w:equalWidth="0" w:num="1">
            <w:col w:w="9820"/>
          </w:cols>
          <w:pgMar w:left="1440" w:top="270" w:right="639" w:bottom="1440" w:gutter="0" w:footer="0" w:header="0"/>
        </w:sectPr>
      </w:pPr>
    </w:p>
    <w:bookmarkStart w:id="19" w:name="page20"/>
    <w:bookmarkEnd w:id="19"/>
    <w:p>
      <w:pPr>
        <w:ind w:left="56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undersigned hereby consents to and approves of the</w:t>
      </w:r>
    </w:p>
    <w:p>
      <w:pPr>
        <w:spacing w:after="0" w:line="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foregoing amendment: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REGIONS BANK</w:t>
      </w:r>
      <w:r>
        <w:rPr>
          <w:rFonts w:ascii="Arial" w:cs="Arial" w:eastAsia="Arial" w:hAnsi="Arial"/>
          <w:sz w:val="18"/>
          <w:szCs w:val="18"/>
          <w:color w:val="auto"/>
        </w:rPr>
        <w:t>, as Revolving Credit Lender</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Clifton Nail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Clifton Nail</w:t>
      </w:r>
    </w:p>
    <w:p>
      <w:pPr>
        <w:spacing w:after="0" w:line="2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jc w:val="center"/>
        <w:ind w:right="660"/>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ind w:right="660"/>
        <w:spacing w:after="0"/>
        <w:rPr>
          <w:sz w:val="20"/>
          <w:szCs w:val="20"/>
          <w:color w:val="auto"/>
        </w:rPr>
      </w:pPr>
      <w:r>
        <w:rPr>
          <w:rFonts w:ascii="Arial" w:cs="Arial" w:eastAsia="Arial" w:hAnsi="Arial"/>
          <w:sz w:val="15"/>
          <w:szCs w:val="15"/>
          <w:i w:val="1"/>
          <w:iCs w:val="1"/>
          <w:color w:val="auto"/>
        </w:rPr>
        <w:t>Amendment No. 4 to Amended and Restated Credit Agreement</w:t>
      </w:r>
    </w:p>
    <w:p>
      <w:pPr>
        <w:sectPr>
          <w:pgSz w:w="11900" w:h="16838" w:orient="portrait"/>
          <w:cols w:equalWidth="0" w:num="1">
            <w:col w:w="9700"/>
          </w:cols>
          <w:pgMar w:left="1440" w:top="274" w:right="759" w:bottom="1440" w:gutter="0" w:footer="0" w:header="0"/>
        </w:sectPr>
      </w:pPr>
    </w:p>
    <w:bookmarkStart w:id="20" w:name="page21"/>
    <w:bookmarkEnd w:id="20"/>
    <w:p>
      <w:pPr>
        <w:ind w:left="56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undersigned hereby consents to and approves of the</w:t>
      </w:r>
    </w:p>
    <w:p>
      <w:pPr>
        <w:spacing w:after="0" w:line="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foregoing amendment: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KEYBANK NATIONAL ASSOCIATION</w:t>
      </w:r>
      <w:r>
        <w:rPr>
          <w:rFonts w:ascii="Arial" w:cs="Arial" w:eastAsia="Arial" w:hAnsi="Arial"/>
          <w:sz w:val="18"/>
          <w:szCs w:val="18"/>
          <w:color w:val="auto"/>
        </w:rPr>
        <w:t>, as</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Revolving Credit 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Ari Deutchman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Ari Deutchman</w:t>
      </w:r>
    </w:p>
    <w:p>
      <w:pPr>
        <w:spacing w:after="0" w:line="2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8"/>
          <w:szCs w:val="18"/>
          <w:color w:val="auto"/>
        </w:rPr>
        <w:t>Title:</w:t>
        <w:tab/>
        <w:t>Senior Vice President</w:t>
      </w:r>
    </w:p>
    <w:p>
      <w:pPr>
        <w:spacing w:after="0" w:line="143" w:lineRule="exact"/>
        <w:rPr>
          <w:sz w:val="20"/>
          <w:szCs w:val="20"/>
          <w:color w:val="auto"/>
        </w:rPr>
      </w:pPr>
    </w:p>
    <w:p>
      <w:pPr>
        <w:jc w:val="center"/>
        <w:ind w:right="660"/>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ind w:right="660"/>
        <w:spacing w:after="0"/>
        <w:rPr>
          <w:sz w:val="20"/>
          <w:szCs w:val="20"/>
          <w:color w:val="auto"/>
        </w:rPr>
      </w:pPr>
      <w:r>
        <w:rPr>
          <w:rFonts w:ascii="Arial" w:cs="Arial" w:eastAsia="Arial" w:hAnsi="Arial"/>
          <w:sz w:val="15"/>
          <w:szCs w:val="15"/>
          <w:i w:val="1"/>
          <w:iCs w:val="1"/>
          <w:color w:val="auto"/>
        </w:rPr>
        <w:t>Amendment No. 4 to Amended and Restated Credit Agreement</w:t>
      </w:r>
    </w:p>
    <w:p>
      <w:pPr>
        <w:sectPr>
          <w:pgSz w:w="11900" w:h="16838" w:orient="portrait"/>
          <w:cols w:equalWidth="0" w:num="1">
            <w:col w:w="9700"/>
          </w:cols>
          <w:pgMar w:left="1440" w:top="274" w:right="759" w:bottom="1440" w:gutter="0" w:footer="0" w:header="0"/>
        </w:sectPr>
      </w:pPr>
    </w:p>
    <w:bookmarkStart w:id="21" w:name="page22"/>
    <w:bookmarkEnd w:id="21"/>
    <w:p>
      <w:pPr>
        <w:ind w:left="56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undersigned hereby consents to and approves of the</w:t>
      </w:r>
    </w:p>
    <w:p>
      <w:pPr>
        <w:spacing w:after="0" w:line="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foregoing amendment: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JPMORGAN CHASE BANK, N.A.</w:t>
      </w:r>
      <w:r>
        <w:rPr>
          <w:rFonts w:ascii="Arial" w:cs="Arial" w:eastAsia="Arial" w:hAnsi="Arial"/>
          <w:sz w:val="18"/>
          <w:szCs w:val="18"/>
          <w:color w:val="auto"/>
        </w:rPr>
        <w:t>,</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Revolving Credit Lender</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John A. Horst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John A. Horst</w:t>
      </w:r>
    </w:p>
    <w:p>
      <w:pPr>
        <w:spacing w:after="0" w:line="2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8"/>
          <w:szCs w:val="18"/>
          <w:color w:val="auto"/>
        </w:rPr>
        <w:t>Title:</w:t>
        <w:tab/>
        <w:t>Executive Director</w:t>
      </w:r>
    </w:p>
    <w:p>
      <w:pPr>
        <w:spacing w:after="0" w:line="143" w:lineRule="exact"/>
        <w:rPr>
          <w:sz w:val="20"/>
          <w:szCs w:val="20"/>
          <w:color w:val="auto"/>
        </w:rPr>
      </w:pPr>
    </w:p>
    <w:p>
      <w:pPr>
        <w:jc w:val="center"/>
        <w:ind w:right="660"/>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ind w:right="660"/>
        <w:spacing w:after="0"/>
        <w:rPr>
          <w:sz w:val="20"/>
          <w:szCs w:val="20"/>
          <w:color w:val="auto"/>
        </w:rPr>
      </w:pPr>
      <w:r>
        <w:rPr>
          <w:rFonts w:ascii="Arial" w:cs="Arial" w:eastAsia="Arial" w:hAnsi="Arial"/>
          <w:sz w:val="15"/>
          <w:szCs w:val="15"/>
          <w:i w:val="1"/>
          <w:iCs w:val="1"/>
          <w:color w:val="auto"/>
        </w:rPr>
        <w:t>Amendment No. 4 to Amended and Restated Credit Agreement</w:t>
      </w:r>
    </w:p>
    <w:p>
      <w:pPr>
        <w:sectPr>
          <w:pgSz w:w="11900" w:h="16838" w:orient="portrait"/>
          <w:cols w:equalWidth="0" w:num="1">
            <w:col w:w="9700"/>
          </w:cols>
          <w:pgMar w:left="1440" w:top="274" w:right="759" w:bottom="1440" w:gutter="0" w:footer="0" w:header="0"/>
        </w:sectPr>
      </w:pPr>
    </w:p>
    <w:bookmarkStart w:id="22" w:name="page23"/>
    <w:bookmarkEnd w:id="22"/>
    <w:p>
      <w:pPr>
        <w:ind w:left="56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undersigned hereby consents to and approves of the</w:t>
      </w:r>
    </w:p>
    <w:p>
      <w:pPr>
        <w:spacing w:after="0" w:line="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foregoing amendment: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HOMETRUST BANK</w:t>
      </w:r>
      <w:r>
        <w:rPr>
          <w:rFonts w:ascii="Arial" w:cs="Arial" w:eastAsia="Arial" w:hAnsi="Arial"/>
          <w:sz w:val="18"/>
          <w:szCs w:val="18"/>
          <w:color w:val="auto"/>
        </w:rPr>
        <w:t>,</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Revolving Credit Lender</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Corey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Corey Webb</w:t>
      </w:r>
    </w:p>
    <w:p>
      <w:pPr>
        <w:spacing w:after="0" w:line="2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8"/>
          <w:szCs w:val="18"/>
          <w:color w:val="auto"/>
        </w:rPr>
        <w:t>Title:</w:t>
        <w:tab/>
        <w:t>Senior Vice President</w:t>
      </w:r>
    </w:p>
    <w:p>
      <w:pPr>
        <w:spacing w:after="0" w:line="143" w:lineRule="exact"/>
        <w:rPr>
          <w:sz w:val="20"/>
          <w:szCs w:val="20"/>
          <w:color w:val="auto"/>
        </w:rPr>
      </w:pPr>
    </w:p>
    <w:p>
      <w:pPr>
        <w:jc w:val="center"/>
        <w:ind w:right="660"/>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ind w:right="660"/>
        <w:spacing w:after="0"/>
        <w:rPr>
          <w:sz w:val="20"/>
          <w:szCs w:val="20"/>
          <w:color w:val="auto"/>
        </w:rPr>
      </w:pPr>
      <w:r>
        <w:rPr>
          <w:rFonts w:ascii="Arial" w:cs="Arial" w:eastAsia="Arial" w:hAnsi="Arial"/>
          <w:sz w:val="15"/>
          <w:szCs w:val="15"/>
          <w:i w:val="1"/>
          <w:iCs w:val="1"/>
          <w:color w:val="auto"/>
        </w:rPr>
        <w:t>Amendment No. 4 to Amended and Restated Credit Agreement</w:t>
      </w:r>
    </w:p>
    <w:p>
      <w:pPr>
        <w:sectPr>
          <w:pgSz w:w="11900" w:h="16838" w:orient="portrait"/>
          <w:cols w:equalWidth="0" w:num="1">
            <w:col w:w="9700"/>
          </w:cols>
          <w:pgMar w:left="1440" w:top="274" w:right="75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186690</wp:posOffset>
            </wp:positionV>
            <wp:extent cx="724662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246380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Published CUSIP Number: 62933RAP7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Initial Term Loan Facility CUSIP Number: 62933RAQ5</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SECOND LIEN CREDIT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May 7, 2018</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NN, INC.,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the Borrower,</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SUNTRUST BANK,</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THE LENDERS FROM TIME TO TIME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SUNTRUST ROBINSON HUMPHREY, INC.,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Sole Lead Arranger and Bookrunner,</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SUNTRUST BANK,</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Documentation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194310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220345</wp:posOffset>
            </wp:positionV>
            <wp:extent cx="724662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180" w:type="dxa"/>
            <w:vAlign w:val="bottom"/>
          </w:tcPr>
          <w:p>
            <w:pPr>
              <w:jc w:val="center"/>
              <w:ind w:left="330"/>
              <w:spacing w:after="0"/>
              <w:rPr>
                <w:sz w:val="20"/>
                <w:szCs w:val="20"/>
                <w:color w:val="auto"/>
              </w:rPr>
            </w:pPr>
            <w:r>
              <w:rPr>
                <w:rFonts w:ascii="Arial" w:cs="Arial" w:eastAsia="Arial" w:hAnsi="Arial"/>
                <w:sz w:val="18"/>
                <w:szCs w:val="18"/>
                <w:b w:val="1"/>
                <w:bCs w:val="1"/>
                <w:color w:val="auto"/>
                <w:w w:val="98"/>
              </w:rPr>
              <w:t>TABLE OF CONTENTS</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180" w:type="dxa"/>
            <w:vAlign w:val="bottom"/>
            <w:vMerge w:val="restart"/>
          </w:tcPr>
          <w:p>
            <w:pPr>
              <w:jc w:val="center"/>
              <w:ind w:left="270"/>
              <w:spacing w:after="0"/>
              <w:rPr>
                <w:sz w:val="20"/>
                <w:szCs w:val="20"/>
                <w:color w:val="auto"/>
              </w:rPr>
            </w:pPr>
            <w:r>
              <w:rPr>
                <w:rFonts w:ascii="Arial" w:cs="Arial" w:eastAsia="Arial" w:hAnsi="Arial"/>
                <w:sz w:val="18"/>
                <w:szCs w:val="18"/>
                <w:color w:val="auto"/>
                <w:w w:val="99"/>
              </w:rPr>
              <w:t>ARTICLE I</w:t>
            </w: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7"/>
        </w:trPr>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18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180" w:type="dxa"/>
            <w:vAlign w:val="bottom"/>
          </w:tcPr>
          <w:p>
            <w:pPr>
              <w:jc w:val="center"/>
              <w:ind w:left="250"/>
              <w:spacing w:after="0"/>
              <w:rPr>
                <w:sz w:val="20"/>
                <w:szCs w:val="20"/>
                <w:color w:val="auto"/>
              </w:rPr>
            </w:pPr>
            <w:r>
              <w:rPr>
                <w:rFonts w:ascii="Arial" w:cs="Arial" w:eastAsia="Arial" w:hAnsi="Arial"/>
                <w:sz w:val="18"/>
                <w:szCs w:val="18"/>
                <w:color w:val="auto"/>
                <w:w w:val="97"/>
              </w:rPr>
              <w:t>DEFINITIONS AND ACCOUNTING TERMS</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000" w:type="dxa"/>
            <w:vAlign w:val="bottom"/>
          </w:tcPr>
          <w:p>
            <w:pPr>
              <w:jc w:val="right"/>
              <w:ind w:right="550"/>
              <w:spacing w:after="0"/>
              <w:rPr>
                <w:sz w:val="20"/>
                <w:szCs w:val="20"/>
                <w:color w:val="auto"/>
              </w:rPr>
            </w:pPr>
            <w:r>
              <w:rPr>
                <w:rFonts w:ascii="Arial" w:cs="Arial" w:eastAsia="Arial" w:hAnsi="Arial"/>
                <w:sz w:val="18"/>
                <w:szCs w:val="18"/>
                <w:color w:val="auto"/>
                <w:w w:val="84"/>
              </w:rPr>
              <w:t>1.01.</w:t>
            </w:r>
          </w:p>
        </w:tc>
        <w:tc>
          <w:tcPr>
            <w:tcW w:w="8600" w:type="dxa"/>
            <w:vAlign w:val="bottom"/>
            <w:gridSpan w:val="3"/>
          </w:tcPr>
          <w:p>
            <w:pPr>
              <w:spacing w:after="0"/>
              <w:rPr>
                <w:sz w:val="20"/>
                <w:szCs w:val="20"/>
                <w:color w:val="auto"/>
              </w:rPr>
            </w:pPr>
            <w:r>
              <w:rPr>
                <w:rFonts w:ascii="Arial" w:cs="Arial" w:eastAsia="Arial" w:hAnsi="Arial"/>
                <w:sz w:val="18"/>
                <w:szCs w:val="18"/>
                <w:color w:val="auto"/>
              </w:rPr>
              <w:t>Defined Terms</w:t>
            </w:r>
          </w:p>
        </w:tc>
        <w:tc>
          <w:tcPr>
            <w:tcW w:w="17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00" w:type="dxa"/>
            <w:vAlign w:val="bottom"/>
          </w:tcPr>
          <w:p>
            <w:pPr>
              <w:jc w:val="right"/>
              <w:ind w:right="550"/>
              <w:spacing w:after="0"/>
              <w:rPr>
                <w:sz w:val="20"/>
                <w:szCs w:val="20"/>
                <w:color w:val="auto"/>
              </w:rPr>
            </w:pPr>
            <w:r>
              <w:rPr>
                <w:rFonts w:ascii="Arial" w:cs="Arial" w:eastAsia="Arial" w:hAnsi="Arial"/>
                <w:sz w:val="18"/>
                <w:szCs w:val="18"/>
                <w:color w:val="auto"/>
                <w:w w:val="84"/>
              </w:rPr>
              <w:t>1.02.</w:t>
            </w:r>
          </w:p>
        </w:tc>
        <w:tc>
          <w:tcPr>
            <w:tcW w:w="8600" w:type="dxa"/>
            <w:vAlign w:val="bottom"/>
            <w:gridSpan w:val="3"/>
          </w:tcPr>
          <w:p>
            <w:pPr>
              <w:spacing w:after="0"/>
              <w:rPr>
                <w:sz w:val="20"/>
                <w:szCs w:val="20"/>
                <w:color w:val="auto"/>
              </w:rPr>
            </w:pPr>
            <w:r>
              <w:rPr>
                <w:rFonts w:ascii="Arial" w:cs="Arial" w:eastAsia="Arial" w:hAnsi="Arial"/>
                <w:sz w:val="18"/>
                <w:szCs w:val="18"/>
                <w:color w:val="auto"/>
              </w:rPr>
              <w:t>Other Interpretive Provisions</w:t>
            </w:r>
          </w:p>
        </w:tc>
        <w:tc>
          <w:tcPr>
            <w:tcW w:w="17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000" w:type="dxa"/>
            <w:vAlign w:val="bottom"/>
          </w:tcPr>
          <w:p>
            <w:pPr>
              <w:jc w:val="right"/>
              <w:ind w:right="550"/>
              <w:spacing w:after="0"/>
              <w:rPr>
                <w:sz w:val="20"/>
                <w:szCs w:val="20"/>
                <w:color w:val="auto"/>
              </w:rPr>
            </w:pPr>
            <w:r>
              <w:rPr>
                <w:rFonts w:ascii="Arial" w:cs="Arial" w:eastAsia="Arial" w:hAnsi="Arial"/>
                <w:sz w:val="18"/>
                <w:szCs w:val="18"/>
                <w:color w:val="auto"/>
                <w:w w:val="84"/>
              </w:rPr>
              <w:t>1.03.</w:t>
            </w:r>
          </w:p>
        </w:tc>
        <w:tc>
          <w:tcPr>
            <w:tcW w:w="8600" w:type="dxa"/>
            <w:vAlign w:val="bottom"/>
            <w:gridSpan w:val="3"/>
          </w:tcPr>
          <w:p>
            <w:pPr>
              <w:spacing w:after="0"/>
              <w:rPr>
                <w:sz w:val="20"/>
                <w:szCs w:val="20"/>
                <w:color w:val="auto"/>
              </w:rPr>
            </w:pPr>
            <w:r>
              <w:rPr>
                <w:rFonts w:ascii="Arial" w:cs="Arial" w:eastAsia="Arial" w:hAnsi="Arial"/>
                <w:sz w:val="18"/>
                <w:szCs w:val="18"/>
                <w:color w:val="auto"/>
              </w:rPr>
              <w:t>Accounting Terms</w:t>
            </w:r>
          </w:p>
        </w:tc>
        <w:tc>
          <w:tcPr>
            <w:tcW w:w="17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000" w:type="dxa"/>
            <w:vAlign w:val="bottom"/>
          </w:tcPr>
          <w:p>
            <w:pPr>
              <w:jc w:val="right"/>
              <w:ind w:right="550"/>
              <w:spacing w:after="0"/>
              <w:rPr>
                <w:sz w:val="20"/>
                <w:szCs w:val="20"/>
                <w:color w:val="auto"/>
              </w:rPr>
            </w:pPr>
            <w:r>
              <w:rPr>
                <w:rFonts w:ascii="Arial" w:cs="Arial" w:eastAsia="Arial" w:hAnsi="Arial"/>
                <w:sz w:val="18"/>
                <w:szCs w:val="18"/>
                <w:color w:val="auto"/>
                <w:w w:val="84"/>
              </w:rPr>
              <w:t>1.04.</w:t>
            </w:r>
          </w:p>
        </w:tc>
        <w:tc>
          <w:tcPr>
            <w:tcW w:w="8600" w:type="dxa"/>
            <w:vAlign w:val="bottom"/>
            <w:gridSpan w:val="3"/>
          </w:tcPr>
          <w:p>
            <w:pPr>
              <w:spacing w:after="0"/>
              <w:rPr>
                <w:sz w:val="20"/>
                <w:szCs w:val="20"/>
                <w:color w:val="auto"/>
              </w:rPr>
            </w:pPr>
            <w:r>
              <w:rPr>
                <w:rFonts w:ascii="Arial" w:cs="Arial" w:eastAsia="Arial" w:hAnsi="Arial"/>
                <w:sz w:val="18"/>
                <w:szCs w:val="18"/>
                <w:color w:val="auto"/>
              </w:rPr>
              <w:t>Rounding</w:t>
            </w:r>
          </w:p>
        </w:tc>
        <w:tc>
          <w:tcPr>
            <w:tcW w:w="17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000" w:type="dxa"/>
            <w:vAlign w:val="bottom"/>
          </w:tcPr>
          <w:p>
            <w:pPr>
              <w:jc w:val="right"/>
              <w:ind w:right="550"/>
              <w:spacing w:after="0"/>
              <w:rPr>
                <w:sz w:val="20"/>
                <w:szCs w:val="20"/>
                <w:color w:val="auto"/>
              </w:rPr>
            </w:pPr>
            <w:r>
              <w:rPr>
                <w:rFonts w:ascii="Arial" w:cs="Arial" w:eastAsia="Arial" w:hAnsi="Arial"/>
                <w:sz w:val="18"/>
                <w:szCs w:val="18"/>
                <w:color w:val="auto"/>
                <w:w w:val="84"/>
              </w:rPr>
              <w:t>1.05.</w:t>
            </w:r>
          </w:p>
        </w:tc>
        <w:tc>
          <w:tcPr>
            <w:tcW w:w="8600" w:type="dxa"/>
            <w:vAlign w:val="bottom"/>
            <w:gridSpan w:val="3"/>
          </w:tcPr>
          <w:p>
            <w:pPr>
              <w:spacing w:after="0"/>
              <w:rPr>
                <w:sz w:val="20"/>
                <w:szCs w:val="20"/>
                <w:color w:val="auto"/>
              </w:rPr>
            </w:pPr>
            <w:r>
              <w:rPr>
                <w:rFonts w:ascii="Arial" w:cs="Arial" w:eastAsia="Arial" w:hAnsi="Arial"/>
                <w:sz w:val="18"/>
                <w:szCs w:val="18"/>
                <w:color w:val="auto"/>
              </w:rPr>
              <w:t>Times of Day; Rates</w:t>
            </w:r>
          </w:p>
        </w:tc>
        <w:tc>
          <w:tcPr>
            <w:tcW w:w="17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000" w:type="dxa"/>
            <w:vAlign w:val="bottom"/>
          </w:tcPr>
          <w:p>
            <w:pPr>
              <w:jc w:val="right"/>
              <w:ind w:right="550"/>
              <w:spacing w:after="0"/>
              <w:rPr>
                <w:sz w:val="20"/>
                <w:szCs w:val="20"/>
                <w:color w:val="auto"/>
              </w:rPr>
            </w:pPr>
            <w:r>
              <w:rPr>
                <w:rFonts w:ascii="Arial" w:cs="Arial" w:eastAsia="Arial" w:hAnsi="Arial"/>
                <w:sz w:val="18"/>
                <w:szCs w:val="18"/>
                <w:color w:val="auto"/>
                <w:w w:val="84"/>
              </w:rPr>
              <w:t>1.06.</w:t>
            </w:r>
          </w:p>
        </w:tc>
        <w:tc>
          <w:tcPr>
            <w:tcW w:w="8600" w:type="dxa"/>
            <w:vAlign w:val="bottom"/>
            <w:gridSpan w:val="3"/>
          </w:tcPr>
          <w:p>
            <w:pPr>
              <w:spacing w:after="0"/>
              <w:rPr>
                <w:sz w:val="20"/>
                <w:szCs w:val="20"/>
                <w:color w:val="auto"/>
              </w:rPr>
            </w:pPr>
            <w:r>
              <w:rPr>
                <w:rFonts w:ascii="Arial" w:cs="Arial" w:eastAsia="Arial" w:hAnsi="Arial"/>
                <w:sz w:val="18"/>
                <w:szCs w:val="18"/>
                <w:color w:val="auto"/>
              </w:rPr>
              <w:t>Currency Equivalents Generally</w:t>
            </w:r>
          </w:p>
        </w:tc>
        <w:tc>
          <w:tcPr>
            <w:tcW w:w="17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1000" w:type="dxa"/>
            <w:vAlign w:val="bottom"/>
          </w:tcPr>
          <w:p>
            <w:pPr>
              <w:jc w:val="right"/>
              <w:ind w:right="550"/>
              <w:spacing w:after="0"/>
              <w:rPr>
                <w:sz w:val="20"/>
                <w:szCs w:val="20"/>
                <w:color w:val="auto"/>
              </w:rPr>
            </w:pPr>
            <w:r>
              <w:rPr>
                <w:rFonts w:ascii="Arial" w:cs="Arial" w:eastAsia="Arial" w:hAnsi="Arial"/>
                <w:sz w:val="18"/>
                <w:szCs w:val="18"/>
                <w:color w:val="auto"/>
                <w:w w:val="84"/>
              </w:rPr>
              <w:t>1.07.</w:t>
            </w:r>
          </w:p>
        </w:tc>
        <w:tc>
          <w:tcPr>
            <w:tcW w:w="8600" w:type="dxa"/>
            <w:vAlign w:val="bottom"/>
            <w:gridSpan w:val="3"/>
          </w:tcPr>
          <w:p>
            <w:pPr>
              <w:spacing w:after="0"/>
              <w:rPr>
                <w:sz w:val="20"/>
                <w:szCs w:val="20"/>
                <w:color w:val="auto"/>
              </w:rPr>
            </w:pPr>
            <w:r>
              <w:rPr>
                <w:rFonts w:ascii="Arial" w:cs="Arial" w:eastAsia="Arial" w:hAnsi="Arial"/>
                <w:sz w:val="18"/>
                <w:szCs w:val="18"/>
                <w:color w:val="auto"/>
              </w:rPr>
              <w:t>Limited Condition Transaction</w:t>
            </w:r>
          </w:p>
        </w:tc>
        <w:tc>
          <w:tcPr>
            <w:tcW w:w="17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10"/>
        </w:trPr>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180" w:type="dxa"/>
            <w:vAlign w:val="bottom"/>
          </w:tcPr>
          <w:p>
            <w:pPr>
              <w:jc w:val="center"/>
              <w:ind w:left="270"/>
              <w:spacing w:after="0"/>
              <w:rPr>
                <w:sz w:val="20"/>
                <w:szCs w:val="20"/>
                <w:color w:val="auto"/>
              </w:rPr>
            </w:pPr>
            <w:r>
              <w:rPr>
                <w:rFonts w:ascii="Arial" w:cs="Arial" w:eastAsia="Arial" w:hAnsi="Arial"/>
                <w:sz w:val="18"/>
                <w:szCs w:val="18"/>
                <w:color w:val="auto"/>
                <w:w w:val="98"/>
              </w:rPr>
              <w:t>ARTICLE II</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180" w:type="dxa"/>
            <w:vAlign w:val="bottom"/>
          </w:tcPr>
          <w:p>
            <w:pPr>
              <w:jc w:val="center"/>
              <w:ind w:left="250"/>
              <w:spacing w:after="0"/>
              <w:rPr>
                <w:sz w:val="20"/>
                <w:szCs w:val="20"/>
                <w:color w:val="auto"/>
              </w:rPr>
            </w:pPr>
            <w:r>
              <w:rPr>
                <w:rFonts w:ascii="Arial" w:cs="Arial" w:eastAsia="Arial" w:hAnsi="Arial"/>
                <w:sz w:val="18"/>
                <w:szCs w:val="18"/>
                <w:color w:val="auto"/>
                <w:w w:val="97"/>
              </w:rPr>
              <w:t>THE COMMITMENTS AND BORROWINGS</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000" w:type="dxa"/>
            <w:vAlign w:val="bottom"/>
          </w:tcPr>
          <w:p>
            <w:pPr>
              <w:jc w:val="right"/>
              <w:ind w:right="550"/>
              <w:spacing w:after="0"/>
              <w:rPr>
                <w:sz w:val="20"/>
                <w:szCs w:val="20"/>
                <w:color w:val="auto"/>
              </w:rPr>
            </w:pPr>
            <w:r>
              <w:rPr>
                <w:rFonts w:ascii="Arial" w:cs="Arial" w:eastAsia="Arial" w:hAnsi="Arial"/>
                <w:sz w:val="18"/>
                <w:szCs w:val="18"/>
                <w:color w:val="auto"/>
                <w:w w:val="84"/>
              </w:rPr>
              <w:t>2.01.</w:t>
            </w:r>
          </w:p>
        </w:tc>
        <w:tc>
          <w:tcPr>
            <w:tcW w:w="8600" w:type="dxa"/>
            <w:vAlign w:val="bottom"/>
            <w:gridSpan w:val="3"/>
          </w:tcPr>
          <w:p>
            <w:pPr>
              <w:spacing w:after="0"/>
              <w:rPr>
                <w:sz w:val="20"/>
                <w:szCs w:val="20"/>
                <w:color w:val="auto"/>
              </w:rPr>
            </w:pPr>
            <w:r>
              <w:rPr>
                <w:rFonts w:ascii="Arial" w:cs="Arial" w:eastAsia="Arial" w:hAnsi="Arial"/>
                <w:sz w:val="18"/>
                <w:szCs w:val="18"/>
                <w:color w:val="auto"/>
              </w:rPr>
              <w:t>The Loans</w:t>
            </w:r>
          </w:p>
        </w:tc>
        <w:tc>
          <w:tcPr>
            <w:tcW w:w="17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000" w:type="dxa"/>
            <w:vAlign w:val="bottom"/>
          </w:tcPr>
          <w:p>
            <w:pPr>
              <w:jc w:val="right"/>
              <w:ind w:right="550"/>
              <w:spacing w:after="0"/>
              <w:rPr>
                <w:sz w:val="20"/>
                <w:szCs w:val="20"/>
                <w:color w:val="auto"/>
              </w:rPr>
            </w:pPr>
            <w:r>
              <w:rPr>
                <w:rFonts w:ascii="Arial" w:cs="Arial" w:eastAsia="Arial" w:hAnsi="Arial"/>
                <w:sz w:val="18"/>
                <w:szCs w:val="18"/>
                <w:color w:val="auto"/>
                <w:w w:val="84"/>
              </w:rPr>
              <w:t>2.02.</w:t>
            </w:r>
          </w:p>
        </w:tc>
        <w:tc>
          <w:tcPr>
            <w:tcW w:w="8600" w:type="dxa"/>
            <w:vAlign w:val="bottom"/>
            <w:gridSpan w:val="3"/>
          </w:tcPr>
          <w:p>
            <w:pPr>
              <w:spacing w:after="0"/>
              <w:rPr>
                <w:sz w:val="20"/>
                <w:szCs w:val="20"/>
                <w:color w:val="auto"/>
              </w:rPr>
            </w:pPr>
            <w:r>
              <w:rPr>
                <w:rFonts w:ascii="Arial" w:cs="Arial" w:eastAsia="Arial" w:hAnsi="Arial"/>
                <w:sz w:val="18"/>
                <w:szCs w:val="18"/>
                <w:color w:val="auto"/>
              </w:rPr>
              <w:t>Borrowings, Conversions and Continuations of Loans</w:t>
            </w:r>
          </w:p>
        </w:tc>
        <w:tc>
          <w:tcPr>
            <w:tcW w:w="17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000" w:type="dxa"/>
            <w:vAlign w:val="bottom"/>
          </w:tcPr>
          <w:p>
            <w:pPr>
              <w:jc w:val="right"/>
              <w:ind w:right="550"/>
              <w:spacing w:after="0"/>
              <w:rPr>
                <w:sz w:val="20"/>
                <w:szCs w:val="20"/>
                <w:color w:val="auto"/>
              </w:rPr>
            </w:pPr>
            <w:r>
              <w:rPr>
                <w:rFonts w:ascii="Arial" w:cs="Arial" w:eastAsia="Arial" w:hAnsi="Arial"/>
                <w:sz w:val="18"/>
                <w:szCs w:val="18"/>
                <w:color w:val="auto"/>
                <w:w w:val="84"/>
              </w:rPr>
              <w:t>2.03.</w:t>
            </w:r>
          </w:p>
        </w:tc>
        <w:tc>
          <w:tcPr>
            <w:tcW w:w="8600" w:type="dxa"/>
            <w:vAlign w:val="bottom"/>
            <w:gridSpan w:val="3"/>
          </w:tcPr>
          <w:p>
            <w:pPr>
              <w:spacing w:after="0"/>
              <w:rPr>
                <w:sz w:val="20"/>
                <w:szCs w:val="20"/>
                <w:color w:val="auto"/>
              </w:rPr>
            </w:pPr>
            <w:r>
              <w:rPr>
                <w:rFonts w:ascii="Arial" w:cs="Arial" w:eastAsia="Arial" w:hAnsi="Arial"/>
                <w:sz w:val="18"/>
                <w:szCs w:val="18"/>
                <w:color w:val="auto"/>
              </w:rPr>
              <w:t>[Reserved]</w:t>
            </w:r>
          </w:p>
        </w:tc>
        <w:tc>
          <w:tcPr>
            <w:tcW w:w="17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000" w:type="dxa"/>
            <w:vAlign w:val="bottom"/>
          </w:tcPr>
          <w:p>
            <w:pPr>
              <w:jc w:val="right"/>
              <w:ind w:right="550"/>
              <w:spacing w:after="0"/>
              <w:rPr>
                <w:sz w:val="20"/>
                <w:szCs w:val="20"/>
                <w:color w:val="auto"/>
              </w:rPr>
            </w:pPr>
            <w:r>
              <w:rPr>
                <w:rFonts w:ascii="Arial" w:cs="Arial" w:eastAsia="Arial" w:hAnsi="Arial"/>
                <w:sz w:val="18"/>
                <w:szCs w:val="18"/>
                <w:color w:val="auto"/>
                <w:w w:val="84"/>
              </w:rPr>
              <w:t>2.04.</w:t>
            </w:r>
          </w:p>
        </w:tc>
        <w:tc>
          <w:tcPr>
            <w:tcW w:w="8600" w:type="dxa"/>
            <w:vAlign w:val="bottom"/>
            <w:gridSpan w:val="3"/>
          </w:tcPr>
          <w:p>
            <w:pPr>
              <w:spacing w:after="0"/>
              <w:rPr>
                <w:sz w:val="20"/>
                <w:szCs w:val="20"/>
                <w:color w:val="auto"/>
              </w:rPr>
            </w:pPr>
            <w:r>
              <w:rPr>
                <w:rFonts w:ascii="Arial" w:cs="Arial" w:eastAsia="Arial" w:hAnsi="Arial"/>
                <w:sz w:val="18"/>
                <w:szCs w:val="18"/>
                <w:color w:val="auto"/>
              </w:rPr>
              <w:t>[Reserved]</w:t>
            </w:r>
          </w:p>
        </w:tc>
        <w:tc>
          <w:tcPr>
            <w:tcW w:w="17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000" w:type="dxa"/>
            <w:vAlign w:val="bottom"/>
          </w:tcPr>
          <w:p>
            <w:pPr>
              <w:jc w:val="right"/>
              <w:ind w:right="550"/>
              <w:spacing w:after="0"/>
              <w:rPr>
                <w:sz w:val="20"/>
                <w:szCs w:val="20"/>
                <w:color w:val="auto"/>
              </w:rPr>
            </w:pPr>
            <w:r>
              <w:rPr>
                <w:rFonts w:ascii="Arial" w:cs="Arial" w:eastAsia="Arial" w:hAnsi="Arial"/>
                <w:sz w:val="18"/>
                <w:szCs w:val="18"/>
                <w:color w:val="auto"/>
                <w:w w:val="84"/>
              </w:rPr>
              <w:t>2.05.</w:t>
            </w:r>
          </w:p>
        </w:tc>
        <w:tc>
          <w:tcPr>
            <w:tcW w:w="8600" w:type="dxa"/>
            <w:vAlign w:val="bottom"/>
            <w:gridSpan w:val="3"/>
          </w:tcPr>
          <w:p>
            <w:pPr>
              <w:spacing w:after="0"/>
              <w:rPr>
                <w:sz w:val="20"/>
                <w:szCs w:val="20"/>
                <w:color w:val="auto"/>
              </w:rPr>
            </w:pPr>
            <w:r>
              <w:rPr>
                <w:rFonts w:ascii="Arial" w:cs="Arial" w:eastAsia="Arial" w:hAnsi="Arial"/>
                <w:sz w:val="18"/>
                <w:szCs w:val="18"/>
                <w:color w:val="auto"/>
              </w:rPr>
              <w:t>Prepayments</w:t>
            </w:r>
          </w:p>
        </w:tc>
        <w:tc>
          <w:tcPr>
            <w:tcW w:w="17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000" w:type="dxa"/>
            <w:vAlign w:val="bottom"/>
          </w:tcPr>
          <w:p>
            <w:pPr>
              <w:jc w:val="right"/>
              <w:ind w:right="550"/>
              <w:spacing w:after="0"/>
              <w:rPr>
                <w:sz w:val="20"/>
                <w:szCs w:val="20"/>
                <w:color w:val="auto"/>
              </w:rPr>
            </w:pPr>
            <w:r>
              <w:rPr>
                <w:rFonts w:ascii="Arial" w:cs="Arial" w:eastAsia="Arial" w:hAnsi="Arial"/>
                <w:sz w:val="18"/>
                <w:szCs w:val="18"/>
                <w:color w:val="auto"/>
                <w:w w:val="84"/>
              </w:rPr>
              <w:t>2.06.</w:t>
            </w:r>
          </w:p>
        </w:tc>
        <w:tc>
          <w:tcPr>
            <w:tcW w:w="8600" w:type="dxa"/>
            <w:vAlign w:val="bottom"/>
            <w:gridSpan w:val="3"/>
          </w:tcPr>
          <w:p>
            <w:pPr>
              <w:spacing w:after="0"/>
              <w:rPr>
                <w:sz w:val="20"/>
                <w:szCs w:val="20"/>
                <w:color w:val="auto"/>
              </w:rPr>
            </w:pPr>
            <w:r>
              <w:rPr>
                <w:rFonts w:ascii="Arial" w:cs="Arial" w:eastAsia="Arial" w:hAnsi="Arial"/>
                <w:sz w:val="18"/>
                <w:szCs w:val="18"/>
                <w:color w:val="auto"/>
              </w:rPr>
              <w:t>Termination or Reduction of Commitments</w:t>
            </w:r>
          </w:p>
        </w:tc>
        <w:tc>
          <w:tcPr>
            <w:tcW w:w="17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000" w:type="dxa"/>
            <w:vAlign w:val="bottom"/>
          </w:tcPr>
          <w:p>
            <w:pPr>
              <w:jc w:val="right"/>
              <w:ind w:right="550"/>
              <w:spacing w:after="0"/>
              <w:rPr>
                <w:sz w:val="20"/>
                <w:szCs w:val="20"/>
                <w:color w:val="auto"/>
              </w:rPr>
            </w:pPr>
            <w:r>
              <w:rPr>
                <w:rFonts w:ascii="Arial" w:cs="Arial" w:eastAsia="Arial" w:hAnsi="Arial"/>
                <w:sz w:val="18"/>
                <w:szCs w:val="18"/>
                <w:color w:val="auto"/>
                <w:w w:val="84"/>
              </w:rPr>
              <w:t>2.07.</w:t>
            </w:r>
          </w:p>
        </w:tc>
        <w:tc>
          <w:tcPr>
            <w:tcW w:w="8600" w:type="dxa"/>
            <w:vAlign w:val="bottom"/>
            <w:gridSpan w:val="3"/>
          </w:tcPr>
          <w:p>
            <w:pPr>
              <w:spacing w:after="0"/>
              <w:rPr>
                <w:sz w:val="20"/>
                <w:szCs w:val="20"/>
                <w:color w:val="auto"/>
              </w:rPr>
            </w:pPr>
            <w:r>
              <w:rPr>
                <w:rFonts w:ascii="Arial" w:cs="Arial" w:eastAsia="Arial" w:hAnsi="Arial"/>
                <w:sz w:val="18"/>
                <w:szCs w:val="18"/>
                <w:color w:val="auto"/>
              </w:rPr>
              <w:t>Repayment of Loans</w:t>
            </w:r>
          </w:p>
        </w:tc>
        <w:tc>
          <w:tcPr>
            <w:tcW w:w="17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000" w:type="dxa"/>
            <w:vAlign w:val="bottom"/>
          </w:tcPr>
          <w:p>
            <w:pPr>
              <w:jc w:val="right"/>
              <w:ind w:right="550"/>
              <w:spacing w:after="0"/>
              <w:rPr>
                <w:sz w:val="20"/>
                <w:szCs w:val="20"/>
                <w:color w:val="auto"/>
              </w:rPr>
            </w:pPr>
            <w:r>
              <w:rPr>
                <w:rFonts w:ascii="Arial" w:cs="Arial" w:eastAsia="Arial" w:hAnsi="Arial"/>
                <w:sz w:val="18"/>
                <w:szCs w:val="18"/>
                <w:color w:val="auto"/>
                <w:w w:val="84"/>
              </w:rPr>
              <w:t>2.08.</w:t>
            </w:r>
          </w:p>
        </w:tc>
        <w:tc>
          <w:tcPr>
            <w:tcW w:w="8600" w:type="dxa"/>
            <w:vAlign w:val="bottom"/>
            <w:gridSpan w:val="3"/>
          </w:tcPr>
          <w:p>
            <w:pPr>
              <w:spacing w:after="0"/>
              <w:rPr>
                <w:sz w:val="20"/>
                <w:szCs w:val="20"/>
                <w:color w:val="auto"/>
              </w:rPr>
            </w:pPr>
            <w:r>
              <w:rPr>
                <w:rFonts w:ascii="Arial" w:cs="Arial" w:eastAsia="Arial" w:hAnsi="Arial"/>
                <w:sz w:val="18"/>
                <w:szCs w:val="18"/>
                <w:color w:val="auto"/>
              </w:rPr>
              <w:t>Interest</w:t>
            </w:r>
          </w:p>
        </w:tc>
        <w:tc>
          <w:tcPr>
            <w:tcW w:w="17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0"/>
        </w:trPr>
        <w:tc>
          <w:tcPr>
            <w:tcW w:w="1000" w:type="dxa"/>
            <w:vAlign w:val="bottom"/>
          </w:tcPr>
          <w:p>
            <w:pPr>
              <w:jc w:val="right"/>
              <w:ind w:right="550"/>
              <w:spacing w:after="0" w:line="190" w:lineRule="exact"/>
              <w:rPr>
                <w:sz w:val="20"/>
                <w:szCs w:val="20"/>
                <w:color w:val="auto"/>
              </w:rPr>
            </w:pPr>
            <w:r>
              <w:rPr>
                <w:rFonts w:ascii="Arial" w:cs="Arial" w:eastAsia="Arial" w:hAnsi="Arial"/>
                <w:sz w:val="18"/>
                <w:szCs w:val="18"/>
                <w:color w:val="auto"/>
                <w:w w:val="84"/>
              </w:rPr>
              <w:t>2.09.</w:t>
            </w:r>
          </w:p>
        </w:tc>
        <w:tc>
          <w:tcPr>
            <w:tcW w:w="34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79"/>
              </w:rPr>
              <w:t>Fees</w:t>
            </w:r>
          </w:p>
        </w:tc>
        <w:tc>
          <w:tcPr>
            <w:tcW w:w="8260" w:type="dxa"/>
            <w:vAlign w:val="bottom"/>
            <w:gridSpan w:val="2"/>
          </w:tcPr>
          <w:p>
            <w:pPr>
              <w:spacing w:after="0"/>
              <w:rPr>
                <w:sz w:val="16"/>
                <w:szCs w:val="16"/>
                <w:color w:val="auto"/>
              </w:rPr>
            </w:pPr>
          </w:p>
        </w:tc>
        <w:tc>
          <w:tcPr>
            <w:tcW w:w="1760" w:type="dxa"/>
            <w:vAlign w:val="bottom"/>
          </w:tcPr>
          <w:p>
            <w:pPr>
              <w:jc w:val="right"/>
              <w:spacing w:after="0" w:line="190"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2"/>
        </w:trPr>
        <w:tc>
          <w:tcPr>
            <w:tcW w:w="1000" w:type="dxa"/>
            <w:vAlign w:val="bottom"/>
          </w:tcPr>
          <w:p>
            <w:pPr>
              <w:jc w:val="right"/>
              <w:ind w:right="550"/>
              <w:spacing w:after="0"/>
              <w:rPr>
                <w:sz w:val="20"/>
                <w:szCs w:val="20"/>
                <w:color w:val="auto"/>
              </w:rPr>
            </w:pPr>
            <w:r>
              <w:rPr>
                <w:rFonts w:ascii="Arial" w:cs="Arial" w:eastAsia="Arial" w:hAnsi="Arial"/>
                <w:sz w:val="18"/>
                <w:szCs w:val="18"/>
                <w:color w:val="auto"/>
                <w:w w:val="84"/>
              </w:rPr>
              <w:t>2.10.</w:t>
            </w:r>
          </w:p>
        </w:tc>
        <w:tc>
          <w:tcPr>
            <w:tcW w:w="8600" w:type="dxa"/>
            <w:vAlign w:val="bottom"/>
            <w:gridSpan w:val="3"/>
          </w:tcPr>
          <w:p>
            <w:pPr>
              <w:spacing w:after="0"/>
              <w:rPr>
                <w:sz w:val="20"/>
                <w:szCs w:val="20"/>
                <w:color w:val="auto"/>
              </w:rPr>
            </w:pPr>
            <w:r>
              <w:rPr>
                <w:rFonts w:ascii="Arial" w:cs="Arial" w:eastAsia="Arial" w:hAnsi="Arial"/>
                <w:sz w:val="18"/>
                <w:szCs w:val="18"/>
                <w:color w:val="auto"/>
              </w:rPr>
              <w:t>Computation of Interest and Fees; Retroactive Adjustments of Applicable Rate</w:t>
            </w:r>
          </w:p>
        </w:tc>
        <w:tc>
          <w:tcPr>
            <w:tcW w:w="17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000" w:type="dxa"/>
            <w:vAlign w:val="bottom"/>
          </w:tcPr>
          <w:p>
            <w:pPr>
              <w:jc w:val="right"/>
              <w:ind w:right="550"/>
              <w:spacing w:after="0"/>
              <w:rPr>
                <w:sz w:val="20"/>
                <w:szCs w:val="20"/>
                <w:color w:val="auto"/>
              </w:rPr>
            </w:pPr>
            <w:r>
              <w:rPr>
                <w:rFonts w:ascii="Arial" w:cs="Arial" w:eastAsia="Arial" w:hAnsi="Arial"/>
                <w:sz w:val="18"/>
                <w:szCs w:val="18"/>
                <w:color w:val="auto"/>
                <w:w w:val="84"/>
              </w:rPr>
              <w:t>2.11.</w:t>
            </w:r>
          </w:p>
        </w:tc>
        <w:tc>
          <w:tcPr>
            <w:tcW w:w="8600" w:type="dxa"/>
            <w:vAlign w:val="bottom"/>
            <w:gridSpan w:val="3"/>
          </w:tcPr>
          <w:p>
            <w:pPr>
              <w:spacing w:after="0"/>
              <w:rPr>
                <w:sz w:val="20"/>
                <w:szCs w:val="20"/>
                <w:color w:val="auto"/>
              </w:rPr>
            </w:pPr>
            <w:r>
              <w:rPr>
                <w:rFonts w:ascii="Arial" w:cs="Arial" w:eastAsia="Arial" w:hAnsi="Arial"/>
                <w:sz w:val="18"/>
                <w:szCs w:val="18"/>
                <w:color w:val="auto"/>
              </w:rPr>
              <w:t>Evidence of Debt</w:t>
            </w:r>
          </w:p>
        </w:tc>
        <w:tc>
          <w:tcPr>
            <w:tcW w:w="17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000" w:type="dxa"/>
            <w:vAlign w:val="bottom"/>
          </w:tcPr>
          <w:p>
            <w:pPr>
              <w:jc w:val="right"/>
              <w:ind w:right="550"/>
              <w:spacing w:after="0"/>
              <w:rPr>
                <w:sz w:val="20"/>
                <w:szCs w:val="20"/>
                <w:color w:val="auto"/>
              </w:rPr>
            </w:pPr>
            <w:r>
              <w:rPr>
                <w:rFonts w:ascii="Arial" w:cs="Arial" w:eastAsia="Arial" w:hAnsi="Arial"/>
                <w:sz w:val="18"/>
                <w:szCs w:val="18"/>
                <w:color w:val="auto"/>
                <w:w w:val="84"/>
              </w:rPr>
              <w:t>2.12.</w:t>
            </w:r>
          </w:p>
        </w:tc>
        <w:tc>
          <w:tcPr>
            <w:tcW w:w="8600" w:type="dxa"/>
            <w:vAlign w:val="bottom"/>
            <w:gridSpan w:val="3"/>
          </w:tcPr>
          <w:p>
            <w:pPr>
              <w:spacing w:after="0"/>
              <w:rPr>
                <w:sz w:val="20"/>
                <w:szCs w:val="20"/>
                <w:color w:val="auto"/>
              </w:rPr>
            </w:pPr>
            <w:r>
              <w:rPr>
                <w:rFonts w:ascii="Arial" w:cs="Arial" w:eastAsia="Arial" w:hAnsi="Arial"/>
                <w:sz w:val="18"/>
                <w:szCs w:val="18"/>
                <w:color w:val="auto"/>
              </w:rPr>
              <w:t>Payments Generally; Administrative Agent’s Clawback</w:t>
            </w:r>
          </w:p>
        </w:tc>
        <w:tc>
          <w:tcPr>
            <w:tcW w:w="17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000" w:type="dxa"/>
            <w:vAlign w:val="bottom"/>
          </w:tcPr>
          <w:p>
            <w:pPr>
              <w:jc w:val="right"/>
              <w:ind w:right="550"/>
              <w:spacing w:after="0"/>
              <w:rPr>
                <w:sz w:val="20"/>
                <w:szCs w:val="20"/>
                <w:color w:val="auto"/>
              </w:rPr>
            </w:pPr>
            <w:r>
              <w:rPr>
                <w:rFonts w:ascii="Arial" w:cs="Arial" w:eastAsia="Arial" w:hAnsi="Arial"/>
                <w:sz w:val="18"/>
                <w:szCs w:val="18"/>
                <w:color w:val="auto"/>
                <w:w w:val="84"/>
              </w:rPr>
              <w:t>2.13.</w:t>
            </w:r>
          </w:p>
        </w:tc>
        <w:tc>
          <w:tcPr>
            <w:tcW w:w="8600" w:type="dxa"/>
            <w:vAlign w:val="bottom"/>
            <w:gridSpan w:val="3"/>
          </w:tcPr>
          <w:p>
            <w:pPr>
              <w:spacing w:after="0"/>
              <w:rPr>
                <w:sz w:val="20"/>
                <w:szCs w:val="20"/>
                <w:color w:val="auto"/>
              </w:rPr>
            </w:pPr>
            <w:r>
              <w:rPr>
                <w:rFonts w:ascii="Arial" w:cs="Arial" w:eastAsia="Arial" w:hAnsi="Arial"/>
                <w:sz w:val="18"/>
                <w:szCs w:val="18"/>
                <w:color w:val="auto"/>
              </w:rPr>
              <w:t>Sharing of Payments by Lenders</w:t>
            </w:r>
          </w:p>
        </w:tc>
        <w:tc>
          <w:tcPr>
            <w:tcW w:w="17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000" w:type="dxa"/>
            <w:vAlign w:val="bottom"/>
          </w:tcPr>
          <w:p>
            <w:pPr>
              <w:jc w:val="right"/>
              <w:ind w:right="550"/>
              <w:spacing w:after="0"/>
              <w:rPr>
                <w:sz w:val="20"/>
                <w:szCs w:val="20"/>
                <w:color w:val="auto"/>
              </w:rPr>
            </w:pPr>
            <w:r>
              <w:rPr>
                <w:rFonts w:ascii="Arial" w:cs="Arial" w:eastAsia="Arial" w:hAnsi="Arial"/>
                <w:sz w:val="18"/>
                <w:szCs w:val="18"/>
                <w:color w:val="auto"/>
                <w:w w:val="84"/>
              </w:rPr>
              <w:t>2.14.</w:t>
            </w:r>
          </w:p>
        </w:tc>
        <w:tc>
          <w:tcPr>
            <w:tcW w:w="8600" w:type="dxa"/>
            <w:vAlign w:val="bottom"/>
            <w:gridSpan w:val="3"/>
          </w:tcPr>
          <w:p>
            <w:pPr>
              <w:spacing w:after="0"/>
              <w:rPr>
                <w:sz w:val="20"/>
                <w:szCs w:val="20"/>
                <w:color w:val="auto"/>
              </w:rPr>
            </w:pPr>
            <w:r>
              <w:rPr>
                <w:rFonts w:ascii="Arial" w:cs="Arial" w:eastAsia="Arial" w:hAnsi="Arial"/>
                <w:sz w:val="18"/>
                <w:szCs w:val="18"/>
                <w:color w:val="auto"/>
              </w:rPr>
              <w:t>Increase in Commitments</w:t>
            </w:r>
          </w:p>
        </w:tc>
        <w:tc>
          <w:tcPr>
            <w:tcW w:w="17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1000" w:type="dxa"/>
            <w:vAlign w:val="bottom"/>
          </w:tcPr>
          <w:p>
            <w:pPr>
              <w:jc w:val="right"/>
              <w:ind w:right="550"/>
              <w:spacing w:after="0"/>
              <w:rPr>
                <w:sz w:val="20"/>
                <w:szCs w:val="20"/>
                <w:color w:val="auto"/>
              </w:rPr>
            </w:pPr>
            <w:r>
              <w:rPr>
                <w:rFonts w:ascii="Arial" w:cs="Arial" w:eastAsia="Arial" w:hAnsi="Arial"/>
                <w:sz w:val="18"/>
                <w:szCs w:val="18"/>
                <w:color w:val="auto"/>
                <w:w w:val="84"/>
              </w:rPr>
              <w:t>2.15.</w:t>
            </w:r>
          </w:p>
        </w:tc>
        <w:tc>
          <w:tcPr>
            <w:tcW w:w="8600" w:type="dxa"/>
            <w:vAlign w:val="bottom"/>
            <w:gridSpan w:val="3"/>
          </w:tcPr>
          <w:p>
            <w:pPr>
              <w:spacing w:after="0"/>
              <w:rPr>
                <w:sz w:val="20"/>
                <w:szCs w:val="20"/>
                <w:color w:val="auto"/>
              </w:rPr>
            </w:pPr>
            <w:r>
              <w:rPr>
                <w:rFonts w:ascii="Arial" w:cs="Arial" w:eastAsia="Arial" w:hAnsi="Arial"/>
                <w:sz w:val="18"/>
                <w:szCs w:val="18"/>
                <w:color w:val="auto"/>
              </w:rPr>
              <w:t>Defaulting Lenders</w:t>
            </w:r>
          </w:p>
        </w:tc>
        <w:tc>
          <w:tcPr>
            <w:tcW w:w="17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10"/>
        </w:trPr>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180" w:type="dxa"/>
            <w:vAlign w:val="bottom"/>
          </w:tcPr>
          <w:p>
            <w:pPr>
              <w:jc w:val="center"/>
              <w:ind w:left="270"/>
              <w:spacing w:after="0"/>
              <w:rPr>
                <w:sz w:val="20"/>
                <w:szCs w:val="20"/>
                <w:color w:val="auto"/>
              </w:rPr>
            </w:pPr>
            <w:r>
              <w:rPr>
                <w:rFonts w:ascii="Arial" w:cs="Arial" w:eastAsia="Arial" w:hAnsi="Arial"/>
                <w:sz w:val="18"/>
                <w:szCs w:val="18"/>
                <w:color w:val="auto"/>
              </w:rPr>
              <w:t>ARTICLE III</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180" w:type="dxa"/>
            <w:vAlign w:val="bottom"/>
          </w:tcPr>
          <w:p>
            <w:pPr>
              <w:jc w:val="center"/>
              <w:ind w:left="270"/>
              <w:spacing w:after="0"/>
              <w:rPr>
                <w:sz w:val="20"/>
                <w:szCs w:val="20"/>
                <w:color w:val="auto"/>
              </w:rPr>
            </w:pPr>
            <w:r>
              <w:rPr>
                <w:rFonts w:ascii="Arial" w:cs="Arial" w:eastAsia="Arial" w:hAnsi="Arial"/>
                <w:sz w:val="18"/>
                <w:szCs w:val="18"/>
                <w:color w:val="auto"/>
                <w:w w:val="99"/>
              </w:rPr>
              <w:t>TAXES, YIELD PROTECTION AND ILLEGALITY</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1000" w:type="dxa"/>
            <w:vAlign w:val="bottom"/>
          </w:tcPr>
          <w:p>
            <w:pPr>
              <w:jc w:val="right"/>
              <w:ind w:right="550"/>
              <w:spacing w:after="0"/>
              <w:rPr>
                <w:sz w:val="20"/>
                <w:szCs w:val="20"/>
                <w:color w:val="auto"/>
              </w:rPr>
            </w:pPr>
            <w:r>
              <w:rPr>
                <w:rFonts w:ascii="Arial" w:cs="Arial" w:eastAsia="Arial" w:hAnsi="Arial"/>
                <w:sz w:val="18"/>
                <w:szCs w:val="18"/>
                <w:color w:val="auto"/>
                <w:w w:val="84"/>
              </w:rPr>
              <w:t>3.01.</w:t>
            </w:r>
          </w:p>
        </w:tc>
        <w:tc>
          <w:tcPr>
            <w:tcW w:w="8600" w:type="dxa"/>
            <w:vAlign w:val="bottom"/>
            <w:gridSpan w:val="3"/>
          </w:tcPr>
          <w:p>
            <w:pPr>
              <w:spacing w:after="0"/>
              <w:rPr>
                <w:sz w:val="20"/>
                <w:szCs w:val="20"/>
                <w:color w:val="auto"/>
              </w:rPr>
            </w:pPr>
            <w:r>
              <w:rPr>
                <w:rFonts w:ascii="Arial" w:cs="Arial" w:eastAsia="Arial" w:hAnsi="Arial"/>
                <w:sz w:val="18"/>
                <w:szCs w:val="18"/>
                <w:color w:val="auto"/>
              </w:rPr>
              <w:t>Taxes</w:t>
            </w:r>
          </w:p>
        </w:tc>
        <w:tc>
          <w:tcPr>
            <w:tcW w:w="17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00" w:type="dxa"/>
            <w:vAlign w:val="bottom"/>
          </w:tcPr>
          <w:p>
            <w:pPr>
              <w:jc w:val="right"/>
              <w:ind w:right="550"/>
              <w:spacing w:after="0"/>
              <w:rPr>
                <w:sz w:val="20"/>
                <w:szCs w:val="20"/>
                <w:color w:val="auto"/>
              </w:rPr>
            </w:pPr>
            <w:r>
              <w:rPr>
                <w:rFonts w:ascii="Arial" w:cs="Arial" w:eastAsia="Arial" w:hAnsi="Arial"/>
                <w:sz w:val="18"/>
                <w:szCs w:val="18"/>
                <w:color w:val="auto"/>
                <w:w w:val="84"/>
              </w:rPr>
              <w:t>3.02.</w:t>
            </w:r>
          </w:p>
        </w:tc>
        <w:tc>
          <w:tcPr>
            <w:tcW w:w="8600" w:type="dxa"/>
            <w:vAlign w:val="bottom"/>
            <w:gridSpan w:val="3"/>
          </w:tcPr>
          <w:p>
            <w:pPr>
              <w:spacing w:after="0"/>
              <w:rPr>
                <w:sz w:val="20"/>
                <w:szCs w:val="20"/>
                <w:color w:val="auto"/>
              </w:rPr>
            </w:pPr>
            <w:r>
              <w:rPr>
                <w:rFonts w:ascii="Arial" w:cs="Arial" w:eastAsia="Arial" w:hAnsi="Arial"/>
                <w:sz w:val="18"/>
                <w:szCs w:val="18"/>
                <w:color w:val="auto"/>
              </w:rPr>
              <w:t>Illegality</w:t>
            </w:r>
          </w:p>
        </w:tc>
        <w:tc>
          <w:tcPr>
            <w:tcW w:w="17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000" w:type="dxa"/>
            <w:vAlign w:val="bottom"/>
          </w:tcPr>
          <w:p>
            <w:pPr>
              <w:jc w:val="right"/>
              <w:ind w:right="550"/>
              <w:spacing w:after="0"/>
              <w:rPr>
                <w:sz w:val="20"/>
                <w:szCs w:val="20"/>
                <w:color w:val="auto"/>
              </w:rPr>
            </w:pPr>
            <w:r>
              <w:rPr>
                <w:rFonts w:ascii="Arial" w:cs="Arial" w:eastAsia="Arial" w:hAnsi="Arial"/>
                <w:sz w:val="18"/>
                <w:szCs w:val="18"/>
                <w:color w:val="auto"/>
                <w:w w:val="84"/>
              </w:rPr>
              <w:t>3.03.</w:t>
            </w:r>
          </w:p>
        </w:tc>
        <w:tc>
          <w:tcPr>
            <w:tcW w:w="8600" w:type="dxa"/>
            <w:vAlign w:val="bottom"/>
            <w:gridSpan w:val="3"/>
          </w:tcPr>
          <w:p>
            <w:pPr>
              <w:spacing w:after="0"/>
              <w:rPr>
                <w:sz w:val="20"/>
                <w:szCs w:val="20"/>
                <w:color w:val="auto"/>
              </w:rPr>
            </w:pPr>
            <w:r>
              <w:rPr>
                <w:rFonts w:ascii="Arial" w:cs="Arial" w:eastAsia="Arial" w:hAnsi="Arial"/>
                <w:sz w:val="18"/>
                <w:szCs w:val="18"/>
                <w:color w:val="auto"/>
              </w:rPr>
              <w:t>Inability to Determine Rates</w:t>
            </w:r>
          </w:p>
        </w:tc>
        <w:tc>
          <w:tcPr>
            <w:tcW w:w="17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000" w:type="dxa"/>
            <w:vAlign w:val="bottom"/>
          </w:tcPr>
          <w:p>
            <w:pPr>
              <w:jc w:val="right"/>
              <w:ind w:right="550"/>
              <w:spacing w:after="0"/>
              <w:rPr>
                <w:sz w:val="20"/>
                <w:szCs w:val="20"/>
                <w:color w:val="auto"/>
              </w:rPr>
            </w:pPr>
            <w:r>
              <w:rPr>
                <w:rFonts w:ascii="Arial" w:cs="Arial" w:eastAsia="Arial" w:hAnsi="Arial"/>
                <w:sz w:val="18"/>
                <w:szCs w:val="18"/>
                <w:color w:val="auto"/>
                <w:w w:val="84"/>
              </w:rPr>
              <w:t>3.04.</w:t>
            </w:r>
          </w:p>
        </w:tc>
        <w:tc>
          <w:tcPr>
            <w:tcW w:w="8600" w:type="dxa"/>
            <w:vAlign w:val="bottom"/>
            <w:gridSpan w:val="3"/>
          </w:tcPr>
          <w:p>
            <w:pPr>
              <w:spacing w:after="0"/>
              <w:rPr>
                <w:sz w:val="20"/>
                <w:szCs w:val="20"/>
                <w:color w:val="auto"/>
              </w:rPr>
            </w:pPr>
            <w:r>
              <w:rPr>
                <w:rFonts w:ascii="Arial" w:cs="Arial" w:eastAsia="Arial" w:hAnsi="Arial"/>
                <w:sz w:val="18"/>
                <w:szCs w:val="18"/>
                <w:color w:val="auto"/>
              </w:rPr>
              <w:t>Increased Costs; Reserves on Eurodollar Rate Loans</w:t>
            </w:r>
          </w:p>
        </w:tc>
        <w:tc>
          <w:tcPr>
            <w:tcW w:w="17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000" w:type="dxa"/>
            <w:vAlign w:val="bottom"/>
          </w:tcPr>
          <w:p>
            <w:pPr>
              <w:jc w:val="right"/>
              <w:ind w:right="550"/>
              <w:spacing w:after="0"/>
              <w:rPr>
                <w:sz w:val="20"/>
                <w:szCs w:val="20"/>
                <w:color w:val="auto"/>
              </w:rPr>
            </w:pPr>
            <w:r>
              <w:rPr>
                <w:rFonts w:ascii="Arial" w:cs="Arial" w:eastAsia="Arial" w:hAnsi="Arial"/>
                <w:sz w:val="18"/>
                <w:szCs w:val="18"/>
                <w:color w:val="auto"/>
                <w:w w:val="84"/>
              </w:rPr>
              <w:t>3.05.</w:t>
            </w:r>
          </w:p>
        </w:tc>
        <w:tc>
          <w:tcPr>
            <w:tcW w:w="8600" w:type="dxa"/>
            <w:vAlign w:val="bottom"/>
            <w:gridSpan w:val="3"/>
          </w:tcPr>
          <w:p>
            <w:pPr>
              <w:spacing w:after="0"/>
              <w:rPr>
                <w:sz w:val="20"/>
                <w:szCs w:val="20"/>
                <w:color w:val="auto"/>
              </w:rPr>
            </w:pPr>
            <w:r>
              <w:rPr>
                <w:rFonts w:ascii="Arial" w:cs="Arial" w:eastAsia="Arial" w:hAnsi="Arial"/>
                <w:sz w:val="18"/>
                <w:szCs w:val="18"/>
                <w:color w:val="auto"/>
              </w:rPr>
              <w:t>Compensation for Losses</w:t>
            </w:r>
          </w:p>
        </w:tc>
        <w:tc>
          <w:tcPr>
            <w:tcW w:w="17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000" w:type="dxa"/>
            <w:vAlign w:val="bottom"/>
          </w:tcPr>
          <w:p>
            <w:pPr>
              <w:jc w:val="right"/>
              <w:ind w:right="550"/>
              <w:spacing w:after="0"/>
              <w:rPr>
                <w:sz w:val="20"/>
                <w:szCs w:val="20"/>
                <w:color w:val="auto"/>
              </w:rPr>
            </w:pPr>
            <w:r>
              <w:rPr>
                <w:rFonts w:ascii="Arial" w:cs="Arial" w:eastAsia="Arial" w:hAnsi="Arial"/>
                <w:sz w:val="18"/>
                <w:szCs w:val="18"/>
                <w:color w:val="auto"/>
                <w:w w:val="84"/>
              </w:rPr>
              <w:t>3.06.</w:t>
            </w:r>
          </w:p>
        </w:tc>
        <w:tc>
          <w:tcPr>
            <w:tcW w:w="8600" w:type="dxa"/>
            <w:vAlign w:val="bottom"/>
            <w:gridSpan w:val="3"/>
          </w:tcPr>
          <w:p>
            <w:pPr>
              <w:spacing w:after="0"/>
              <w:rPr>
                <w:sz w:val="20"/>
                <w:szCs w:val="20"/>
                <w:color w:val="auto"/>
              </w:rPr>
            </w:pPr>
            <w:r>
              <w:rPr>
                <w:rFonts w:ascii="Arial" w:cs="Arial" w:eastAsia="Arial" w:hAnsi="Arial"/>
                <w:sz w:val="18"/>
                <w:szCs w:val="18"/>
                <w:color w:val="auto"/>
              </w:rPr>
              <w:t>Mitigation Obligations; Replacement of Lenders</w:t>
            </w:r>
          </w:p>
        </w:tc>
        <w:tc>
          <w:tcPr>
            <w:tcW w:w="17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1000" w:type="dxa"/>
            <w:vAlign w:val="bottom"/>
          </w:tcPr>
          <w:p>
            <w:pPr>
              <w:jc w:val="right"/>
              <w:ind w:right="550"/>
              <w:spacing w:after="0"/>
              <w:rPr>
                <w:sz w:val="20"/>
                <w:szCs w:val="20"/>
                <w:color w:val="auto"/>
              </w:rPr>
            </w:pPr>
            <w:r>
              <w:rPr>
                <w:rFonts w:ascii="Arial" w:cs="Arial" w:eastAsia="Arial" w:hAnsi="Arial"/>
                <w:sz w:val="18"/>
                <w:szCs w:val="18"/>
                <w:color w:val="auto"/>
                <w:w w:val="84"/>
              </w:rPr>
              <w:t>3.07.</w:t>
            </w:r>
          </w:p>
        </w:tc>
        <w:tc>
          <w:tcPr>
            <w:tcW w:w="8600" w:type="dxa"/>
            <w:vAlign w:val="bottom"/>
            <w:gridSpan w:val="3"/>
          </w:tcPr>
          <w:p>
            <w:pPr>
              <w:spacing w:after="0"/>
              <w:rPr>
                <w:sz w:val="20"/>
                <w:szCs w:val="20"/>
                <w:color w:val="auto"/>
              </w:rPr>
            </w:pPr>
            <w:r>
              <w:rPr>
                <w:rFonts w:ascii="Arial" w:cs="Arial" w:eastAsia="Arial" w:hAnsi="Arial"/>
                <w:sz w:val="18"/>
                <w:szCs w:val="18"/>
                <w:color w:val="auto"/>
              </w:rPr>
              <w:t>Survival</w:t>
            </w:r>
          </w:p>
        </w:tc>
        <w:tc>
          <w:tcPr>
            <w:tcW w:w="17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10"/>
        </w:trPr>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180" w:type="dxa"/>
            <w:vAlign w:val="bottom"/>
          </w:tcPr>
          <w:p>
            <w:pPr>
              <w:jc w:val="center"/>
              <w:ind w:left="270"/>
              <w:spacing w:after="0"/>
              <w:rPr>
                <w:sz w:val="20"/>
                <w:szCs w:val="20"/>
                <w:color w:val="auto"/>
              </w:rPr>
            </w:pPr>
            <w:r>
              <w:rPr>
                <w:rFonts w:ascii="Arial" w:cs="Arial" w:eastAsia="Arial" w:hAnsi="Arial"/>
                <w:sz w:val="18"/>
                <w:szCs w:val="18"/>
                <w:color w:val="auto"/>
                <w:w w:val="99"/>
              </w:rPr>
              <w:t>ARTICLE IV</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180" w:type="dxa"/>
            <w:vAlign w:val="bottom"/>
          </w:tcPr>
          <w:p>
            <w:pPr>
              <w:jc w:val="center"/>
              <w:ind w:left="250"/>
              <w:spacing w:after="0"/>
              <w:rPr>
                <w:sz w:val="20"/>
                <w:szCs w:val="20"/>
                <w:color w:val="auto"/>
              </w:rPr>
            </w:pPr>
            <w:r>
              <w:rPr>
                <w:rFonts w:ascii="Arial" w:cs="Arial" w:eastAsia="Arial" w:hAnsi="Arial"/>
                <w:sz w:val="18"/>
                <w:szCs w:val="18"/>
                <w:color w:val="auto"/>
                <w:w w:val="96"/>
              </w:rPr>
              <w:t>CONDITIONS PRECEDENT TO CLOSING AND BORROWING</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000" w:type="dxa"/>
            <w:vAlign w:val="bottom"/>
          </w:tcPr>
          <w:p>
            <w:pPr>
              <w:jc w:val="right"/>
              <w:ind w:right="550"/>
              <w:spacing w:after="0"/>
              <w:rPr>
                <w:sz w:val="20"/>
                <w:szCs w:val="20"/>
                <w:color w:val="auto"/>
              </w:rPr>
            </w:pPr>
            <w:r>
              <w:rPr>
                <w:rFonts w:ascii="Arial" w:cs="Arial" w:eastAsia="Arial" w:hAnsi="Arial"/>
                <w:sz w:val="18"/>
                <w:szCs w:val="18"/>
                <w:color w:val="auto"/>
                <w:w w:val="84"/>
              </w:rPr>
              <w:t>4.01.</w:t>
            </w:r>
          </w:p>
        </w:tc>
        <w:tc>
          <w:tcPr>
            <w:tcW w:w="8600" w:type="dxa"/>
            <w:vAlign w:val="bottom"/>
            <w:gridSpan w:val="3"/>
          </w:tcPr>
          <w:p>
            <w:pPr>
              <w:spacing w:after="0"/>
              <w:rPr>
                <w:sz w:val="20"/>
                <w:szCs w:val="20"/>
                <w:color w:val="auto"/>
              </w:rPr>
            </w:pPr>
            <w:r>
              <w:rPr>
                <w:rFonts w:ascii="Arial" w:cs="Arial" w:eastAsia="Arial" w:hAnsi="Arial"/>
                <w:sz w:val="18"/>
                <w:szCs w:val="18"/>
                <w:color w:val="auto"/>
              </w:rPr>
              <w:t>Conditions of Closing and Initial Borrowing</w:t>
            </w:r>
          </w:p>
        </w:tc>
        <w:tc>
          <w:tcPr>
            <w:tcW w:w="17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1000" w:type="dxa"/>
            <w:vAlign w:val="bottom"/>
          </w:tcPr>
          <w:p>
            <w:pPr>
              <w:jc w:val="right"/>
              <w:ind w:right="550"/>
              <w:spacing w:after="0"/>
              <w:rPr>
                <w:sz w:val="20"/>
                <w:szCs w:val="20"/>
                <w:color w:val="auto"/>
              </w:rPr>
            </w:pPr>
            <w:r>
              <w:rPr>
                <w:rFonts w:ascii="Arial" w:cs="Arial" w:eastAsia="Arial" w:hAnsi="Arial"/>
                <w:sz w:val="18"/>
                <w:szCs w:val="18"/>
                <w:color w:val="auto"/>
                <w:w w:val="84"/>
              </w:rPr>
              <w:t>4.02.</w:t>
            </w:r>
          </w:p>
        </w:tc>
        <w:tc>
          <w:tcPr>
            <w:tcW w:w="8600" w:type="dxa"/>
            <w:vAlign w:val="bottom"/>
            <w:gridSpan w:val="3"/>
          </w:tcPr>
          <w:p>
            <w:pPr>
              <w:spacing w:after="0"/>
              <w:rPr>
                <w:sz w:val="20"/>
                <w:szCs w:val="20"/>
                <w:color w:val="auto"/>
              </w:rPr>
            </w:pPr>
            <w:r>
              <w:rPr>
                <w:rFonts w:ascii="Arial" w:cs="Arial" w:eastAsia="Arial" w:hAnsi="Arial"/>
                <w:sz w:val="18"/>
                <w:szCs w:val="18"/>
                <w:color w:val="auto"/>
              </w:rPr>
              <w:t>[Reserved]</w:t>
            </w:r>
          </w:p>
        </w:tc>
        <w:tc>
          <w:tcPr>
            <w:tcW w:w="17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270" w:right="29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86"/>
        </w:trPr>
        <w:tc>
          <w:tcPr>
            <w:tcW w:w="680" w:type="dxa"/>
            <w:vAlign w:val="bottom"/>
          </w:tcPr>
          <w:p>
            <w:pPr>
              <w:spacing w:after="0"/>
              <w:rPr>
                <w:sz w:val="16"/>
                <w:szCs w:val="16"/>
                <w:color w:val="auto"/>
              </w:rPr>
            </w:pPr>
          </w:p>
        </w:tc>
        <w:tc>
          <w:tcPr>
            <w:tcW w:w="8560" w:type="dxa"/>
            <w:vAlign w:val="bottom"/>
            <w:vMerge w:val="restart"/>
          </w:tcPr>
          <w:p>
            <w:pPr>
              <w:jc w:val="center"/>
              <w:ind w:left="1430"/>
              <w:spacing w:after="0"/>
              <w:rPr>
                <w:sz w:val="20"/>
                <w:szCs w:val="20"/>
                <w:color w:val="auto"/>
              </w:rPr>
            </w:pPr>
            <w:r>
              <w:rPr>
                <w:rFonts w:ascii="Arial" w:cs="Arial" w:eastAsia="Arial" w:hAnsi="Arial"/>
                <w:sz w:val="18"/>
                <w:szCs w:val="18"/>
                <w:color w:val="auto"/>
                <w:w w:val="98"/>
              </w:rPr>
              <w:t>ARTICLE V</w:t>
            </w:r>
          </w:p>
        </w:tc>
        <w:tc>
          <w:tcPr>
            <w:tcW w:w="2180" w:type="dxa"/>
            <w:vAlign w:val="bottom"/>
          </w:tcPr>
          <w:p>
            <w:pPr>
              <w:ind w:left="188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87"/>
        </w:trPr>
        <w:tc>
          <w:tcPr>
            <w:tcW w:w="680" w:type="dxa"/>
            <w:vAlign w:val="bottom"/>
          </w:tcPr>
          <w:p>
            <w:pPr>
              <w:spacing w:after="0"/>
              <w:rPr>
                <w:sz w:val="16"/>
                <w:szCs w:val="16"/>
                <w:color w:val="auto"/>
              </w:rPr>
            </w:pPr>
          </w:p>
        </w:tc>
        <w:tc>
          <w:tcPr>
            <w:tcW w:w="8560" w:type="dxa"/>
            <w:vAlign w:val="bottom"/>
            <w:vMerge w:val="continue"/>
          </w:tcPr>
          <w:p>
            <w:pPr>
              <w:spacing w:after="0"/>
              <w:rPr>
                <w:sz w:val="16"/>
                <w:szCs w:val="16"/>
                <w:color w:val="auto"/>
              </w:rPr>
            </w:pP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8560" w:type="dxa"/>
            <w:vAlign w:val="bottom"/>
          </w:tcPr>
          <w:p>
            <w:pPr>
              <w:jc w:val="center"/>
              <w:ind w:left="1430"/>
              <w:spacing w:after="0"/>
              <w:rPr>
                <w:sz w:val="20"/>
                <w:szCs w:val="20"/>
                <w:color w:val="auto"/>
              </w:rPr>
            </w:pPr>
            <w:r>
              <w:rPr>
                <w:rFonts w:ascii="Arial" w:cs="Arial" w:eastAsia="Arial" w:hAnsi="Arial"/>
                <w:sz w:val="18"/>
                <w:szCs w:val="18"/>
                <w:color w:val="auto"/>
                <w:w w:val="95"/>
              </w:rPr>
              <w:t>REPRESENTATIONS AND WARRANTIES</w:t>
            </w: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5.01.</w:t>
            </w:r>
          </w:p>
        </w:tc>
        <w:tc>
          <w:tcPr>
            <w:tcW w:w="8560" w:type="dxa"/>
            <w:vAlign w:val="bottom"/>
          </w:tcPr>
          <w:p>
            <w:pPr>
              <w:ind w:left="320"/>
              <w:spacing w:after="0"/>
              <w:rPr>
                <w:sz w:val="20"/>
                <w:szCs w:val="20"/>
                <w:color w:val="auto"/>
              </w:rPr>
            </w:pPr>
            <w:r>
              <w:rPr>
                <w:rFonts w:ascii="Arial" w:cs="Arial" w:eastAsia="Arial" w:hAnsi="Arial"/>
                <w:sz w:val="18"/>
                <w:szCs w:val="18"/>
                <w:color w:val="auto"/>
              </w:rPr>
              <w:t>Corporate Existence; Subsidiaries; Foreign Qualification</w:t>
            </w:r>
          </w:p>
        </w:tc>
        <w:tc>
          <w:tcPr>
            <w:tcW w:w="2180" w:type="dxa"/>
            <w:vAlign w:val="bottom"/>
          </w:tcPr>
          <w:p>
            <w:pPr>
              <w:ind w:left="188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5.02.</w:t>
            </w:r>
          </w:p>
        </w:tc>
        <w:tc>
          <w:tcPr>
            <w:tcW w:w="8560" w:type="dxa"/>
            <w:vAlign w:val="bottom"/>
          </w:tcPr>
          <w:p>
            <w:pPr>
              <w:ind w:left="320"/>
              <w:spacing w:after="0"/>
              <w:rPr>
                <w:sz w:val="20"/>
                <w:szCs w:val="20"/>
                <w:color w:val="auto"/>
              </w:rPr>
            </w:pPr>
            <w:r>
              <w:rPr>
                <w:rFonts w:ascii="Arial" w:cs="Arial" w:eastAsia="Arial" w:hAnsi="Arial"/>
                <w:sz w:val="18"/>
                <w:szCs w:val="18"/>
                <w:color w:val="auto"/>
              </w:rPr>
              <w:t>Corporate Authority</w:t>
            </w:r>
          </w:p>
        </w:tc>
        <w:tc>
          <w:tcPr>
            <w:tcW w:w="2180" w:type="dxa"/>
            <w:vAlign w:val="bottom"/>
          </w:tcPr>
          <w:p>
            <w:pPr>
              <w:ind w:left="188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5.03.</w:t>
            </w:r>
          </w:p>
        </w:tc>
        <w:tc>
          <w:tcPr>
            <w:tcW w:w="8560" w:type="dxa"/>
            <w:vAlign w:val="bottom"/>
          </w:tcPr>
          <w:p>
            <w:pPr>
              <w:ind w:left="320"/>
              <w:spacing w:after="0"/>
              <w:rPr>
                <w:sz w:val="20"/>
                <w:szCs w:val="20"/>
                <w:color w:val="auto"/>
              </w:rPr>
            </w:pPr>
            <w:r>
              <w:rPr>
                <w:rFonts w:ascii="Arial" w:cs="Arial" w:eastAsia="Arial" w:hAnsi="Arial"/>
                <w:sz w:val="18"/>
                <w:szCs w:val="18"/>
                <w:color w:val="auto"/>
              </w:rPr>
              <w:t>Governmental Authorization; Other Consents</w:t>
            </w:r>
          </w:p>
        </w:tc>
        <w:tc>
          <w:tcPr>
            <w:tcW w:w="2180" w:type="dxa"/>
            <w:vAlign w:val="bottom"/>
          </w:tcPr>
          <w:p>
            <w:pPr>
              <w:ind w:left="188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5.04.</w:t>
            </w:r>
          </w:p>
        </w:tc>
        <w:tc>
          <w:tcPr>
            <w:tcW w:w="8560" w:type="dxa"/>
            <w:vAlign w:val="bottom"/>
          </w:tcPr>
          <w:p>
            <w:pPr>
              <w:ind w:left="320"/>
              <w:spacing w:after="0"/>
              <w:rPr>
                <w:sz w:val="20"/>
                <w:szCs w:val="20"/>
                <w:color w:val="auto"/>
              </w:rPr>
            </w:pPr>
            <w:r>
              <w:rPr>
                <w:rFonts w:ascii="Arial" w:cs="Arial" w:eastAsia="Arial" w:hAnsi="Arial"/>
                <w:sz w:val="18"/>
                <w:szCs w:val="18"/>
                <w:color w:val="auto"/>
              </w:rPr>
              <w:t>Litigation and Administrative Proceedings</w:t>
            </w:r>
          </w:p>
        </w:tc>
        <w:tc>
          <w:tcPr>
            <w:tcW w:w="2180" w:type="dxa"/>
            <w:vAlign w:val="bottom"/>
          </w:tcPr>
          <w:p>
            <w:pPr>
              <w:ind w:left="188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5.05.</w:t>
            </w:r>
          </w:p>
        </w:tc>
        <w:tc>
          <w:tcPr>
            <w:tcW w:w="8560" w:type="dxa"/>
            <w:vAlign w:val="bottom"/>
          </w:tcPr>
          <w:p>
            <w:pPr>
              <w:ind w:left="320"/>
              <w:spacing w:after="0"/>
              <w:rPr>
                <w:sz w:val="20"/>
                <w:szCs w:val="20"/>
                <w:color w:val="auto"/>
              </w:rPr>
            </w:pPr>
            <w:r>
              <w:rPr>
                <w:rFonts w:ascii="Arial" w:cs="Arial" w:eastAsia="Arial" w:hAnsi="Arial"/>
                <w:sz w:val="18"/>
                <w:szCs w:val="18"/>
                <w:color w:val="auto"/>
              </w:rPr>
              <w:t>Title to Assets</w:t>
            </w:r>
          </w:p>
        </w:tc>
        <w:tc>
          <w:tcPr>
            <w:tcW w:w="2180" w:type="dxa"/>
            <w:vAlign w:val="bottom"/>
          </w:tcPr>
          <w:p>
            <w:pPr>
              <w:ind w:left="188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5.06.</w:t>
            </w:r>
          </w:p>
        </w:tc>
        <w:tc>
          <w:tcPr>
            <w:tcW w:w="8560" w:type="dxa"/>
            <w:vAlign w:val="bottom"/>
          </w:tcPr>
          <w:p>
            <w:pPr>
              <w:ind w:left="320"/>
              <w:spacing w:after="0"/>
              <w:rPr>
                <w:sz w:val="20"/>
                <w:szCs w:val="20"/>
                <w:color w:val="auto"/>
              </w:rPr>
            </w:pPr>
            <w:r>
              <w:rPr>
                <w:rFonts w:ascii="Arial" w:cs="Arial" w:eastAsia="Arial" w:hAnsi="Arial"/>
                <w:sz w:val="18"/>
                <w:szCs w:val="18"/>
                <w:color w:val="auto"/>
              </w:rPr>
              <w:t>Liens and Security Interests</w:t>
            </w:r>
          </w:p>
        </w:tc>
        <w:tc>
          <w:tcPr>
            <w:tcW w:w="2180" w:type="dxa"/>
            <w:vAlign w:val="bottom"/>
          </w:tcPr>
          <w:p>
            <w:pPr>
              <w:ind w:left="188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5.07.</w:t>
            </w:r>
          </w:p>
        </w:tc>
        <w:tc>
          <w:tcPr>
            <w:tcW w:w="8560" w:type="dxa"/>
            <w:vAlign w:val="bottom"/>
          </w:tcPr>
          <w:p>
            <w:pPr>
              <w:ind w:left="320"/>
              <w:spacing w:after="0"/>
              <w:rPr>
                <w:sz w:val="20"/>
                <w:szCs w:val="20"/>
                <w:color w:val="auto"/>
              </w:rPr>
            </w:pPr>
            <w:r>
              <w:rPr>
                <w:rFonts w:ascii="Arial" w:cs="Arial" w:eastAsia="Arial" w:hAnsi="Arial"/>
                <w:sz w:val="18"/>
                <w:szCs w:val="18"/>
                <w:color w:val="auto"/>
              </w:rPr>
              <w:t>Tax Returns</w:t>
            </w:r>
          </w:p>
        </w:tc>
        <w:tc>
          <w:tcPr>
            <w:tcW w:w="2180" w:type="dxa"/>
            <w:vAlign w:val="bottom"/>
          </w:tcPr>
          <w:p>
            <w:pPr>
              <w:ind w:left="188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5.08.</w:t>
            </w:r>
          </w:p>
        </w:tc>
        <w:tc>
          <w:tcPr>
            <w:tcW w:w="8560" w:type="dxa"/>
            <w:vAlign w:val="bottom"/>
          </w:tcPr>
          <w:p>
            <w:pPr>
              <w:ind w:left="320"/>
              <w:spacing w:after="0"/>
              <w:rPr>
                <w:sz w:val="20"/>
                <w:szCs w:val="20"/>
                <w:color w:val="auto"/>
              </w:rPr>
            </w:pPr>
            <w:r>
              <w:rPr>
                <w:rFonts w:ascii="Arial" w:cs="Arial" w:eastAsia="Arial" w:hAnsi="Arial"/>
                <w:sz w:val="18"/>
                <w:szCs w:val="18"/>
                <w:color w:val="auto"/>
              </w:rPr>
              <w:t>Environmental Laws</w:t>
            </w:r>
          </w:p>
        </w:tc>
        <w:tc>
          <w:tcPr>
            <w:tcW w:w="2180" w:type="dxa"/>
            <w:vAlign w:val="bottom"/>
          </w:tcPr>
          <w:p>
            <w:pPr>
              <w:ind w:left="188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5.09.</w:t>
            </w:r>
          </w:p>
        </w:tc>
        <w:tc>
          <w:tcPr>
            <w:tcW w:w="8560" w:type="dxa"/>
            <w:vAlign w:val="bottom"/>
          </w:tcPr>
          <w:p>
            <w:pPr>
              <w:ind w:left="320"/>
              <w:spacing w:after="0"/>
              <w:rPr>
                <w:sz w:val="20"/>
                <w:szCs w:val="20"/>
                <w:color w:val="auto"/>
              </w:rPr>
            </w:pPr>
            <w:r>
              <w:rPr>
                <w:rFonts w:ascii="Arial" w:cs="Arial" w:eastAsia="Arial" w:hAnsi="Arial"/>
                <w:sz w:val="18"/>
                <w:szCs w:val="18"/>
                <w:color w:val="auto"/>
              </w:rPr>
              <w:t>Locations</w:t>
            </w:r>
          </w:p>
        </w:tc>
        <w:tc>
          <w:tcPr>
            <w:tcW w:w="2180" w:type="dxa"/>
            <w:vAlign w:val="bottom"/>
          </w:tcPr>
          <w:p>
            <w:pPr>
              <w:ind w:left="188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5.10.</w:t>
            </w:r>
          </w:p>
        </w:tc>
        <w:tc>
          <w:tcPr>
            <w:tcW w:w="8560" w:type="dxa"/>
            <w:vAlign w:val="bottom"/>
          </w:tcPr>
          <w:p>
            <w:pPr>
              <w:ind w:left="320"/>
              <w:spacing w:after="0"/>
              <w:rPr>
                <w:sz w:val="20"/>
                <w:szCs w:val="20"/>
                <w:color w:val="auto"/>
              </w:rPr>
            </w:pPr>
            <w:r>
              <w:rPr>
                <w:rFonts w:ascii="Arial" w:cs="Arial" w:eastAsia="Arial" w:hAnsi="Arial"/>
                <w:sz w:val="18"/>
                <w:szCs w:val="18"/>
                <w:color w:val="auto"/>
              </w:rPr>
              <w:t>Continued Business</w:t>
            </w:r>
          </w:p>
        </w:tc>
        <w:tc>
          <w:tcPr>
            <w:tcW w:w="2180" w:type="dxa"/>
            <w:vAlign w:val="bottom"/>
          </w:tcPr>
          <w:p>
            <w:pPr>
              <w:ind w:left="188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5.11.</w:t>
            </w:r>
          </w:p>
        </w:tc>
        <w:tc>
          <w:tcPr>
            <w:tcW w:w="8560" w:type="dxa"/>
            <w:vAlign w:val="bottom"/>
          </w:tcPr>
          <w:p>
            <w:pPr>
              <w:ind w:left="320"/>
              <w:spacing w:after="0"/>
              <w:rPr>
                <w:sz w:val="20"/>
                <w:szCs w:val="20"/>
                <w:color w:val="auto"/>
              </w:rPr>
            </w:pPr>
            <w:r>
              <w:rPr>
                <w:rFonts w:ascii="Arial" w:cs="Arial" w:eastAsia="Arial" w:hAnsi="Arial"/>
                <w:sz w:val="18"/>
                <w:szCs w:val="18"/>
                <w:color w:val="auto"/>
              </w:rPr>
              <w:t>Employee Benefits Plans</w:t>
            </w:r>
          </w:p>
        </w:tc>
        <w:tc>
          <w:tcPr>
            <w:tcW w:w="2180" w:type="dxa"/>
            <w:vAlign w:val="bottom"/>
          </w:tcPr>
          <w:p>
            <w:pPr>
              <w:ind w:left="188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5.12.</w:t>
            </w:r>
          </w:p>
        </w:tc>
        <w:tc>
          <w:tcPr>
            <w:tcW w:w="8560" w:type="dxa"/>
            <w:vAlign w:val="bottom"/>
          </w:tcPr>
          <w:p>
            <w:pPr>
              <w:ind w:left="320"/>
              <w:spacing w:after="0"/>
              <w:rPr>
                <w:sz w:val="20"/>
                <w:szCs w:val="20"/>
                <w:color w:val="auto"/>
              </w:rPr>
            </w:pPr>
            <w:r>
              <w:rPr>
                <w:rFonts w:ascii="Arial" w:cs="Arial" w:eastAsia="Arial" w:hAnsi="Arial"/>
                <w:sz w:val="18"/>
                <w:szCs w:val="18"/>
                <w:color w:val="auto"/>
              </w:rPr>
              <w:t>Consents or Approvals</w:t>
            </w:r>
          </w:p>
        </w:tc>
        <w:tc>
          <w:tcPr>
            <w:tcW w:w="2180" w:type="dxa"/>
            <w:vAlign w:val="bottom"/>
          </w:tcPr>
          <w:p>
            <w:pPr>
              <w:ind w:left="188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5.13.</w:t>
            </w:r>
          </w:p>
        </w:tc>
        <w:tc>
          <w:tcPr>
            <w:tcW w:w="8560" w:type="dxa"/>
            <w:vAlign w:val="bottom"/>
          </w:tcPr>
          <w:p>
            <w:pPr>
              <w:ind w:left="320"/>
              <w:spacing w:after="0"/>
              <w:rPr>
                <w:sz w:val="20"/>
                <w:szCs w:val="20"/>
                <w:color w:val="auto"/>
              </w:rPr>
            </w:pPr>
            <w:r>
              <w:rPr>
                <w:rFonts w:ascii="Arial" w:cs="Arial" w:eastAsia="Arial" w:hAnsi="Arial"/>
                <w:sz w:val="18"/>
                <w:szCs w:val="18"/>
                <w:color w:val="auto"/>
              </w:rPr>
              <w:t>Solvency</w:t>
            </w:r>
          </w:p>
        </w:tc>
        <w:tc>
          <w:tcPr>
            <w:tcW w:w="2180" w:type="dxa"/>
            <w:vAlign w:val="bottom"/>
          </w:tcPr>
          <w:p>
            <w:pPr>
              <w:ind w:left="188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5.14.</w:t>
            </w:r>
          </w:p>
        </w:tc>
        <w:tc>
          <w:tcPr>
            <w:tcW w:w="8560" w:type="dxa"/>
            <w:vAlign w:val="bottom"/>
          </w:tcPr>
          <w:p>
            <w:pPr>
              <w:ind w:left="320"/>
              <w:spacing w:after="0"/>
              <w:rPr>
                <w:sz w:val="20"/>
                <w:szCs w:val="20"/>
                <w:color w:val="auto"/>
              </w:rPr>
            </w:pPr>
            <w:r>
              <w:rPr>
                <w:rFonts w:ascii="Arial" w:cs="Arial" w:eastAsia="Arial" w:hAnsi="Arial"/>
                <w:sz w:val="18"/>
                <w:szCs w:val="18"/>
                <w:color w:val="auto"/>
              </w:rPr>
              <w:t>Financial Statements; No Material Adverse Effect</w:t>
            </w:r>
          </w:p>
        </w:tc>
        <w:tc>
          <w:tcPr>
            <w:tcW w:w="2180" w:type="dxa"/>
            <w:vAlign w:val="bottom"/>
          </w:tcPr>
          <w:p>
            <w:pPr>
              <w:ind w:left="188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5.15.</w:t>
            </w:r>
          </w:p>
        </w:tc>
        <w:tc>
          <w:tcPr>
            <w:tcW w:w="8560" w:type="dxa"/>
            <w:vAlign w:val="bottom"/>
          </w:tcPr>
          <w:p>
            <w:pPr>
              <w:ind w:left="320"/>
              <w:spacing w:after="0"/>
              <w:rPr>
                <w:sz w:val="20"/>
                <w:szCs w:val="20"/>
                <w:color w:val="auto"/>
              </w:rPr>
            </w:pPr>
            <w:r>
              <w:rPr>
                <w:rFonts w:ascii="Arial" w:cs="Arial" w:eastAsia="Arial" w:hAnsi="Arial"/>
                <w:sz w:val="18"/>
                <w:szCs w:val="18"/>
                <w:color w:val="auto"/>
              </w:rPr>
              <w:t>Regulations</w:t>
            </w:r>
          </w:p>
        </w:tc>
        <w:tc>
          <w:tcPr>
            <w:tcW w:w="2180" w:type="dxa"/>
            <w:vAlign w:val="bottom"/>
          </w:tcPr>
          <w:p>
            <w:pPr>
              <w:ind w:left="188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5.16.</w:t>
            </w:r>
          </w:p>
        </w:tc>
        <w:tc>
          <w:tcPr>
            <w:tcW w:w="8560" w:type="dxa"/>
            <w:vAlign w:val="bottom"/>
          </w:tcPr>
          <w:p>
            <w:pPr>
              <w:ind w:left="320"/>
              <w:spacing w:after="0"/>
              <w:rPr>
                <w:sz w:val="20"/>
                <w:szCs w:val="20"/>
                <w:color w:val="auto"/>
              </w:rPr>
            </w:pPr>
            <w:r>
              <w:rPr>
                <w:rFonts w:ascii="Arial" w:cs="Arial" w:eastAsia="Arial" w:hAnsi="Arial"/>
                <w:sz w:val="18"/>
                <w:szCs w:val="18"/>
                <w:color w:val="auto"/>
              </w:rPr>
              <w:t>Material Agreements</w:t>
            </w:r>
          </w:p>
        </w:tc>
        <w:tc>
          <w:tcPr>
            <w:tcW w:w="2180" w:type="dxa"/>
            <w:vAlign w:val="bottom"/>
          </w:tcPr>
          <w:p>
            <w:pPr>
              <w:ind w:left="188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5.17.</w:t>
            </w:r>
          </w:p>
        </w:tc>
        <w:tc>
          <w:tcPr>
            <w:tcW w:w="8560" w:type="dxa"/>
            <w:vAlign w:val="bottom"/>
          </w:tcPr>
          <w:p>
            <w:pPr>
              <w:ind w:left="320"/>
              <w:spacing w:after="0"/>
              <w:rPr>
                <w:sz w:val="20"/>
                <w:szCs w:val="20"/>
                <w:color w:val="auto"/>
              </w:rPr>
            </w:pPr>
            <w:r>
              <w:rPr>
                <w:rFonts w:ascii="Arial" w:cs="Arial" w:eastAsia="Arial" w:hAnsi="Arial"/>
                <w:sz w:val="18"/>
                <w:szCs w:val="18"/>
                <w:color w:val="auto"/>
              </w:rPr>
              <w:t>Intellectual Property</w:t>
            </w:r>
          </w:p>
        </w:tc>
        <w:tc>
          <w:tcPr>
            <w:tcW w:w="2180" w:type="dxa"/>
            <w:vAlign w:val="bottom"/>
          </w:tcPr>
          <w:p>
            <w:pPr>
              <w:ind w:left="188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5.18.</w:t>
            </w:r>
          </w:p>
        </w:tc>
        <w:tc>
          <w:tcPr>
            <w:tcW w:w="8560" w:type="dxa"/>
            <w:vAlign w:val="bottom"/>
          </w:tcPr>
          <w:p>
            <w:pPr>
              <w:ind w:left="320"/>
              <w:spacing w:after="0"/>
              <w:rPr>
                <w:sz w:val="20"/>
                <w:szCs w:val="20"/>
                <w:color w:val="auto"/>
              </w:rPr>
            </w:pPr>
            <w:r>
              <w:rPr>
                <w:rFonts w:ascii="Arial" w:cs="Arial" w:eastAsia="Arial" w:hAnsi="Arial"/>
                <w:sz w:val="18"/>
                <w:szCs w:val="18"/>
                <w:color w:val="auto"/>
              </w:rPr>
              <w:t>Insurance</w:t>
            </w:r>
          </w:p>
        </w:tc>
        <w:tc>
          <w:tcPr>
            <w:tcW w:w="2180" w:type="dxa"/>
            <w:vAlign w:val="bottom"/>
          </w:tcPr>
          <w:p>
            <w:pPr>
              <w:ind w:left="188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5.19.</w:t>
            </w:r>
          </w:p>
        </w:tc>
        <w:tc>
          <w:tcPr>
            <w:tcW w:w="8560" w:type="dxa"/>
            <w:vAlign w:val="bottom"/>
          </w:tcPr>
          <w:p>
            <w:pPr>
              <w:ind w:left="320"/>
              <w:spacing w:after="0"/>
              <w:rPr>
                <w:sz w:val="20"/>
                <w:szCs w:val="20"/>
                <w:color w:val="auto"/>
              </w:rPr>
            </w:pPr>
            <w:r>
              <w:rPr>
                <w:rFonts w:ascii="Arial" w:cs="Arial" w:eastAsia="Arial" w:hAnsi="Arial"/>
                <w:sz w:val="18"/>
                <w:szCs w:val="18"/>
                <w:color w:val="auto"/>
              </w:rPr>
              <w:t>Casualty, Etc.</w:t>
            </w:r>
          </w:p>
        </w:tc>
        <w:tc>
          <w:tcPr>
            <w:tcW w:w="2180" w:type="dxa"/>
            <w:vAlign w:val="bottom"/>
          </w:tcPr>
          <w:p>
            <w:pPr>
              <w:ind w:left="188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5.20.</w:t>
            </w:r>
          </w:p>
        </w:tc>
        <w:tc>
          <w:tcPr>
            <w:tcW w:w="8560" w:type="dxa"/>
            <w:vAlign w:val="bottom"/>
          </w:tcPr>
          <w:p>
            <w:pPr>
              <w:ind w:left="320"/>
              <w:spacing w:after="0"/>
              <w:rPr>
                <w:sz w:val="20"/>
                <w:szCs w:val="20"/>
                <w:color w:val="auto"/>
              </w:rPr>
            </w:pPr>
            <w:r>
              <w:rPr>
                <w:rFonts w:ascii="Arial" w:cs="Arial" w:eastAsia="Arial" w:hAnsi="Arial"/>
                <w:sz w:val="18"/>
                <w:szCs w:val="18"/>
                <w:color w:val="auto"/>
              </w:rPr>
              <w:t>Labor Matters</w:t>
            </w:r>
          </w:p>
        </w:tc>
        <w:tc>
          <w:tcPr>
            <w:tcW w:w="2180" w:type="dxa"/>
            <w:vAlign w:val="bottom"/>
          </w:tcPr>
          <w:p>
            <w:pPr>
              <w:ind w:left="188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5.21.</w:t>
            </w:r>
          </w:p>
        </w:tc>
        <w:tc>
          <w:tcPr>
            <w:tcW w:w="8560" w:type="dxa"/>
            <w:vAlign w:val="bottom"/>
          </w:tcPr>
          <w:p>
            <w:pPr>
              <w:ind w:left="320"/>
              <w:spacing w:after="0"/>
              <w:rPr>
                <w:sz w:val="20"/>
                <w:szCs w:val="20"/>
                <w:color w:val="auto"/>
              </w:rPr>
            </w:pPr>
            <w:r>
              <w:rPr>
                <w:rFonts w:ascii="Arial" w:cs="Arial" w:eastAsia="Arial" w:hAnsi="Arial"/>
                <w:sz w:val="18"/>
                <w:szCs w:val="18"/>
                <w:color w:val="auto"/>
              </w:rPr>
              <w:t>OFAC; Anti-Money Laundering; FCPA</w:t>
            </w:r>
          </w:p>
        </w:tc>
        <w:tc>
          <w:tcPr>
            <w:tcW w:w="2180" w:type="dxa"/>
            <w:vAlign w:val="bottom"/>
          </w:tcPr>
          <w:p>
            <w:pPr>
              <w:ind w:left="188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5.22.</w:t>
            </w:r>
          </w:p>
        </w:tc>
        <w:tc>
          <w:tcPr>
            <w:tcW w:w="8560" w:type="dxa"/>
            <w:vAlign w:val="bottom"/>
          </w:tcPr>
          <w:p>
            <w:pPr>
              <w:ind w:left="320"/>
              <w:spacing w:after="0"/>
              <w:rPr>
                <w:sz w:val="20"/>
                <w:szCs w:val="20"/>
                <w:color w:val="auto"/>
              </w:rPr>
            </w:pPr>
            <w:r>
              <w:rPr>
                <w:rFonts w:ascii="Arial" w:cs="Arial" w:eastAsia="Arial" w:hAnsi="Arial"/>
                <w:sz w:val="18"/>
                <w:szCs w:val="18"/>
                <w:color w:val="auto"/>
              </w:rPr>
              <w:t>Certain Treasury Regulation Matters</w:t>
            </w:r>
          </w:p>
        </w:tc>
        <w:tc>
          <w:tcPr>
            <w:tcW w:w="2180" w:type="dxa"/>
            <w:vAlign w:val="bottom"/>
          </w:tcPr>
          <w:p>
            <w:pPr>
              <w:ind w:left="188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5.23.</w:t>
            </w:r>
          </w:p>
        </w:tc>
        <w:tc>
          <w:tcPr>
            <w:tcW w:w="8560" w:type="dxa"/>
            <w:vAlign w:val="bottom"/>
          </w:tcPr>
          <w:p>
            <w:pPr>
              <w:ind w:left="320"/>
              <w:spacing w:after="0"/>
              <w:rPr>
                <w:sz w:val="20"/>
                <w:szCs w:val="20"/>
                <w:color w:val="auto"/>
              </w:rPr>
            </w:pPr>
            <w:r>
              <w:rPr>
                <w:rFonts w:ascii="Arial" w:cs="Arial" w:eastAsia="Arial" w:hAnsi="Arial"/>
                <w:sz w:val="18"/>
                <w:szCs w:val="18"/>
                <w:color w:val="auto"/>
              </w:rPr>
              <w:t>Deposit Accounts; Securities Accounts</w:t>
            </w:r>
          </w:p>
        </w:tc>
        <w:tc>
          <w:tcPr>
            <w:tcW w:w="2180" w:type="dxa"/>
            <w:vAlign w:val="bottom"/>
          </w:tcPr>
          <w:p>
            <w:pPr>
              <w:ind w:left="188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5.24.</w:t>
            </w:r>
          </w:p>
        </w:tc>
        <w:tc>
          <w:tcPr>
            <w:tcW w:w="8560" w:type="dxa"/>
            <w:vAlign w:val="bottom"/>
          </w:tcPr>
          <w:p>
            <w:pPr>
              <w:ind w:left="320"/>
              <w:spacing w:after="0"/>
              <w:rPr>
                <w:sz w:val="20"/>
                <w:szCs w:val="20"/>
                <w:color w:val="auto"/>
              </w:rPr>
            </w:pPr>
            <w:r>
              <w:rPr>
                <w:rFonts w:ascii="Arial" w:cs="Arial" w:eastAsia="Arial" w:hAnsi="Arial"/>
                <w:sz w:val="18"/>
                <w:szCs w:val="18"/>
                <w:color w:val="auto"/>
              </w:rPr>
              <w:t>Accurate and Complete Statements</w:t>
            </w:r>
          </w:p>
        </w:tc>
        <w:tc>
          <w:tcPr>
            <w:tcW w:w="2180" w:type="dxa"/>
            <w:vAlign w:val="bottom"/>
          </w:tcPr>
          <w:p>
            <w:pPr>
              <w:ind w:left="188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5.25.</w:t>
            </w:r>
          </w:p>
        </w:tc>
        <w:tc>
          <w:tcPr>
            <w:tcW w:w="8560" w:type="dxa"/>
            <w:vAlign w:val="bottom"/>
          </w:tcPr>
          <w:p>
            <w:pPr>
              <w:ind w:left="320"/>
              <w:spacing w:after="0"/>
              <w:rPr>
                <w:sz w:val="20"/>
                <w:szCs w:val="20"/>
                <w:color w:val="auto"/>
              </w:rPr>
            </w:pPr>
            <w:r>
              <w:rPr>
                <w:rFonts w:ascii="Arial" w:cs="Arial" w:eastAsia="Arial" w:hAnsi="Arial"/>
                <w:sz w:val="18"/>
                <w:szCs w:val="18"/>
                <w:color w:val="auto"/>
              </w:rPr>
              <w:t>[Reserved]</w:t>
            </w:r>
          </w:p>
        </w:tc>
        <w:tc>
          <w:tcPr>
            <w:tcW w:w="2180" w:type="dxa"/>
            <w:vAlign w:val="bottom"/>
          </w:tcPr>
          <w:p>
            <w:pPr>
              <w:ind w:left="188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5.26.</w:t>
            </w:r>
          </w:p>
        </w:tc>
        <w:tc>
          <w:tcPr>
            <w:tcW w:w="8560" w:type="dxa"/>
            <w:vAlign w:val="bottom"/>
          </w:tcPr>
          <w:p>
            <w:pPr>
              <w:ind w:left="320"/>
              <w:spacing w:after="0"/>
              <w:rPr>
                <w:sz w:val="20"/>
                <w:szCs w:val="20"/>
                <w:color w:val="auto"/>
              </w:rPr>
            </w:pPr>
            <w:r>
              <w:rPr>
                <w:rFonts w:ascii="Arial" w:cs="Arial" w:eastAsia="Arial" w:hAnsi="Arial"/>
                <w:sz w:val="18"/>
                <w:szCs w:val="18"/>
                <w:color w:val="auto"/>
              </w:rPr>
              <w:t>Investment Company</w:t>
            </w:r>
          </w:p>
        </w:tc>
        <w:tc>
          <w:tcPr>
            <w:tcW w:w="2180" w:type="dxa"/>
            <w:vAlign w:val="bottom"/>
          </w:tcPr>
          <w:p>
            <w:pPr>
              <w:ind w:left="188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5.27.</w:t>
            </w:r>
          </w:p>
        </w:tc>
        <w:tc>
          <w:tcPr>
            <w:tcW w:w="8560" w:type="dxa"/>
            <w:vAlign w:val="bottom"/>
          </w:tcPr>
          <w:p>
            <w:pPr>
              <w:ind w:left="320"/>
              <w:spacing w:after="0"/>
              <w:rPr>
                <w:sz w:val="20"/>
                <w:szCs w:val="20"/>
                <w:color w:val="auto"/>
              </w:rPr>
            </w:pPr>
            <w:r>
              <w:rPr>
                <w:rFonts w:ascii="Arial" w:cs="Arial" w:eastAsia="Arial" w:hAnsi="Arial"/>
                <w:sz w:val="18"/>
                <w:szCs w:val="18"/>
                <w:color w:val="auto"/>
              </w:rPr>
              <w:t>Defaults</w:t>
            </w:r>
          </w:p>
        </w:tc>
        <w:tc>
          <w:tcPr>
            <w:tcW w:w="2180" w:type="dxa"/>
            <w:vAlign w:val="bottom"/>
          </w:tcPr>
          <w:p>
            <w:pPr>
              <w:ind w:left="188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5.28.</w:t>
            </w:r>
          </w:p>
        </w:tc>
        <w:tc>
          <w:tcPr>
            <w:tcW w:w="8560" w:type="dxa"/>
            <w:vAlign w:val="bottom"/>
          </w:tcPr>
          <w:p>
            <w:pPr>
              <w:ind w:left="320"/>
              <w:spacing w:after="0"/>
              <w:rPr>
                <w:sz w:val="20"/>
                <w:szCs w:val="20"/>
                <w:color w:val="auto"/>
              </w:rPr>
            </w:pPr>
            <w:r>
              <w:rPr>
                <w:rFonts w:ascii="Arial" w:cs="Arial" w:eastAsia="Arial" w:hAnsi="Arial"/>
                <w:sz w:val="18"/>
                <w:szCs w:val="18"/>
                <w:color w:val="auto"/>
              </w:rPr>
              <w:t>Senior Debt Status</w:t>
            </w:r>
          </w:p>
        </w:tc>
        <w:tc>
          <w:tcPr>
            <w:tcW w:w="2180" w:type="dxa"/>
            <w:vAlign w:val="bottom"/>
          </w:tcPr>
          <w:p>
            <w:pPr>
              <w:ind w:left="188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10"/>
        </w:trPr>
        <w:tc>
          <w:tcPr>
            <w:tcW w:w="680" w:type="dxa"/>
            <w:vAlign w:val="bottom"/>
          </w:tcPr>
          <w:p>
            <w:pPr>
              <w:spacing w:after="0"/>
              <w:rPr>
                <w:sz w:val="24"/>
                <w:szCs w:val="24"/>
                <w:color w:val="auto"/>
              </w:rPr>
            </w:pPr>
          </w:p>
        </w:tc>
        <w:tc>
          <w:tcPr>
            <w:tcW w:w="8560" w:type="dxa"/>
            <w:vAlign w:val="bottom"/>
          </w:tcPr>
          <w:p>
            <w:pPr>
              <w:jc w:val="center"/>
              <w:ind w:left="1410"/>
              <w:spacing w:after="0"/>
              <w:rPr>
                <w:sz w:val="20"/>
                <w:szCs w:val="20"/>
                <w:color w:val="auto"/>
              </w:rPr>
            </w:pPr>
            <w:r>
              <w:rPr>
                <w:rFonts w:ascii="Arial" w:cs="Arial" w:eastAsia="Arial" w:hAnsi="Arial"/>
                <w:sz w:val="18"/>
                <w:szCs w:val="18"/>
                <w:color w:val="auto"/>
                <w:w w:val="99"/>
              </w:rPr>
              <w:t>ARTICLE VI</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8560" w:type="dxa"/>
            <w:vAlign w:val="bottom"/>
          </w:tcPr>
          <w:p>
            <w:pPr>
              <w:jc w:val="center"/>
              <w:ind w:left="1430"/>
              <w:spacing w:after="0"/>
              <w:rPr>
                <w:sz w:val="20"/>
                <w:szCs w:val="20"/>
                <w:color w:val="auto"/>
              </w:rPr>
            </w:pPr>
            <w:r>
              <w:rPr>
                <w:rFonts w:ascii="Arial" w:cs="Arial" w:eastAsia="Arial" w:hAnsi="Arial"/>
                <w:sz w:val="18"/>
                <w:szCs w:val="18"/>
                <w:color w:val="auto"/>
                <w:w w:val="98"/>
              </w:rPr>
              <w:t>AFFIRMATIVE COVENANTS</w:t>
            </w: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6.01.</w:t>
            </w:r>
          </w:p>
        </w:tc>
        <w:tc>
          <w:tcPr>
            <w:tcW w:w="8560" w:type="dxa"/>
            <w:vAlign w:val="bottom"/>
          </w:tcPr>
          <w:p>
            <w:pPr>
              <w:ind w:left="320"/>
              <w:spacing w:after="0"/>
              <w:rPr>
                <w:sz w:val="20"/>
                <w:szCs w:val="20"/>
                <w:color w:val="auto"/>
              </w:rPr>
            </w:pPr>
            <w:r>
              <w:rPr>
                <w:rFonts w:ascii="Arial" w:cs="Arial" w:eastAsia="Arial" w:hAnsi="Arial"/>
                <w:sz w:val="18"/>
                <w:szCs w:val="18"/>
                <w:color w:val="auto"/>
              </w:rPr>
              <w:t>Financial Statements</w:t>
            </w:r>
          </w:p>
        </w:tc>
        <w:tc>
          <w:tcPr>
            <w:tcW w:w="2180" w:type="dxa"/>
            <w:vAlign w:val="bottom"/>
          </w:tcPr>
          <w:p>
            <w:pPr>
              <w:ind w:left="188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6.02.</w:t>
            </w:r>
          </w:p>
        </w:tc>
        <w:tc>
          <w:tcPr>
            <w:tcW w:w="8560" w:type="dxa"/>
            <w:vAlign w:val="bottom"/>
          </w:tcPr>
          <w:p>
            <w:pPr>
              <w:ind w:left="320"/>
              <w:spacing w:after="0"/>
              <w:rPr>
                <w:sz w:val="20"/>
                <w:szCs w:val="20"/>
                <w:color w:val="auto"/>
              </w:rPr>
            </w:pPr>
            <w:r>
              <w:rPr>
                <w:rFonts w:ascii="Arial" w:cs="Arial" w:eastAsia="Arial" w:hAnsi="Arial"/>
                <w:sz w:val="18"/>
                <w:szCs w:val="18"/>
                <w:color w:val="auto"/>
              </w:rPr>
              <w:t>Certificates; Other Information</w:t>
            </w:r>
          </w:p>
        </w:tc>
        <w:tc>
          <w:tcPr>
            <w:tcW w:w="2180" w:type="dxa"/>
            <w:vAlign w:val="bottom"/>
          </w:tcPr>
          <w:p>
            <w:pPr>
              <w:ind w:left="188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6.03.</w:t>
            </w:r>
          </w:p>
        </w:tc>
        <w:tc>
          <w:tcPr>
            <w:tcW w:w="8560" w:type="dxa"/>
            <w:vAlign w:val="bottom"/>
          </w:tcPr>
          <w:p>
            <w:pPr>
              <w:ind w:left="320"/>
              <w:spacing w:after="0"/>
              <w:rPr>
                <w:sz w:val="20"/>
                <w:szCs w:val="20"/>
                <w:color w:val="auto"/>
              </w:rPr>
            </w:pPr>
            <w:r>
              <w:rPr>
                <w:rFonts w:ascii="Arial" w:cs="Arial" w:eastAsia="Arial" w:hAnsi="Arial"/>
                <w:sz w:val="18"/>
                <w:szCs w:val="18"/>
                <w:color w:val="auto"/>
              </w:rPr>
              <w:t>Notices</w:t>
            </w:r>
          </w:p>
        </w:tc>
        <w:tc>
          <w:tcPr>
            <w:tcW w:w="2180" w:type="dxa"/>
            <w:vAlign w:val="bottom"/>
          </w:tcPr>
          <w:p>
            <w:pPr>
              <w:ind w:left="188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6.04.</w:t>
            </w:r>
          </w:p>
        </w:tc>
        <w:tc>
          <w:tcPr>
            <w:tcW w:w="8560" w:type="dxa"/>
            <w:vAlign w:val="bottom"/>
          </w:tcPr>
          <w:p>
            <w:pPr>
              <w:ind w:left="320"/>
              <w:spacing w:after="0"/>
              <w:rPr>
                <w:sz w:val="20"/>
                <w:szCs w:val="20"/>
                <w:color w:val="auto"/>
              </w:rPr>
            </w:pPr>
            <w:r>
              <w:rPr>
                <w:rFonts w:ascii="Arial" w:cs="Arial" w:eastAsia="Arial" w:hAnsi="Arial"/>
                <w:sz w:val="18"/>
                <w:szCs w:val="18"/>
                <w:color w:val="auto"/>
              </w:rPr>
              <w:t>Payment of Taxes and Other Obligations</w:t>
            </w:r>
          </w:p>
        </w:tc>
        <w:tc>
          <w:tcPr>
            <w:tcW w:w="2180" w:type="dxa"/>
            <w:vAlign w:val="bottom"/>
          </w:tcPr>
          <w:p>
            <w:pPr>
              <w:ind w:left="188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6.05.</w:t>
            </w:r>
          </w:p>
        </w:tc>
        <w:tc>
          <w:tcPr>
            <w:tcW w:w="8560" w:type="dxa"/>
            <w:vAlign w:val="bottom"/>
          </w:tcPr>
          <w:p>
            <w:pPr>
              <w:ind w:left="320"/>
              <w:spacing w:after="0"/>
              <w:rPr>
                <w:sz w:val="20"/>
                <w:szCs w:val="20"/>
                <w:color w:val="auto"/>
              </w:rPr>
            </w:pPr>
            <w:r>
              <w:rPr>
                <w:rFonts w:ascii="Arial" w:cs="Arial" w:eastAsia="Arial" w:hAnsi="Arial"/>
                <w:sz w:val="18"/>
                <w:szCs w:val="18"/>
                <w:color w:val="auto"/>
              </w:rPr>
              <w:t>Preservation of Existence, Etc</w:t>
            </w:r>
          </w:p>
        </w:tc>
        <w:tc>
          <w:tcPr>
            <w:tcW w:w="2180" w:type="dxa"/>
            <w:vAlign w:val="bottom"/>
          </w:tcPr>
          <w:p>
            <w:pPr>
              <w:ind w:left="188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6.06.</w:t>
            </w:r>
          </w:p>
        </w:tc>
        <w:tc>
          <w:tcPr>
            <w:tcW w:w="8560" w:type="dxa"/>
            <w:vAlign w:val="bottom"/>
          </w:tcPr>
          <w:p>
            <w:pPr>
              <w:ind w:left="320"/>
              <w:spacing w:after="0"/>
              <w:rPr>
                <w:sz w:val="20"/>
                <w:szCs w:val="20"/>
                <w:color w:val="auto"/>
              </w:rPr>
            </w:pPr>
            <w:r>
              <w:rPr>
                <w:rFonts w:ascii="Arial" w:cs="Arial" w:eastAsia="Arial" w:hAnsi="Arial"/>
                <w:sz w:val="18"/>
                <w:szCs w:val="18"/>
                <w:color w:val="auto"/>
              </w:rPr>
              <w:t>Maintenance of Properties</w:t>
            </w:r>
          </w:p>
        </w:tc>
        <w:tc>
          <w:tcPr>
            <w:tcW w:w="2180" w:type="dxa"/>
            <w:vAlign w:val="bottom"/>
          </w:tcPr>
          <w:p>
            <w:pPr>
              <w:ind w:left="188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6.07.</w:t>
            </w:r>
          </w:p>
        </w:tc>
        <w:tc>
          <w:tcPr>
            <w:tcW w:w="8560" w:type="dxa"/>
            <w:vAlign w:val="bottom"/>
          </w:tcPr>
          <w:p>
            <w:pPr>
              <w:ind w:left="320"/>
              <w:spacing w:after="0"/>
              <w:rPr>
                <w:sz w:val="20"/>
                <w:szCs w:val="20"/>
                <w:color w:val="auto"/>
              </w:rPr>
            </w:pPr>
            <w:r>
              <w:rPr>
                <w:rFonts w:ascii="Arial" w:cs="Arial" w:eastAsia="Arial" w:hAnsi="Arial"/>
                <w:sz w:val="18"/>
                <w:szCs w:val="18"/>
                <w:color w:val="auto"/>
              </w:rPr>
              <w:t>Maintenance of Insurance</w:t>
            </w:r>
          </w:p>
        </w:tc>
        <w:tc>
          <w:tcPr>
            <w:tcW w:w="2180" w:type="dxa"/>
            <w:vAlign w:val="bottom"/>
          </w:tcPr>
          <w:p>
            <w:pPr>
              <w:ind w:left="188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6.08.</w:t>
            </w:r>
          </w:p>
        </w:tc>
        <w:tc>
          <w:tcPr>
            <w:tcW w:w="8560" w:type="dxa"/>
            <w:vAlign w:val="bottom"/>
          </w:tcPr>
          <w:p>
            <w:pPr>
              <w:ind w:left="320"/>
              <w:spacing w:after="0"/>
              <w:rPr>
                <w:sz w:val="20"/>
                <w:szCs w:val="20"/>
                <w:color w:val="auto"/>
              </w:rPr>
            </w:pPr>
            <w:r>
              <w:rPr>
                <w:rFonts w:ascii="Arial" w:cs="Arial" w:eastAsia="Arial" w:hAnsi="Arial"/>
                <w:sz w:val="18"/>
                <w:szCs w:val="18"/>
                <w:color w:val="auto"/>
              </w:rPr>
              <w:t>Compliance with Laws</w:t>
            </w:r>
          </w:p>
        </w:tc>
        <w:tc>
          <w:tcPr>
            <w:tcW w:w="2180" w:type="dxa"/>
            <w:vAlign w:val="bottom"/>
          </w:tcPr>
          <w:p>
            <w:pPr>
              <w:ind w:left="188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6.09.</w:t>
            </w:r>
          </w:p>
        </w:tc>
        <w:tc>
          <w:tcPr>
            <w:tcW w:w="8560" w:type="dxa"/>
            <w:vAlign w:val="bottom"/>
          </w:tcPr>
          <w:p>
            <w:pPr>
              <w:ind w:left="320"/>
              <w:spacing w:after="0"/>
              <w:rPr>
                <w:sz w:val="20"/>
                <w:szCs w:val="20"/>
                <w:color w:val="auto"/>
              </w:rPr>
            </w:pPr>
            <w:r>
              <w:rPr>
                <w:rFonts w:ascii="Arial" w:cs="Arial" w:eastAsia="Arial" w:hAnsi="Arial"/>
                <w:sz w:val="18"/>
                <w:szCs w:val="18"/>
                <w:color w:val="auto"/>
              </w:rPr>
              <w:t>Books and Records</w:t>
            </w:r>
          </w:p>
        </w:tc>
        <w:tc>
          <w:tcPr>
            <w:tcW w:w="2180" w:type="dxa"/>
            <w:vAlign w:val="bottom"/>
          </w:tcPr>
          <w:p>
            <w:pPr>
              <w:ind w:left="188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6.10.</w:t>
            </w:r>
          </w:p>
        </w:tc>
        <w:tc>
          <w:tcPr>
            <w:tcW w:w="8560" w:type="dxa"/>
            <w:vAlign w:val="bottom"/>
          </w:tcPr>
          <w:p>
            <w:pPr>
              <w:ind w:left="320"/>
              <w:spacing w:after="0"/>
              <w:rPr>
                <w:sz w:val="20"/>
                <w:szCs w:val="20"/>
                <w:color w:val="auto"/>
              </w:rPr>
            </w:pPr>
            <w:r>
              <w:rPr>
                <w:rFonts w:ascii="Arial" w:cs="Arial" w:eastAsia="Arial" w:hAnsi="Arial"/>
                <w:sz w:val="18"/>
                <w:szCs w:val="18"/>
                <w:color w:val="auto"/>
              </w:rPr>
              <w:t>Inspection Rights</w:t>
            </w:r>
          </w:p>
        </w:tc>
        <w:tc>
          <w:tcPr>
            <w:tcW w:w="2180" w:type="dxa"/>
            <w:vAlign w:val="bottom"/>
          </w:tcPr>
          <w:p>
            <w:pPr>
              <w:ind w:left="188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6.11.</w:t>
            </w:r>
          </w:p>
        </w:tc>
        <w:tc>
          <w:tcPr>
            <w:tcW w:w="8560" w:type="dxa"/>
            <w:vAlign w:val="bottom"/>
          </w:tcPr>
          <w:p>
            <w:pPr>
              <w:ind w:left="320"/>
              <w:spacing w:after="0"/>
              <w:rPr>
                <w:sz w:val="20"/>
                <w:szCs w:val="20"/>
                <w:color w:val="auto"/>
              </w:rPr>
            </w:pPr>
            <w:r>
              <w:rPr>
                <w:rFonts w:ascii="Arial" w:cs="Arial" w:eastAsia="Arial" w:hAnsi="Arial"/>
                <w:sz w:val="18"/>
                <w:szCs w:val="18"/>
                <w:color w:val="auto"/>
              </w:rPr>
              <w:t>Use of Proceeds</w:t>
            </w:r>
          </w:p>
        </w:tc>
        <w:tc>
          <w:tcPr>
            <w:tcW w:w="2180" w:type="dxa"/>
            <w:vAlign w:val="bottom"/>
          </w:tcPr>
          <w:p>
            <w:pPr>
              <w:ind w:left="188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6.12.</w:t>
            </w:r>
          </w:p>
        </w:tc>
        <w:tc>
          <w:tcPr>
            <w:tcW w:w="8560" w:type="dxa"/>
            <w:vAlign w:val="bottom"/>
          </w:tcPr>
          <w:p>
            <w:pPr>
              <w:ind w:left="320"/>
              <w:spacing w:after="0"/>
              <w:rPr>
                <w:sz w:val="20"/>
                <w:szCs w:val="20"/>
                <w:color w:val="auto"/>
              </w:rPr>
            </w:pPr>
            <w:r>
              <w:rPr>
                <w:rFonts w:ascii="Arial" w:cs="Arial" w:eastAsia="Arial" w:hAnsi="Arial"/>
                <w:sz w:val="18"/>
                <w:szCs w:val="18"/>
                <w:color w:val="auto"/>
              </w:rPr>
              <w:t>Covenant to Guarantee Obligations and Give Security</w:t>
            </w:r>
          </w:p>
        </w:tc>
        <w:tc>
          <w:tcPr>
            <w:tcW w:w="2180" w:type="dxa"/>
            <w:vAlign w:val="bottom"/>
          </w:tcPr>
          <w:p>
            <w:pPr>
              <w:ind w:left="188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6.13.</w:t>
            </w:r>
          </w:p>
        </w:tc>
        <w:tc>
          <w:tcPr>
            <w:tcW w:w="8560" w:type="dxa"/>
            <w:vAlign w:val="bottom"/>
          </w:tcPr>
          <w:p>
            <w:pPr>
              <w:ind w:left="320"/>
              <w:spacing w:after="0"/>
              <w:rPr>
                <w:sz w:val="20"/>
                <w:szCs w:val="20"/>
                <w:color w:val="auto"/>
              </w:rPr>
            </w:pPr>
            <w:r>
              <w:rPr>
                <w:rFonts w:ascii="Arial" w:cs="Arial" w:eastAsia="Arial" w:hAnsi="Arial"/>
                <w:sz w:val="18"/>
                <w:szCs w:val="18"/>
                <w:color w:val="auto"/>
              </w:rPr>
              <w:t>Compliance with Environmental Laws</w:t>
            </w:r>
          </w:p>
        </w:tc>
        <w:tc>
          <w:tcPr>
            <w:tcW w:w="2180" w:type="dxa"/>
            <w:vAlign w:val="bottom"/>
          </w:tcPr>
          <w:p>
            <w:pPr>
              <w:ind w:left="188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6.14.</w:t>
            </w:r>
          </w:p>
        </w:tc>
        <w:tc>
          <w:tcPr>
            <w:tcW w:w="8560" w:type="dxa"/>
            <w:vAlign w:val="bottom"/>
          </w:tcPr>
          <w:p>
            <w:pPr>
              <w:ind w:left="320"/>
              <w:spacing w:after="0"/>
              <w:rPr>
                <w:sz w:val="20"/>
                <w:szCs w:val="20"/>
                <w:color w:val="auto"/>
              </w:rPr>
            </w:pPr>
            <w:r>
              <w:rPr>
                <w:rFonts w:ascii="Arial" w:cs="Arial" w:eastAsia="Arial" w:hAnsi="Arial"/>
                <w:sz w:val="18"/>
                <w:szCs w:val="18"/>
                <w:color w:val="auto"/>
              </w:rPr>
              <w:t>Regarding Collateral</w:t>
            </w:r>
          </w:p>
        </w:tc>
        <w:tc>
          <w:tcPr>
            <w:tcW w:w="2180" w:type="dxa"/>
            <w:vAlign w:val="bottom"/>
          </w:tcPr>
          <w:p>
            <w:pPr>
              <w:ind w:left="188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6.15.</w:t>
            </w:r>
          </w:p>
        </w:tc>
        <w:tc>
          <w:tcPr>
            <w:tcW w:w="8560" w:type="dxa"/>
            <w:vAlign w:val="bottom"/>
          </w:tcPr>
          <w:p>
            <w:pPr>
              <w:ind w:left="320"/>
              <w:spacing w:after="0"/>
              <w:rPr>
                <w:sz w:val="20"/>
                <w:szCs w:val="20"/>
                <w:color w:val="auto"/>
              </w:rPr>
            </w:pPr>
            <w:r>
              <w:rPr>
                <w:rFonts w:ascii="Arial" w:cs="Arial" w:eastAsia="Arial" w:hAnsi="Arial"/>
                <w:sz w:val="18"/>
                <w:szCs w:val="18"/>
                <w:color w:val="auto"/>
              </w:rPr>
              <w:t>Maintenance of Debt Ratings</w:t>
            </w:r>
          </w:p>
        </w:tc>
        <w:tc>
          <w:tcPr>
            <w:tcW w:w="2180" w:type="dxa"/>
            <w:vAlign w:val="bottom"/>
          </w:tcPr>
          <w:p>
            <w:pPr>
              <w:ind w:left="188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6.16.</w:t>
            </w:r>
          </w:p>
        </w:tc>
        <w:tc>
          <w:tcPr>
            <w:tcW w:w="8560" w:type="dxa"/>
            <w:vAlign w:val="bottom"/>
          </w:tcPr>
          <w:p>
            <w:pPr>
              <w:ind w:left="320"/>
              <w:spacing w:after="0"/>
              <w:rPr>
                <w:sz w:val="20"/>
                <w:szCs w:val="20"/>
                <w:color w:val="auto"/>
              </w:rPr>
            </w:pPr>
            <w:r>
              <w:rPr>
                <w:rFonts w:ascii="Arial" w:cs="Arial" w:eastAsia="Arial" w:hAnsi="Arial"/>
                <w:sz w:val="18"/>
                <w:szCs w:val="18"/>
                <w:color w:val="auto"/>
              </w:rPr>
              <w:t>Further Assurances</w:t>
            </w:r>
          </w:p>
        </w:tc>
        <w:tc>
          <w:tcPr>
            <w:tcW w:w="2180" w:type="dxa"/>
            <w:vAlign w:val="bottom"/>
          </w:tcPr>
          <w:p>
            <w:pPr>
              <w:ind w:left="188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6.17.</w:t>
            </w:r>
          </w:p>
        </w:tc>
        <w:tc>
          <w:tcPr>
            <w:tcW w:w="8560" w:type="dxa"/>
            <w:vAlign w:val="bottom"/>
          </w:tcPr>
          <w:p>
            <w:pPr>
              <w:ind w:left="320"/>
              <w:spacing w:after="0"/>
              <w:rPr>
                <w:sz w:val="20"/>
                <w:szCs w:val="20"/>
                <w:color w:val="auto"/>
              </w:rPr>
            </w:pPr>
            <w:r>
              <w:rPr>
                <w:rFonts w:ascii="Arial" w:cs="Arial" w:eastAsia="Arial" w:hAnsi="Arial"/>
                <w:sz w:val="18"/>
                <w:szCs w:val="18"/>
                <w:color w:val="auto"/>
              </w:rPr>
              <w:t>Post-Closing Matters</w:t>
            </w:r>
          </w:p>
        </w:tc>
        <w:tc>
          <w:tcPr>
            <w:tcW w:w="2180" w:type="dxa"/>
            <w:vAlign w:val="bottom"/>
          </w:tcPr>
          <w:p>
            <w:pPr>
              <w:ind w:left="188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6.18.</w:t>
            </w:r>
          </w:p>
        </w:tc>
        <w:tc>
          <w:tcPr>
            <w:tcW w:w="8560" w:type="dxa"/>
            <w:vAlign w:val="bottom"/>
          </w:tcPr>
          <w:p>
            <w:pPr>
              <w:ind w:left="320"/>
              <w:spacing w:after="0"/>
              <w:rPr>
                <w:sz w:val="20"/>
                <w:szCs w:val="20"/>
                <w:color w:val="auto"/>
              </w:rPr>
            </w:pPr>
            <w:r>
              <w:rPr>
                <w:rFonts w:ascii="Arial" w:cs="Arial" w:eastAsia="Arial" w:hAnsi="Arial"/>
                <w:sz w:val="18"/>
                <w:szCs w:val="18"/>
                <w:color w:val="auto"/>
              </w:rPr>
              <w:t>Lender Meeting</w:t>
            </w:r>
          </w:p>
        </w:tc>
        <w:tc>
          <w:tcPr>
            <w:tcW w:w="2180" w:type="dxa"/>
            <w:vAlign w:val="bottom"/>
          </w:tcPr>
          <w:p>
            <w:pPr>
              <w:ind w:left="188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10"/>
        </w:trPr>
        <w:tc>
          <w:tcPr>
            <w:tcW w:w="680" w:type="dxa"/>
            <w:vAlign w:val="bottom"/>
          </w:tcPr>
          <w:p>
            <w:pPr>
              <w:spacing w:after="0"/>
              <w:rPr>
                <w:sz w:val="24"/>
                <w:szCs w:val="24"/>
                <w:color w:val="auto"/>
              </w:rPr>
            </w:pPr>
          </w:p>
        </w:tc>
        <w:tc>
          <w:tcPr>
            <w:tcW w:w="8560" w:type="dxa"/>
            <w:vAlign w:val="bottom"/>
          </w:tcPr>
          <w:p>
            <w:pPr>
              <w:jc w:val="center"/>
              <w:ind w:left="1430"/>
              <w:spacing w:after="0"/>
              <w:rPr>
                <w:sz w:val="20"/>
                <w:szCs w:val="20"/>
                <w:color w:val="auto"/>
              </w:rPr>
            </w:pPr>
            <w:r>
              <w:rPr>
                <w:rFonts w:ascii="Arial" w:cs="Arial" w:eastAsia="Arial" w:hAnsi="Arial"/>
                <w:sz w:val="18"/>
                <w:szCs w:val="18"/>
                <w:color w:val="auto"/>
              </w:rPr>
              <w:t>ARTICLE VII</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8560" w:type="dxa"/>
            <w:vAlign w:val="bottom"/>
          </w:tcPr>
          <w:p>
            <w:pPr>
              <w:jc w:val="center"/>
              <w:ind w:left="1410"/>
              <w:spacing w:after="0"/>
              <w:rPr>
                <w:sz w:val="20"/>
                <w:szCs w:val="20"/>
                <w:color w:val="auto"/>
              </w:rPr>
            </w:pPr>
            <w:r>
              <w:rPr>
                <w:rFonts w:ascii="Arial" w:cs="Arial" w:eastAsia="Arial" w:hAnsi="Arial"/>
                <w:sz w:val="18"/>
                <w:szCs w:val="18"/>
                <w:color w:val="auto"/>
                <w:w w:val="97"/>
              </w:rPr>
              <w:t>NEGATIVE COVENANTS</w:t>
            </w: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7.01.</w:t>
            </w:r>
          </w:p>
        </w:tc>
        <w:tc>
          <w:tcPr>
            <w:tcW w:w="8560" w:type="dxa"/>
            <w:vAlign w:val="bottom"/>
          </w:tcPr>
          <w:p>
            <w:pPr>
              <w:ind w:left="320"/>
              <w:spacing w:after="0"/>
              <w:rPr>
                <w:sz w:val="20"/>
                <w:szCs w:val="20"/>
                <w:color w:val="auto"/>
              </w:rPr>
            </w:pPr>
            <w:r>
              <w:rPr>
                <w:rFonts w:ascii="Arial" w:cs="Arial" w:eastAsia="Arial" w:hAnsi="Arial"/>
                <w:sz w:val="18"/>
                <w:szCs w:val="18"/>
                <w:color w:val="auto"/>
              </w:rPr>
              <w:t>Liens</w:t>
            </w:r>
          </w:p>
        </w:tc>
        <w:tc>
          <w:tcPr>
            <w:tcW w:w="2180" w:type="dxa"/>
            <w:vAlign w:val="bottom"/>
          </w:tcPr>
          <w:p>
            <w:pPr>
              <w:ind w:left="188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7.02.</w:t>
            </w:r>
          </w:p>
        </w:tc>
        <w:tc>
          <w:tcPr>
            <w:tcW w:w="8560" w:type="dxa"/>
            <w:vAlign w:val="bottom"/>
          </w:tcPr>
          <w:p>
            <w:pPr>
              <w:ind w:left="320"/>
              <w:spacing w:after="0"/>
              <w:rPr>
                <w:sz w:val="20"/>
                <w:szCs w:val="20"/>
                <w:color w:val="auto"/>
              </w:rPr>
            </w:pPr>
            <w:r>
              <w:rPr>
                <w:rFonts w:ascii="Arial" w:cs="Arial" w:eastAsia="Arial" w:hAnsi="Arial"/>
                <w:sz w:val="18"/>
                <w:szCs w:val="18"/>
                <w:color w:val="auto"/>
              </w:rPr>
              <w:t>Indebtedness</w:t>
            </w:r>
          </w:p>
        </w:tc>
        <w:tc>
          <w:tcPr>
            <w:tcW w:w="2180" w:type="dxa"/>
            <w:vAlign w:val="bottom"/>
          </w:tcPr>
          <w:p>
            <w:pPr>
              <w:ind w:left="188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7.03.</w:t>
            </w:r>
          </w:p>
        </w:tc>
        <w:tc>
          <w:tcPr>
            <w:tcW w:w="8560" w:type="dxa"/>
            <w:vAlign w:val="bottom"/>
          </w:tcPr>
          <w:p>
            <w:pPr>
              <w:ind w:left="320"/>
              <w:spacing w:after="0"/>
              <w:rPr>
                <w:sz w:val="20"/>
                <w:szCs w:val="20"/>
                <w:color w:val="auto"/>
              </w:rPr>
            </w:pPr>
            <w:r>
              <w:rPr>
                <w:rFonts w:ascii="Arial" w:cs="Arial" w:eastAsia="Arial" w:hAnsi="Arial"/>
                <w:sz w:val="18"/>
                <w:szCs w:val="18"/>
                <w:color w:val="auto"/>
              </w:rPr>
              <w:t>Investments and Acquisitions</w:t>
            </w:r>
          </w:p>
        </w:tc>
        <w:tc>
          <w:tcPr>
            <w:tcW w:w="2180" w:type="dxa"/>
            <w:vAlign w:val="bottom"/>
          </w:tcPr>
          <w:p>
            <w:pPr>
              <w:ind w:left="188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65"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7.04.</w:t>
            </w:r>
          </w:p>
        </w:tc>
        <w:tc>
          <w:tcPr>
            <w:tcW w:w="8440" w:type="dxa"/>
            <w:vAlign w:val="bottom"/>
          </w:tcPr>
          <w:p>
            <w:pPr>
              <w:ind w:left="260"/>
              <w:spacing w:after="0"/>
              <w:rPr>
                <w:sz w:val="20"/>
                <w:szCs w:val="20"/>
                <w:color w:val="auto"/>
              </w:rPr>
            </w:pPr>
            <w:r>
              <w:rPr>
                <w:rFonts w:ascii="Arial" w:cs="Arial" w:eastAsia="Arial" w:hAnsi="Arial"/>
                <w:sz w:val="18"/>
                <w:szCs w:val="18"/>
                <w:color w:val="auto"/>
              </w:rPr>
              <w:t>Fundamental Changes</w:t>
            </w:r>
          </w:p>
        </w:tc>
        <w:tc>
          <w:tcPr>
            <w:tcW w:w="21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7.05.</w:t>
            </w:r>
          </w:p>
        </w:tc>
        <w:tc>
          <w:tcPr>
            <w:tcW w:w="8440" w:type="dxa"/>
            <w:vAlign w:val="bottom"/>
          </w:tcPr>
          <w:p>
            <w:pPr>
              <w:ind w:left="260"/>
              <w:spacing w:after="0"/>
              <w:rPr>
                <w:sz w:val="20"/>
                <w:szCs w:val="20"/>
                <w:color w:val="auto"/>
              </w:rPr>
            </w:pPr>
            <w:r>
              <w:rPr>
                <w:rFonts w:ascii="Arial" w:cs="Arial" w:eastAsia="Arial" w:hAnsi="Arial"/>
                <w:sz w:val="18"/>
                <w:szCs w:val="18"/>
                <w:color w:val="auto"/>
              </w:rPr>
              <w:t>Dispositions</w:t>
            </w:r>
          </w:p>
        </w:tc>
        <w:tc>
          <w:tcPr>
            <w:tcW w:w="21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7.06.</w:t>
            </w:r>
          </w:p>
        </w:tc>
        <w:tc>
          <w:tcPr>
            <w:tcW w:w="8440" w:type="dxa"/>
            <w:vAlign w:val="bottom"/>
          </w:tcPr>
          <w:p>
            <w:pPr>
              <w:ind w:left="260"/>
              <w:spacing w:after="0"/>
              <w:rPr>
                <w:sz w:val="20"/>
                <w:szCs w:val="20"/>
                <w:color w:val="auto"/>
              </w:rPr>
            </w:pPr>
            <w:r>
              <w:rPr>
                <w:rFonts w:ascii="Arial" w:cs="Arial" w:eastAsia="Arial" w:hAnsi="Arial"/>
                <w:sz w:val="18"/>
                <w:szCs w:val="18"/>
                <w:color w:val="auto"/>
              </w:rPr>
              <w:t>Restricted Payments</w:t>
            </w:r>
          </w:p>
        </w:tc>
        <w:tc>
          <w:tcPr>
            <w:tcW w:w="21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7.07.</w:t>
            </w:r>
          </w:p>
        </w:tc>
        <w:tc>
          <w:tcPr>
            <w:tcW w:w="8440" w:type="dxa"/>
            <w:vAlign w:val="bottom"/>
          </w:tcPr>
          <w:p>
            <w:pPr>
              <w:ind w:left="260"/>
              <w:spacing w:after="0"/>
              <w:rPr>
                <w:sz w:val="20"/>
                <w:szCs w:val="20"/>
                <w:color w:val="auto"/>
              </w:rPr>
            </w:pPr>
            <w:r>
              <w:rPr>
                <w:rFonts w:ascii="Arial" w:cs="Arial" w:eastAsia="Arial" w:hAnsi="Arial"/>
                <w:sz w:val="18"/>
                <w:szCs w:val="18"/>
                <w:color w:val="auto"/>
              </w:rPr>
              <w:t>Change in Nature of Business</w:t>
            </w:r>
          </w:p>
        </w:tc>
        <w:tc>
          <w:tcPr>
            <w:tcW w:w="21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7.08.</w:t>
            </w:r>
          </w:p>
        </w:tc>
        <w:tc>
          <w:tcPr>
            <w:tcW w:w="8440" w:type="dxa"/>
            <w:vAlign w:val="bottom"/>
          </w:tcPr>
          <w:p>
            <w:pPr>
              <w:ind w:left="260"/>
              <w:spacing w:after="0"/>
              <w:rPr>
                <w:sz w:val="20"/>
                <w:szCs w:val="20"/>
                <w:color w:val="auto"/>
              </w:rPr>
            </w:pPr>
            <w:r>
              <w:rPr>
                <w:rFonts w:ascii="Arial" w:cs="Arial" w:eastAsia="Arial" w:hAnsi="Arial"/>
                <w:sz w:val="18"/>
                <w:szCs w:val="18"/>
                <w:color w:val="auto"/>
              </w:rPr>
              <w:t>Transactions with Affiliates</w:t>
            </w:r>
          </w:p>
        </w:tc>
        <w:tc>
          <w:tcPr>
            <w:tcW w:w="21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7.09.</w:t>
            </w:r>
          </w:p>
        </w:tc>
        <w:tc>
          <w:tcPr>
            <w:tcW w:w="8440" w:type="dxa"/>
            <w:vAlign w:val="bottom"/>
          </w:tcPr>
          <w:p>
            <w:pPr>
              <w:ind w:left="260"/>
              <w:spacing w:after="0"/>
              <w:rPr>
                <w:sz w:val="20"/>
                <w:szCs w:val="20"/>
                <w:color w:val="auto"/>
              </w:rPr>
            </w:pPr>
            <w:r>
              <w:rPr>
                <w:rFonts w:ascii="Arial" w:cs="Arial" w:eastAsia="Arial" w:hAnsi="Arial"/>
                <w:sz w:val="18"/>
                <w:szCs w:val="18"/>
                <w:color w:val="auto"/>
              </w:rPr>
              <w:t>Burdensome Agreements</w:t>
            </w:r>
          </w:p>
        </w:tc>
        <w:tc>
          <w:tcPr>
            <w:tcW w:w="21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7.10.</w:t>
            </w:r>
          </w:p>
        </w:tc>
        <w:tc>
          <w:tcPr>
            <w:tcW w:w="8440" w:type="dxa"/>
            <w:vAlign w:val="bottom"/>
          </w:tcPr>
          <w:p>
            <w:pPr>
              <w:ind w:left="260"/>
              <w:spacing w:after="0"/>
              <w:rPr>
                <w:sz w:val="20"/>
                <w:szCs w:val="20"/>
                <w:color w:val="auto"/>
              </w:rPr>
            </w:pPr>
            <w:r>
              <w:rPr>
                <w:rFonts w:ascii="Arial" w:cs="Arial" w:eastAsia="Arial" w:hAnsi="Arial"/>
                <w:sz w:val="18"/>
                <w:szCs w:val="18"/>
                <w:color w:val="auto"/>
              </w:rPr>
              <w:t>Use of Proceeds</w:t>
            </w:r>
          </w:p>
        </w:tc>
        <w:tc>
          <w:tcPr>
            <w:tcW w:w="21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7.11.</w:t>
            </w:r>
          </w:p>
        </w:tc>
        <w:tc>
          <w:tcPr>
            <w:tcW w:w="8440" w:type="dxa"/>
            <w:vAlign w:val="bottom"/>
          </w:tcPr>
          <w:p>
            <w:pPr>
              <w:ind w:left="260"/>
              <w:spacing w:after="0"/>
              <w:rPr>
                <w:sz w:val="20"/>
                <w:szCs w:val="20"/>
                <w:color w:val="auto"/>
              </w:rPr>
            </w:pPr>
            <w:r>
              <w:rPr>
                <w:rFonts w:ascii="Arial" w:cs="Arial" w:eastAsia="Arial" w:hAnsi="Arial"/>
                <w:sz w:val="18"/>
                <w:szCs w:val="18"/>
                <w:color w:val="auto"/>
              </w:rPr>
              <w:t>Amendments of Organization Documents</w:t>
            </w:r>
          </w:p>
        </w:tc>
        <w:tc>
          <w:tcPr>
            <w:tcW w:w="21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7.12.</w:t>
            </w:r>
          </w:p>
        </w:tc>
        <w:tc>
          <w:tcPr>
            <w:tcW w:w="8440" w:type="dxa"/>
            <w:vAlign w:val="bottom"/>
          </w:tcPr>
          <w:p>
            <w:pPr>
              <w:ind w:left="260"/>
              <w:spacing w:after="0"/>
              <w:rPr>
                <w:sz w:val="20"/>
                <w:szCs w:val="20"/>
                <w:color w:val="auto"/>
              </w:rPr>
            </w:pPr>
            <w:r>
              <w:rPr>
                <w:rFonts w:ascii="Arial" w:cs="Arial" w:eastAsia="Arial" w:hAnsi="Arial"/>
                <w:sz w:val="18"/>
                <w:szCs w:val="18"/>
                <w:color w:val="auto"/>
              </w:rPr>
              <w:t>Accounting Changes</w:t>
            </w:r>
          </w:p>
        </w:tc>
        <w:tc>
          <w:tcPr>
            <w:tcW w:w="21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7.13.</w:t>
            </w:r>
          </w:p>
        </w:tc>
        <w:tc>
          <w:tcPr>
            <w:tcW w:w="8440" w:type="dxa"/>
            <w:vAlign w:val="bottom"/>
          </w:tcPr>
          <w:p>
            <w:pPr>
              <w:ind w:left="260"/>
              <w:spacing w:after="0"/>
              <w:rPr>
                <w:sz w:val="20"/>
                <w:szCs w:val="20"/>
                <w:color w:val="auto"/>
              </w:rPr>
            </w:pPr>
            <w:r>
              <w:rPr>
                <w:rFonts w:ascii="Arial" w:cs="Arial" w:eastAsia="Arial" w:hAnsi="Arial"/>
                <w:sz w:val="18"/>
                <w:szCs w:val="18"/>
                <w:color w:val="auto"/>
              </w:rPr>
              <w:t>Sanctions; FCPA</w:t>
            </w:r>
          </w:p>
        </w:tc>
        <w:tc>
          <w:tcPr>
            <w:tcW w:w="21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7.14.</w:t>
            </w:r>
          </w:p>
        </w:tc>
        <w:tc>
          <w:tcPr>
            <w:tcW w:w="8440" w:type="dxa"/>
            <w:vAlign w:val="bottom"/>
          </w:tcPr>
          <w:p>
            <w:pPr>
              <w:ind w:left="260"/>
              <w:spacing w:after="0"/>
              <w:rPr>
                <w:sz w:val="20"/>
                <w:szCs w:val="20"/>
                <w:color w:val="auto"/>
              </w:rPr>
            </w:pPr>
            <w:r>
              <w:rPr>
                <w:rFonts w:ascii="Arial" w:cs="Arial" w:eastAsia="Arial" w:hAnsi="Arial"/>
                <w:sz w:val="18"/>
                <w:szCs w:val="18"/>
                <w:color w:val="auto"/>
              </w:rPr>
              <w:t>Restrictions Pertaining to Certain Indebtedness</w:t>
            </w:r>
          </w:p>
        </w:tc>
        <w:tc>
          <w:tcPr>
            <w:tcW w:w="21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10"/>
        </w:trPr>
        <w:tc>
          <w:tcPr>
            <w:tcW w:w="740" w:type="dxa"/>
            <w:vAlign w:val="bottom"/>
          </w:tcPr>
          <w:p>
            <w:pPr>
              <w:spacing w:after="0"/>
              <w:rPr>
                <w:sz w:val="24"/>
                <w:szCs w:val="24"/>
                <w:color w:val="auto"/>
              </w:rPr>
            </w:pPr>
          </w:p>
        </w:tc>
        <w:tc>
          <w:tcPr>
            <w:tcW w:w="8440" w:type="dxa"/>
            <w:vAlign w:val="bottom"/>
          </w:tcPr>
          <w:p>
            <w:pPr>
              <w:jc w:val="center"/>
              <w:ind w:left="1370"/>
              <w:spacing w:after="0"/>
              <w:rPr>
                <w:sz w:val="20"/>
                <w:szCs w:val="20"/>
                <w:color w:val="auto"/>
              </w:rPr>
            </w:pPr>
            <w:r>
              <w:rPr>
                <w:rFonts w:ascii="Arial" w:cs="Arial" w:eastAsia="Arial" w:hAnsi="Arial"/>
                <w:sz w:val="18"/>
                <w:szCs w:val="18"/>
                <w:color w:val="auto"/>
              </w:rPr>
              <w:t>ARTICLE VIII</w:t>
            </w:r>
          </w:p>
        </w:tc>
        <w:tc>
          <w:tcPr>
            <w:tcW w:w="2180" w:type="dxa"/>
            <w:vAlign w:val="bottom"/>
          </w:tcPr>
          <w:p>
            <w:pPr>
              <w:spacing w:after="0"/>
              <w:rPr>
                <w:sz w:val="24"/>
                <w:szCs w:val="24"/>
                <w:color w:val="auto"/>
              </w:rPr>
            </w:pPr>
          </w:p>
        </w:tc>
      </w:tr>
      <w:tr>
        <w:trPr>
          <w:trHeight w:val="230"/>
        </w:trPr>
        <w:tc>
          <w:tcPr>
            <w:tcW w:w="740" w:type="dxa"/>
            <w:vAlign w:val="bottom"/>
          </w:tcPr>
          <w:p>
            <w:pPr>
              <w:spacing w:after="0"/>
              <w:rPr>
                <w:sz w:val="20"/>
                <w:szCs w:val="20"/>
                <w:color w:val="auto"/>
              </w:rPr>
            </w:pPr>
          </w:p>
        </w:tc>
        <w:tc>
          <w:tcPr>
            <w:tcW w:w="8440" w:type="dxa"/>
            <w:vAlign w:val="bottom"/>
          </w:tcPr>
          <w:p>
            <w:pPr>
              <w:jc w:val="center"/>
              <w:ind w:left="1370"/>
              <w:spacing w:after="0"/>
              <w:rPr>
                <w:sz w:val="20"/>
                <w:szCs w:val="20"/>
                <w:color w:val="auto"/>
              </w:rPr>
            </w:pPr>
            <w:r>
              <w:rPr>
                <w:rFonts w:ascii="Arial" w:cs="Arial" w:eastAsia="Arial" w:hAnsi="Arial"/>
                <w:sz w:val="18"/>
                <w:szCs w:val="18"/>
                <w:color w:val="auto"/>
                <w:w w:val="96"/>
              </w:rPr>
              <w:t>EVENTS OF DEFAULT AND REMEDIES</w:t>
            </w:r>
          </w:p>
        </w:tc>
        <w:tc>
          <w:tcPr>
            <w:tcW w:w="2180" w:type="dxa"/>
            <w:vAlign w:val="bottom"/>
          </w:tcPr>
          <w:p>
            <w:pPr>
              <w:spacing w:after="0"/>
              <w:rPr>
                <w:sz w:val="20"/>
                <w:szCs w:val="20"/>
                <w:color w:val="auto"/>
              </w:rPr>
            </w:pPr>
          </w:p>
        </w:tc>
      </w:tr>
      <w:tr>
        <w:trPr>
          <w:trHeight w:val="310"/>
        </w:trPr>
        <w:tc>
          <w:tcPr>
            <w:tcW w:w="740" w:type="dxa"/>
            <w:vAlign w:val="bottom"/>
          </w:tcPr>
          <w:p>
            <w:pPr>
              <w:spacing w:after="0"/>
              <w:rPr>
                <w:sz w:val="20"/>
                <w:szCs w:val="20"/>
                <w:color w:val="auto"/>
              </w:rPr>
            </w:pPr>
            <w:r>
              <w:rPr>
                <w:rFonts w:ascii="Arial" w:cs="Arial" w:eastAsia="Arial" w:hAnsi="Arial"/>
                <w:sz w:val="18"/>
                <w:szCs w:val="18"/>
                <w:color w:val="auto"/>
              </w:rPr>
              <w:t>8.01.</w:t>
            </w:r>
          </w:p>
        </w:tc>
        <w:tc>
          <w:tcPr>
            <w:tcW w:w="8440" w:type="dxa"/>
            <w:vAlign w:val="bottom"/>
          </w:tcPr>
          <w:p>
            <w:pPr>
              <w:ind w:left="260"/>
              <w:spacing w:after="0"/>
              <w:rPr>
                <w:sz w:val="20"/>
                <w:szCs w:val="20"/>
                <w:color w:val="auto"/>
              </w:rPr>
            </w:pPr>
            <w:r>
              <w:rPr>
                <w:rFonts w:ascii="Arial" w:cs="Arial" w:eastAsia="Arial" w:hAnsi="Arial"/>
                <w:sz w:val="18"/>
                <w:szCs w:val="18"/>
                <w:color w:val="auto"/>
              </w:rPr>
              <w:t>Events of Default</w:t>
            </w:r>
          </w:p>
        </w:tc>
        <w:tc>
          <w:tcPr>
            <w:tcW w:w="21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8.02.</w:t>
            </w:r>
          </w:p>
        </w:tc>
        <w:tc>
          <w:tcPr>
            <w:tcW w:w="8440" w:type="dxa"/>
            <w:vAlign w:val="bottom"/>
          </w:tcPr>
          <w:p>
            <w:pPr>
              <w:ind w:left="260"/>
              <w:spacing w:after="0"/>
              <w:rPr>
                <w:sz w:val="20"/>
                <w:szCs w:val="20"/>
                <w:color w:val="auto"/>
              </w:rPr>
            </w:pPr>
            <w:r>
              <w:rPr>
                <w:rFonts w:ascii="Arial" w:cs="Arial" w:eastAsia="Arial" w:hAnsi="Arial"/>
                <w:sz w:val="18"/>
                <w:szCs w:val="18"/>
                <w:color w:val="auto"/>
              </w:rPr>
              <w:t>Remedies upon Event of Default</w:t>
            </w:r>
          </w:p>
        </w:tc>
        <w:tc>
          <w:tcPr>
            <w:tcW w:w="21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8.03.</w:t>
            </w:r>
          </w:p>
        </w:tc>
        <w:tc>
          <w:tcPr>
            <w:tcW w:w="8440" w:type="dxa"/>
            <w:vAlign w:val="bottom"/>
          </w:tcPr>
          <w:p>
            <w:pPr>
              <w:ind w:left="260"/>
              <w:spacing w:after="0"/>
              <w:rPr>
                <w:sz w:val="20"/>
                <w:szCs w:val="20"/>
                <w:color w:val="auto"/>
              </w:rPr>
            </w:pPr>
            <w:r>
              <w:rPr>
                <w:rFonts w:ascii="Arial" w:cs="Arial" w:eastAsia="Arial" w:hAnsi="Arial"/>
                <w:sz w:val="18"/>
                <w:szCs w:val="18"/>
                <w:color w:val="auto"/>
              </w:rPr>
              <w:t>Application of Funds</w:t>
            </w:r>
          </w:p>
        </w:tc>
        <w:tc>
          <w:tcPr>
            <w:tcW w:w="21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10"/>
        </w:trPr>
        <w:tc>
          <w:tcPr>
            <w:tcW w:w="740" w:type="dxa"/>
            <w:vAlign w:val="bottom"/>
          </w:tcPr>
          <w:p>
            <w:pPr>
              <w:spacing w:after="0"/>
              <w:rPr>
                <w:sz w:val="24"/>
                <w:szCs w:val="24"/>
                <w:color w:val="auto"/>
              </w:rPr>
            </w:pPr>
          </w:p>
        </w:tc>
        <w:tc>
          <w:tcPr>
            <w:tcW w:w="8440" w:type="dxa"/>
            <w:vAlign w:val="bottom"/>
          </w:tcPr>
          <w:p>
            <w:pPr>
              <w:jc w:val="center"/>
              <w:ind w:left="1370"/>
              <w:spacing w:after="0"/>
              <w:rPr>
                <w:sz w:val="20"/>
                <w:szCs w:val="20"/>
                <w:color w:val="auto"/>
              </w:rPr>
            </w:pPr>
            <w:r>
              <w:rPr>
                <w:rFonts w:ascii="Arial" w:cs="Arial" w:eastAsia="Arial" w:hAnsi="Arial"/>
                <w:sz w:val="18"/>
                <w:szCs w:val="18"/>
                <w:color w:val="auto"/>
                <w:w w:val="99"/>
              </w:rPr>
              <w:t>ARTICLE IX</w:t>
            </w:r>
          </w:p>
        </w:tc>
        <w:tc>
          <w:tcPr>
            <w:tcW w:w="2180" w:type="dxa"/>
            <w:vAlign w:val="bottom"/>
          </w:tcPr>
          <w:p>
            <w:pPr>
              <w:spacing w:after="0"/>
              <w:rPr>
                <w:sz w:val="24"/>
                <w:szCs w:val="24"/>
                <w:color w:val="auto"/>
              </w:rPr>
            </w:pPr>
          </w:p>
        </w:tc>
      </w:tr>
      <w:tr>
        <w:trPr>
          <w:trHeight w:val="230"/>
        </w:trPr>
        <w:tc>
          <w:tcPr>
            <w:tcW w:w="740" w:type="dxa"/>
            <w:vAlign w:val="bottom"/>
          </w:tcPr>
          <w:p>
            <w:pPr>
              <w:spacing w:after="0"/>
              <w:rPr>
                <w:sz w:val="20"/>
                <w:szCs w:val="20"/>
                <w:color w:val="auto"/>
              </w:rPr>
            </w:pPr>
          </w:p>
        </w:tc>
        <w:tc>
          <w:tcPr>
            <w:tcW w:w="8440" w:type="dxa"/>
            <w:vAlign w:val="bottom"/>
          </w:tcPr>
          <w:p>
            <w:pPr>
              <w:jc w:val="center"/>
              <w:ind w:left="1370"/>
              <w:spacing w:after="0"/>
              <w:rPr>
                <w:sz w:val="20"/>
                <w:szCs w:val="20"/>
                <w:color w:val="auto"/>
              </w:rPr>
            </w:pPr>
            <w:r>
              <w:rPr>
                <w:rFonts w:ascii="Arial" w:cs="Arial" w:eastAsia="Arial" w:hAnsi="Arial"/>
                <w:sz w:val="18"/>
                <w:szCs w:val="18"/>
                <w:color w:val="auto"/>
                <w:w w:val="99"/>
              </w:rPr>
              <w:t>ADMINISTRATIVE AGENT</w:t>
            </w:r>
          </w:p>
        </w:tc>
        <w:tc>
          <w:tcPr>
            <w:tcW w:w="2180" w:type="dxa"/>
            <w:vAlign w:val="bottom"/>
          </w:tcPr>
          <w:p>
            <w:pPr>
              <w:spacing w:after="0"/>
              <w:rPr>
                <w:sz w:val="20"/>
                <w:szCs w:val="20"/>
                <w:color w:val="auto"/>
              </w:rPr>
            </w:pPr>
          </w:p>
        </w:tc>
      </w:tr>
      <w:tr>
        <w:trPr>
          <w:trHeight w:val="310"/>
        </w:trPr>
        <w:tc>
          <w:tcPr>
            <w:tcW w:w="740" w:type="dxa"/>
            <w:vAlign w:val="bottom"/>
          </w:tcPr>
          <w:p>
            <w:pPr>
              <w:spacing w:after="0"/>
              <w:rPr>
                <w:sz w:val="20"/>
                <w:szCs w:val="20"/>
                <w:color w:val="auto"/>
              </w:rPr>
            </w:pPr>
            <w:r>
              <w:rPr>
                <w:rFonts w:ascii="Arial" w:cs="Arial" w:eastAsia="Arial" w:hAnsi="Arial"/>
                <w:sz w:val="18"/>
                <w:szCs w:val="18"/>
                <w:color w:val="auto"/>
              </w:rPr>
              <w:t>9.01.</w:t>
            </w:r>
          </w:p>
        </w:tc>
        <w:tc>
          <w:tcPr>
            <w:tcW w:w="8440" w:type="dxa"/>
            <w:vAlign w:val="bottom"/>
          </w:tcPr>
          <w:p>
            <w:pPr>
              <w:ind w:left="260"/>
              <w:spacing w:after="0"/>
              <w:rPr>
                <w:sz w:val="20"/>
                <w:szCs w:val="20"/>
                <w:color w:val="auto"/>
              </w:rPr>
            </w:pPr>
            <w:r>
              <w:rPr>
                <w:rFonts w:ascii="Arial" w:cs="Arial" w:eastAsia="Arial" w:hAnsi="Arial"/>
                <w:sz w:val="18"/>
                <w:szCs w:val="18"/>
                <w:color w:val="auto"/>
              </w:rPr>
              <w:t>Appointment of the Administrative Agent</w:t>
            </w:r>
          </w:p>
        </w:tc>
        <w:tc>
          <w:tcPr>
            <w:tcW w:w="21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9.02.</w:t>
            </w:r>
          </w:p>
        </w:tc>
        <w:tc>
          <w:tcPr>
            <w:tcW w:w="8440" w:type="dxa"/>
            <w:vAlign w:val="bottom"/>
          </w:tcPr>
          <w:p>
            <w:pPr>
              <w:ind w:left="260"/>
              <w:spacing w:after="0"/>
              <w:rPr>
                <w:sz w:val="20"/>
                <w:szCs w:val="20"/>
                <w:color w:val="auto"/>
              </w:rPr>
            </w:pPr>
            <w:r>
              <w:rPr>
                <w:rFonts w:ascii="Arial" w:cs="Arial" w:eastAsia="Arial" w:hAnsi="Arial"/>
                <w:sz w:val="18"/>
                <w:szCs w:val="18"/>
                <w:color w:val="auto"/>
              </w:rPr>
              <w:t>Nature of Duties of the Administrative Agent</w:t>
            </w:r>
          </w:p>
        </w:tc>
        <w:tc>
          <w:tcPr>
            <w:tcW w:w="21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9.03.</w:t>
            </w:r>
          </w:p>
        </w:tc>
        <w:tc>
          <w:tcPr>
            <w:tcW w:w="8440" w:type="dxa"/>
            <w:vAlign w:val="bottom"/>
          </w:tcPr>
          <w:p>
            <w:pPr>
              <w:ind w:left="260"/>
              <w:spacing w:after="0"/>
              <w:rPr>
                <w:sz w:val="20"/>
                <w:szCs w:val="20"/>
                <w:color w:val="auto"/>
              </w:rPr>
            </w:pPr>
            <w:r>
              <w:rPr>
                <w:rFonts w:ascii="Arial" w:cs="Arial" w:eastAsia="Arial" w:hAnsi="Arial"/>
                <w:sz w:val="18"/>
                <w:szCs w:val="18"/>
                <w:color w:val="auto"/>
              </w:rPr>
              <w:t>Lack of Reliance on the Administrative Agent</w:t>
            </w:r>
          </w:p>
        </w:tc>
        <w:tc>
          <w:tcPr>
            <w:tcW w:w="21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9.04.</w:t>
            </w:r>
          </w:p>
        </w:tc>
        <w:tc>
          <w:tcPr>
            <w:tcW w:w="8440" w:type="dxa"/>
            <w:vAlign w:val="bottom"/>
          </w:tcPr>
          <w:p>
            <w:pPr>
              <w:ind w:left="260"/>
              <w:spacing w:after="0"/>
              <w:rPr>
                <w:sz w:val="20"/>
                <w:szCs w:val="20"/>
                <w:color w:val="auto"/>
              </w:rPr>
            </w:pPr>
            <w:r>
              <w:rPr>
                <w:rFonts w:ascii="Arial" w:cs="Arial" w:eastAsia="Arial" w:hAnsi="Arial"/>
                <w:sz w:val="18"/>
                <w:szCs w:val="18"/>
                <w:color w:val="auto"/>
              </w:rPr>
              <w:t>Certain Rights of the Administrative Agent</w:t>
            </w:r>
          </w:p>
        </w:tc>
        <w:tc>
          <w:tcPr>
            <w:tcW w:w="21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9.05.</w:t>
            </w:r>
          </w:p>
        </w:tc>
        <w:tc>
          <w:tcPr>
            <w:tcW w:w="8440" w:type="dxa"/>
            <w:vAlign w:val="bottom"/>
          </w:tcPr>
          <w:p>
            <w:pPr>
              <w:ind w:left="260"/>
              <w:spacing w:after="0"/>
              <w:rPr>
                <w:sz w:val="20"/>
                <w:szCs w:val="20"/>
                <w:color w:val="auto"/>
              </w:rPr>
            </w:pPr>
            <w:r>
              <w:rPr>
                <w:rFonts w:ascii="Arial" w:cs="Arial" w:eastAsia="Arial" w:hAnsi="Arial"/>
                <w:sz w:val="18"/>
                <w:szCs w:val="18"/>
                <w:color w:val="auto"/>
              </w:rPr>
              <w:t>Reliance by the Administrative Agent</w:t>
            </w:r>
          </w:p>
        </w:tc>
        <w:tc>
          <w:tcPr>
            <w:tcW w:w="21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9.06.</w:t>
            </w:r>
          </w:p>
        </w:tc>
        <w:tc>
          <w:tcPr>
            <w:tcW w:w="8440" w:type="dxa"/>
            <w:vAlign w:val="bottom"/>
          </w:tcPr>
          <w:p>
            <w:pPr>
              <w:ind w:left="260"/>
              <w:spacing w:after="0"/>
              <w:rPr>
                <w:sz w:val="20"/>
                <w:szCs w:val="20"/>
                <w:color w:val="auto"/>
              </w:rPr>
            </w:pPr>
            <w:r>
              <w:rPr>
                <w:rFonts w:ascii="Arial" w:cs="Arial" w:eastAsia="Arial" w:hAnsi="Arial"/>
                <w:sz w:val="18"/>
                <w:szCs w:val="18"/>
                <w:color w:val="auto"/>
              </w:rPr>
              <w:t>The Administrative Agent in its Individual Capacity</w:t>
            </w:r>
          </w:p>
        </w:tc>
        <w:tc>
          <w:tcPr>
            <w:tcW w:w="21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9.07.</w:t>
            </w:r>
          </w:p>
        </w:tc>
        <w:tc>
          <w:tcPr>
            <w:tcW w:w="8440" w:type="dxa"/>
            <w:vAlign w:val="bottom"/>
          </w:tcPr>
          <w:p>
            <w:pPr>
              <w:ind w:left="260"/>
              <w:spacing w:after="0"/>
              <w:rPr>
                <w:sz w:val="20"/>
                <w:szCs w:val="20"/>
                <w:color w:val="auto"/>
              </w:rPr>
            </w:pPr>
            <w:r>
              <w:rPr>
                <w:rFonts w:ascii="Arial" w:cs="Arial" w:eastAsia="Arial" w:hAnsi="Arial"/>
                <w:sz w:val="18"/>
                <w:szCs w:val="18"/>
                <w:color w:val="auto"/>
              </w:rPr>
              <w:t>Successor Administrative Agent</w:t>
            </w:r>
          </w:p>
        </w:tc>
        <w:tc>
          <w:tcPr>
            <w:tcW w:w="21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9.08.</w:t>
            </w:r>
          </w:p>
        </w:tc>
        <w:tc>
          <w:tcPr>
            <w:tcW w:w="8440" w:type="dxa"/>
            <w:vAlign w:val="bottom"/>
          </w:tcPr>
          <w:p>
            <w:pPr>
              <w:ind w:left="260"/>
              <w:spacing w:after="0"/>
              <w:rPr>
                <w:sz w:val="20"/>
                <w:szCs w:val="20"/>
                <w:color w:val="auto"/>
              </w:rPr>
            </w:pPr>
            <w:r>
              <w:rPr>
                <w:rFonts w:ascii="Arial" w:cs="Arial" w:eastAsia="Arial" w:hAnsi="Arial"/>
                <w:sz w:val="18"/>
                <w:szCs w:val="18"/>
                <w:color w:val="auto"/>
              </w:rPr>
              <w:t>Withholding Tax</w:t>
            </w:r>
          </w:p>
        </w:tc>
        <w:tc>
          <w:tcPr>
            <w:tcW w:w="21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9.09.</w:t>
            </w:r>
          </w:p>
        </w:tc>
        <w:tc>
          <w:tcPr>
            <w:tcW w:w="8440" w:type="dxa"/>
            <w:vAlign w:val="bottom"/>
          </w:tcPr>
          <w:p>
            <w:pPr>
              <w:ind w:left="260"/>
              <w:spacing w:after="0"/>
              <w:rPr>
                <w:sz w:val="20"/>
                <w:szCs w:val="20"/>
                <w:color w:val="auto"/>
              </w:rPr>
            </w:pPr>
            <w:r>
              <w:rPr>
                <w:rFonts w:ascii="Arial" w:cs="Arial" w:eastAsia="Arial" w:hAnsi="Arial"/>
                <w:sz w:val="18"/>
                <w:szCs w:val="18"/>
                <w:color w:val="auto"/>
              </w:rPr>
              <w:t>The Administrative Agent May File Proofs of Claim; Credit Bidding</w:t>
            </w:r>
          </w:p>
        </w:tc>
        <w:tc>
          <w:tcPr>
            <w:tcW w:w="21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9.10.</w:t>
            </w:r>
          </w:p>
        </w:tc>
        <w:tc>
          <w:tcPr>
            <w:tcW w:w="8440" w:type="dxa"/>
            <w:vAlign w:val="bottom"/>
          </w:tcPr>
          <w:p>
            <w:pPr>
              <w:ind w:left="260"/>
              <w:spacing w:after="0"/>
              <w:rPr>
                <w:sz w:val="20"/>
                <w:szCs w:val="20"/>
                <w:color w:val="auto"/>
              </w:rPr>
            </w:pPr>
            <w:r>
              <w:rPr>
                <w:rFonts w:ascii="Arial" w:cs="Arial" w:eastAsia="Arial" w:hAnsi="Arial"/>
                <w:sz w:val="18"/>
                <w:szCs w:val="18"/>
                <w:color w:val="auto"/>
              </w:rPr>
              <w:t>Authorization to Execute Other Loan Documents</w:t>
            </w:r>
          </w:p>
        </w:tc>
        <w:tc>
          <w:tcPr>
            <w:tcW w:w="21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9.11.</w:t>
            </w:r>
          </w:p>
        </w:tc>
        <w:tc>
          <w:tcPr>
            <w:tcW w:w="8440" w:type="dxa"/>
            <w:vAlign w:val="bottom"/>
          </w:tcPr>
          <w:p>
            <w:pPr>
              <w:ind w:left="260"/>
              <w:spacing w:after="0"/>
              <w:rPr>
                <w:sz w:val="20"/>
                <w:szCs w:val="20"/>
                <w:color w:val="auto"/>
              </w:rPr>
            </w:pPr>
            <w:r>
              <w:rPr>
                <w:rFonts w:ascii="Arial" w:cs="Arial" w:eastAsia="Arial" w:hAnsi="Arial"/>
                <w:sz w:val="18"/>
                <w:szCs w:val="18"/>
                <w:color w:val="auto"/>
              </w:rPr>
              <w:t>Collateral and Guaranty Matters</w:t>
            </w:r>
          </w:p>
        </w:tc>
        <w:tc>
          <w:tcPr>
            <w:tcW w:w="21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9.12.</w:t>
            </w:r>
          </w:p>
        </w:tc>
        <w:tc>
          <w:tcPr>
            <w:tcW w:w="8440" w:type="dxa"/>
            <w:vAlign w:val="bottom"/>
          </w:tcPr>
          <w:p>
            <w:pPr>
              <w:ind w:left="260"/>
              <w:spacing w:after="0"/>
              <w:rPr>
                <w:sz w:val="20"/>
                <w:szCs w:val="20"/>
                <w:color w:val="auto"/>
              </w:rPr>
            </w:pPr>
            <w:r>
              <w:rPr>
                <w:rFonts w:ascii="Arial" w:cs="Arial" w:eastAsia="Arial" w:hAnsi="Arial"/>
                <w:sz w:val="18"/>
                <w:szCs w:val="18"/>
                <w:color w:val="auto"/>
              </w:rPr>
              <w:t>Documentation Agents; Syndication Agent</w:t>
            </w:r>
          </w:p>
        </w:tc>
        <w:tc>
          <w:tcPr>
            <w:tcW w:w="21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9.13.</w:t>
            </w:r>
          </w:p>
        </w:tc>
        <w:tc>
          <w:tcPr>
            <w:tcW w:w="8440" w:type="dxa"/>
            <w:vAlign w:val="bottom"/>
          </w:tcPr>
          <w:p>
            <w:pPr>
              <w:ind w:left="260"/>
              <w:spacing w:after="0"/>
              <w:rPr>
                <w:sz w:val="20"/>
                <w:szCs w:val="20"/>
                <w:color w:val="auto"/>
              </w:rPr>
            </w:pPr>
            <w:r>
              <w:rPr>
                <w:rFonts w:ascii="Arial" w:cs="Arial" w:eastAsia="Arial" w:hAnsi="Arial"/>
                <w:sz w:val="18"/>
                <w:szCs w:val="18"/>
                <w:color w:val="auto"/>
              </w:rPr>
              <w:t>Right to Realize on Collateral and Enforce Guarantee</w:t>
            </w:r>
          </w:p>
        </w:tc>
        <w:tc>
          <w:tcPr>
            <w:tcW w:w="21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9.14.</w:t>
            </w:r>
          </w:p>
        </w:tc>
        <w:tc>
          <w:tcPr>
            <w:tcW w:w="8440" w:type="dxa"/>
            <w:vAlign w:val="bottom"/>
          </w:tcPr>
          <w:p>
            <w:pPr>
              <w:ind w:left="260"/>
              <w:spacing w:after="0"/>
              <w:rPr>
                <w:sz w:val="20"/>
                <w:szCs w:val="20"/>
                <w:color w:val="auto"/>
              </w:rPr>
            </w:pPr>
            <w:r>
              <w:rPr>
                <w:rFonts w:ascii="Arial" w:cs="Arial" w:eastAsia="Arial" w:hAnsi="Arial"/>
                <w:sz w:val="18"/>
                <w:szCs w:val="18"/>
                <w:color w:val="auto"/>
              </w:rPr>
              <w:t>[Reserved]</w:t>
            </w:r>
          </w:p>
        </w:tc>
        <w:tc>
          <w:tcPr>
            <w:tcW w:w="21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9.15.</w:t>
            </w:r>
          </w:p>
        </w:tc>
        <w:tc>
          <w:tcPr>
            <w:tcW w:w="8440" w:type="dxa"/>
            <w:vAlign w:val="bottom"/>
          </w:tcPr>
          <w:p>
            <w:pPr>
              <w:ind w:left="260"/>
              <w:spacing w:after="0"/>
              <w:rPr>
                <w:sz w:val="20"/>
                <w:szCs w:val="20"/>
                <w:color w:val="auto"/>
              </w:rPr>
            </w:pPr>
            <w:r>
              <w:rPr>
                <w:rFonts w:ascii="Arial" w:cs="Arial" w:eastAsia="Arial" w:hAnsi="Arial"/>
                <w:sz w:val="18"/>
                <w:szCs w:val="18"/>
                <w:color w:val="auto"/>
              </w:rPr>
              <w:t>Certain ERISA Matters</w:t>
            </w:r>
          </w:p>
        </w:tc>
        <w:tc>
          <w:tcPr>
            <w:tcW w:w="21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10"/>
        </w:trPr>
        <w:tc>
          <w:tcPr>
            <w:tcW w:w="740" w:type="dxa"/>
            <w:vAlign w:val="bottom"/>
          </w:tcPr>
          <w:p>
            <w:pPr>
              <w:spacing w:after="0"/>
              <w:rPr>
                <w:sz w:val="24"/>
                <w:szCs w:val="24"/>
                <w:color w:val="auto"/>
              </w:rPr>
            </w:pPr>
          </w:p>
        </w:tc>
        <w:tc>
          <w:tcPr>
            <w:tcW w:w="8440" w:type="dxa"/>
            <w:vAlign w:val="bottom"/>
          </w:tcPr>
          <w:p>
            <w:pPr>
              <w:jc w:val="center"/>
              <w:ind w:left="1350"/>
              <w:spacing w:after="0"/>
              <w:rPr>
                <w:sz w:val="20"/>
                <w:szCs w:val="20"/>
                <w:color w:val="auto"/>
              </w:rPr>
            </w:pPr>
            <w:r>
              <w:rPr>
                <w:rFonts w:ascii="Arial" w:cs="Arial" w:eastAsia="Arial" w:hAnsi="Arial"/>
                <w:sz w:val="18"/>
                <w:szCs w:val="18"/>
                <w:color w:val="auto"/>
                <w:w w:val="98"/>
              </w:rPr>
              <w:t>ARTICLE X</w:t>
            </w:r>
          </w:p>
        </w:tc>
        <w:tc>
          <w:tcPr>
            <w:tcW w:w="2180" w:type="dxa"/>
            <w:vAlign w:val="bottom"/>
          </w:tcPr>
          <w:p>
            <w:pPr>
              <w:spacing w:after="0"/>
              <w:rPr>
                <w:sz w:val="24"/>
                <w:szCs w:val="24"/>
                <w:color w:val="auto"/>
              </w:rPr>
            </w:pPr>
          </w:p>
        </w:tc>
      </w:tr>
      <w:tr>
        <w:trPr>
          <w:trHeight w:val="230"/>
        </w:trPr>
        <w:tc>
          <w:tcPr>
            <w:tcW w:w="740" w:type="dxa"/>
            <w:vAlign w:val="bottom"/>
          </w:tcPr>
          <w:p>
            <w:pPr>
              <w:spacing w:after="0"/>
              <w:rPr>
                <w:sz w:val="20"/>
                <w:szCs w:val="20"/>
                <w:color w:val="auto"/>
              </w:rPr>
            </w:pPr>
          </w:p>
        </w:tc>
        <w:tc>
          <w:tcPr>
            <w:tcW w:w="8440" w:type="dxa"/>
            <w:vAlign w:val="bottom"/>
          </w:tcPr>
          <w:p>
            <w:pPr>
              <w:jc w:val="center"/>
              <w:ind w:left="1370"/>
              <w:spacing w:after="0"/>
              <w:rPr>
                <w:sz w:val="20"/>
                <w:szCs w:val="20"/>
                <w:color w:val="auto"/>
              </w:rPr>
            </w:pPr>
            <w:r>
              <w:rPr>
                <w:rFonts w:ascii="Arial" w:cs="Arial" w:eastAsia="Arial" w:hAnsi="Arial"/>
                <w:sz w:val="18"/>
                <w:szCs w:val="18"/>
                <w:color w:val="auto"/>
                <w:w w:val="97"/>
              </w:rPr>
              <w:t>MISCELLANEOUS</w:t>
            </w:r>
          </w:p>
        </w:tc>
        <w:tc>
          <w:tcPr>
            <w:tcW w:w="2180" w:type="dxa"/>
            <w:vAlign w:val="bottom"/>
          </w:tcPr>
          <w:p>
            <w:pPr>
              <w:spacing w:after="0"/>
              <w:rPr>
                <w:sz w:val="20"/>
                <w:szCs w:val="20"/>
                <w:color w:val="auto"/>
              </w:rPr>
            </w:pPr>
          </w:p>
        </w:tc>
      </w:tr>
      <w:tr>
        <w:trPr>
          <w:trHeight w:val="310"/>
        </w:trPr>
        <w:tc>
          <w:tcPr>
            <w:tcW w:w="740" w:type="dxa"/>
            <w:vAlign w:val="bottom"/>
          </w:tcPr>
          <w:p>
            <w:pPr>
              <w:spacing w:after="0"/>
              <w:rPr>
                <w:sz w:val="20"/>
                <w:szCs w:val="20"/>
                <w:color w:val="auto"/>
              </w:rPr>
            </w:pPr>
            <w:r>
              <w:rPr>
                <w:rFonts w:ascii="Arial" w:cs="Arial" w:eastAsia="Arial" w:hAnsi="Arial"/>
                <w:sz w:val="18"/>
                <w:szCs w:val="18"/>
                <w:color w:val="auto"/>
              </w:rPr>
              <w:t>10.01.</w:t>
            </w:r>
          </w:p>
        </w:tc>
        <w:tc>
          <w:tcPr>
            <w:tcW w:w="8440" w:type="dxa"/>
            <w:vAlign w:val="bottom"/>
          </w:tcPr>
          <w:p>
            <w:pPr>
              <w:ind w:left="260"/>
              <w:spacing w:after="0"/>
              <w:rPr>
                <w:sz w:val="20"/>
                <w:szCs w:val="20"/>
                <w:color w:val="auto"/>
              </w:rPr>
            </w:pPr>
            <w:r>
              <w:rPr>
                <w:rFonts w:ascii="Arial" w:cs="Arial" w:eastAsia="Arial" w:hAnsi="Arial"/>
                <w:sz w:val="18"/>
                <w:szCs w:val="18"/>
                <w:color w:val="auto"/>
              </w:rPr>
              <w:t>Amendments, Etc.</w:t>
            </w:r>
          </w:p>
        </w:tc>
        <w:tc>
          <w:tcPr>
            <w:tcW w:w="21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10.02.</w:t>
            </w:r>
          </w:p>
        </w:tc>
        <w:tc>
          <w:tcPr>
            <w:tcW w:w="8440" w:type="dxa"/>
            <w:vAlign w:val="bottom"/>
          </w:tcPr>
          <w:p>
            <w:pPr>
              <w:ind w:left="260"/>
              <w:spacing w:after="0"/>
              <w:rPr>
                <w:sz w:val="20"/>
                <w:szCs w:val="20"/>
                <w:color w:val="auto"/>
              </w:rPr>
            </w:pPr>
            <w:r>
              <w:rPr>
                <w:rFonts w:ascii="Arial" w:cs="Arial" w:eastAsia="Arial" w:hAnsi="Arial"/>
                <w:sz w:val="18"/>
                <w:szCs w:val="18"/>
                <w:color w:val="auto"/>
              </w:rPr>
              <w:t>Notices; Effectiveness; Electronic Communications</w:t>
            </w:r>
          </w:p>
        </w:tc>
        <w:tc>
          <w:tcPr>
            <w:tcW w:w="21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10.03.</w:t>
            </w:r>
          </w:p>
        </w:tc>
        <w:tc>
          <w:tcPr>
            <w:tcW w:w="8440" w:type="dxa"/>
            <w:vAlign w:val="bottom"/>
          </w:tcPr>
          <w:p>
            <w:pPr>
              <w:ind w:left="260"/>
              <w:spacing w:after="0"/>
              <w:rPr>
                <w:sz w:val="20"/>
                <w:szCs w:val="20"/>
                <w:color w:val="auto"/>
              </w:rPr>
            </w:pPr>
            <w:r>
              <w:rPr>
                <w:rFonts w:ascii="Arial" w:cs="Arial" w:eastAsia="Arial" w:hAnsi="Arial"/>
                <w:sz w:val="18"/>
                <w:szCs w:val="18"/>
                <w:color w:val="auto"/>
              </w:rPr>
              <w:t>No Waiver; Cumulative Remedies; Enforcement</w:t>
            </w:r>
          </w:p>
        </w:tc>
        <w:tc>
          <w:tcPr>
            <w:tcW w:w="21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10.04.</w:t>
            </w:r>
          </w:p>
        </w:tc>
        <w:tc>
          <w:tcPr>
            <w:tcW w:w="8440" w:type="dxa"/>
            <w:vAlign w:val="bottom"/>
          </w:tcPr>
          <w:p>
            <w:pPr>
              <w:ind w:left="260"/>
              <w:spacing w:after="0"/>
              <w:rPr>
                <w:sz w:val="20"/>
                <w:szCs w:val="20"/>
                <w:color w:val="auto"/>
              </w:rPr>
            </w:pPr>
            <w:r>
              <w:rPr>
                <w:rFonts w:ascii="Arial" w:cs="Arial" w:eastAsia="Arial" w:hAnsi="Arial"/>
                <w:sz w:val="18"/>
                <w:szCs w:val="18"/>
                <w:color w:val="auto"/>
              </w:rPr>
              <w:t>Expenses; Indemnity; Damage Waiver</w:t>
            </w:r>
          </w:p>
        </w:tc>
        <w:tc>
          <w:tcPr>
            <w:tcW w:w="21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10.05.</w:t>
            </w:r>
          </w:p>
        </w:tc>
        <w:tc>
          <w:tcPr>
            <w:tcW w:w="8440" w:type="dxa"/>
            <w:vAlign w:val="bottom"/>
          </w:tcPr>
          <w:p>
            <w:pPr>
              <w:ind w:left="260"/>
              <w:spacing w:after="0"/>
              <w:rPr>
                <w:sz w:val="20"/>
                <w:szCs w:val="20"/>
                <w:color w:val="auto"/>
              </w:rPr>
            </w:pPr>
            <w:r>
              <w:rPr>
                <w:rFonts w:ascii="Arial" w:cs="Arial" w:eastAsia="Arial" w:hAnsi="Arial"/>
                <w:sz w:val="18"/>
                <w:szCs w:val="18"/>
                <w:color w:val="auto"/>
              </w:rPr>
              <w:t>Payments Set Aside</w:t>
            </w:r>
          </w:p>
        </w:tc>
        <w:tc>
          <w:tcPr>
            <w:tcW w:w="21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10.06.</w:t>
            </w:r>
          </w:p>
        </w:tc>
        <w:tc>
          <w:tcPr>
            <w:tcW w:w="8440" w:type="dxa"/>
            <w:vAlign w:val="bottom"/>
          </w:tcPr>
          <w:p>
            <w:pPr>
              <w:ind w:left="260"/>
              <w:spacing w:after="0"/>
              <w:rPr>
                <w:sz w:val="20"/>
                <w:szCs w:val="20"/>
                <w:color w:val="auto"/>
              </w:rPr>
            </w:pPr>
            <w:r>
              <w:rPr>
                <w:rFonts w:ascii="Arial" w:cs="Arial" w:eastAsia="Arial" w:hAnsi="Arial"/>
                <w:sz w:val="18"/>
                <w:szCs w:val="18"/>
                <w:color w:val="auto"/>
              </w:rPr>
              <w:t>Successors and Assigns</w:t>
            </w:r>
          </w:p>
        </w:tc>
        <w:tc>
          <w:tcPr>
            <w:tcW w:w="21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10.07.</w:t>
            </w:r>
          </w:p>
        </w:tc>
        <w:tc>
          <w:tcPr>
            <w:tcW w:w="8440" w:type="dxa"/>
            <w:vAlign w:val="bottom"/>
          </w:tcPr>
          <w:p>
            <w:pPr>
              <w:ind w:left="260"/>
              <w:spacing w:after="0"/>
              <w:rPr>
                <w:sz w:val="20"/>
                <w:szCs w:val="20"/>
                <w:color w:val="auto"/>
              </w:rPr>
            </w:pPr>
            <w:r>
              <w:rPr>
                <w:rFonts w:ascii="Arial" w:cs="Arial" w:eastAsia="Arial" w:hAnsi="Arial"/>
                <w:sz w:val="18"/>
                <w:szCs w:val="18"/>
                <w:color w:val="auto"/>
              </w:rPr>
              <w:t>Treatment of Certain Information; Confidentiality</w:t>
            </w:r>
          </w:p>
        </w:tc>
        <w:tc>
          <w:tcPr>
            <w:tcW w:w="21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10.08.</w:t>
            </w:r>
          </w:p>
        </w:tc>
        <w:tc>
          <w:tcPr>
            <w:tcW w:w="8440" w:type="dxa"/>
            <w:vAlign w:val="bottom"/>
          </w:tcPr>
          <w:p>
            <w:pPr>
              <w:ind w:left="260"/>
              <w:spacing w:after="0"/>
              <w:rPr>
                <w:sz w:val="20"/>
                <w:szCs w:val="20"/>
                <w:color w:val="auto"/>
              </w:rPr>
            </w:pPr>
            <w:r>
              <w:rPr>
                <w:rFonts w:ascii="Arial" w:cs="Arial" w:eastAsia="Arial" w:hAnsi="Arial"/>
                <w:sz w:val="18"/>
                <w:szCs w:val="18"/>
                <w:color w:val="auto"/>
              </w:rPr>
              <w:t>Right of Setoff</w:t>
            </w:r>
          </w:p>
        </w:tc>
        <w:tc>
          <w:tcPr>
            <w:tcW w:w="21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10.09.</w:t>
            </w:r>
          </w:p>
        </w:tc>
        <w:tc>
          <w:tcPr>
            <w:tcW w:w="8440" w:type="dxa"/>
            <w:vAlign w:val="bottom"/>
          </w:tcPr>
          <w:p>
            <w:pPr>
              <w:ind w:left="260"/>
              <w:spacing w:after="0"/>
              <w:rPr>
                <w:sz w:val="20"/>
                <w:szCs w:val="20"/>
                <w:color w:val="auto"/>
              </w:rPr>
            </w:pPr>
            <w:r>
              <w:rPr>
                <w:rFonts w:ascii="Arial" w:cs="Arial" w:eastAsia="Arial" w:hAnsi="Arial"/>
                <w:sz w:val="18"/>
                <w:szCs w:val="18"/>
                <w:color w:val="auto"/>
              </w:rPr>
              <w:t>Interest Rate Limitation</w:t>
            </w:r>
          </w:p>
        </w:tc>
        <w:tc>
          <w:tcPr>
            <w:tcW w:w="21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10.10.</w:t>
            </w:r>
          </w:p>
        </w:tc>
        <w:tc>
          <w:tcPr>
            <w:tcW w:w="8440" w:type="dxa"/>
            <w:vAlign w:val="bottom"/>
          </w:tcPr>
          <w:p>
            <w:pPr>
              <w:ind w:left="260"/>
              <w:spacing w:after="0"/>
              <w:rPr>
                <w:sz w:val="20"/>
                <w:szCs w:val="20"/>
                <w:color w:val="auto"/>
              </w:rPr>
            </w:pPr>
            <w:r>
              <w:rPr>
                <w:rFonts w:ascii="Arial" w:cs="Arial" w:eastAsia="Arial" w:hAnsi="Arial"/>
                <w:sz w:val="18"/>
                <w:szCs w:val="18"/>
                <w:color w:val="auto"/>
              </w:rPr>
              <w:t>Counterparts; Integration; Effectiveness</w:t>
            </w:r>
          </w:p>
        </w:tc>
        <w:tc>
          <w:tcPr>
            <w:tcW w:w="21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10.11.</w:t>
            </w:r>
          </w:p>
        </w:tc>
        <w:tc>
          <w:tcPr>
            <w:tcW w:w="8440" w:type="dxa"/>
            <w:vAlign w:val="bottom"/>
          </w:tcPr>
          <w:p>
            <w:pPr>
              <w:ind w:left="260"/>
              <w:spacing w:after="0"/>
              <w:rPr>
                <w:sz w:val="20"/>
                <w:szCs w:val="20"/>
                <w:color w:val="auto"/>
              </w:rPr>
            </w:pPr>
            <w:r>
              <w:rPr>
                <w:rFonts w:ascii="Arial" w:cs="Arial" w:eastAsia="Arial" w:hAnsi="Arial"/>
                <w:sz w:val="18"/>
                <w:szCs w:val="18"/>
                <w:color w:val="auto"/>
              </w:rPr>
              <w:t>Survival of Representations and Warranties</w:t>
            </w:r>
          </w:p>
        </w:tc>
        <w:tc>
          <w:tcPr>
            <w:tcW w:w="21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10.12.</w:t>
            </w:r>
          </w:p>
        </w:tc>
        <w:tc>
          <w:tcPr>
            <w:tcW w:w="8440" w:type="dxa"/>
            <w:vAlign w:val="bottom"/>
          </w:tcPr>
          <w:p>
            <w:pPr>
              <w:ind w:left="260"/>
              <w:spacing w:after="0"/>
              <w:rPr>
                <w:sz w:val="20"/>
                <w:szCs w:val="20"/>
                <w:color w:val="auto"/>
              </w:rPr>
            </w:pPr>
            <w:r>
              <w:rPr>
                <w:rFonts w:ascii="Arial" w:cs="Arial" w:eastAsia="Arial" w:hAnsi="Arial"/>
                <w:sz w:val="18"/>
                <w:szCs w:val="18"/>
                <w:color w:val="auto"/>
              </w:rPr>
              <w:t>Severability</w:t>
            </w:r>
          </w:p>
        </w:tc>
        <w:tc>
          <w:tcPr>
            <w:tcW w:w="21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10.13.</w:t>
            </w:r>
          </w:p>
        </w:tc>
        <w:tc>
          <w:tcPr>
            <w:tcW w:w="8440" w:type="dxa"/>
            <w:vAlign w:val="bottom"/>
          </w:tcPr>
          <w:p>
            <w:pPr>
              <w:ind w:left="260"/>
              <w:spacing w:after="0"/>
              <w:rPr>
                <w:sz w:val="20"/>
                <w:szCs w:val="20"/>
                <w:color w:val="auto"/>
              </w:rPr>
            </w:pPr>
            <w:r>
              <w:rPr>
                <w:rFonts w:ascii="Arial" w:cs="Arial" w:eastAsia="Arial" w:hAnsi="Arial"/>
                <w:sz w:val="18"/>
                <w:szCs w:val="18"/>
                <w:color w:val="auto"/>
              </w:rPr>
              <w:t>Replacement of Lenders</w:t>
            </w:r>
          </w:p>
        </w:tc>
        <w:tc>
          <w:tcPr>
            <w:tcW w:w="21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10.14.</w:t>
            </w:r>
          </w:p>
        </w:tc>
        <w:tc>
          <w:tcPr>
            <w:tcW w:w="8440" w:type="dxa"/>
            <w:vAlign w:val="bottom"/>
          </w:tcPr>
          <w:p>
            <w:pPr>
              <w:ind w:left="260"/>
              <w:spacing w:after="0"/>
              <w:rPr>
                <w:sz w:val="20"/>
                <w:szCs w:val="20"/>
                <w:color w:val="auto"/>
              </w:rPr>
            </w:pPr>
            <w:r>
              <w:rPr>
                <w:rFonts w:ascii="Arial" w:cs="Arial" w:eastAsia="Arial" w:hAnsi="Arial"/>
                <w:sz w:val="18"/>
                <w:szCs w:val="18"/>
                <w:color w:val="auto"/>
              </w:rPr>
              <w:t>Governing Law; Jurisdiction; Etc.</w:t>
            </w:r>
          </w:p>
        </w:tc>
        <w:tc>
          <w:tcPr>
            <w:tcW w:w="21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10.15.</w:t>
            </w:r>
          </w:p>
        </w:tc>
        <w:tc>
          <w:tcPr>
            <w:tcW w:w="8440" w:type="dxa"/>
            <w:vAlign w:val="bottom"/>
          </w:tcPr>
          <w:p>
            <w:pPr>
              <w:ind w:left="260"/>
              <w:spacing w:after="0"/>
              <w:rPr>
                <w:sz w:val="20"/>
                <w:szCs w:val="20"/>
                <w:color w:val="auto"/>
              </w:rPr>
            </w:pPr>
            <w:r>
              <w:rPr>
                <w:rFonts w:ascii="Arial" w:cs="Arial" w:eastAsia="Arial" w:hAnsi="Arial"/>
                <w:sz w:val="18"/>
                <w:szCs w:val="18"/>
                <w:color w:val="auto"/>
              </w:rPr>
              <w:t>WAIVER OF JURY TRIAL</w:t>
            </w:r>
          </w:p>
        </w:tc>
        <w:tc>
          <w:tcPr>
            <w:tcW w:w="2180" w:type="dxa"/>
            <w:vAlign w:val="bottom"/>
          </w:tcPr>
          <w:p>
            <w:pPr>
              <w:jc w:val="right"/>
              <w:spacing w:after="0"/>
              <w:rPr>
                <w:sz w:val="20"/>
                <w:szCs w:val="20"/>
                <w:color w:val="auto"/>
              </w:rPr>
            </w:pPr>
            <w:r>
              <w:rPr>
                <w:rFonts w:ascii="Arial" w:cs="Arial" w:eastAsia="Arial" w:hAnsi="Arial"/>
                <w:sz w:val="18"/>
                <w:szCs w:val="18"/>
                <w:color w:val="auto"/>
              </w:rPr>
              <w:t>93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60"/>
          </w:cols>
          <w:pgMar w:left="240" w:top="261" w:right="29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26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10.16.</w:t>
            </w:r>
          </w:p>
        </w:tc>
        <w:tc>
          <w:tcPr>
            <w:tcW w:w="8040" w:type="dxa"/>
            <w:vAlign w:val="bottom"/>
            <w:gridSpan w:val="2"/>
          </w:tcPr>
          <w:p>
            <w:pPr>
              <w:ind w:left="280"/>
              <w:spacing w:after="0"/>
              <w:rPr>
                <w:sz w:val="20"/>
                <w:szCs w:val="20"/>
                <w:color w:val="auto"/>
              </w:rPr>
            </w:pPr>
            <w:r>
              <w:rPr>
                <w:rFonts w:ascii="Arial" w:cs="Arial" w:eastAsia="Arial" w:hAnsi="Arial"/>
                <w:sz w:val="18"/>
                <w:szCs w:val="18"/>
                <w:color w:val="auto"/>
              </w:rPr>
              <w:t>No Advisory or Fiduciary Responsibility</w:t>
            </w:r>
          </w:p>
        </w:tc>
        <w:tc>
          <w:tcPr>
            <w:tcW w:w="26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10.17.</w:t>
            </w:r>
          </w:p>
        </w:tc>
        <w:tc>
          <w:tcPr>
            <w:tcW w:w="8040" w:type="dxa"/>
            <w:vAlign w:val="bottom"/>
            <w:gridSpan w:val="2"/>
          </w:tcPr>
          <w:p>
            <w:pPr>
              <w:ind w:left="280"/>
              <w:spacing w:after="0"/>
              <w:rPr>
                <w:sz w:val="20"/>
                <w:szCs w:val="20"/>
                <w:color w:val="auto"/>
              </w:rPr>
            </w:pPr>
            <w:r>
              <w:rPr>
                <w:rFonts w:ascii="Arial" w:cs="Arial" w:eastAsia="Arial" w:hAnsi="Arial"/>
                <w:sz w:val="18"/>
                <w:szCs w:val="18"/>
                <w:color w:val="auto"/>
              </w:rPr>
              <w:t>Electronic Execution of Assignments and Certain Other Documents</w:t>
            </w:r>
          </w:p>
        </w:tc>
        <w:tc>
          <w:tcPr>
            <w:tcW w:w="26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10.18.</w:t>
            </w:r>
          </w:p>
        </w:tc>
        <w:tc>
          <w:tcPr>
            <w:tcW w:w="8040" w:type="dxa"/>
            <w:vAlign w:val="bottom"/>
            <w:gridSpan w:val="2"/>
          </w:tcPr>
          <w:p>
            <w:pPr>
              <w:ind w:left="280"/>
              <w:spacing w:after="0"/>
              <w:rPr>
                <w:sz w:val="20"/>
                <w:szCs w:val="20"/>
                <w:color w:val="auto"/>
              </w:rPr>
            </w:pPr>
            <w:r>
              <w:rPr>
                <w:rFonts w:ascii="Arial" w:cs="Arial" w:eastAsia="Arial" w:hAnsi="Arial"/>
                <w:sz w:val="18"/>
                <w:szCs w:val="18"/>
                <w:color w:val="auto"/>
              </w:rPr>
              <w:t>USA PATRIOT Act</w:t>
            </w:r>
          </w:p>
        </w:tc>
        <w:tc>
          <w:tcPr>
            <w:tcW w:w="26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10.19.</w:t>
            </w:r>
          </w:p>
        </w:tc>
        <w:tc>
          <w:tcPr>
            <w:tcW w:w="8040" w:type="dxa"/>
            <w:vAlign w:val="bottom"/>
            <w:gridSpan w:val="2"/>
          </w:tcPr>
          <w:p>
            <w:pPr>
              <w:ind w:left="280"/>
              <w:spacing w:after="0"/>
              <w:rPr>
                <w:sz w:val="20"/>
                <w:szCs w:val="20"/>
                <w:color w:val="auto"/>
              </w:rPr>
            </w:pPr>
            <w:r>
              <w:rPr>
                <w:rFonts w:ascii="Arial" w:cs="Arial" w:eastAsia="Arial" w:hAnsi="Arial"/>
                <w:sz w:val="18"/>
                <w:szCs w:val="18"/>
                <w:color w:val="auto"/>
              </w:rPr>
              <w:t>Inconsistencies with Other Documents</w:t>
            </w:r>
          </w:p>
        </w:tc>
        <w:tc>
          <w:tcPr>
            <w:tcW w:w="26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10.20.</w:t>
            </w:r>
          </w:p>
        </w:tc>
        <w:tc>
          <w:tcPr>
            <w:tcW w:w="8040" w:type="dxa"/>
            <w:vAlign w:val="bottom"/>
            <w:gridSpan w:val="2"/>
          </w:tcPr>
          <w:p>
            <w:pPr>
              <w:ind w:left="280"/>
              <w:spacing w:after="0"/>
              <w:rPr>
                <w:sz w:val="20"/>
                <w:szCs w:val="20"/>
                <w:color w:val="auto"/>
              </w:rPr>
            </w:pPr>
            <w:r>
              <w:rPr>
                <w:rFonts w:ascii="Arial" w:cs="Arial" w:eastAsia="Arial" w:hAnsi="Arial"/>
                <w:sz w:val="18"/>
                <w:szCs w:val="18"/>
                <w:color w:val="auto"/>
              </w:rPr>
              <w:t>Acknowledgment and Consent to Bail-In of EEA Financial Institutions</w:t>
            </w:r>
          </w:p>
        </w:tc>
        <w:tc>
          <w:tcPr>
            <w:tcW w:w="26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432"/>
        </w:trPr>
        <w:tc>
          <w:tcPr>
            <w:tcW w:w="1620" w:type="dxa"/>
            <w:vAlign w:val="bottom"/>
            <w:gridSpan w:val="2"/>
          </w:tcPr>
          <w:p>
            <w:pPr>
              <w:spacing w:after="0"/>
              <w:rPr>
                <w:sz w:val="20"/>
                <w:szCs w:val="20"/>
                <w:color w:val="auto"/>
              </w:rPr>
            </w:pPr>
            <w:r>
              <w:rPr>
                <w:rFonts w:ascii="Arial" w:cs="Arial" w:eastAsia="Arial" w:hAnsi="Arial"/>
                <w:sz w:val="18"/>
                <w:szCs w:val="18"/>
                <w:color w:val="auto"/>
              </w:rPr>
              <w:t>SCHEDULES</w:t>
            </w:r>
          </w:p>
        </w:tc>
        <w:tc>
          <w:tcPr>
            <w:tcW w:w="714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310"/>
        </w:trPr>
        <w:tc>
          <w:tcPr>
            <w:tcW w:w="720" w:type="dxa"/>
            <w:vAlign w:val="bottom"/>
          </w:tcPr>
          <w:p>
            <w:pPr>
              <w:spacing w:after="0"/>
              <w:rPr>
                <w:sz w:val="24"/>
                <w:szCs w:val="24"/>
                <w:color w:val="auto"/>
              </w:rPr>
            </w:pPr>
          </w:p>
        </w:tc>
        <w:tc>
          <w:tcPr>
            <w:tcW w:w="900" w:type="dxa"/>
            <w:vAlign w:val="bottom"/>
          </w:tcPr>
          <w:p>
            <w:pPr>
              <w:ind w:left="260"/>
              <w:spacing w:after="0"/>
              <w:rPr>
                <w:sz w:val="20"/>
                <w:szCs w:val="20"/>
                <w:color w:val="auto"/>
              </w:rPr>
            </w:pPr>
            <w:r>
              <w:rPr>
                <w:rFonts w:ascii="Arial" w:cs="Arial" w:eastAsia="Arial" w:hAnsi="Arial"/>
                <w:sz w:val="18"/>
                <w:szCs w:val="18"/>
                <w:color w:val="auto"/>
              </w:rPr>
              <w:t>2.01</w:t>
            </w:r>
          </w:p>
        </w:tc>
        <w:tc>
          <w:tcPr>
            <w:tcW w:w="7140" w:type="dxa"/>
            <w:vAlign w:val="bottom"/>
          </w:tcPr>
          <w:p>
            <w:pPr>
              <w:ind w:left="220"/>
              <w:spacing w:after="0"/>
              <w:rPr>
                <w:sz w:val="20"/>
                <w:szCs w:val="20"/>
                <w:color w:val="auto"/>
              </w:rPr>
            </w:pPr>
            <w:r>
              <w:rPr>
                <w:rFonts w:ascii="Arial" w:cs="Arial" w:eastAsia="Arial" w:hAnsi="Arial"/>
                <w:sz w:val="18"/>
                <w:szCs w:val="18"/>
                <w:color w:val="auto"/>
              </w:rPr>
              <w:t>Commitments and Applicable Percentages</w:t>
            </w:r>
          </w:p>
        </w:tc>
        <w:tc>
          <w:tcPr>
            <w:tcW w:w="2600" w:type="dxa"/>
            <w:vAlign w:val="bottom"/>
          </w:tcPr>
          <w:p>
            <w:pPr>
              <w:spacing w:after="0"/>
              <w:rPr>
                <w:sz w:val="24"/>
                <w:szCs w:val="24"/>
                <w:color w:val="auto"/>
              </w:rPr>
            </w:pPr>
          </w:p>
        </w:tc>
      </w:tr>
      <w:tr>
        <w:trPr>
          <w:trHeight w:val="216"/>
        </w:trPr>
        <w:tc>
          <w:tcPr>
            <w:tcW w:w="720" w:type="dxa"/>
            <w:vAlign w:val="bottom"/>
          </w:tcPr>
          <w:p>
            <w:pPr>
              <w:spacing w:after="0"/>
              <w:rPr>
                <w:sz w:val="18"/>
                <w:szCs w:val="18"/>
                <w:color w:val="auto"/>
              </w:rPr>
            </w:pPr>
          </w:p>
        </w:tc>
        <w:tc>
          <w:tcPr>
            <w:tcW w:w="900" w:type="dxa"/>
            <w:vAlign w:val="bottom"/>
          </w:tcPr>
          <w:p>
            <w:pPr>
              <w:ind w:left="260"/>
              <w:spacing w:after="0"/>
              <w:rPr>
                <w:sz w:val="20"/>
                <w:szCs w:val="20"/>
                <w:color w:val="auto"/>
              </w:rPr>
            </w:pPr>
            <w:r>
              <w:rPr>
                <w:rFonts w:ascii="Arial" w:cs="Arial" w:eastAsia="Arial" w:hAnsi="Arial"/>
                <w:sz w:val="18"/>
                <w:szCs w:val="18"/>
                <w:color w:val="auto"/>
              </w:rPr>
              <w:t>5.01</w:t>
            </w:r>
          </w:p>
        </w:tc>
        <w:tc>
          <w:tcPr>
            <w:tcW w:w="7140" w:type="dxa"/>
            <w:vAlign w:val="bottom"/>
          </w:tcPr>
          <w:p>
            <w:pPr>
              <w:ind w:left="220"/>
              <w:spacing w:after="0"/>
              <w:rPr>
                <w:sz w:val="20"/>
                <w:szCs w:val="20"/>
                <w:color w:val="auto"/>
              </w:rPr>
            </w:pPr>
            <w:r>
              <w:rPr>
                <w:rFonts w:ascii="Arial" w:cs="Arial" w:eastAsia="Arial" w:hAnsi="Arial"/>
                <w:sz w:val="18"/>
                <w:szCs w:val="18"/>
                <w:color w:val="auto"/>
              </w:rPr>
              <w:t>Corporate Existence; Subsidiaries; Foreign Qualifications</w:t>
            </w:r>
          </w:p>
        </w:tc>
        <w:tc>
          <w:tcPr>
            <w:tcW w:w="260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900" w:type="dxa"/>
            <w:vAlign w:val="bottom"/>
          </w:tcPr>
          <w:p>
            <w:pPr>
              <w:ind w:left="260"/>
              <w:spacing w:after="0"/>
              <w:rPr>
                <w:sz w:val="20"/>
                <w:szCs w:val="20"/>
                <w:color w:val="auto"/>
              </w:rPr>
            </w:pPr>
            <w:r>
              <w:rPr>
                <w:rFonts w:ascii="Arial" w:cs="Arial" w:eastAsia="Arial" w:hAnsi="Arial"/>
                <w:sz w:val="18"/>
                <w:szCs w:val="18"/>
                <w:color w:val="auto"/>
              </w:rPr>
              <w:t>5.04</w:t>
            </w:r>
          </w:p>
        </w:tc>
        <w:tc>
          <w:tcPr>
            <w:tcW w:w="7140" w:type="dxa"/>
            <w:vAlign w:val="bottom"/>
          </w:tcPr>
          <w:p>
            <w:pPr>
              <w:ind w:left="220"/>
              <w:spacing w:after="0"/>
              <w:rPr>
                <w:sz w:val="20"/>
                <w:szCs w:val="20"/>
                <w:color w:val="auto"/>
              </w:rPr>
            </w:pPr>
            <w:r>
              <w:rPr>
                <w:rFonts w:ascii="Arial" w:cs="Arial" w:eastAsia="Arial" w:hAnsi="Arial"/>
                <w:sz w:val="18"/>
                <w:szCs w:val="18"/>
                <w:color w:val="auto"/>
              </w:rPr>
              <w:t>Litigation and Administrative Procedures</w:t>
            </w:r>
          </w:p>
        </w:tc>
        <w:tc>
          <w:tcPr>
            <w:tcW w:w="260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900" w:type="dxa"/>
            <w:vAlign w:val="bottom"/>
          </w:tcPr>
          <w:p>
            <w:pPr>
              <w:ind w:left="260"/>
              <w:spacing w:after="0"/>
              <w:rPr>
                <w:sz w:val="20"/>
                <w:szCs w:val="20"/>
                <w:color w:val="auto"/>
              </w:rPr>
            </w:pPr>
            <w:r>
              <w:rPr>
                <w:rFonts w:ascii="Arial" w:cs="Arial" w:eastAsia="Arial" w:hAnsi="Arial"/>
                <w:sz w:val="18"/>
                <w:szCs w:val="18"/>
                <w:color w:val="auto"/>
              </w:rPr>
              <w:t>5.05</w:t>
            </w:r>
          </w:p>
        </w:tc>
        <w:tc>
          <w:tcPr>
            <w:tcW w:w="7140" w:type="dxa"/>
            <w:vAlign w:val="bottom"/>
          </w:tcPr>
          <w:p>
            <w:pPr>
              <w:ind w:left="220"/>
              <w:spacing w:after="0"/>
              <w:rPr>
                <w:sz w:val="20"/>
                <w:szCs w:val="20"/>
                <w:color w:val="auto"/>
              </w:rPr>
            </w:pPr>
            <w:r>
              <w:rPr>
                <w:rFonts w:ascii="Arial" w:cs="Arial" w:eastAsia="Arial" w:hAnsi="Arial"/>
                <w:sz w:val="18"/>
                <w:szCs w:val="18"/>
                <w:color w:val="auto"/>
              </w:rPr>
              <w:t>Real Property</w:t>
            </w:r>
          </w:p>
        </w:tc>
        <w:tc>
          <w:tcPr>
            <w:tcW w:w="260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900" w:type="dxa"/>
            <w:vAlign w:val="bottom"/>
          </w:tcPr>
          <w:p>
            <w:pPr>
              <w:ind w:left="260"/>
              <w:spacing w:after="0"/>
              <w:rPr>
                <w:sz w:val="20"/>
                <w:szCs w:val="20"/>
                <w:color w:val="auto"/>
              </w:rPr>
            </w:pPr>
            <w:r>
              <w:rPr>
                <w:rFonts w:ascii="Arial" w:cs="Arial" w:eastAsia="Arial" w:hAnsi="Arial"/>
                <w:sz w:val="18"/>
                <w:szCs w:val="18"/>
                <w:color w:val="auto"/>
              </w:rPr>
              <w:t>5.09</w:t>
            </w:r>
          </w:p>
        </w:tc>
        <w:tc>
          <w:tcPr>
            <w:tcW w:w="7140" w:type="dxa"/>
            <w:vAlign w:val="bottom"/>
          </w:tcPr>
          <w:p>
            <w:pPr>
              <w:ind w:left="220"/>
              <w:spacing w:after="0"/>
              <w:rPr>
                <w:sz w:val="20"/>
                <w:szCs w:val="20"/>
                <w:color w:val="auto"/>
              </w:rPr>
            </w:pPr>
            <w:r>
              <w:rPr>
                <w:rFonts w:ascii="Arial" w:cs="Arial" w:eastAsia="Arial" w:hAnsi="Arial"/>
                <w:sz w:val="18"/>
                <w:szCs w:val="18"/>
                <w:color w:val="auto"/>
              </w:rPr>
              <w:t>Locations</w:t>
            </w:r>
          </w:p>
        </w:tc>
        <w:tc>
          <w:tcPr>
            <w:tcW w:w="260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900" w:type="dxa"/>
            <w:vAlign w:val="bottom"/>
          </w:tcPr>
          <w:p>
            <w:pPr>
              <w:ind w:left="260"/>
              <w:spacing w:after="0"/>
              <w:rPr>
                <w:sz w:val="20"/>
                <w:szCs w:val="20"/>
                <w:color w:val="auto"/>
              </w:rPr>
            </w:pPr>
            <w:r>
              <w:rPr>
                <w:rFonts w:ascii="Arial" w:cs="Arial" w:eastAsia="Arial" w:hAnsi="Arial"/>
                <w:sz w:val="18"/>
                <w:szCs w:val="18"/>
                <w:color w:val="auto"/>
              </w:rPr>
              <w:t>5.11</w:t>
            </w:r>
          </w:p>
        </w:tc>
        <w:tc>
          <w:tcPr>
            <w:tcW w:w="7140" w:type="dxa"/>
            <w:vAlign w:val="bottom"/>
          </w:tcPr>
          <w:p>
            <w:pPr>
              <w:ind w:left="220"/>
              <w:spacing w:after="0"/>
              <w:rPr>
                <w:sz w:val="20"/>
                <w:szCs w:val="20"/>
                <w:color w:val="auto"/>
              </w:rPr>
            </w:pPr>
            <w:r>
              <w:rPr>
                <w:rFonts w:ascii="Arial" w:cs="Arial" w:eastAsia="Arial" w:hAnsi="Arial"/>
                <w:sz w:val="18"/>
                <w:szCs w:val="18"/>
                <w:color w:val="auto"/>
              </w:rPr>
              <w:t>US Employee Benefit Plans; Foreign Pension and Benefit Plans</w:t>
            </w:r>
          </w:p>
        </w:tc>
        <w:tc>
          <w:tcPr>
            <w:tcW w:w="260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900" w:type="dxa"/>
            <w:vAlign w:val="bottom"/>
          </w:tcPr>
          <w:p>
            <w:pPr>
              <w:ind w:left="260"/>
              <w:spacing w:after="0"/>
              <w:rPr>
                <w:sz w:val="20"/>
                <w:szCs w:val="20"/>
                <w:color w:val="auto"/>
              </w:rPr>
            </w:pPr>
            <w:r>
              <w:rPr>
                <w:rFonts w:ascii="Arial" w:cs="Arial" w:eastAsia="Arial" w:hAnsi="Arial"/>
                <w:sz w:val="18"/>
                <w:szCs w:val="18"/>
                <w:color w:val="auto"/>
              </w:rPr>
              <w:t>5.16</w:t>
            </w:r>
          </w:p>
        </w:tc>
        <w:tc>
          <w:tcPr>
            <w:tcW w:w="7140" w:type="dxa"/>
            <w:vAlign w:val="bottom"/>
          </w:tcPr>
          <w:p>
            <w:pPr>
              <w:ind w:left="220"/>
              <w:spacing w:after="0"/>
              <w:rPr>
                <w:sz w:val="20"/>
                <w:szCs w:val="20"/>
                <w:color w:val="auto"/>
              </w:rPr>
            </w:pPr>
            <w:r>
              <w:rPr>
                <w:rFonts w:ascii="Arial" w:cs="Arial" w:eastAsia="Arial" w:hAnsi="Arial"/>
                <w:sz w:val="18"/>
                <w:szCs w:val="18"/>
                <w:color w:val="auto"/>
              </w:rPr>
              <w:t>Material Agreements</w:t>
            </w:r>
          </w:p>
        </w:tc>
        <w:tc>
          <w:tcPr>
            <w:tcW w:w="260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900" w:type="dxa"/>
            <w:vAlign w:val="bottom"/>
          </w:tcPr>
          <w:p>
            <w:pPr>
              <w:ind w:left="260"/>
              <w:spacing w:after="0"/>
              <w:rPr>
                <w:sz w:val="20"/>
                <w:szCs w:val="20"/>
                <w:color w:val="auto"/>
              </w:rPr>
            </w:pPr>
            <w:r>
              <w:rPr>
                <w:rFonts w:ascii="Arial" w:cs="Arial" w:eastAsia="Arial" w:hAnsi="Arial"/>
                <w:sz w:val="18"/>
                <w:szCs w:val="18"/>
                <w:color w:val="auto"/>
              </w:rPr>
              <w:t>5.17</w:t>
            </w:r>
          </w:p>
        </w:tc>
        <w:tc>
          <w:tcPr>
            <w:tcW w:w="7140" w:type="dxa"/>
            <w:vAlign w:val="bottom"/>
          </w:tcPr>
          <w:p>
            <w:pPr>
              <w:ind w:left="220"/>
              <w:spacing w:after="0"/>
              <w:rPr>
                <w:sz w:val="20"/>
                <w:szCs w:val="20"/>
                <w:color w:val="auto"/>
              </w:rPr>
            </w:pPr>
            <w:r>
              <w:rPr>
                <w:rFonts w:ascii="Arial" w:cs="Arial" w:eastAsia="Arial" w:hAnsi="Arial"/>
                <w:sz w:val="18"/>
                <w:szCs w:val="18"/>
                <w:color w:val="auto"/>
              </w:rPr>
              <w:t>Intellectual Property</w:t>
            </w:r>
          </w:p>
        </w:tc>
        <w:tc>
          <w:tcPr>
            <w:tcW w:w="260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900" w:type="dxa"/>
            <w:vAlign w:val="bottom"/>
          </w:tcPr>
          <w:p>
            <w:pPr>
              <w:ind w:left="260"/>
              <w:spacing w:after="0"/>
              <w:rPr>
                <w:sz w:val="20"/>
                <w:szCs w:val="20"/>
                <w:color w:val="auto"/>
              </w:rPr>
            </w:pPr>
            <w:r>
              <w:rPr>
                <w:rFonts w:ascii="Arial" w:cs="Arial" w:eastAsia="Arial" w:hAnsi="Arial"/>
                <w:sz w:val="18"/>
                <w:szCs w:val="18"/>
                <w:color w:val="auto"/>
              </w:rPr>
              <w:t>5.18</w:t>
            </w:r>
          </w:p>
        </w:tc>
        <w:tc>
          <w:tcPr>
            <w:tcW w:w="7140" w:type="dxa"/>
            <w:vAlign w:val="bottom"/>
          </w:tcPr>
          <w:p>
            <w:pPr>
              <w:ind w:left="220"/>
              <w:spacing w:after="0"/>
              <w:rPr>
                <w:sz w:val="20"/>
                <w:szCs w:val="20"/>
                <w:color w:val="auto"/>
              </w:rPr>
            </w:pPr>
            <w:r>
              <w:rPr>
                <w:rFonts w:ascii="Arial" w:cs="Arial" w:eastAsia="Arial" w:hAnsi="Arial"/>
                <w:sz w:val="18"/>
                <w:szCs w:val="18"/>
                <w:color w:val="auto"/>
              </w:rPr>
              <w:t>Insurance</w:t>
            </w:r>
          </w:p>
        </w:tc>
        <w:tc>
          <w:tcPr>
            <w:tcW w:w="260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900" w:type="dxa"/>
            <w:vAlign w:val="bottom"/>
          </w:tcPr>
          <w:p>
            <w:pPr>
              <w:ind w:left="260"/>
              <w:spacing w:after="0"/>
              <w:rPr>
                <w:sz w:val="20"/>
                <w:szCs w:val="20"/>
                <w:color w:val="auto"/>
              </w:rPr>
            </w:pPr>
            <w:r>
              <w:rPr>
                <w:rFonts w:ascii="Arial" w:cs="Arial" w:eastAsia="Arial" w:hAnsi="Arial"/>
                <w:sz w:val="18"/>
                <w:szCs w:val="18"/>
                <w:color w:val="auto"/>
              </w:rPr>
              <w:t>5.23</w:t>
            </w:r>
          </w:p>
        </w:tc>
        <w:tc>
          <w:tcPr>
            <w:tcW w:w="7140" w:type="dxa"/>
            <w:vAlign w:val="bottom"/>
          </w:tcPr>
          <w:p>
            <w:pPr>
              <w:ind w:left="220"/>
              <w:spacing w:after="0"/>
              <w:rPr>
                <w:sz w:val="20"/>
                <w:szCs w:val="20"/>
                <w:color w:val="auto"/>
              </w:rPr>
            </w:pPr>
            <w:r>
              <w:rPr>
                <w:rFonts w:ascii="Arial" w:cs="Arial" w:eastAsia="Arial" w:hAnsi="Arial"/>
                <w:sz w:val="18"/>
                <w:szCs w:val="18"/>
                <w:color w:val="auto"/>
              </w:rPr>
              <w:t>Deposit Accounts</w:t>
            </w:r>
          </w:p>
        </w:tc>
        <w:tc>
          <w:tcPr>
            <w:tcW w:w="260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900" w:type="dxa"/>
            <w:vAlign w:val="bottom"/>
          </w:tcPr>
          <w:p>
            <w:pPr>
              <w:ind w:left="260"/>
              <w:spacing w:after="0"/>
              <w:rPr>
                <w:sz w:val="20"/>
                <w:szCs w:val="20"/>
                <w:color w:val="auto"/>
              </w:rPr>
            </w:pPr>
            <w:r>
              <w:rPr>
                <w:rFonts w:ascii="Arial" w:cs="Arial" w:eastAsia="Arial" w:hAnsi="Arial"/>
                <w:sz w:val="18"/>
                <w:szCs w:val="18"/>
                <w:color w:val="auto"/>
              </w:rPr>
              <w:t>6.17</w:t>
            </w:r>
          </w:p>
        </w:tc>
        <w:tc>
          <w:tcPr>
            <w:tcW w:w="7140" w:type="dxa"/>
            <w:vAlign w:val="bottom"/>
          </w:tcPr>
          <w:p>
            <w:pPr>
              <w:ind w:left="220"/>
              <w:spacing w:after="0"/>
              <w:rPr>
                <w:sz w:val="20"/>
                <w:szCs w:val="20"/>
                <w:color w:val="auto"/>
              </w:rPr>
            </w:pPr>
            <w:r>
              <w:rPr>
                <w:rFonts w:ascii="Arial" w:cs="Arial" w:eastAsia="Arial" w:hAnsi="Arial"/>
                <w:sz w:val="18"/>
                <w:szCs w:val="18"/>
                <w:color w:val="auto"/>
              </w:rPr>
              <w:t>Post-Closing Matters</w:t>
            </w:r>
          </w:p>
        </w:tc>
        <w:tc>
          <w:tcPr>
            <w:tcW w:w="260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900" w:type="dxa"/>
            <w:vAlign w:val="bottom"/>
          </w:tcPr>
          <w:p>
            <w:pPr>
              <w:ind w:left="260"/>
              <w:spacing w:after="0"/>
              <w:rPr>
                <w:sz w:val="20"/>
                <w:szCs w:val="20"/>
                <w:color w:val="auto"/>
              </w:rPr>
            </w:pPr>
            <w:r>
              <w:rPr>
                <w:rFonts w:ascii="Arial" w:cs="Arial" w:eastAsia="Arial" w:hAnsi="Arial"/>
                <w:sz w:val="18"/>
                <w:szCs w:val="18"/>
                <w:color w:val="auto"/>
              </w:rPr>
              <w:t>7.01</w:t>
            </w:r>
          </w:p>
        </w:tc>
        <w:tc>
          <w:tcPr>
            <w:tcW w:w="7140" w:type="dxa"/>
            <w:vAlign w:val="bottom"/>
          </w:tcPr>
          <w:p>
            <w:pPr>
              <w:ind w:left="220"/>
              <w:spacing w:after="0"/>
              <w:rPr>
                <w:sz w:val="20"/>
                <w:szCs w:val="20"/>
                <w:color w:val="auto"/>
              </w:rPr>
            </w:pPr>
            <w:r>
              <w:rPr>
                <w:rFonts w:ascii="Arial" w:cs="Arial" w:eastAsia="Arial" w:hAnsi="Arial"/>
                <w:sz w:val="18"/>
                <w:szCs w:val="18"/>
                <w:color w:val="auto"/>
              </w:rPr>
              <w:t>Existing Liens</w:t>
            </w:r>
          </w:p>
        </w:tc>
        <w:tc>
          <w:tcPr>
            <w:tcW w:w="260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900" w:type="dxa"/>
            <w:vAlign w:val="bottom"/>
          </w:tcPr>
          <w:p>
            <w:pPr>
              <w:ind w:left="260"/>
              <w:spacing w:after="0"/>
              <w:rPr>
                <w:sz w:val="20"/>
                <w:szCs w:val="20"/>
                <w:color w:val="auto"/>
              </w:rPr>
            </w:pPr>
            <w:r>
              <w:rPr>
                <w:rFonts w:ascii="Arial" w:cs="Arial" w:eastAsia="Arial" w:hAnsi="Arial"/>
                <w:sz w:val="18"/>
                <w:szCs w:val="18"/>
                <w:color w:val="auto"/>
              </w:rPr>
              <w:t>7.02</w:t>
            </w:r>
          </w:p>
        </w:tc>
        <w:tc>
          <w:tcPr>
            <w:tcW w:w="7140" w:type="dxa"/>
            <w:vAlign w:val="bottom"/>
          </w:tcPr>
          <w:p>
            <w:pPr>
              <w:ind w:left="220"/>
              <w:spacing w:after="0"/>
              <w:rPr>
                <w:sz w:val="20"/>
                <w:szCs w:val="20"/>
                <w:color w:val="auto"/>
              </w:rPr>
            </w:pPr>
            <w:r>
              <w:rPr>
                <w:rFonts w:ascii="Arial" w:cs="Arial" w:eastAsia="Arial" w:hAnsi="Arial"/>
                <w:sz w:val="18"/>
                <w:szCs w:val="18"/>
                <w:color w:val="auto"/>
              </w:rPr>
              <w:t>Existing Indebtedness</w:t>
            </w:r>
          </w:p>
        </w:tc>
        <w:tc>
          <w:tcPr>
            <w:tcW w:w="260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900" w:type="dxa"/>
            <w:vAlign w:val="bottom"/>
          </w:tcPr>
          <w:p>
            <w:pPr>
              <w:ind w:left="260"/>
              <w:spacing w:after="0"/>
              <w:rPr>
                <w:sz w:val="20"/>
                <w:szCs w:val="20"/>
                <w:color w:val="auto"/>
              </w:rPr>
            </w:pPr>
            <w:r>
              <w:rPr>
                <w:rFonts w:ascii="Arial" w:cs="Arial" w:eastAsia="Arial" w:hAnsi="Arial"/>
                <w:sz w:val="18"/>
                <w:szCs w:val="18"/>
                <w:color w:val="auto"/>
              </w:rPr>
              <w:t>7.03</w:t>
            </w:r>
          </w:p>
        </w:tc>
        <w:tc>
          <w:tcPr>
            <w:tcW w:w="7140" w:type="dxa"/>
            <w:vAlign w:val="bottom"/>
          </w:tcPr>
          <w:p>
            <w:pPr>
              <w:ind w:left="220"/>
              <w:spacing w:after="0"/>
              <w:rPr>
                <w:sz w:val="20"/>
                <w:szCs w:val="20"/>
                <w:color w:val="auto"/>
              </w:rPr>
            </w:pPr>
            <w:r>
              <w:rPr>
                <w:rFonts w:ascii="Arial" w:cs="Arial" w:eastAsia="Arial" w:hAnsi="Arial"/>
                <w:sz w:val="18"/>
                <w:szCs w:val="18"/>
                <w:color w:val="auto"/>
              </w:rPr>
              <w:t>Existing Investments</w:t>
            </w:r>
          </w:p>
        </w:tc>
        <w:tc>
          <w:tcPr>
            <w:tcW w:w="2600" w:type="dxa"/>
            <w:vAlign w:val="bottom"/>
          </w:tcPr>
          <w:p>
            <w:pPr>
              <w:spacing w:after="0"/>
              <w:rPr>
                <w:sz w:val="18"/>
                <w:szCs w:val="18"/>
                <w:color w:val="auto"/>
              </w:rPr>
            </w:pPr>
          </w:p>
        </w:tc>
      </w:tr>
      <w:tr>
        <w:trPr>
          <w:trHeight w:val="230"/>
        </w:trPr>
        <w:tc>
          <w:tcPr>
            <w:tcW w:w="720" w:type="dxa"/>
            <w:vAlign w:val="bottom"/>
          </w:tcPr>
          <w:p>
            <w:pPr>
              <w:spacing w:after="0"/>
              <w:rPr>
                <w:sz w:val="20"/>
                <w:szCs w:val="20"/>
                <w:color w:val="auto"/>
              </w:rPr>
            </w:pPr>
          </w:p>
        </w:tc>
        <w:tc>
          <w:tcPr>
            <w:tcW w:w="900" w:type="dxa"/>
            <w:vAlign w:val="bottom"/>
          </w:tcPr>
          <w:p>
            <w:pPr>
              <w:ind w:left="260"/>
              <w:spacing w:after="0"/>
              <w:rPr>
                <w:sz w:val="20"/>
                <w:szCs w:val="20"/>
                <w:color w:val="auto"/>
              </w:rPr>
            </w:pPr>
            <w:r>
              <w:rPr>
                <w:rFonts w:ascii="Arial" w:cs="Arial" w:eastAsia="Arial" w:hAnsi="Arial"/>
                <w:sz w:val="18"/>
                <w:szCs w:val="18"/>
                <w:color w:val="auto"/>
              </w:rPr>
              <w:t>10.02</w:t>
            </w:r>
          </w:p>
        </w:tc>
        <w:tc>
          <w:tcPr>
            <w:tcW w:w="7140" w:type="dxa"/>
            <w:vAlign w:val="bottom"/>
          </w:tcPr>
          <w:p>
            <w:pPr>
              <w:ind w:left="220"/>
              <w:spacing w:after="0"/>
              <w:rPr>
                <w:sz w:val="20"/>
                <w:szCs w:val="20"/>
                <w:color w:val="auto"/>
              </w:rPr>
            </w:pPr>
            <w:r>
              <w:rPr>
                <w:rFonts w:ascii="Arial" w:cs="Arial" w:eastAsia="Arial" w:hAnsi="Arial"/>
                <w:sz w:val="18"/>
                <w:szCs w:val="18"/>
                <w:color w:val="auto"/>
              </w:rPr>
              <w:t>Administrative Agent’s Office, Certain Addresses for Notices</w:t>
            </w:r>
          </w:p>
        </w:tc>
        <w:tc>
          <w:tcPr>
            <w:tcW w:w="260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EXHIBITS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Form of</w:t>
      </w:r>
    </w:p>
    <w:p>
      <w:pPr>
        <w:spacing w:after="0" w:line="117" w:lineRule="exact"/>
        <w:rPr>
          <w:sz w:val="20"/>
          <w:szCs w:val="20"/>
          <w:color w:val="auto"/>
        </w:rPr>
      </w:pPr>
    </w:p>
    <w:p>
      <w:pPr>
        <w:ind w:left="1840" w:hanging="865"/>
        <w:spacing w:after="0"/>
        <w:tabs>
          <w:tab w:leader="none" w:pos="1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Committed Loan Notice</w:t>
      </w:r>
    </w:p>
    <w:p>
      <w:pPr>
        <w:spacing w:after="0" w:line="23" w:lineRule="exact"/>
        <w:rPr>
          <w:sz w:val="20"/>
          <w:szCs w:val="20"/>
          <w:color w:val="auto"/>
        </w:rPr>
      </w:pPr>
    </w:p>
    <w:p>
      <w:pPr>
        <w:ind w:left="1840" w:hanging="855"/>
        <w:spacing w:after="0"/>
        <w:tabs>
          <w:tab w:leader="none" w:pos="1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Term Note</w:t>
      </w:r>
    </w:p>
    <w:p>
      <w:pPr>
        <w:spacing w:after="0" w:line="9" w:lineRule="exact"/>
        <w:rPr>
          <w:sz w:val="20"/>
          <w:szCs w:val="20"/>
          <w:color w:val="auto"/>
        </w:rPr>
      </w:pPr>
    </w:p>
    <w:p>
      <w:pPr>
        <w:ind w:left="1840" w:hanging="855"/>
        <w:spacing w:after="0"/>
        <w:tabs>
          <w:tab w:leader="none" w:pos="1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Certificate</w:t>
      </w:r>
    </w:p>
    <w:p>
      <w:pPr>
        <w:spacing w:after="0" w:line="9" w:lineRule="exact"/>
        <w:rPr>
          <w:sz w:val="20"/>
          <w:szCs w:val="20"/>
          <w:color w:val="auto"/>
        </w:rPr>
      </w:pPr>
    </w:p>
    <w:p>
      <w:pPr>
        <w:ind w:left="1840" w:hanging="855"/>
        <w:spacing w:after="0"/>
        <w:tabs>
          <w:tab w:leader="none" w:pos="1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Assignment and Assumption</w:t>
      </w:r>
    </w:p>
    <w:p>
      <w:pPr>
        <w:spacing w:after="0" w:line="4"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Arial" w:cs="Arial" w:eastAsia="Arial" w:hAnsi="Arial"/>
                <w:sz w:val="18"/>
                <w:szCs w:val="18"/>
                <w:color w:val="auto"/>
              </w:rPr>
              <w:t>E-1</w:t>
            </w:r>
          </w:p>
        </w:tc>
        <w:tc>
          <w:tcPr>
            <w:tcW w:w="5520" w:type="dxa"/>
            <w:vAlign w:val="bottom"/>
          </w:tcPr>
          <w:p>
            <w:pPr>
              <w:ind w:left="300"/>
              <w:spacing w:after="0"/>
              <w:rPr>
                <w:sz w:val="20"/>
                <w:szCs w:val="20"/>
                <w:color w:val="auto"/>
              </w:rPr>
            </w:pPr>
            <w:r>
              <w:rPr>
                <w:rFonts w:ascii="Arial" w:cs="Arial" w:eastAsia="Arial" w:hAnsi="Arial"/>
                <w:sz w:val="18"/>
                <w:szCs w:val="18"/>
                <w:color w:val="auto"/>
                <w:w w:val="96"/>
              </w:rPr>
              <w:t>U.S. Tax Compliance Certificate (Non-Partnership Foreign Lenders)</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E-2</w:t>
            </w:r>
          </w:p>
        </w:tc>
        <w:tc>
          <w:tcPr>
            <w:tcW w:w="5520" w:type="dxa"/>
            <w:vAlign w:val="bottom"/>
          </w:tcPr>
          <w:p>
            <w:pPr>
              <w:ind w:left="300"/>
              <w:spacing w:after="0"/>
              <w:rPr>
                <w:sz w:val="20"/>
                <w:szCs w:val="20"/>
                <w:color w:val="auto"/>
              </w:rPr>
            </w:pPr>
            <w:r>
              <w:rPr>
                <w:rFonts w:ascii="Arial" w:cs="Arial" w:eastAsia="Arial" w:hAnsi="Arial"/>
                <w:sz w:val="18"/>
                <w:szCs w:val="18"/>
                <w:color w:val="auto"/>
                <w:w w:val="91"/>
              </w:rPr>
              <w:t>U.S. Tax Compliance Certificate (Non-Partnership Foreign Participants)</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E-3</w:t>
            </w:r>
          </w:p>
        </w:tc>
        <w:tc>
          <w:tcPr>
            <w:tcW w:w="5520" w:type="dxa"/>
            <w:vAlign w:val="bottom"/>
          </w:tcPr>
          <w:p>
            <w:pPr>
              <w:ind w:left="300"/>
              <w:spacing w:after="0"/>
              <w:rPr>
                <w:sz w:val="20"/>
                <w:szCs w:val="20"/>
                <w:color w:val="auto"/>
              </w:rPr>
            </w:pPr>
            <w:r>
              <w:rPr>
                <w:rFonts w:ascii="Arial" w:cs="Arial" w:eastAsia="Arial" w:hAnsi="Arial"/>
                <w:sz w:val="18"/>
                <w:szCs w:val="18"/>
                <w:color w:val="auto"/>
                <w:w w:val="98"/>
              </w:rPr>
              <w:t>U.S. Tax Compliance Certificate (Foreign Participant Partnerships)</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E-4</w:t>
            </w:r>
          </w:p>
        </w:tc>
        <w:tc>
          <w:tcPr>
            <w:tcW w:w="5520" w:type="dxa"/>
            <w:vAlign w:val="bottom"/>
          </w:tcPr>
          <w:p>
            <w:pPr>
              <w:ind w:left="300"/>
              <w:spacing w:after="0"/>
              <w:rPr>
                <w:sz w:val="20"/>
                <w:szCs w:val="20"/>
                <w:color w:val="auto"/>
              </w:rPr>
            </w:pPr>
            <w:r>
              <w:rPr>
                <w:rFonts w:ascii="Arial" w:cs="Arial" w:eastAsia="Arial" w:hAnsi="Arial"/>
                <w:sz w:val="18"/>
                <w:szCs w:val="18"/>
                <w:color w:val="auto"/>
              </w:rPr>
              <w:t>U.S. Tax Compliance Certificate (Foreign Lender Partnerships)</w:t>
            </w:r>
          </w:p>
        </w:tc>
      </w:tr>
    </w:tbl>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60"/>
          </w:cols>
          <w:pgMar w:left="240" w:top="261" w:right="299" w:bottom="1440" w:gutter="0" w:footer="0" w:header="0"/>
        </w:sectPr>
      </w:pPr>
    </w:p>
    <w:bookmarkStart w:id="28" w:name="page29"/>
    <w:bookmarkEnd w:id="28"/>
    <w:p>
      <w:pPr>
        <w:jc w:val="center"/>
        <w:ind w:right="-5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SECOND LIEN CREDIT AGREEMENT</w:t>
      </w:r>
    </w:p>
    <w:p>
      <w:pPr>
        <w:spacing w:after="0" w:line="225"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This SECOND LIEN CREDIT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May 7, 2018, among NN,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each lender from time to time party hereto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and each individually, a “</w:t>
      </w:r>
      <w:r>
        <w:rPr>
          <w:rFonts w:ascii="Arial" w:cs="Arial" w:eastAsia="Arial" w:hAnsi="Arial"/>
          <w:sz w:val="18"/>
          <w:szCs w:val="18"/>
          <w:u w:val="single" w:color="auto"/>
          <w:color w:val="auto"/>
        </w:rPr>
        <w:t>Lender</w:t>
      </w:r>
      <w:r>
        <w:rPr>
          <w:rFonts w:ascii="Arial" w:cs="Arial" w:eastAsia="Arial" w:hAnsi="Arial"/>
          <w:sz w:val="18"/>
          <w:szCs w:val="18"/>
          <w:color w:val="auto"/>
        </w:rPr>
        <w:t>”), and SUNTRUST BANK, as Administrative Agent.</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PRELIMINARY STATEMENTS</w:t>
      </w:r>
      <w:r>
        <w:rPr>
          <w:rFonts w:ascii="Arial" w:cs="Arial" w:eastAsia="Arial" w:hAnsi="Arial"/>
          <w:sz w:val="18"/>
          <w:szCs w:val="18"/>
          <w:color w:val="auto"/>
        </w:rPr>
        <w:t>:</w:t>
      </w:r>
    </w:p>
    <w:p>
      <w:pPr>
        <w:spacing w:after="0" w:line="225"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WHEREAS, the Borrower, Precision Engineered Products LLC, PMG Intermediate Holding Corporation (“</w:t>
      </w:r>
      <w:r>
        <w:rPr>
          <w:rFonts w:ascii="Arial" w:cs="Arial" w:eastAsia="Arial" w:hAnsi="Arial"/>
          <w:sz w:val="18"/>
          <w:szCs w:val="18"/>
          <w:u w:val="single" w:color="auto"/>
          <w:color w:val="auto"/>
        </w:rPr>
        <w:t>Target</w:t>
      </w:r>
      <w:r>
        <w:rPr>
          <w:rFonts w:ascii="Arial" w:cs="Arial" w:eastAsia="Arial" w:hAnsi="Arial"/>
          <w:sz w:val="18"/>
          <w:szCs w:val="18"/>
          <w:color w:val="auto"/>
        </w:rPr>
        <w:t>”) and Paragon Equity, LLC, the existing shareholder of the Target entered into the Stock Purchase Agreement, dated as of April 2, 2018 (the “</w:t>
      </w:r>
      <w:r>
        <w:rPr>
          <w:rFonts w:ascii="Arial" w:cs="Arial" w:eastAsia="Arial" w:hAnsi="Arial"/>
          <w:sz w:val="18"/>
          <w:szCs w:val="18"/>
          <w:u w:val="single" w:color="auto"/>
          <w:color w:val="auto"/>
        </w:rPr>
        <w:t>Paragon Purchase Agreement</w:t>
      </w:r>
      <w:r>
        <w:rPr>
          <w:rFonts w:ascii="Arial" w:cs="Arial" w:eastAsia="Arial" w:hAnsi="Arial"/>
          <w:sz w:val="18"/>
          <w:szCs w:val="18"/>
          <w:color w:val="auto"/>
        </w:rPr>
        <w:t>” and, the transactions contemplated thereby, the “</w:t>
      </w:r>
      <w:r>
        <w:rPr>
          <w:rFonts w:ascii="Arial" w:cs="Arial" w:eastAsia="Arial" w:hAnsi="Arial"/>
          <w:sz w:val="18"/>
          <w:szCs w:val="18"/>
          <w:u w:val="single" w:color="auto"/>
          <w:color w:val="auto"/>
        </w:rPr>
        <w:t>Paragon Acquisition</w:t>
      </w:r>
      <w:r>
        <w:rPr>
          <w:rFonts w:ascii="Arial" w:cs="Arial" w:eastAsia="Arial" w:hAnsi="Arial"/>
          <w:sz w:val="18"/>
          <w:szCs w:val="18"/>
          <w:color w:val="auto"/>
        </w:rPr>
        <w:t>”);.</w:t>
      </w:r>
    </w:p>
    <w:p>
      <w:pPr>
        <w:spacing w:after="0" w:line="181"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WHEREAS, the Borrower has requested that the Term Lenders provide Term Loans, which, on the Closing Date, shall be in an aggregate principal amount of $200,000,000, to the Borrower to finance in part the Paragon Acquisition, and the Term Lenders have indicated their willingness to lend on the terms and subject to the conditions set forth herein;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in consideration of the mutual covenants and agreements herein contained, the parties hereto covenant and agree as follows:</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DEFINITIONS AND ACCOUNTING TERMS</w:t>
      </w:r>
    </w:p>
    <w:p>
      <w:pPr>
        <w:spacing w:after="0" w:line="211"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auto"/>
        </w:rPr>
        <w:t>Defined Terms</w:t>
      </w:r>
      <w:r>
        <w:rPr>
          <w:rFonts w:ascii="Arial" w:cs="Arial" w:eastAsia="Arial" w:hAnsi="Arial"/>
          <w:sz w:val="16"/>
          <w:szCs w:val="16"/>
          <w:color w:val="auto"/>
        </w:rPr>
        <w:t>. As used in this Agreement, the following terms shall have the meanings set forth below:</w:t>
      </w:r>
    </w:p>
    <w:p>
      <w:pPr>
        <w:spacing w:after="0" w:line="225"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Acquisition</w:t>
      </w:r>
      <w:r>
        <w:rPr>
          <w:rFonts w:ascii="Arial" w:cs="Arial" w:eastAsia="Arial" w:hAnsi="Arial"/>
          <w:sz w:val="17"/>
          <w:szCs w:val="17"/>
          <w:color w:val="auto"/>
        </w:rPr>
        <w:t>” means any transaction or series of related transactions for the purpose of or resulting, directly or indirectly, in (a) the acquisition of all or substantially all of the assets of any Person, or any business or division of any Person, (b) the acquisition of in excess of 50% of the Equity Interests of any Person, or (c) the acquisition of another Person by a merger, consolidation, amalgamation or any other combination with such Person.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2.14(b)</w:t>
      </w:r>
      <w:r>
        <w:rPr>
          <w:rFonts w:ascii="Arial" w:cs="Arial" w:eastAsia="Arial" w:hAnsi="Arial"/>
          <w:sz w:val="18"/>
          <w:szCs w:val="18"/>
          <w:color w:val="auto"/>
        </w:rPr>
        <w:t>.</w:t>
      </w:r>
    </w:p>
    <w:p>
      <w:pPr>
        <w:spacing w:after="0" w:line="225" w:lineRule="exact"/>
        <w:rPr>
          <w:sz w:val="20"/>
          <w:szCs w:val="20"/>
          <w:color w:val="auto"/>
        </w:rPr>
      </w:pPr>
    </w:p>
    <w:p>
      <w:pPr>
        <w:ind w:right="10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SunTrust Bank in its capacity as administrative agent under any of the Loan Documents, or any successor administrative agent.</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means the Administrative Agent’s address and, as appropriate, account as set forth on </w:t>
      </w:r>
      <w:r>
        <w:rPr>
          <w:rFonts w:ascii="Arial" w:cs="Arial" w:eastAsia="Arial" w:hAnsi="Arial"/>
          <w:sz w:val="18"/>
          <w:szCs w:val="18"/>
          <w:u w:val="single" w:color="auto"/>
          <w:color w:val="auto"/>
        </w:rPr>
        <w:t>Schedule 10.02,</w:t>
      </w:r>
      <w:r>
        <w:rPr>
          <w:rFonts w:ascii="Arial" w:cs="Arial" w:eastAsia="Arial" w:hAnsi="Arial"/>
          <w:sz w:val="18"/>
          <w:szCs w:val="18"/>
          <w:color w:val="auto"/>
        </w:rPr>
        <w:t xml:space="preserve"> or such other address or account as the Administrative Agent may from time to time notify to the Borrower and the Lenders.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from time to time by the Administrative Agent.</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another Person that directly, or indirectly through one or more intermediaries, Controls or is Controlled by or is under common Control with the Person specified.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Commitments</w:t>
      </w:r>
      <w:r>
        <w:rPr>
          <w:rFonts w:ascii="Arial" w:cs="Arial" w:eastAsia="Arial" w:hAnsi="Arial"/>
          <w:sz w:val="18"/>
          <w:szCs w:val="18"/>
          <w:color w:val="auto"/>
        </w:rPr>
        <w:t>” means the Commitments of all the Lenders.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4 to First Lien Credit Agreement</w:t>
      </w:r>
      <w:r>
        <w:rPr>
          <w:rFonts w:ascii="Arial" w:cs="Arial" w:eastAsia="Arial" w:hAnsi="Arial"/>
          <w:sz w:val="18"/>
          <w:szCs w:val="18"/>
          <w:color w:val="auto"/>
        </w:rPr>
        <w:t>” means that certain Amendment No. 4 to Amended and Restated Credit Agreement, dated as of May 7, 2018, among, Borrower, the guarantors party thereto, the lenders signatory thereto, SunTrust Bank, as administrative agent under the First Lien Credit Agreement, and SunTrust Robinson Humphrey Inc., as sole lead arranger of such amendment.</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274" w:right="299" w:bottom="1440" w:gutter="0" w:footer="0" w:header="0"/>
        </w:sectPr>
      </w:pPr>
    </w:p>
    <w:bookmarkStart w:id="29" w:name="page30"/>
    <w:bookmarkEnd w:id="29"/>
    <w:p>
      <w:pPr>
        <w:ind w:right="8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the United States Foreign Corrupt Practices Act of 1977, the UK Bribery Act 2010, or other similar legislation in other jurisdictions.</w:t>
      </w:r>
    </w:p>
    <w:p>
      <w:pPr>
        <w:spacing w:after="0" w:line="17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Percentage</w:t>
      </w:r>
      <w:r>
        <w:rPr>
          <w:rFonts w:ascii="Arial" w:cs="Arial" w:eastAsia="Arial" w:hAnsi="Arial"/>
          <w:sz w:val="17"/>
          <w:szCs w:val="17"/>
          <w:color w:val="auto"/>
        </w:rPr>
        <w:t xml:space="preserve">” means, with respect to any Term Lender at any time, the percentage (carried out to the ninth decimal place) of the Term Facility represented by (i) such Term Lender’s Term Commitment at such time, subject to adjustment as provided in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the principal amount of such Term Lender’s Term Loans at such time. If the commitment of each Lender to make Loans has been terminated pursuant to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or if the Term Commitments have expired, then the Applicable Percentage of each Lender in respect of the Term Facility shall be determined based on the Applicable Percentage of such Lender in respect of the Term Facility most recently in effect, giving effect to any subsequent assignments. The initial Applicable Percentage of each Lender in respect of the Term Facility is set forth opposite the name of such Lender on </w:t>
      </w:r>
      <w:r>
        <w:rPr>
          <w:rFonts w:ascii="Arial" w:cs="Arial" w:eastAsia="Arial" w:hAnsi="Arial"/>
          <w:sz w:val="17"/>
          <w:szCs w:val="17"/>
          <w:u w:val="single" w:color="auto"/>
          <w:color w:val="auto"/>
        </w:rPr>
        <w:t>Schedule 2.01</w:t>
      </w:r>
      <w:r>
        <w:rPr>
          <w:rFonts w:ascii="Arial" w:cs="Arial" w:eastAsia="Arial" w:hAnsi="Arial"/>
          <w:sz w:val="17"/>
          <w:szCs w:val="17"/>
          <w:color w:val="auto"/>
        </w:rPr>
        <w:t xml:space="preserve"> or in the Assignment and Assumption pursuant to which such Lender becomes a party hereto, as applicable.</w:t>
      </w:r>
    </w:p>
    <w:p>
      <w:pPr>
        <w:spacing w:after="0" w:line="17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xml:space="preserve">” means, at any time, in respect of the Initial Term Facility, 7.00% per annum for Base Rate Loans and 8.00% per annum for Eurodollar Rate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Applicable Rate with respect to any Incremental Term Loans shall be determined in accordance with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Notwithstanding anything to the contrary contained in this definition, the determination of the Applicable Rate for any period shall be subject to the provisions of </w:t>
      </w:r>
      <w:r>
        <w:rPr>
          <w:rFonts w:ascii="Arial" w:cs="Arial" w:eastAsia="Arial" w:hAnsi="Arial"/>
          <w:sz w:val="18"/>
          <w:szCs w:val="18"/>
          <w:u w:val="single" w:color="auto"/>
          <w:color w:val="auto"/>
        </w:rPr>
        <w:t>Section 2.10(b)</w:t>
      </w:r>
      <w:r>
        <w:rPr>
          <w:rFonts w:ascii="Arial" w:cs="Arial" w:eastAsia="Arial" w:hAnsi="Arial"/>
          <w:sz w:val="18"/>
          <w:szCs w:val="18"/>
          <w:color w:val="auto"/>
        </w:rPr>
        <w: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Requirements</w:t>
      </w:r>
      <w:r>
        <w:rPr>
          <w:rFonts w:ascii="Arial" w:cs="Arial" w:eastAsia="Arial" w:hAnsi="Arial"/>
          <w:sz w:val="18"/>
          <w:szCs w:val="18"/>
          <w:color w:val="auto"/>
        </w:rPr>
        <w:t>” shall mean, in respect of any Indebtedness, that such Indebtedness satisfies the following requirements:</w:t>
      </w:r>
    </w:p>
    <w:p>
      <w:pPr>
        <w:spacing w:after="0" w:line="117" w:lineRule="exact"/>
        <w:rPr>
          <w:sz w:val="20"/>
          <w:szCs w:val="20"/>
          <w:color w:val="auto"/>
        </w:rPr>
      </w:pPr>
    </w:p>
    <w:p>
      <w:pPr>
        <w:ind w:left="460" w:right="720" w:firstLine="443"/>
        <w:spacing w:after="0" w:line="277" w:lineRule="auto"/>
        <w:tabs>
          <w:tab w:leader="none" w:pos="1278"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such Indebtedness shall not mature earlier than 91 days after the Latest Maturity Date of the Term Loans outstanding at the time of incurrence of such Indebtedness;</w:t>
      </w:r>
    </w:p>
    <w:p>
      <w:pPr>
        <w:spacing w:after="0" w:line="62" w:lineRule="exact"/>
        <w:rPr>
          <w:rFonts w:ascii="Arial" w:cs="Arial" w:eastAsia="Arial" w:hAnsi="Arial"/>
          <w:sz w:val="18"/>
          <w:szCs w:val="18"/>
          <w:color w:val="auto"/>
        </w:rPr>
      </w:pPr>
    </w:p>
    <w:p>
      <w:pPr>
        <w:ind w:left="460" w:right="380" w:firstLine="443"/>
        <w:spacing w:after="0" w:line="277" w:lineRule="auto"/>
        <w:tabs>
          <w:tab w:leader="none" w:pos="1288"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such Indebtedness shall have a weighted average life to maturity not shorter than the remaining weighted average life to maturity of the Term Loans outstanding at the time of incurrence of such Indebtedness;</w:t>
      </w:r>
    </w:p>
    <w:p>
      <w:pPr>
        <w:spacing w:after="0" w:line="62" w:lineRule="exact"/>
        <w:rPr>
          <w:rFonts w:ascii="Arial" w:cs="Arial" w:eastAsia="Arial" w:hAnsi="Arial"/>
          <w:sz w:val="18"/>
          <w:szCs w:val="18"/>
          <w:color w:val="auto"/>
        </w:rPr>
      </w:pPr>
    </w:p>
    <w:p>
      <w:pPr>
        <w:ind w:left="1280" w:hanging="377"/>
        <w:spacing w:after="0"/>
        <w:tabs>
          <w:tab w:leader="none" w:pos="12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such Indebtedness shall not be guaranteed by any Person other than any Loan Party and shall not have any obligors other than any Loan</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Party;</w:t>
      </w:r>
    </w:p>
    <w:p>
      <w:pPr>
        <w:spacing w:after="0" w:line="102" w:lineRule="exact"/>
        <w:rPr>
          <w:rFonts w:ascii="Arial" w:cs="Arial" w:eastAsia="Arial" w:hAnsi="Arial"/>
          <w:sz w:val="16"/>
          <w:szCs w:val="16"/>
          <w:color w:val="auto"/>
        </w:rPr>
      </w:pPr>
    </w:p>
    <w:p>
      <w:pPr>
        <w:ind w:left="460" w:firstLine="443"/>
        <w:spacing w:after="0" w:line="259" w:lineRule="auto"/>
        <w:tabs>
          <w:tab w:leader="none" w:pos="128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other terms and conditions of such Indebtedness (excluding pricing, fees, rate floors, premiums, optional prepayment or optional redemption provisions) are (i) not materially less favorable (when taken as a whole) to the Borrower and its Subsidiaries than those set forth in the Loan Documents (when taken as a whole) or (ii) on customary terms at the time of incurrence, except in each case for covenants or other provisions contained in such Indebtedness that are applicable only after the then Latest Maturity Date; and</w:t>
      </w:r>
    </w:p>
    <w:p>
      <w:pPr>
        <w:spacing w:after="0" w:line="78" w:lineRule="exact"/>
        <w:rPr>
          <w:rFonts w:ascii="Arial" w:cs="Arial" w:eastAsia="Arial" w:hAnsi="Arial"/>
          <w:sz w:val="18"/>
          <w:szCs w:val="18"/>
          <w:color w:val="auto"/>
        </w:rPr>
      </w:pPr>
    </w:p>
    <w:p>
      <w:pPr>
        <w:ind w:left="460" w:right="200" w:firstLine="443"/>
        <w:spacing w:after="0" w:line="277" w:lineRule="auto"/>
        <w:tabs>
          <w:tab w:leader="none" w:pos="1278"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holders of such Indebtedness may participate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or less than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(but not on a greater than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in any voluntary or mandatory prepayments of Term Loans then outstanding.”</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administered or managed by (a) a Lender, (b) an Affiliate of a Lender or (c) an entity or an Affiliate of an entity that administers or manages a Lender.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means SunTrust Robinson Humphrey, Inc., in its capacity as sole Lead Arranger and Bookrunner.</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Assignment and Assumption</w:t>
      </w:r>
      <w:r>
        <w:rPr>
          <w:rFonts w:ascii="Arial" w:cs="Arial" w:eastAsia="Arial" w:hAnsi="Arial"/>
          <w:sz w:val="17"/>
          <w:szCs w:val="17"/>
          <w:color w:val="auto"/>
        </w:rPr>
        <w:t xml:space="preserve">” means an assignment and assumption entered into by a Lender and an Eligible Assignee (with the consent of any party whose consent is required by </w:t>
      </w:r>
      <w:r>
        <w:rPr>
          <w:rFonts w:ascii="Arial" w:cs="Arial" w:eastAsia="Arial" w:hAnsi="Arial"/>
          <w:sz w:val="17"/>
          <w:szCs w:val="17"/>
          <w:u w:val="single" w:color="auto"/>
          <w:color w:val="auto"/>
        </w:rPr>
        <w:t>Section 10.06(b)</w:t>
      </w:r>
      <w:r>
        <w:rPr>
          <w:rFonts w:ascii="Arial" w:cs="Arial" w:eastAsia="Arial" w:hAnsi="Arial"/>
          <w:sz w:val="17"/>
          <w:szCs w:val="17"/>
          <w:color w:val="auto"/>
        </w:rPr>
        <w:t xml:space="preserve">), and accepted by the Administrative Agent, in substantially the form of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or any other form (including electronic documentation generated by use of an electronic platform) approved by the Administrative Agent.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30" w:name="page31"/>
    <w:bookmarkEnd w:id="30"/>
    <w:p>
      <w:pPr>
        <w:ind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Attributable Indebtedness</w:t>
      </w:r>
      <w:r>
        <w:rPr>
          <w:rFonts w:ascii="Arial" w:cs="Arial" w:eastAsia="Arial" w:hAnsi="Arial"/>
          <w:sz w:val="18"/>
          <w:szCs w:val="18"/>
          <w:color w:val="auto"/>
        </w:rPr>
        <w:t>” means, on any date, (a) in respect of any Capitalized Lease of any Person, the capitalized amount thereof that would appear on a balance sheet of such Person prepared as of such date in accordance with GAAP,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Capitalized Lease and (c) all Synthetic Debt of such Person.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Audited Financial Statements</w:t>
      </w:r>
      <w:r>
        <w:rPr>
          <w:rFonts w:ascii="Arial" w:cs="Arial" w:eastAsia="Arial" w:hAnsi="Arial"/>
          <w:sz w:val="17"/>
          <w:szCs w:val="17"/>
          <w:color w:val="auto"/>
        </w:rPr>
        <w:t>” means, collectively, the Borrower Audited Financial Statements and the Target Audited Financial Statements.</w:t>
      </w:r>
    </w:p>
    <w:p>
      <w:pPr>
        <w:spacing w:after="0" w:line="237"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xml:space="preserve">” means, (a) in respect of the Initial Term Facility, the Closing Date and (b) in respect of any Incremental Term Facility, as determined in accordance with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1"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w:t>
      </w:r>
      <w:r>
        <w:rPr>
          <w:rFonts w:ascii="Arial" w:cs="Arial" w:eastAsia="Arial" w:hAnsi="Arial"/>
          <w:sz w:val="18"/>
          <w:szCs w:val="18"/>
          <w:color w:val="auto"/>
        </w:rPr>
        <w:t xml:space="preserve">” shall mean the highest of (i) the rate which the Administrative Agent announces from time to time as its prime lending rate, as in effect from time to time, (ii) the Federal Funds Rate, as in effect from time to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one-half of one percent (0.50%)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and (iii) the Eurodollar Rate determined on a daily basis for an Interest Period of one (1) month,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one percent (1.00%)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(any changes in such rates to be effective as of the date of any change in such rate). The Administrative Agent’s prime lending rate is a reference rate and does not necessarily represent the lowest or best rate actually charged to any customer. The Administrative Agent may make commercial loans or other loans at rates of interest at, above, or below the Administrative Agent’s prime lending rate.</w:t>
      </w:r>
    </w:p>
    <w:p>
      <w:pPr>
        <w:spacing w:after="0" w:line="193"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a Term Loan that bears interest based on the Base Rate.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Audited Financial Statements</w:t>
      </w:r>
      <w:r>
        <w:rPr>
          <w:rFonts w:ascii="Arial" w:cs="Arial" w:eastAsia="Arial" w:hAnsi="Arial"/>
          <w:sz w:val="18"/>
          <w:szCs w:val="18"/>
          <w:color w:val="auto"/>
        </w:rPr>
        <w:t>” means the audited consolidated balance sheet of the Borrower and its Subsidiaries (but not including the Target and its Subsidiaries) for the fiscal year ended December 31, 2017, and the related consolidated statements of income or operations, shareholders’ equity and cash flows for such fiscal year of the Borrower and its Subsidiaries, including the notes thereto.</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Interim Financial Statements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4.01(a)(viii)</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Pro Forma Financial Statements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4.01(a)(x)</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Term Borrowing.</w:t>
      </w:r>
    </w:p>
    <w:p>
      <w:pPr>
        <w:spacing w:after="0" w:line="225"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other day on which commercial banks are authorized to close under the Laws of, or are in fact closed in, the state where the Administrative Agent’s Office is located and, if such day relates to any Eurodollar Rate Loan, means any such day that is also a London Banking Day.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1" w:name="page32"/>
    <w:bookmarkEnd w:id="31"/>
    <w:p>
      <w:pPr>
        <w:ind w:right="20"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Capital Distribution</w:t>
      </w:r>
      <w:r>
        <w:rPr>
          <w:rFonts w:ascii="Arial" w:cs="Arial" w:eastAsia="Arial" w:hAnsi="Arial"/>
          <w:sz w:val="18"/>
          <w:szCs w:val="18"/>
          <w:color w:val="auto"/>
        </w:rPr>
        <w:t>” means a payment made, liability incurred or other consideration given by the Borrower or any of its Subsidiaries, for the purchase, acquisition, redemption, repurchase, payment, defeasance, cancellation, termination or retirement of any capital stock or other Equity Interest of the Borrower or such Subsidiary, as applicable, or as a dividend, return of capital or other distribution (other than any stock dividend, stock split or other equity distribution payable only in its common capital stock or other common Equity Interests) in respect of the Borrower’s or such Subsidiary’s (as the case may be) capital stock or other Equity Interest.</w:t>
      </w:r>
    </w:p>
    <w:p>
      <w:pPr>
        <w:spacing w:after="0" w:line="18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Expenditures</w:t>
      </w:r>
      <w:r>
        <w:rPr>
          <w:rFonts w:ascii="Arial" w:cs="Arial" w:eastAsia="Arial" w:hAnsi="Arial"/>
          <w:sz w:val="18"/>
          <w:szCs w:val="18"/>
          <w:color w:val="auto"/>
        </w:rPr>
        <w:t>” means, with respect to any Person for any period, any expenditure in respect of the purchase or other acquisition of any fixed or capital asset (excluding normal replacements and maintenance which are properly charged to current operations).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Capitalized Leases</w:t>
      </w:r>
      <w:r>
        <w:rPr>
          <w:rFonts w:ascii="Arial" w:cs="Arial" w:eastAsia="Arial" w:hAnsi="Arial"/>
          <w:sz w:val="18"/>
          <w:szCs w:val="18"/>
          <w:color w:val="auto"/>
        </w:rPr>
        <w:t>” means all leases that have been or should be, in accordance with GAAP, recorded as capitalized leases.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xml:space="preserve">” means any type of Investment permitted pursuant to </w:t>
      </w:r>
      <w:r>
        <w:rPr>
          <w:rFonts w:ascii="Arial" w:cs="Arial" w:eastAsia="Arial" w:hAnsi="Arial"/>
          <w:sz w:val="18"/>
          <w:szCs w:val="18"/>
          <w:u w:val="single" w:color="auto"/>
          <w:color w:val="auto"/>
        </w:rPr>
        <w:t>Section 7.03(a)(ii)</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any of the following:</w:t>
      </w:r>
    </w:p>
    <w:p>
      <w:pPr>
        <w:spacing w:after="0" w:line="117" w:lineRule="exact"/>
        <w:rPr>
          <w:sz w:val="20"/>
          <w:szCs w:val="20"/>
          <w:color w:val="auto"/>
        </w:rPr>
      </w:pPr>
    </w:p>
    <w:p>
      <w:pPr>
        <w:ind w:left="460" w:right="40" w:firstLine="443"/>
        <w:spacing w:after="0" w:line="257" w:lineRule="auto"/>
        <w:tabs>
          <w:tab w:leader="none" w:pos="1278"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acquisition of, or, if earlier, the shareholder or director approval of the acquisition of, ownership or voting control, directly or indirectly, beneficially (within the meaning of Rules 13d-3 and 13d-5 of the Securities Exchange Act of 1934, as then in effect) or of record, on or after the Closing Date, by any Person or group (within the meaning of Sections 13d and 14d of the Securities Exchange Act of 1934, as then in effect), of shares representing more than thirty-five percent (35%) of the aggregate ordinary Voting Power represented by the issued and outstanding capital stock of the Borrower;</w:t>
      </w:r>
    </w:p>
    <w:p>
      <w:pPr>
        <w:spacing w:after="0" w:line="80" w:lineRule="exact"/>
        <w:rPr>
          <w:rFonts w:ascii="Arial" w:cs="Arial" w:eastAsia="Arial" w:hAnsi="Arial"/>
          <w:sz w:val="18"/>
          <w:szCs w:val="18"/>
          <w:color w:val="auto"/>
        </w:rPr>
      </w:pPr>
    </w:p>
    <w:p>
      <w:pPr>
        <w:ind w:left="460" w:right="120" w:firstLine="443"/>
        <w:spacing w:after="0" w:line="291" w:lineRule="auto"/>
        <w:tabs>
          <w:tab w:leader="none" w:pos="1288" w:val="left"/>
        </w:tabs>
        <w:numPr>
          <w:ilvl w:val="1"/>
          <w:numId w:val="24"/>
        </w:numPr>
        <w:rPr>
          <w:rFonts w:ascii="Arial" w:cs="Arial" w:eastAsia="Arial" w:hAnsi="Arial"/>
          <w:sz w:val="16"/>
          <w:szCs w:val="16"/>
          <w:color w:val="auto"/>
        </w:rPr>
      </w:pPr>
      <w:r>
        <w:rPr>
          <w:rFonts w:ascii="Arial" w:cs="Arial" w:eastAsia="Arial" w:hAnsi="Arial"/>
          <w:sz w:val="16"/>
          <w:szCs w:val="16"/>
          <w:color w:val="auto"/>
        </w:rPr>
        <w:t>during any period of 12 consecutive months, a majority of the members of the board of directors or other equivalent governing body of the Borrower cease to be composed of individuals (i) who were members of that board or equivalent governing body on the first day of such period,</w:t>
      </w:r>
    </w:p>
    <w:p>
      <w:pPr>
        <w:ind w:left="460" w:firstLine="4"/>
        <w:spacing w:after="0" w:line="254" w:lineRule="auto"/>
        <w:tabs>
          <w:tab w:leader="none" w:pos="725"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whose election or nomination to that board or equivalent governing body was approved by individuals referred to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constituting at the time of such election or nomination at least a majority of that board or equivalent governing body or (iii) whose election or nomination to that board or other equivalent governing body was approved by individuals referred to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constituting at the time of such election or nomination at least a majority of that board or equivalent governing body;</w:t>
      </w:r>
    </w:p>
    <w:p>
      <w:pPr>
        <w:spacing w:after="0" w:line="81" w:lineRule="exact"/>
        <w:rPr>
          <w:rFonts w:ascii="Arial" w:cs="Arial" w:eastAsia="Arial" w:hAnsi="Arial"/>
          <w:sz w:val="18"/>
          <w:szCs w:val="18"/>
          <w:color w:val="auto"/>
        </w:rPr>
      </w:pPr>
    </w:p>
    <w:p>
      <w:pPr>
        <w:ind w:left="460" w:right="300" w:firstLine="443"/>
        <w:spacing w:after="0" w:line="277" w:lineRule="auto"/>
        <w:tabs>
          <w:tab w:leader="none" w:pos="1278"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Borrower shall cease to own, directly or indirectly, one hundred percent (100%) of the record and beneficial ownership of each other Loan Party; or</w:t>
      </w:r>
    </w:p>
    <w:p>
      <w:pPr>
        <w:spacing w:after="0" w:line="62" w:lineRule="exact"/>
        <w:rPr>
          <w:rFonts w:ascii="Arial" w:cs="Arial" w:eastAsia="Arial" w:hAnsi="Arial"/>
          <w:sz w:val="18"/>
          <w:szCs w:val="18"/>
          <w:color w:val="auto"/>
        </w:rPr>
      </w:pPr>
    </w:p>
    <w:p>
      <w:pPr>
        <w:ind w:left="460" w:right="300" w:firstLine="443"/>
        <w:spacing w:after="0" w:line="277" w:lineRule="auto"/>
        <w:tabs>
          <w:tab w:leader="none" w:pos="1288"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occurrence of a change in control, or other similar provision, as defined in any Material Indebtedness Agreement (including the First Lien Credit Agreement).</w:t>
      </w:r>
    </w:p>
    <w:p>
      <w:pPr>
        <w:spacing w:after="0" w:line="17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means the first date all the conditions precedent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are satisfied or waived in accordance with </w:t>
      </w:r>
      <w:r>
        <w:rPr>
          <w:rFonts w:ascii="Arial" w:cs="Arial" w:eastAsia="Arial" w:hAnsi="Arial"/>
          <w:sz w:val="18"/>
          <w:szCs w:val="18"/>
          <w:u w:val="single" w:color="auto"/>
          <w:color w:val="auto"/>
        </w:rPr>
        <w:t>Section 10.01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32" w:name="page33"/>
    <w:bookmarkEnd w:id="32"/>
    <w:p>
      <w:pPr>
        <w:jc w:val="both"/>
        <w:ind w:right="12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Collateral</w:t>
      </w:r>
      <w:r>
        <w:rPr>
          <w:rFonts w:ascii="Arial" w:cs="Arial" w:eastAsia="Arial" w:hAnsi="Arial"/>
          <w:sz w:val="18"/>
          <w:szCs w:val="18"/>
          <w:color w:val="auto"/>
        </w:rPr>
        <w:t>” means all of the “</w:t>
      </w:r>
      <w:r>
        <w:rPr>
          <w:rFonts w:ascii="Arial" w:cs="Arial" w:eastAsia="Arial" w:hAnsi="Arial"/>
          <w:sz w:val="18"/>
          <w:szCs w:val="18"/>
          <w:u w:val="single" w:color="auto"/>
          <w:color w:val="auto"/>
        </w:rPr>
        <w:t>Collateral</w:t>
      </w:r>
      <w:r>
        <w:rPr>
          <w:rFonts w:ascii="Arial" w:cs="Arial" w:eastAsia="Arial" w:hAnsi="Arial"/>
          <w:sz w:val="18"/>
          <w:szCs w:val="18"/>
          <w:color w:val="auto"/>
        </w:rPr>
        <w:t>” and “</w:t>
      </w:r>
      <w:r>
        <w:rPr>
          <w:rFonts w:ascii="Arial" w:cs="Arial" w:eastAsia="Arial" w:hAnsi="Arial"/>
          <w:sz w:val="18"/>
          <w:szCs w:val="18"/>
          <w:u w:val="single" w:color="auto"/>
          <w:color w:val="auto"/>
        </w:rPr>
        <w:t>Mortgaged Property</w:t>
      </w:r>
      <w:r>
        <w:rPr>
          <w:rFonts w:ascii="Arial" w:cs="Arial" w:eastAsia="Arial" w:hAnsi="Arial"/>
          <w:sz w:val="18"/>
          <w:szCs w:val="18"/>
          <w:color w:val="auto"/>
        </w:rPr>
        <w:t>” or “</w:t>
      </w:r>
      <w:r>
        <w:rPr>
          <w:rFonts w:ascii="Arial" w:cs="Arial" w:eastAsia="Arial" w:hAnsi="Arial"/>
          <w:sz w:val="18"/>
          <w:szCs w:val="18"/>
          <w:u w:val="single" w:color="auto"/>
          <w:color w:val="auto"/>
        </w:rPr>
        <w:t>Trust Property</w:t>
      </w:r>
      <w:r>
        <w:rPr>
          <w:rFonts w:ascii="Arial" w:cs="Arial" w:eastAsia="Arial" w:hAnsi="Arial"/>
          <w:sz w:val="18"/>
          <w:szCs w:val="18"/>
          <w:color w:val="auto"/>
        </w:rPr>
        <w:t>” or other similar term referred to in the Collateral Documents and all of the other property that is or is intended under the terms of the Collateral Documents to be subject to Liens in favor of the Administrative Agent for the benefit of the Secured Parties.</w:t>
      </w:r>
    </w:p>
    <w:p>
      <w:pPr>
        <w:spacing w:after="0" w:line="18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xml:space="preserve">” means, collectively, the Security Agreement, the Intellectual Property Security Agreements, the Mortgages, each of the mortgages, collateral assignments, Security Joinder Agreements, security agreements, pledge agreements or other similar agreements delivered to the Administrative Agent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 and each of the other agreements, instruments or documents that creates or purports to create a Lien in favor of the Administrative Agent for the benefit of the Secured Parties.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 Term Commitment.</w:t>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Committed Loan Notice</w:t>
      </w:r>
      <w:r>
        <w:rPr>
          <w:rFonts w:ascii="Arial" w:cs="Arial" w:eastAsia="Arial" w:hAnsi="Arial"/>
          <w:sz w:val="18"/>
          <w:szCs w:val="18"/>
          <w:color w:val="auto"/>
        </w:rPr>
        <w:t xml:space="preserve">” means a notice of (a) a Term Borrowing, (b) a conversion of Loans from one Type to the other, or (c) a continuation of Eurodollar Rate Loans, pursuant to </w:t>
      </w:r>
      <w:r>
        <w:rPr>
          <w:rFonts w:ascii="Arial" w:cs="Arial" w:eastAsia="Arial" w:hAnsi="Arial"/>
          <w:sz w:val="18"/>
          <w:szCs w:val="18"/>
          <w:u w:val="single" w:color="auto"/>
          <w:color w:val="auto"/>
        </w:rPr>
        <w:t>Section 2.02(a)</w:t>
      </w:r>
      <w:r>
        <w:rPr>
          <w:rFonts w:ascii="Arial" w:cs="Arial" w:eastAsia="Arial" w:hAnsi="Arial"/>
          <w:sz w:val="18"/>
          <w:szCs w:val="18"/>
          <w:color w:val="auto"/>
        </w:rPr>
        <w:t xml:space="preserve">, which, if in writing, shall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Commodity Exchange Act</w:t>
      </w:r>
      <w:r>
        <w:rPr>
          <w:rFonts w:ascii="Arial" w:cs="Arial" w:eastAsia="Arial" w:hAnsi="Arial"/>
          <w:sz w:val="16"/>
          <w:szCs w:val="16"/>
          <w:color w:val="auto"/>
        </w:rPr>
        <w:t xml:space="preserve">” means the Commodity Exchange Act (7 U.S.C. § 1 </w:t>
      </w:r>
      <w:r>
        <w:rPr>
          <w:rFonts w:ascii="Arial" w:cs="Arial" w:eastAsia="Arial" w:hAnsi="Arial"/>
          <w:sz w:val="16"/>
          <w:szCs w:val="16"/>
          <w:i w:val="1"/>
          <w:iCs w:val="1"/>
          <w:color w:val="auto"/>
        </w:rPr>
        <w:t>et seq</w:t>
      </w:r>
      <w:r>
        <w:rPr>
          <w:rFonts w:ascii="Arial" w:cs="Arial" w:eastAsia="Arial" w:hAnsi="Arial"/>
          <w:sz w:val="16"/>
          <w:szCs w:val="16"/>
          <w:color w:val="auto"/>
        </w:rPr>
        <w:t>.), as amended from time to time, and any successor statute.</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25"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 or branch profits Taxes.</w:t>
      </w:r>
    </w:p>
    <w:p>
      <w:pPr>
        <w:spacing w:after="0" w:line="170"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Consideration</w:t>
      </w:r>
      <w:r>
        <w:rPr>
          <w:rFonts w:ascii="Arial" w:cs="Arial" w:eastAsia="Arial" w:hAnsi="Arial"/>
          <w:sz w:val="18"/>
          <w:szCs w:val="18"/>
          <w:color w:val="auto"/>
        </w:rPr>
        <w:t>” means, in connection with an Acquisition, the aggregate consideration paid or to be paid, including borrowed funds, cash, deferred payments, the issuance of securities or notes, the assumption or incurring of liabilities (direct or contingent), the payment of consulting fees or fees for a covenant not to compete and any other consideration paid or to be paid for such Acquisition.</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Depreciation and Amortization Charges</w:t>
      </w:r>
      <w:r>
        <w:rPr>
          <w:rFonts w:ascii="Arial" w:cs="Arial" w:eastAsia="Arial" w:hAnsi="Arial"/>
          <w:sz w:val="18"/>
          <w:szCs w:val="18"/>
          <w:color w:val="auto"/>
        </w:rPr>
        <w:t>” means, for any period, the aggregate of all depreciation and amortization charges for fixed assets, leasehold improvements and general intangibles (specifically including goodwill) of the Borrower and its Subsidiaries for such period, as determined on a consolidated basis and in accordance with GAAP.</w:t>
      </w:r>
    </w:p>
    <w:p>
      <w:pPr>
        <w:spacing w:after="0" w:line="18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EBITDA</w:t>
      </w:r>
      <w:r>
        <w:rPr>
          <w:rFonts w:ascii="Arial" w:cs="Arial" w:eastAsia="Arial" w:hAnsi="Arial"/>
          <w:sz w:val="17"/>
          <w:szCs w:val="17"/>
          <w:color w:val="auto"/>
        </w:rPr>
        <w:t xml:space="preserve">” means, for any period, as determined on a consolidated basis, Consolidated Net Earnings for such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(a) without duplication, the aggregate amounts deducted in determining such Consolidated Net Earnings in respect of: (i) Consolidated Interest Expense, (ii) Consolidated Income Tax Expense, (iii) Consolidated Depreciation and Amortization Charges, (iv) actual non-recurring non-cash restructuring charges to the extent such amounts together do not exceed $20,000,000 in the aggregate over all periods, (v) foreign exchange losses as reported in “Other Income” according to GAAP and the negative impact to Consolidated EBITDA resulting from converting foreign currency-based income to Dollar-based income to the extent such amounts together exceed $15,000,000 for such period, (vi) synergies, cost savings, operational expense reductions, other operating improvements and other pro forma adjustments to actual historical Consolidated EBITDA in connection with the Paragon Acquisition, any Acquisition or Disposition permitted pursuant to </w:t>
      </w:r>
      <w:r>
        <w:rPr>
          <w:rFonts w:ascii="Arial" w:cs="Arial" w:eastAsia="Arial" w:hAnsi="Arial"/>
          <w:sz w:val="17"/>
          <w:szCs w:val="17"/>
          <w:u w:val="single" w:color="auto"/>
          <w:color w:val="auto"/>
        </w:rPr>
        <w:t>Section 7.03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7.05</w:t>
      </w:r>
      <w:r>
        <w:rPr>
          <w:rFonts w:ascii="Arial" w:cs="Arial" w:eastAsia="Arial" w:hAnsi="Arial"/>
          <w:sz w:val="17"/>
          <w:szCs w:val="17"/>
          <w:color w:val="auto"/>
        </w:rPr>
        <w:t xml:space="preserve">, restructurings and cost savings initiatives to the extent projected by the Borrower in good faith to be realized within 24 months of the Paragon Acquisition or such Acquisition, Disposition, restructuring or cost savings initiative,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synergies, cost savings and other adjustments are (A) directly attributable to the Paragon Acquisition or such Acquisition, Disposition, restructuring or cost savings initiative, (B) factually supportable, (C) reasonably identifiable and (D) expected to have a continuing impact on the Borrower and its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aggregate amounts added to Consolidated EBITDA pursuant to this clause (vi) in any such period shall not exceed 25% of Consolidated EBITDA for such period (calculated before giving effect to the adjustment set forth in this clause (vi)) and (vii) to the extent deducted in calculating Consolidated Net Earnings for such period,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33" w:name="page34"/>
    <w:bookmarkEnd w:id="33"/>
    <w:p>
      <w:pPr>
        <w:ind w:right="10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Transaction Costs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without duplication, the aggregate amounts included in determining such Consolidated Net Earnings in respect of: (i) unusual non-cash gains not incurred in the ordinary course of business and (ii) foreign exchange gains as reported in Other Income according to GAAP and the positive impact to Consolidated EBITDA resulting from converting foreign currency-based income to Dollar-based income to the extent such amounts together exceed $15,000,000 for such period. For purposes of this Agreement, Consolidated EBITDA shall be adjusted pursuant to </w:t>
      </w:r>
      <w:r>
        <w:rPr>
          <w:rFonts w:ascii="Arial" w:cs="Arial" w:eastAsia="Arial" w:hAnsi="Arial"/>
          <w:sz w:val="16"/>
          <w:szCs w:val="16"/>
          <w:u w:val="single" w:color="auto"/>
          <w:color w:val="auto"/>
        </w:rPr>
        <w:t>Section 1.03(c)</w:t>
      </w:r>
      <w:r>
        <w:rPr>
          <w:rFonts w:ascii="Arial" w:cs="Arial" w:eastAsia="Arial" w:hAnsi="Arial"/>
          <w:sz w:val="16"/>
          <w:szCs w:val="16"/>
          <w:color w:val="auto"/>
        </w:rPr>
        <w:t>. Notwithstanding the foregoing or anything to the contrary contained herein, Consolidated EBITDA for each of the fiscal quarters ended March 31, 2017, June 30, 2017, September 30, 2017 and December 31, 2017 shall be deemed to equal $41,560,000, $43,625,000, $48,713,000 and $44,895,000, respectively, and Consolidated EBITDA for the period from January 1, 2018 through June 30, 2018 shall be determined in a manner consistent with the calculation of Consolidated EBITDA for the fiscal quarters ended March 31, 2017, June 30, 2017, September 30, 2017 and December 31, 2017, which calculation was provided to the Administrative Agent prior to the Closing Date and may be made available to Lenders upon request.</w:t>
      </w:r>
    </w:p>
    <w:p>
      <w:pPr>
        <w:spacing w:after="0" w:line="167" w:lineRule="exact"/>
        <w:rPr>
          <w:sz w:val="20"/>
          <w:szCs w:val="20"/>
          <w:color w:val="auto"/>
        </w:rPr>
      </w:pPr>
    </w:p>
    <w:p>
      <w:pPr>
        <w:ind w:right="80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Funded Indebtedness</w:t>
      </w:r>
      <w:r>
        <w:rPr>
          <w:rFonts w:ascii="Arial" w:cs="Arial" w:eastAsia="Arial" w:hAnsi="Arial"/>
          <w:sz w:val="16"/>
          <w:szCs w:val="16"/>
          <w:color w:val="auto"/>
        </w:rPr>
        <w:t>” means, at any date, all Indebtedness (including, but not limited to, current, long-term and Subordinated Indebtedness, if any) of the Borrower and its Subsidiaries, as determined on a consolidated basis and in accordance with GAAP.</w:t>
      </w:r>
    </w:p>
    <w:p>
      <w:pPr>
        <w:spacing w:after="0" w:line="124"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Income Tax Expense</w:t>
      </w:r>
      <w:r>
        <w:rPr>
          <w:rFonts w:ascii="Arial" w:cs="Arial" w:eastAsia="Arial" w:hAnsi="Arial"/>
          <w:sz w:val="18"/>
          <w:szCs w:val="18"/>
          <w:color w:val="auto"/>
        </w:rPr>
        <w:t>” means, for any period, all provisions for taxes based on the gross or net income of the Borrower and its Subsidiaries (including, without limitation, any additions to such taxes, and any penalties and interest with respect thereto), as determined on a consolidated basis and in accordance with GAAP.</w:t>
      </w:r>
    </w:p>
    <w:p>
      <w:pPr>
        <w:spacing w:after="0" w:line="18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Expense</w:t>
      </w:r>
      <w:r>
        <w:rPr>
          <w:rFonts w:ascii="Arial" w:cs="Arial" w:eastAsia="Arial" w:hAnsi="Arial"/>
          <w:sz w:val="18"/>
          <w:szCs w:val="18"/>
          <w:color w:val="auto"/>
        </w:rPr>
        <w:t>” means, for any period, the interest expense of the Borrower and its Subsidiaries for such period, as determined on a consolidated basis and in accordance with GAAP.</w:t>
      </w:r>
    </w:p>
    <w:p>
      <w:pPr>
        <w:spacing w:after="0" w:line="17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Earnings</w:t>
      </w:r>
      <w:r>
        <w:rPr>
          <w:rFonts w:ascii="Arial" w:cs="Arial" w:eastAsia="Arial" w:hAnsi="Arial"/>
          <w:sz w:val="16"/>
          <w:szCs w:val="16"/>
          <w:color w:val="auto"/>
        </w:rPr>
        <w:t xml:space="preserve">” means, for any period, the net income (or loss) of the Borrower and its Subsidiaries for such period, as determined on a consolidated basis and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Consolidated Net Earnings shall exclude (a) extraordinary gains and extraordinary losses for such period, (b) the net income of any Subsidiary during such period to the extent that the declaration or payment of dividends or similar distributions by such Subsidiary of such income is not permitted by operation of the terms of its Organization Documents or any agreement, instrument or Law applicable to such Subsidiary during such period, except that the Borrower’s equity in any net loss of any such Subsidiary for such period shall be included in determining Consolidated Net Earnings, and (c) any income (or loss) for such period of any Person if such Person is not a Subsidiary, except that the Borrower’s equity in the net income of any such Person for such period shall be included in Consolidated Net Earnings up to the aggregate amount of cash actually distributed by such Person during such period to the Borrower or a Subsidiary as a dividend or other distribution (and in the case of a dividend or other distribution to a Subsidiary, such Subsidiary is not precluded from further distributing such amount to the Borrower as described in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this proviso).</w:t>
      </w:r>
    </w:p>
    <w:p>
      <w:pPr>
        <w:spacing w:after="0" w:line="16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Leverage Ratio</w:t>
      </w:r>
      <w:r>
        <w:rPr>
          <w:rFonts w:ascii="Arial" w:cs="Arial" w:eastAsia="Arial" w:hAnsi="Arial"/>
          <w:sz w:val="16"/>
          <w:szCs w:val="16"/>
          <w:color w:val="auto"/>
        </w:rPr>
        <w:t xml:space="preserve">” means, as of any date, determined on a consolidated basis, the ratio of (a) Consolidated Funded Indebtedness (as of such date) minus the aggregate amount equal to the lesser of (x) (1) 100% of the Unrestricted Cash and Cash Equivalents (as of such date) of the Borrower and its Domestic Subsidiaries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(2) 50% of the Unrestricted Cash and Cash Equivalents (as of such date) of the Foreign Subsidiaries of the Borrower organized under the laws of a jurisdiction located in Europe, as of such date, and (y) the Cap Amount to (b) Consolidated EBITDA for the period of four consecutive fiscal quarters of the Borrower then ended (in the case of any determination as of the last day of a fiscal quarter) or for the most recently completed four fiscal quarters of the Borrower for which financials are required to be delivered hereunder (in the case of any determination of such ratio on a pro forma basis hereunder). For the purposes of this definition, the “</w:t>
      </w:r>
      <w:r>
        <w:rPr>
          <w:rFonts w:ascii="Arial" w:cs="Arial" w:eastAsia="Arial" w:hAnsi="Arial"/>
          <w:sz w:val="16"/>
          <w:szCs w:val="16"/>
          <w:u w:val="single" w:color="auto"/>
          <w:color w:val="auto"/>
        </w:rPr>
        <w:t>Cap Amount</w:t>
      </w:r>
      <w:r>
        <w:rPr>
          <w:rFonts w:ascii="Arial" w:cs="Arial" w:eastAsia="Arial" w:hAnsi="Arial"/>
          <w:sz w:val="16"/>
          <w:szCs w:val="16"/>
          <w:color w:val="auto"/>
        </w:rPr>
        <w:t>” means the greater of (A) $40,000,000 and (B) the amount (not to exceed $150,000,000) of Unrestricted Cash and Cash Equivalents standing to the credit of Deposit Account Control Agreements (as of such date).</w:t>
      </w:r>
    </w:p>
    <w:p>
      <w:pPr>
        <w:spacing w:after="0" w:line="166"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Leverage Ratio</w:t>
      </w:r>
      <w:r>
        <w:rPr>
          <w:rFonts w:ascii="Arial" w:cs="Arial" w:eastAsia="Arial" w:hAnsi="Arial"/>
          <w:sz w:val="18"/>
          <w:szCs w:val="18"/>
          <w:color w:val="auto"/>
        </w:rPr>
        <w:t>” means, as of any date, determined on a consolidated basis, the ratio of (a) Consolidated Funded Indebtedness (as of such date) to (b) Consolidated EBITDA (for the most recently completed four fiscal quarters of the Borrower for which financials are required to be delivered hereunder).</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Secured Leverage Ratio</w:t>
      </w:r>
      <w:r>
        <w:rPr>
          <w:rFonts w:ascii="Arial" w:cs="Arial" w:eastAsia="Arial" w:hAnsi="Arial"/>
          <w:sz w:val="17"/>
          <w:szCs w:val="17"/>
          <w:color w:val="auto"/>
        </w:rPr>
        <w:t>” means, as of any date, determined on a consolidated basis, the ratio of (a) Consolidated Funded Indebtedness (as of such date) that is secured by Liens on assets or property of the Borrower and the Subsidiaries as of such date to (b) Consolidated EBITDA (for the most recently completed four fiscal quarters of the Borrower for which financials are required to be delivered hereunder).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34" w:name="page35"/>
    <w:bookmarkEnd w:id="34"/>
    <w:p>
      <w:pPr>
        <w:ind w:right="6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70"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w:t>
      </w:r>
      <w:r>
        <w:rPr>
          <w:rFonts w:ascii="Arial" w:cs="Arial" w:eastAsia="Arial" w:hAnsi="Arial"/>
          <w:sz w:val="17"/>
          <w:szCs w:val="17"/>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7"/>
          <w:szCs w:val="17"/>
          <w:u w:val="single" w:color="auto"/>
          <w:color w:val="auto"/>
        </w:rPr>
        <w:t>Controlling</w:t>
      </w:r>
      <w:r>
        <w:rPr>
          <w:rFonts w:ascii="Arial" w:cs="Arial" w:eastAsia="Arial" w:hAnsi="Arial"/>
          <w:sz w:val="17"/>
          <w:szCs w:val="17"/>
          <w:color w:val="auto"/>
        </w:rPr>
        <w:t>” and “</w:t>
      </w:r>
      <w:r>
        <w:rPr>
          <w:rFonts w:ascii="Arial" w:cs="Arial" w:eastAsia="Arial" w:hAnsi="Arial"/>
          <w:sz w:val="17"/>
          <w:szCs w:val="17"/>
          <w:u w:val="single" w:color="auto"/>
          <w:color w:val="auto"/>
        </w:rPr>
        <w:t>Controlled</w:t>
      </w:r>
      <w:r>
        <w:rPr>
          <w:rFonts w:ascii="Arial" w:cs="Arial" w:eastAsia="Arial" w:hAnsi="Arial"/>
          <w:sz w:val="17"/>
          <w:szCs w:val="17"/>
          <w:color w:val="auto"/>
        </w:rPr>
        <w:t>” have meanings correlative thereto.</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Copyright Security Agreement</w:t>
      </w:r>
      <w:r>
        <w:rPr>
          <w:rFonts w:ascii="Arial" w:cs="Arial" w:eastAsia="Arial" w:hAnsi="Arial"/>
          <w:sz w:val="16"/>
          <w:szCs w:val="16"/>
          <w:color w:val="auto"/>
        </w:rPr>
        <w:t>” means a second lien copyright security agreement in form and substance satisfactory to the Administrative Agent.</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Extension</w:t>
      </w:r>
      <w:r>
        <w:rPr>
          <w:rFonts w:ascii="Arial" w:cs="Arial" w:eastAsia="Arial" w:hAnsi="Arial"/>
          <w:sz w:val="18"/>
          <w:szCs w:val="18"/>
          <w:color w:val="auto"/>
        </w:rPr>
        <w:t>” means a Borrowing.</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Cumulative Retained Excess Cash Flow Amount</w:t>
      </w:r>
      <w:r>
        <w:rPr>
          <w:rFonts w:ascii="Arial" w:cs="Arial" w:eastAsia="Arial" w:hAnsi="Arial"/>
          <w:sz w:val="18"/>
          <w:szCs w:val="18"/>
          <w:color w:val="auto"/>
        </w:rPr>
        <w:t xml:space="preserve">” means, as of any date of determination, an amount, determined on a cumulative basis, equal to the difference of (i) Excess Cash Flow (which shall not be less than zero) for each fiscal year of the Borrower ending on or after December 31, 2018 for which the Borrower has delivered the financial statements required by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and the related Compliance Certificate required by </w:t>
      </w:r>
      <w:r>
        <w:rPr>
          <w:rFonts w:ascii="Arial" w:cs="Arial" w:eastAsia="Arial" w:hAnsi="Arial"/>
          <w:sz w:val="18"/>
          <w:szCs w:val="18"/>
          <w:u w:val="single" w:color="auto"/>
          <w:color w:val="auto"/>
        </w:rPr>
        <w:t>Section 6.02(b) less</w:t>
      </w:r>
      <w:r>
        <w:rPr>
          <w:rFonts w:ascii="Arial" w:cs="Arial" w:eastAsia="Arial" w:hAnsi="Arial"/>
          <w:sz w:val="18"/>
          <w:szCs w:val="18"/>
          <w:color w:val="auto"/>
        </w:rPr>
        <w:t xml:space="preserve"> (ii) the ECF Prepayment Amount for each such corresponding fiscal year.</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Rating</w:t>
      </w:r>
      <w:r>
        <w:rPr>
          <w:rFonts w:ascii="Arial" w:cs="Arial" w:eastAsia="Arial" w:hAnsi="Arial"/>
          <w:sz w:val="18"/>
          <w:szCs w:val="18"/>
          <w:color w:val="auto"/>
        </w:rPr>
        <w:t>” means, as applicable, (a) the public corporate family rating of the Borrower as determined both Moody’s and S&amp;P, (b) the public corporate credit rating of the Borrower as determined by both Moody’s and S&amp;P, and (c) the senior secured debt rating of the Borrower as determined by both Moody’s and S&amp;P.</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8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with the giving of any notice, the passage of time, or both, would be an Event of Default.</w:t>
      </w:r>
    </w:p>
    <w:p>
      <w:pPr>
        <w:spacing w:after="0" w:line="17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xml:space="preserve">” means an interest rate equal to (i)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Applicable Rate applicable to Base Rate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2% per annum;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with respect to a Eurodollar Rate Loan, the Default Rate shall be an interest rate equal to the interest rate (including any Applicable Rate) otherwise applicable to such Loan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per annum.</w:t>
      </w:r>
    </w:p>
    <w:p>
      <w:pPr>
        <w:spacing w:after="0" w:line="18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means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or any other Lender any other amount required to be paid by it hereunder within two Business Days of the date when due, (b) has notified the Borrower and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cease to be a Defaulting Lender pursuant to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upon receipt of such written confirmation by the Administrative Agent and the Borrower), or (d) has, or has a direct or indirect parent company that has other than via an Undisclosed Administration, (i) become the subject of a proceeding under any Debtor Relief</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35" w:name="page36"/>
    <w:bookmarkEnd w:id="35"/>
    <w:p>
      <w:pPr>
        <w:ind w:right="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Law,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(d)</w:t>
      </w:r>
      <w:r>
        <w:rPr>
          <w:rFonts w:ascii="Arial" w:cs="Arial" w:eastAsia="Arial" w:hAnsi="Arial"/>
          <w:sz w:val="17"/>
          <w:szCs w:val="17"/>
          <w:color w:val="auto"/>
        </w:rPr>
        <w:t xml:space="preserve"> above, and of the effective date of such status, shall be conclusive and binding absent manifest error, and such Lender shall be deemed to be a Defaulting Lender as of the date established therefor by the Administrative Agent in a written notice of such determination, which shall be delivered by the Administrative Agent to the Borrower and each other Lender promptly following such determination.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 Account Control Agreement</w:t>
      </w:r>
      <w:r>
        <w:rPr>
          <w:rFonts w:ascii="Arial" w:cs="Arial" w:eastAsia="Arial" w:hAnsi="Arial"/>
          <w:sz w:val="18"/>
          <w:szCs w:val="18"/>
          <w:color w:val="auto"/>
        </w:rPr>
        <w:t>” has the meaning assigned thereto in the Security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Jurisdiction</w:t>
      </w:r>
      <w:r>
        <w:rPr>
          <w:rFonts w:ascii="Arial" w:cs="Arial" w:eastAsia="Arial" w:hAnsi="Arial"/>
          <w:sz w:val="18"/>
          <w:szCs w:val="18"/>
          <w:color w:val="auto"/>
        </w:rPr>
        <w:t>” means any country or territory to the extent that such country or territory itself is the subject of any Sanction.</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or “</w:t>
      </w:r>
      <w:r>
        <w:rPr>
          <w:rFonts w:ascii="Arial" w:cs="Arial" w:eastAsia="Arial" w:hAnsi="Arial"/>
          <w:sz w:val="18"/>
          <w:szCs w:val="18"/>
          <w:u w:val="single" w:color="auto"/>
          <w:color w:val="auto"/>
        </w:rPr>
        <w:t>Dispose</w:t>
      </w:r>
      <w:r>
        <w:rPr>
          <w:rFonts w:ascii="Arial" w:cs="Arial" w:eastAsia="Arial" w:hAnsi="Arial"/>
          <w:sz w:val="18"/>
          <w:szCs w:val="18"/>
          <w:color w:val="auto"/>
        </w:rPr>
        <w:t>” means the sale, transfer, license, lease or other disposition (including any sale and leaseback transaction) of any property by any Person (or the granting of any option or other right to do any of the foregoing), including any sale, assignment, transfer or other disposal, with or without recourse, of any notes or accounts receivable or any rights and claims associated therewith.</w:t>
      </w:r>
    </w:p>
    <w:p>
      <w:pPr>
        <w:spacing w:after="0" w:line="18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Disqualified Equity Interest</w:t>
      </w:r>
      <w:r>
        <w:rPr>
          <w:rFonts w:ascii="Arial" w:cs="Arial" w:eastAsia="Arial" w:hAnsi="Arial"/>
          <w:sz w:val="16"/>
          <w:szCs w:val="16"/>
          <w:color w:val="auto"/>
        </w:rPr>
        <w:t xml:space="preserve">” means, with respect to any Person, any Equity Interest which by its terms (or by the terms of any security into which it is convertible or for which it is exchangeable at the option of the holder) or upon the happening of any event: (a) matures or is mandatorily redeemable (other than redeemable only for Equity Interests of such Person which are not themselves Equity Interests described in this definition) pursuant to a sinking fund obligation or otherwise; (b) is convertible or exchangeable at the option of the holder for Indebtedness or Equity Interests described in this definition (excluding Equity Interests which are convertible or exchangeable solely at the option of the Borrower or a Subsidiary); or (c) is mandatorily redeemable or must be purchased upon the occurrence of certain events or otherwise, in whole or in part; in each case, in the case of the Borrower, on or prior to the ninety-first day following the final maturity date of the then issued Term Loans, as extended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Equity Interests that would not constitute Equity Interests described in this definition but for provisions thereof giving holders thereof the right to require such Person to purchase or redeem such Equity Interests upon the occurrence of an “asset sale” or “change of control” occurring prior to the ninety-first day following the final maturity date of the then-existing Term Loans shall not constitute Disqualified Equity Interests if any such requirement only becomes operative after payment in full of all amounts owing under this Agreement and the other Loan Documents and the termination in full of the Commitments. The amount of any Disqualified Equity Interests that do not have a fixed redemption, repayment or repurchase price will be calculated in accordance with the terms of such Disqualified Equity Interests as if such Disqualified Equity Interests were redeemed, repaid or repurchased on any date on which the amount of such Disqualified Equity Interests is to be determined pursuant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Disqualified Equity Interests could not be required to be redeemed, repaid or repurchased at the time of such determination, the redemption, repayment or repurchase price will be the book value of such Disqualified Equity Interests as reflected in the most recent financial statements of such Person.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lawful money of the United States.</w:t>
      </w:r>
    </w:p>
    <w:p>
      <w:pPr>
        <w:spacing w:after="0" w:line="225"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any Subsidiary that is organized under the laws of (i) the United States or any state thereof or (ii) the District of Columbia.</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ECF Percentage</w:t>
      </w:r>
      <w:r>
        <w:rPr>
          <w:rFonts w:ascii="Arial" w:cs="Arial" w:eastAsia="Arial" w:hAnsi="Arial"/>
          <w:sz w:val="18"/>
          <w:szCs w:val="18"/>
          <w:color w:val="auto"/>
        </w:rPr>
        <w:t>” means, for any fiscal year ending on or after December 31, 2018:</w:t>
      </w:r>
    </w:p>
    <w:p>
      <w:pPr>
        <w:spacing w:after="0" w:line="117" w:lineRule="exact"/>
        <w:rPr>
          <w:sz w:val="20"/>
          <w:szCs w:val="20"/>
          <w:color w:val="auto"/>
        </w:rPr>
      </w:pPr>
    </w:p>
    <w:p>
      <w:pPr>
        <w:ind w:left="1280" w:hanging="377"/>
        <w:spacing w:after="0"/>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50% if the Consolidated Secured Leverage Ratio as of the last day of such fiscal year is greater or equal to than 3.00 to 1.00;</w:t>
      </w:r>
    </w:p>
    <w:p>
      <w:pPr>
        <w:spacing w:after="0" w:line="157"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36" w:name="page37"/>
    <w:bookmarkEnd w:id="36"/>
    <w:p>
      <w:pPr>
        <w:ind w:left="460" w:right="240" w:firstLine="443"/>
        <w:spacing w:after="0" w:line="277" w:lineRule="auto"/>
        <w:tabs>
          <w:tab w:leader="none" w:pos="1288"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25% if the Consolidated Secured Leverage Ratio as of the last day of such fiscal year is less than 3.00 to 1.00 but greater than or equal to 2.50 to 1.00; and</w:t>
      </w:r>
    </w:p>
    <w:p>
      <w:pPr>
        <w:spacing w:after="0" w:line="62" w:lineRule="exact"/>
        <w:rPr>
          <w:rFonts w:ascii="Arial" w:cs="Arial" w:eastAsia="Arial" w:hAnsi="Arial"/>
          <w:sz w:val="18"/>
          <w:szCs w:val="18"/>
          <w:color w:val="auto"/>
        </w:rPr>
      </w:pPr>
    </w:p>
    <w:p>
      <w:pPr>
        <w:ind w:left="1280" w:hanging="377"/>
        <w:spacing w:after="0"/>
        <w:tabs>
          <w:tab w:leader="none" w:pos="1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0% if the Consolidated Secured Leverage Ratio as of the last day of such fiscal year is less than 2.50 to 1.00.</w:t>
      </w:r>
    </w:p>
    <w:p>
      <w:pPr>
        <w:spacing w:after="0" w:line="225"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ECF Prepayment Amount</w:t>
      </w:r>
      <w:r>
        <w:rPr>
          <w:rFonts w:ascii="Arial" w:cs="Arial" w:eastAsia="Arial" w:hAnsi="Arial"/>
          <w:sz w:val="18"/>
          <w:szCs w:val="18"/>
          <w:color w:val="auto"/>
        </w:rPr>
        <w:t xml:space="preserve">” means for any fiscal year, the product obtained by multiplying (a) Excess Cash Flow for such fiscal year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(b) the applicable ECF Percentage for such fiscal year.</w:t>
      </w:r>
    </w:p>
    <w:p>
      <w:pPr>
        <w:spacing w:after="0" w:line="170" w:lineRule="exact"/>
        <w:rPr>
          <w:sz w:val="20"/>
          <w:szCs w:val="20"/>
          <w:color w:val="auto"/>
        </w:rPr>
      </w:pPr>
    </w:p>
    <w:p>
      <w:pPr>
        <w:ind w:right="34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EEA Financial Institution</w:t>
      </w:r>
      <w:r>
        <w:rPr>
          <w:rFonts w:ascii="Arial" w:cs="Arial" w:eastAsia="Arial" w:hAnsi="Arial"/>
          <w:sz w:val="16"/>
          <w:szCs w:val="16"/>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Arial" w:cs="Arial" w:eastAsia="Arial" w:hAnsi="Arial"/>
          <w:sz w:val="16"/>
          <w:szCs w:val="16"/>
          <w:u w:val="single" w:color="auto"/>
          <w:color w:val="auto"/>
        </w:rPr>
        <w:t>clause</w:t>
      </w:r>
    </w:p>
    <w:p>
      <w:pPr>
        <w:ind w:left="260" w:hanging="252"/>
        <w:spacing w:after="0"/>
        <w:tabs>
          <w:tab w:leader="none" w:pos="260" w:val="left"/>
        </w:tabs>
        <w:numPr>
          <w:ilvl w:val="0"/>
          <w:numId w:val="28"/>
        </w:numPr>
        <w:rPr>
          <w:rFonts w:ascii="Arial" w:cs="Arial" w:eastAsia="Arial" w:hAnsi="Arial"/>
          <w:sz w:val="16"/>
          <w:szCs w:val="16"/>
          <w:u w:val="single" w:color="auto"/>
          <w:color w:val="auto"/>
        </w:rPr>
      </w:pPr>
      <w:r>
        <w:rPr>
          <w:rFonts w:ascii="Arial" w:cs="Arial" w:eastAsia="Arial" w:hAnsi="Arial"/>
          <w:sz w:val="16"/>
          <w:szCs w:val="16"/>
          <w:color w:val="auto"/>
        </w:rPr>
        <w:t xml:space="preserve">of this definition, or (c) any financial institution established in an EEA Member Country which is a subsidiary of an institution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w:t>
      </w:r>
    </w:p>
    <w:p>
      <w:pPr>
        <w:spacing w:after="0" w:line="32" w:lineRule="exact"/>
        <w:rPr>
          <w:rFonts w:ascii="Arial" w:cs="Arial" w:eastAsia="Arial" w:hAnsi="Arial"/>
          <w:sz w:val="16"/>
          <w:szCs w:val="16"/>
          <w:u w:val="single" w:color="auto"/>
          <w:color w:val="auto"/>
        </w:rPr>
      </w:pPr>
    </w:p>
    <w:p>
      <w:pPr>
        <w:ind w:left="260" w:hanging="252"/>
        <w:spacing w:after="0"/>
        <w:tabs>
          <w:tab w:leader="none" w:pos="260" w:val="left"/>
        </w:tabs>
        <w:numPr>
          <w:ilvl w:val="0"/>
          <w:numId w:val="28"/>
        </w:numPr>
        <w:rPr>
          <w:rFonts w:ascii="Arial" w:cs="Arial" w:eastAsia="Arial" w:hAnsi="Arial"/>
          <w:sz w:val="18"/>
          <w:szCs w:val="18"/>
          <w:u w:val="single" w:color="auto"/>
          <w:color w:val="auto"/>
        </w:rPr>
      </w:pPr>
      <w:r>
        <w:rPr>
          <w:rFonts w:ascii="Arial" w:cs="Arial" w:eastAsia="Arial" w:hAnsi="Arial"/>
          <w:sz w:val="18"/>
          <w:szCs w:val="18"/>
          <w:color w:val="auto"/>
        </w:rPr>
        <w:t>of this definition and is subject to consolidated supervision with its parent.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any Person that meets the requirements to be an assignee under </w:t>
      </w:r>
      <w:r>
        <w:rPr>
          <w:rFonts w:ascii="Arial" w:cs="Arial" w:eastAsia="Arial" w:hAnsi="Arial"/>
          <w:sz w:val="18"/>
          <w:szCs w:val="18"/>
          <w:u w:val="single" w:color="auto"/>
          <w:color w:val="auto"/>
        </w:rPr>
        <w:t>Section 10.06(b)(iii)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w:t>
      </w:r>
      <w:r>
        <w:rPr>
          <w:rFonts w:ascii="Arial" w:cs="Arial" w:eastAsia="Arial" w:hAnsi="Arial"/>
          <w:sz w:val="18"/>
          <w:szCs w:val="18"/>
          <w:color w:val="auto"/>
        </w:rPr>
        <w:t xml:space="preserve"> (subject to such consents, if any, as may be required under </w:t>
      </w:r>
      <w:r>
        <w:rPr>
          <w:rFonts w:ascii="Arial" w:cs="Arial" w:eastAsia="Arial" w:hAnsi="Arial"/>
          <w:sz w:val="18"/>
          <w:szCs w:val="18"/>
          <w:u w:val="single" w:color="auto"/>
          <w:color w:val="auto"/>
        </w:rPr>
        <w:t>Section 10.06(b)(iii)</w:t>
      </w:r>
      <w:r>
        <w:rPr>
          <w:rFonts w:ascii="Arial" w:cs="Arial" w:eastAsia="Arial" w:hAnsi="Arial"/>
          <w:sz w:val="18"/>
          <w:szCs w:val="18"/>
          <w:color w:val="auto"/>
        </w:rPr>
        <w:t>).</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w:t>
      </w:r>
      <w:r>
        <w:rPr>
          <w:rFonts w:ascii="Arial" w:cs="Arial" w:eastAsia="Arial" w:hAnsi="Arial"/>
          <w:sz w:val="18"/>
          <w:szCs w:val="18"/>
          <w:color w:val="auto"/>
        </w:rPr>
        <w:t>” means ambient air, indoor air, surface water, groundwater, drinking water, soil, surface and subsurface strata, and natural resources such as wetland, flora and fauna.</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Federal, state, local, and foreign statutes, laws, regulations, ordinances, rules, judgments, orders, decrees, permits, agreements or governmental restrictions relating to pollution or the protection of the Environment or human health (to the extent related to exposure to Hazardous Materials), including those relating to the manufacture, generation, handling, transport, storage, treatment, Release or threat of Release of Hazardous Materials.</w:t>
      </w:r>
    </w:p>
    <w:p>
      <w:pPr>
        <w:spacing w:after="0" w:line="187"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Liability</w:t>
      </w:r>
      <w:r>
        <w:rPr>
          <w:rFonts w:ascii="Arial" w:cs="Arial" w:eastAsia="Arial" w:hAnsi="Arial"/>
          <w:sz w:val="16"/>
          <w:szCs w:val="16"/>
          <w:color w:val="auto"/>
        </w:rPr>
        <w:t>” means any liability, contingent or otherwise (including any liability for damages, costs of environmental remediation, fines, penalties or indemnities), of the Borrower, any other Loan Party or any of their respective Subsidiaries directly or indirectly resulting from or based upon (a) violation of any Environmental Law, (b) the generation, use, handling, transportation, storage, treatment or disposal of any Hazardous Materials,</w:t>
      </w:r>
    </w:p>
    <w:p>
      <w:pPr>
        <w:ind w:right="280" w:firstLine="8"/>
        <w:spacing w:after="0" w:line="261" w:lineRule="auto"/>
        <w:tabs>
          <w:tab w:leader="none" w:pos="245"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exposure to any Hazardous Materials, (d) Release or threatened Release of any Hazardous Materials or (e) any contract, agreement or other consensual arrangement pursuant to which liability is assumed or imposed with respect to any of the foregoing.</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Permit</w:t>
      </w:r>
      <w:r>
        <w:rPr>
          <w:rFonts w:ascii="Arial" w:cs="Arial" w:eastAsia="Arial" w:hAnsi="Arial"/>
          <w:sz w:val="17"/>
          <w:szCs w:val="17"/>
          <w:color w:val="auto"/>
        </w:rPr>
        <w:t>” means any permit, approval, identification number, license or other authorization required under any Environmental Law.</w:t>
      </w:r>
    </w:p>
    <w:p>
      <w:pPr>
        <w:spacing w:after="0" w:line="237" w:lineRule="exact"/>
        <w:rPr>
          <w:sz w:val="20"/>
          <w:szCs w:val="20"/>
          <w:color w:val="auto"/>
        </w:rPr>
      </w:pPr>
    </w:p>
    <w:p>
      <w:pPr>
        <w:ind w:right="220" w:firstLine="45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Interests</w:t>
      </w:r>
      <w:r>
        <w:rPr>
          <w:rFonts w:ascii="Arial" w:cs="Arial" w:eastAsia="Arial" w:hAnsi="Arial"/>
          <w:sz w:val="17"/>
          <w:szCs w:val="17"/>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37" w:name="page38"/>
    <w:bookmarkEnd w:id="37"/>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ERISA</w:t>
      </w:r>
      <w:r>
        <w:rPr>
          <w:rFonts w:ascii="Arial" w:cs="Arial" w:eastAsia="Arial" w:hAnsi="Arial"/>
          <w:sz w:val="17"/>
          <w:szCs w:val="17"/>
          <w:color w:val="auto"/>
        </w:rPr>
        <w:t>” means the Employee Retirement Income Security Act of 1974, as amended, and the rules and regulations promulgated thereunder.</w:t>
      </w:r>
    </w:p>
    <w:p>
      <w:pPr>
        <w:spacing w:after="0" w:line="237" w:lineRule="exact"/>
        <w:rPr>
          <w:sz w:val="20"/>
          <w:szCs w:val="20"/>
          <w:color w:val="auto"/>
        </w:rPr>
      </w:pPr>
    </w:p>
    <w:p>
      <w:pPr>
        <w:ind w:right="72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Affiliate</w:t>
      </w:r>
      <w:r>
        <w:rPr>
          <w:rFonts w:ascii="Arial" w:cs="Arial" w:eastAsia="Arial" w:hAnsi="Arial"/>
          <w:sz w:val="16"/>
          <w:szCs w:val="16"/>
          <w:color w:val="auto"/>
        </w:rPr>
        <w:t>” means any trade or business (whether or not incorporated) under common control with the Borrower within the meaning of Section 414(b) or (c) of the Code (and Sections 414(m) and (o) of the Code for purposes of provisions relating to Section 412 of the Code).</w:t>
      </w:r>
    </w:p>
    <w:p>
      <w:pPr>
        <w:spacing w:after="0" w:line="12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Event</w:t>
      </w:r>
      <w:r>
        <w:rPr>
          <w:rFonts w:ascii="Arial" w:cs="Arial" w:eastAsia="Arial" w:hAnsi="Arial"/>
          <w:sz w:val="18"/>
          <w:szCs w:val="18"/>
          <w:color w:val="auto"/>
        </w:rPr>
        <w:t>” means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 or any ERISA Affiliate from a Multiemployer Plan or notification that a Multiemployer Plan is insolvent or in reorganization (within the meaning of Title IV of ERISA); (d) the filing of a notice of intent to terminate or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or 432 of the Code or Sections 303 or 305 of ERISA; (h) the imposition of any liability under Title IV of ERISA, other than for PBGC premiums due but not delinquent under Section 4007 of ERISA, upon the Borrower or any ERISA Affiliate; or (i) a failure by the Borrower or any ERISA Affiliate to meet all applicable requirements under the Pension Funding Rules in respect of a Pension Plan, whether or not waived, or the failure by the Borrower or any ERISA Affiliate to make any required contribution to a Multiemployer Plan.</w:t>
      </w:r>
    </w:p>
    <w:p>
      <w:pPr>
        <w:spacing w:after="0" w:line="191"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Eurodollar Rate</w:t>
      </w:r>
      <w:r>
        <w:rPr>
          <w:rFonts w:ascii="Arial" w:cs="Arial" w:eastAsia="Arial" w:hAnsi="Arial"/>
          <w:sz w:val="16"/>
          <w:szCs w:val="16"/>
          <w:color w:val="auto"/>
        </w:rPr>
        <w:t xml:space="preserve">” means, with respect to each Interest Period for a Eurodollar Rate Loan or for any calculation of the Base Rate in accordance with clause (iii) of the definition of Base Rate, (i) the rate per annum equal to the London interbank offered rate for deposits in Dollars appearing on Reuters screen page LIBOR 01 (or on any successor or substitute page of such service or any successor to such service, or such other commercially available source providing such quotations as may be designated by the Administrative Agent from time to time) at approximately 11:00 A.M. (London time) two (2) Business Days prior to the first day of such Interest Period, with a maturity equal to such Interest Period, </w:t>
      </w:r>
      <w:r>
        <w:rPr>
          <w:rFonts w:ascii="Arial" w:cs="Arial" w:eastAsia="Arial" w:hAnsi="Arial"/>
          <w:sz w:val="16"/>
          <w:szCs w:val="16"/>
          <w:u w:val="single" w:color="auto"/>
          <w:color w:val="auto"/>
        </w:rPr>
        <w:t>divided by</w:t>
      </w:r>
      <w:r>
        <w:rPr>
          <w:rFonts w:ascii="Arial" w:cs="Arial" w:eastAsia="Arial" w:hAnsi="Arial"/>
          <w:sz w:val="16"/>
          <w:szCs w:val="16"/>
          <w:color w:val="auto"/>
        </w:rPr>
        <w:t xml:space="preserve"> (ii) a percentage equal to 100%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then stated maximum rate of all reserve requirements (including any marginal, emergency, supplemental, special or other reserves and without benefit of credits for proration, exceptions or offsets that may be available from time to time) applicable to any member bank of the Federal Reserve System in respect of Eurocurrency liabilities as defined in Regulation D (or any successor category of liabilities under Regulation 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rate referred to in </w:t>
      </w:r>
      <w:r>
        <w:rPr>
          <w:rFonts w:ascii="Arial" w:cs="Arial" w:eastAsia="Arial" w:hAnsi="Arial"/>
          <w:sz w:val="16"/>
          <w:szCs w:val="16"/>
          <w:u w:val="single" w:color="auto"/>
          <w:color w:val="auto"/>
        </w:rPr>
        <w:t>clause</w:t>
      </w:r>
    </w:p>
    <w:p>
      <w:pPr>
        <w:spacing w:after="0" w:line="1" w:lineRule="exact"/>
        <w:rPr>
          <w:sz w:val="20"/>
          <w:szCs w:val="20"/>
          <w:color w:val="auto"/>
        </w:rPr>
      </w:pPr>
    </w:p>
    <w:p>
      <w:pPr>
        <w:ind w:right="220" w:firstLine="8"/>
        <w:spacing w:after="0" w:line="281" w:lineRule="auto"/>
        <w:tabs>
          <w:tab w:leader="none" w:pos="215" w:val="left"/>
        </w:tabs>
        <w:numPr>
          <w:ilvl w:val="0"/>
          <w:numId w:val="30"/>
        </w:numPr>
        <w:rPr>
          <w:rFonts w:ascii="Arial" w:cs="Arial" w:eastAsia="Arial" w:hAnsi="Arial"/>
          <w:sz w:val="16"/>
          <w:szCs w:val="16"/>
          <w:u w:val="single" w:color="auto"/>
          <w:color w:val="auto"/>
        </w:rPr>
      </w:pPr>
      <w:r>
        <w:rPr>
          <w:rFonts w:ascii="Arial" w:cs="Arial" w:eastAsia="Arial" w:hAnsi="Arial"/>
          <w:sz w:val="16"/>
          <w:szCs w:val="16"/>
          <w:color w:val="auto"/>
        </w:rPr>
        <w:t xml:space="preserve">above is not available at any such time for any reason, then the rate referred to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shall instead be the interest rate per annum, as determined by the Administrative Agent, to be the arithmetic average of the rates per annum at which deposits in Dollars in an amount equal to the amount of such Eurodollar Loan are offered by major banks in the London interbank market to the Administrative Agent at approximately 11:00 A.M. (London time), two</w:t>
      </w:r>
    </w:p>
    <w:p>
      <w:pPr>
        <w:spacing w:after="0" w:line="2" w:lineRule="exact"/>
        <w:rPr>
          <w:rFonts w:ascii="Arial" w:cs="Arial" w:eastAsia="Arial" w:hAnsi="Arial"/>
          <w:sz w:val="16"/>
          <w:szCs w:val="16"/>
          <w:u w:val="single" w:color="auto"/>
          <w:color w:val="auto"/>
        </w:rPr>
      </w:pPr>
    </w:p>
    <w:p>
      <w:pPr>
        <w:ind w:right="260"/>
        <w:spacing w:after="0" w:line="261" w:lineRule="auto"/>
        <w:rPr>
          <w:rFonts w:ascii="Arial" w:cs="Arial" w:eastAsia="Arial" w:hAnsi="Arial"/>
          <w:sz w:val="16"/>
          <w:szCs w:val="16"/>
          <w:u w:val="single" w:color="auto"/>
          <w:color w:val="auto"/>
        </w:rPr>
      </w:pPr>
      <w:r>
        <w:rPr>
          <w:rFonts w:ascii="Arial" w:cs="Arial" w:eastAsia="Arial" w:hAnsi="Arial"/>
          <w:sz w:val="18"/>
          <w:szCs w:val="18"/>
          <w:color w:val="auto"/>
        </w:rPr>
        <w:t>(2) Business Days prior to the first day of such Interest Period for contracts that would be entered into at the commencement of such Interest Period for the same duration as such Interest Period.</w:t>
      </w:r>
    </w:p>
    <w:p>
      <w:pPr>
        <w:spacing w:after="0" w:line="184"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 xml:space="preserve">Notwithstanding the foregoing, in no event shall the Eurodollar Rate be less than, with respect to (i) any Initial Term Loan, 1.00% and (ii) with respect to any Incremental Term Loan, as determined in accordance with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 Loan</w:t>
      </w:r>
      <w:r>
        <w:rPr>
          <w:rFonts w:ascii="Arial" w:cs="Arial" w:eastAsia="Arial" w:hAnsi="Arial"/>
          <w:sz w:val="18"/>
          <w:szCs w:val="18"/>
          <w:color w:val="auto"/>
        </w:rPr>
        <w:t>” means a Loan that bears interest at a rate determined by reference to the Eurodollar Rate (other than by reason of clause (iii) of the definition of “Base Rate”).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225" w:lineRule="exact"/>
        <w:rPr>
          <w:sz w:val="20"/>
          <w:szCs w:val="20"/>
          <w:color w:val="auto"/>
        </w:rPr>
      </w:pPr>
    </w:p>
    <w:p>
      <w:pPr>
        <w:ind w:right="5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Cash Flow</w:t>
      </w:r>
      <w:r>
        <w:rPr>
          <w:rFonts w:ascii="Arial" w:cs="Arial" w:eastAsia="Arial" w:hAnsi="Arial"/>
          <w:sz w:val="18"/>
          <w:szCs w:val="18"/>
          <w:color w:val="auto"/>
        </w:rPr>
        <w:t xml:space="preserve">” means, for any fiscal year of the Borrower, the excess (if any) of (a) Consolidated EBITDA for such fiscal year (determined without giving effect to </w:t>
      </w:r>
      <w:r>
        <w:rPr>
          <w:rFonts w:ascii="Arial" w:cs="Arial" w:eastAsia="Arial" w:hAnsi="Arial"/>
          <w:sz w:val="18"/>
          <w:szCs w:val="18"/>
          <w:u w:val="single" w:color="auto"/>
          <w:color w:val="auto"/>
        </w:rPr>
        <w:t>clause (a)(vi)</w:t>
      </w:r>
      <w:r>
        <w:rPr>
          <w:rFonts w:ascii="Arial" w:cs="Arial" w:eastAsia="Arial" w:hAnsi="Arial"/>
          <w:sz w:val="18"/>
          <w:szCs w:val="18"/>
          <w:color w:val="auto"/>
        </w:rPr>
        <w:t xml:space="preserve"> thereof and any adjustments thereto pursuant to </w:t>
      </w:r>
      <w:r>
        <w:rPr>
          <w:rFonts w:ascii="Arial" w:cs="Arial" w:eastAsia="Arial" w:hAnsi="Arial"/>
          <w:sz w:val="18"/>
          <w:szCs w:val="18"/>
          <w:u w:val="single" w:color="auto"/>
          <w:color w:val="auto"/>
        </w:rPr>
        <w:t>Section 1.03(c)</w:t>
      </w:r>
      <w:r>
        <w:rPr>
          <w:rFonts w:ascii="Arial" w:cs="Arial" w:eastAsia="Arial" w:hAnsi="Arial"/>
          <w:sz w:val="18"/>
          <w:szCs w:val="18"/>
          <w:color w:val="auto"/>
        </w:rPr>
        <w:t xml:space="preserve">) </w:t>
      </w:r>
      <w:r>
        <w:rPr>
          <w:rFonts w:ascii="Arial" w:cs="Arial" w:eastAsia="Arial" w:hAnsi="Arial"/>
          <w:sz w:val="18"/>
          <w:szCs w:val="18"/>
          <w:u w:val="single" w:color="auto"/>
          <w:color w:val="auto"/>
        </w:rPr>
        <w:t>over</w:t>
      </w:r>
      <w:r>
        <w:rPr>
          <w:rFonts w:ascii="Arial" w:cs="Arial" w:eastAsia="Arial" w:hAnsi="Arial"/>
          <w:sz w:val="18"/>
          <w:szCs w:val="18"/>
          <w:color w:val="auto"/>
        </w:rPr>
        <w:t xml:space="preserve"> (b) the sum (for such fiscal year) of (i) Consolidated Interest Expense actually paid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38" w:name="page39"/>
    <w:bookmarkEnd w:id="38"/>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cash by the Borrower and its Subsidiaries, (ii) scheduled principal repayments, to the extent actually made in cash, of the Term Loans (as defined in the First Lien Credit Agreement) pursuant to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of the First Lien Credit Agreement, (iii) scheduled principal repayments, to the extent actually made in cash, of the Term Loans pursuant to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of this Agreement, (iv) all Consolidated Income Tax Expense actually paid in cash by the Borrower and its Subsidiaries, (v) Capital Expenditures actually made by the Borrower and its Subsidiaries in cash, and (vi) Transaction Costs actually paid by the Borrower and its Subsidiaries in cash;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of </w:t>
      </w:r>
      <w:r>
        <w:rPr>
          <w:rFonts w:ascii="Arial" w:cs="Arial" w:eastAsia="Arial" w:hAnsi="Arial"/>
          <w:sz w:val="18"/>
          <w:szCs w:val="18"/>
          <w:u w:val="single" w:color="auto"/>
          <w:color w:val="auto"/>
        </w:rPr>
        <w:t>clauses (b)(i)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such payment was not made with proceeds of any Indebtedness, Disposition, equity issuance, Extraordinary Receipts or other proceeds that would not be included in calculating Consolidated EBITDA for the applicable fiscal year.</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Accounts</w:t>
      </w:r>
      <w:r>
        <w:rPr>
          <w:rFonts w:ascii="Arial" w:cs="Arial" w:eastAsia="Arial" w:hAnsi="Arial"/>
          <w:sz w:val="18"/>
          <w:szCs w:val="18"/>
          <w:color w:val="auto"/>
        </w:rPr>
        <w:t>” has the meaning specified in the Security Agreement.</w:t>
      </w:r>
    </w:p>
    <w:p>
      <w:pPr>
        <w:spacing w:after="0" w:line="225"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applicable Commitment or, to the extent such Lender acquires an applicable interest in a Loan not funded pursuant to a prior Commitment, the date on which such Lender acquires such interest in such Loan (provided that this clause (b) shall not apply to an interest in a Loan or Commitment acquired pursuant to an assignment request by the Borrower under Section 10.13) or</w:t>
      </w:r>
    </w:p>
    <w:p>
      <w:pPr>
        <w:spacing w:after="0" w:line="1" w:lineRule="exact"/>
        <w:rPr>
          <w:sz w:val="20"/>
          <w:szCs w:val="20"/>
          <w:color w:val="auto"/>
        </w:rPr>
      </w:pPr>
    </w:p>
    <w:p>
      <w:pPr>
        <w:ind w:right="120" w:firstLine="8"/>
        <w:spacing w:after="0" w:line="252" w:lineRule="auto"/>
        <w:tabs>
          <w:tab w:leader="none" w:pos="265"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such Lender changes its Lending Office, except in each case to the extent that, pursuant to Section 3.01(a)(ii) or (c), amounts with respect to such Taxes were payable either to such Lender’s assignor immediately before such Lender became a party hereto or to such Lender immediately before it changed its Lending Office, (c) Taxes attributable to such Recipient’s failure to comply with Section 3.01(e) and (d) any U.S. Federal withholding Taxes imposed under FATCA. For purposes of clause (b) of this definition, a Lender that acquires a participation pursuant to Section 2.13 shall be treated as having acquired such participation on the earlier date(s) on which such Lender acquired the applicable interest(s) in the Commitment(s) or Loan(s) (as applicable) to which such participation relates.</w:t>
      </w:r>
    </w:p>
    <w:p>
      <w:pPr>
        <w:spacing w:after="0" w:line="194"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Indebtedness</w:t>
      </w:r>
      <w:r>
        <w:rPr>
          <w:rFonts w:ascii="Arial" w:cs="Arial" w:eastAsia="Arial" w:hAnsi="Arial"/>
          <w:sz w:val="18"/>
          <w:szCs w:val="18"/>
          <w:color w:val="auto"/>
        </w:rPr>
        <w:t xml:space="preserve">” means all existing Indebtedness of the Target and its Subsidiaries, including, without limitation, that certain Credit and Guaranty Agreement, dated as of May 22, 2017, by and among PMG Acquisition Corporation, PMG Intermediate Holding Corporation, the other Subsidiaries (as defined therein) of PMG Intermediate Holding Corporation from time to time party thereto, as Guarantors (as defined therein), Midcap Financial Trust and the financial institutions from time to time party thereto, as Lenders (as defined therein), as amended, modified and supplemented from time to time, but excluding Indebtedness permitted pursuant to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188"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Extraordinary Receipt</w:t>
      </w:r>
      <w:r>
        <w:rPr>
          <w:rFonts w:ascii="Arial" w:cs="Arial" w:eastAsia="Arial" w:hAnsi="Arial"/>
          <w:sz w:val="17"/>
          <w:szCs w:val="17"/>
          <w:color w:val="auto"/>
        </w:rPr>
        <w:t xml:space="preserve">” means any cash received by or paid to or for the account of any Person not in the ordinary course of business, including tax refunds, pension plan reversions, proceeds of insurance (other than proceeds of business interruption insurance to the extent such proceeds constitute compensation for lost earnings), condemnation awards (and payments in lieu thereof), indemnity payments and any purchase price adjustments;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 Extraordinary Receipt shall not include cash receipts from proceeds of insurance, condemnation awards (or payments in lieu thereof) or indemnity payments to the extent that such proceeds, awards or payments in respect of loss or damage to equipment, fixed assets or real property are applied (or in respect of which expenditures were previously incurred) to replace or repair the equipment, fixed assets or real property in respect of which such proceeds were received in accordance with the terms of </w:t>
      </w:r>
      <w:r>
        <w:rPr>
          <w:rFonts w:ascii="Arial" w:cs="Arial" w:eastAsia="Arial" w:hAnsi="Arial"/>
          <w:sz w:val="17"/>
          <w:szCs w:val="17"/>
          <w:u w:val="single" w:color="auto"/>
          <w:color w:val="auto"/>
        </w:rPr>
        <w:t>Section 2.05(b)(iv)</w:t>
      </w:r>
      <w:r>
        <w:rPr>
          <w:rFonts w:ascii="Arial" w:cs="Arial" w:eastAsia="Arial" w:hAnsi="Arial"/>
          <w:sz w:val="17"/>
          <w:szCs w:val="17"/>
          <w:color w:val="auto"/>
        </w:rPr>
        <w: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means the Term Facility.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FASB ASC</w:t>
      </w:r>
      <w:r>
        <w:rPr>
          <w:rFonts w:ascii="Arial" w:cs="Arial" w:eastAsia="Arial" w:hAnsi="Arial"/>
          <w:sz w:val="18"/>
          <w:szCs w:val="18"/>
          <w:color w:val="auto"/>
        </w:rPr>
        <w:t>” means the Accounting Standards Codification of the Financial Accounting Standards Board.</w:t>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and not materially more onerous to comply with), any current or future regulations with respect thereto or official interpretations thereof, any agreements entered into pursuant to Section 1471(b)(1) of the Code, as of the date of this Agreement (or any amended or successor version described above), and any intergovernmental agreement implementing the foregoing.</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74" w:right="299" w:bottom="1440" w:gutter="0" w:footer="0" w:header="0"/>
        </w:sectPr>
      </w:pPr>
    </w:p>
    <w:bookmarkStart w:id="39" w:name="page40"/>
    <w:bookmarkEnd w:id="39"/>
    <w:p>
      <w:pPr>
        <w:ind w:right="40" w:firstLine="456"/>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Federal Funds Rate</w:t>
      </w:r>
      <w:r>
        <w:rPr>
          <w:rFonts w:ascii="Arial" w:cs="Arial" w:eastAsia="Arial" w:hAnsi="Arial"/>
          <w:sz w:val="17"/>
          <w:szCs w:val="17"/>
          <w:color w:val="auto"/>
        </w:rPr>
        <w:t>” means, for any day, the rate per annum (rounded upwards, if necessary, to the next 1/100 of 1%) equal to the weighted average of the rates on overnight Federal funds transactions with member banks of the Federal Reserve System, as published by the Federal Reserve Bank of New York on the next succeeding Business Day or, if such rate is not so published for any Business Day, the Federal Funds Rate for such day shall be the average (rounded upwards, if necessary, to the next 1/100 of 1%) of the quotations for such day on such transactions received by the Administrative Agent from three Federal funds brokers of recognized standing selected by the Administrative Agent.</w:t>
      </w:r>
    </w:p>
    <w:p>
      <w:pPr>
        <w:spacing w:after="0" w:line="173"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Financial Officer</w:t>
      </w:r>
      <w:r>
        <w:rPr>
          <w:rFonts w:ascii="Arial" w:cs="Arial" w:eastAsia="Arial" w:hAnsi="Arial"/>
          <w:sz w:val="16"/>
          <w:szCs w:val="16"/>
          <w:color w:val="auto"/>
        </w:rPr>
        <w:t>” means any of the following officers: chief executive officer, president, chief financial officer, chief administrative officer, treasurer or controller. Unless otherwise qualified, all references to a Financial Officer in this Agreement shall refer to a Financial Officer of the Borrower.</w:t>
      </w:r>
    </w:p>
    <w:p>
      <w:pPr>
        <w:spacing w:after="0" w:line="124"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First Lien Credit Agreement</w:t>
      </w:r>
      <w:r>
        <w:rPr>
          <w:rFonts w:ascii="Arial" w:cs="Arial" w:eastAsia="Arial" w:hAnsi="Arial"/>
          <w:sz w:val="17"/>
          <w:szCs w:val="17"/>
          <w:color w:val="auto"/>
        </w:rPr>
        <w:t>” means the Amended and Restated Credit Agreement, dated as of September 30, 2016, among the Borrower, the lenders from time to time party thereto and SunTrust Bank, as administrative agent, as the same may be amended, restated, modified, supplemented, extended, increased, renewed, refunded, replaced, restructured or refinanced from time to time in one or more agreements (in each case with the same or new lenders, investors or agents), including any agreement extending the maturity thereof or otherwise restructuring all or any portion of the Indebtedness thereunder or increasing the amount loaned or issued thereunder or altering the maturity thereof with new lenders or a different agent, in each case as and to the extent permitted by this Agreement and the First Lien/Second Lien Intercreditor Agreement.</w:t>
      </w:r>
    </w:p>
    <w:p>
      <w:pPr>
        <w:spacing w:after="0" w:line="178" w:lineRule="exact"/>
        <w:rPr>
          <w:sz w:val="20"/>
          <w:szCs w:val="20"/>
          <w:color w:val="auto"/>
        </w:rPr>
      </w:pPr>
    </w:p>
    <w:p>
      <w:pPr>
        <w:ind w:right="9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Credit Documents</w:t>
      </w:r>
      <w:r>
        <w:rPr>
          <w:rFonts w:ascii="Arial" w:cs="Arial" w:eastAsia="Arial" w:hAnsi="Arial"/>
          <w:sz w:val="18"/>
          <w:szCs w:val="18"/>
          <w:color w:val="auto"/>
        </w:rPr>
        <w:t>” means the First Lien Credit Agreement and the other “Loan Documents” (as defined in the First Lien Credit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Incremental Facilities</w:t>
      </w:r>
      <w:r>
        <w:rPr>
          <w:rFonts w:ascii="Arial" w:cs="Arial" w:eastAsia="Arial" w:hAnsi="Arial"/>
          <w:sz w:val="18"/>
          <w:szCs w:val="18"/>
          <w:color w:val="auto"/>
        </w:rPr>
        <w:t>” means any incremental indebtedness incurred under the First Lien Credit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Obligations</w:t>
      </w:r>
      <w:r>
        <w:rPr>
          <w:rFonts w:ascii="Arial" w:cs="Arial" w:eastAsia="Arial" w:hAnsi="Arial"/>
          <w:sz w:val="18"/>
          <w:szCs w:val="18"/>
          <w:color w:val="auto"/>
        </w:rPr>
        <w:t>” means “Obligations” as defined in the First Lien Credit Agreement.</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Lien/Second Lien Intercreditor Agreement</w:t>
      </w:r>
      <w:r>
        <w:rPr>
          <w:rFonts w:ascii="Arial" w:cs="Arial" w:eastAsia="Arial" w:hAnsi="Arial"/>
          <w:sz w:val="18"/>
          <w:szCs w:val="18"/>
          <w:color w:val="auto"/>
        </w:rPr>
        <w:t>” means the First Lien/Second Lien Intercreditor Agreement, dated as of the Closing Date, entered into among the Administrative Agent, the Loan Parties and SunTrust Bank, as Senior Priority Representative (as defined therein) in respect of the First Lien Credit Documents.</w:t>
      </w:r>
    </w:p>
    <w:p>
      <w:pPr>
        <w:spacing w:after="0" w:line="18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Benefit Plan</w:t>
      </w:r>
      <w:r>
        <w:rPr>
          <w:rFonts w:ascii="Arial" w:cs="Arial" w:eastAsia="Arial" w:hAnsi="Arial"/>
          <w:sz w:val="17"/>
          <w:szCs w:val="17"/>
          <w:color w:val="auto"/>
        </w:rPr>
        <w:t>” means each material plan, fund, program or policy established under the law of a jurisdiction other than the United States (or a state or local government thereof), whether formal or informal, funded or unfunded, insured or uninsured, providing employee benefits, including medical, hospital care, dental, sickness, accident, disability, life insurance, pension, retirement or savings benefits, under which the Borrower or any of its Subsidiaries have any liability with respect to any employee or former employee, but excluding any Foreign Pension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Disposition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2.05(b)(viii)</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Excess Cash Flow</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2.05(b)(viii)</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 Lender that is not a U.S. Person.</w:t>
      </w:r>
    </w:p>
    <w:p>
      <w:pPr>
        <w:spacing w:after="0" w:line="225"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Pension Plan</w:t>
      </w:r>
      <w:r>
        <w:rPr>
          <w:rFonts w:ascii="Arial" w:cs="Arial" w:eastAsia="Arial" w:hAnsi="Arial"/>
          <w:sz w:val="17"/>
          <w:szCs w:val="17"/>
          <w:color w:val="auto"/>
        </w:rPr>
        <w:t>” means a pension plan required to be registered under the law of a jurisdiction other than the United States (or a state or local government thereof), that is maintained or contributed to by the Borrower or any of its Subsidiaries for their employees or former employees.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of the Borrower that is not a Domestic Subsidiary.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40" w:name="page41"/>
    <w:bookmarkEnd w:id="4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FRB</w:t>
      </w:r>
      <w:r>
        <w:rPr>
          <w:rFonts w:ascii="Arial" w:cs="Arial" w:eastAsia="Arial" w:hAnsi="Arial"/>
          <w:sz w:val="18"/>
          <w:szCs w:val="18"/>
          <w:color w:val="auto"/>
        </w:rPr>
        <w:t>” means the Board of Governors of the Federal Reserve System of the United States.</w:t>
      </w:r>
    </w:p>
    <w:p>
      <w:pPr>
        <w:spacing w:after="0" w:line="225"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70"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Indemnity Letter</w:t>
      </w:r>
      <w:r>
        <w:rPr>
          <w:rFonts w:ascii="Arial" w:cs="Arial" w:eastAsia="Arial" w:hAnsi="Arial"/>
          <w:sz w:val="18"/>
          <w:szCs w:val="18"/>
          <w:color w:val="auto"/>
        </w:rPr>
        <w:t>” means, a letter agreement, in form and substance reasonably satisfactory to the Administrative Agent, that the Borrower will promptly compensate each Lender for and hold such Lender harmless from any loss, cost or expense incurred by it as a result of Borrower’s failure to borrow any Loan other than a Base Rate Loan on the Closing Date.</w:t>
      </w:r>
    </w:p>
    <w:p>
      <w:pPr>
        <w:spacing w:after="0" w:line="181"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8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w:t>
      </w:r>
      <w:r>
        <w:rPr>
          <w:rFonts w:ascii="Arial" w:cs="Arial" w:eastAsia="Arial" w:hAnsi="Arial"/>
          <w:sz w:val="17"/>
          <w:szCs w:val="17"/>
          <w:color w:val="auto"/>
        </w:rPr>
        <w:t>” means, as to any Person, (a) any obligation, contingent or otherwise, of such Person guaranteeing or having the economic effect of guaranteeing any Indebtedness or other obligation payable or performable by another Person (the “</w:t>
      </w:r>
      <w:r>
        <w:rPr>
          <w:rFonts w:ascii="Arial" w:cs="Arial" w:eastAsia="Arial" w:hAnsi="Arial"/>
          <w:sz w:val="17"/>
          <w:szCs w:val="17"/>
          <w:u w:val="single" w:color="auto"/>
          <w:color w:val="auto"/>
        </w:rPr>
        <w:t>primary obligor</w:t>
      </w:r>
      <w:r>
        <w:rPr>
          <w:rFonts w:ascii="Arial" w:cs="Arial" w:eastAsia="Arial" w:hAnsi="Arial"/>
          <w:sz w:val="17"/>
          <w:szCs w:val="17"/>
          <w:color w:val="auto"/>
        </w:rPr>
        <w:t>”)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Arial" w:cs="Arial" w:eastAsia="Arial" w:hAnsi="Arial"/>
          <w:sz w:val="17"/>
          <w:szCs w:val="17"/>
          <w:u w:val="single" w:color="auto"/>
          <w:color w:val="auto"/>
        </w:rPr>
        <w:t>Guarantee</w:t>
      </w:r>
      <w:r>
        <w:rPr>
          <w:rFonts w:ascii="Arial" w:cs="Arial" w:eastAsia="Arial" w:hAnsi="Arial"/>
          <w:sz w:val="17"/>
          <w:szCs w:val="17"/>
          <w:color w:val="auto"/>
        </w:rPr>
        <w:t>” as a verb has a corresponding meaning.</w:t>
      </w:r>
    </w:p>
    <w:p>
      <w:pPr>
        <w:spacing w:after="0" w:line="188"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xml:space="preserve">” means, collectively, the Domestic Subsidiaries of the Borrower (other than Inactive Subsidiaries and Immaterial Subsidiaries) listed on </w:t>
      </w:r>
      <w:r>
        <w:rPr>
          <w:rFonts w:ascii="Arial" w:cs="Arial" w:eastAsia="Arial" w:hAnsi="Arial"/>
          <w:sz w:val="18"/>
          <w:szCs w:val="18"/>
          <w:u w:val="single" w:color="auto"/>
          <w:color w:val="auto"/>
        </w:rPr>
        <w:t>Schedule 5.01</w:t>
      </w:r>
      <w:r>
        <w:rPr>
          <w:rFonts w:ascii="Arial" w:cs="Arial" w:eastAsia="Arial" w:hAnsi="Arial"/>
          <w:sz w:val="18"/>
          <w:szCs w:val="18"/>
          <w:color w:val="auto"/>
        </w:rPr>
        <w:t xml:space="preserve"> and each other Subsidiary of the Borrower that shall be required to execute and deliver a Guaranty or guaranty supplement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xml:space="preserve">” means, collectively, the Second Lien Guaranty made by the Guarantors in favor of the Secured Parties, together with each other guaranty and guaranty supplement delivered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natural gas, natural gas liquids, asbestos or asbestos-containing materials, polychlorinated biphenyls, radon gas, toxic mold, infectious or medical wastes and all other substances, wastes, chemicals, pollutants, contaminants or compounds of any nature in any form, in each case, regulated pursuant to any Environmental Law.</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00"/>
          </w:cols>
          <w:pgMar w:left="240" w:top="274" w:right="359" w:bottom="1440" w:gutter="0" w:footer="0" w:header="0"/>
        </w:sectPr>
      </w:pPr>
    </w:p>
    <w:bookmarkStart w:id="41" w:name="page42"/>
    <w:bookmarkEnd w:id="41"/>
    <w:p>
      <w:pPr>
        <w:ind w:right="3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IFRS</w:t>
      </w:r>
      <w:r>
        <w:rPr>
          <w:rFonts w:ascii="Arial" w:cs="Arial" w:eastAsia="Arial" w:hAnsi="Arial"/>
          <w:sz w:val="18"/>
          <w:szCs w:val="18"/>
          <w:color w:val="auto"/>
        </w:rPr>
        <w:t>” means international accounting standards within the meaning of IAS Regulation 1606/2002 to the extent applicable to the relevant financial statements delivered under or referred to herein.</w:t>
      </w:r>
    </w:p>
    <w:p>
      <w:pPr>
        <w:spacing w:after="0" w:line="17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Immaterial Subsidiary</w:t>
      </w:r>
      <w:r>
        <w:rPr>
          <w:rFonts w:ascii="Arial" w:cs="Arial" w:eastAsia="Arial" w:hAnsi="Arial"/>
          <w:sz w:val="17"/>
          <w:szCs w:val="17"/>
          <w:color w:val="auto"/>
        </w:rPr>
        <w:t xml:space="preserve">” means any Subsidiary of the Borrower that, (a) together with its Subsidiaries, (i) contributed less than 2% of the Consolidated EBITDA of the Borrower and its Subsidiaries, taken as a whole, during the most recently-ended four fiscal quarter period (taken as a single period) and (ii) as of any applicable date of determination has assets that constitute less than 2% aggregate net book value of the assets of the Borrower and its Subsidiaries, taken as a whole, (b) does not Guarantee or provide a Lien on its assets or otherwise provide credit support with respect to any Indebtedness of the Borrower or any of the Borrower’s other Subsidiaries, (c) does not own, directly or indirectly, any Equity Interests or Indebtedness of, or own or hold any Lien on any property of, a Loan Party, (d) does not own any other Subsidiaries (other than Inactive Subsidiaries or Immaterial Subsidiaries) and (e) has not been designated to be a Loan Party pursuant to </w:t>
      </w:r>
      <w:r>
        <w:rPr>
          <w:rFonts w:ascii="Arial" w:cs="Arial" w:eastAsia="Arial" w:hAnsi="Arial"/>
          <w:sz w:val="17"/>
          <w:szCs w:val="17"/>
          <w:u w:val="single" w:color="auto"/>
          <w:color w:val="auto"/>
        </w:rPr>
        <w:t>Section 6.12(g)</w:t>
      </w:r>
      <w:r>
        <w:rPr>
          <w:rFonts w:ascii="Arial" w:cs="Arial" w:eastAsia="Arial" w:hAnsi="Arial"/>
          <w:sz w:val="17"/>
          <w:szCs w:val="17"/>
          <w:color w:val="auto"/>
        </w:rPr>
        <w:t xml:space="preserve"> hereof.</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Impacted Loans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3.03</w:t>
      </w:r>
      <w:r>
        <w:rPr>
          <w:rFonts w:ascii="Arial" w:cs="Arial" w:eastAsia="Arial" w:hAnsi="Arial"/>
          <w:sz w:val="18"/>
          <w:szCs w:val="18"/>
          <w:color w:val="auto"/>
        </w:rPr>
        <w:t>.</w:t>
      </w:r>
    </w:p>
    <w:p>
      <w:pPr>
        <w:spacing w:after="0" w:line="225"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Inactive Subsidiary</w:t>
      </w:r>
      <w:r>
        <w:rPr>
          <w:rFonts w:ascii="Arial" w:cs="Arial" w:eastAsia="Arial" w:hAnsi="Arial"/>
          <w:sz w:val="18"/>
          <w:szCs w:val="18"/>
          <w:color w:val="auto"/>
        </w:rPr>
        <w:t xml:space="preserve">” means any Subsidiary of the Borrower that (a) owns no assets (other than assets of de minimis value), has no Subsidiaries (other than other Inactive Subsidiaries) and conducts no operations, (b) does not Guarantee or provide a Lien on its assets or otherwise provide credit support with respect to any Indebtedness of the Borrower or any of the Borrower’s other Subsidiaries, (c) does not own, directly or indirectly, any Equity Interests or Indebtedness of, or own or hold any Lien on any property of, a Loan Party and (d) has not been designated to be a Loan Party pursuant to </w:t>
      </w:r>
      <w:r>
        <w:rPr>
          <w:rFonts w:ascii="Arial" w:cs="Arial" w:eastAsia="Arial" w:hAnsi="Arial"/>
          <w:sz w:val="18"/>
          <w:szCs w:val="18"/>
          <w:u w:val="single" w:color="auto"/>
          <w:color w:val="auto"/>
        </w:rPr>
        <w:t>Section 6.12(g)</w:t>
      </w:r>
      <w:r>
        <w:rPr>
          <w:rFonts w:ascii="Arial" w:cs="Arial" w:eastAsia="Arial" w:hAnsi="Arial"/>
          <w:sz w:val="18"/>
          <w:szCs w:val="18"/>
          <w:color w:val="auto"/>
        </w:rPr>
        <w:t xml:space="preserve"> hereof.</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Increase Effective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2.14(c)</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Excess Yield</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Increase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Incremental Term Borrowing</w:t>
      </w:r>
      <w:r>
        <w:rPr>
          <w:rFonts w:ascii="Arial" w:cs="Arial" w:eastAsia="Arial" w:hAnsi="Arial"/>
          <w:sz w:val="17"/>
          <w:szCs w:val="17"/>
          <w:color w:val="auto"/>
        </w:rPr>
        <w:t xml:space="preserve">” means a borrowing made pursuant to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with respect to Incremental Term Loans consisting of the same Type and, in the case of Eurodollar Rate Loans, having the same Interest Period, made by each of the Term Lenders pursuant to </w:t>
      </w:r>
      <w:r>
        <w:rPr>
          <w:rFonts w:ascii="Arial" w:cs="Arial" w:eastAsia="Arial" w:hAnsi="Arial"/>
          <w:sz w:val="17"/>
          <w:szCs w:val="17"/>
          <w:u w:val="single" w:color="auto"/>
          <w:color w:val="auto"/>
        </w:rPr>
        <w:t>Section 2.14</w:t>
      </w:r>
      <w:r>
        <w:rPr>
          <w:rFonts w:ascii="Arial" w:cs="Arial" w:eastAsia="Arial" w:hAnsi="Arial"/>
          <w:sz w:val="17"/>
          <w:szCs w:val="17"/>
          <w:color w:val="auto"/>
        </w:rPr>
        <w: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225"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as to any Person at a particular time, without duplication, all of the following, whether or not included as indebtedness or liabilities in accordance with GAAP:</w:t>
      </w:r>
    </w:p>
    <w:p>
      <w:pPr>
        <w:spacing w:after="0" w:line="62" w:lineRule="exact"/>
        <w:rPr>
          <w:sz w:val="20"/>
          <w:szCs w:val="20"/>
          <w:color w:val="auto"/>
        </w:rPr>
      </w:pPr>
    </w:p>
    <w:p>
      <w:pPr>
        <w:ind w:left="460" w:right="760" w:firstLine="443"/>
        <w:spacing w:after="0" w:line="277" w:lineRule="auto"/>
        <w:tabs>
          <w:tab w:leader="none" w:pos="1278"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obligations of such Person for borrowed money and all obligations of such Person evidenced by bonds, debentures, notes, loan agreements or other similar instruments;</w:t>
      </w:r>
    </w:p>
    <w:p>
      <w:pPr>
        <w:spacing w:after="0" w:line="62" w:lineRule="exact"/>
        <w:rPr>
          <w:rFonts w:ascii="Arial" w:cs="Arial" w:eastAsia="Arial" w:hAnsi="Arial"/>
          <w:sz w:val="18"/>
          <w:szCs w:val="18"/>
          <w:color w:val="auto"/>
        </w:rPr>
      </w:pPr>
    </w:p>
    <w:p>
      <w:pPr>
        <w:ind w:left="460" w:right="880" w:firstLine="443"/>
        <w:spacing w:after="0" w:line="277" w:lineRule="auto"/>
        <w:tabs>
          <w:tab w:leader="none" w:pos="128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maximum amount of all direct or contingent obligations of such Person arising under letters of credit (including standby and commercial), bankers’ acceptances, bank guaranties, surety bonds and similar instruments;</w:t>
      </w:r>
    </w:p>
    <w:p>
      <w:pPr>
        <w:spacing w:after="0" w:line="62" w:lineRule="exact"/>
        <w:rPr>
          <w:rFonts w:ascii="Arial" w:cs="Arial" w:eastAsia="Arial" w:hAnsi="Arial"/>
          <w:sz w:val="18"/>
          <w:szCs w:val="18"/>
          <w:color w:val="auto"/>
        </w:rPr>
      </w:pPr>
    </w:p>
    <w:p>
      <w:pPr>
        <w:ind w:left="1280" w:hanging="377"/>
        <w:spacing w:after="0"/>
        <w:tabs>
          <w:tab w:leader="none" w:pos="1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net obligations of such Person under any Swap Contract;</w:t>
      </w:r>
    </w:p>
    <w:p>
      <w:pPr>
        <w:spacing w:after="0" w:line="117" w:lineRule="exact"/>
        <w:rPr>
          <w:rFonts w:ascii="Arial" w:cs="Arial" w:eastAsia="Arial" w:hAnsi="Arial"/>
          <w:sz w:val="18"/>
          <w:szCs w:val="18"/>
          <w:color w:val="auto"/>
        </w:rPr>
      </w:pPr>
    </w:p>
    <w:p>
      <w:pPr>
        <w:ind w:left="460" w:right="20" w:firstLine="443"/>
        <w:spacing w:after="0" w:line="264" w:lineRule="auto"/>
        <w:tabs>
          <w:tab w:leader="none" w:pos="1288"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purchase price of property or services (other than trade accounts payable in the ordinary course of business and current liabilities in the form of expenses that are not the result of the borrowing of money or the extension of credit and that are listed on the financial statements of the Borrower as “other current liabilities”);</w:t>
      </w:r>
    </w:p>
    <w:p>
      <w:pPr>
        <w:spacing w:after="0" w:line="73" w:lineRule="exact"/>
        <w:rPr>
          <w:rFonts w:ascii="Arial" w:cs="Arial" w:eastAsia="Arial" w:hAnsi="Arial"/>
          <w:sz w:val="18"/>
          <w:szCs w:val="18"/>
          <w:color w:val="auto"/>
        </w:rPr>
      </w:pPr>
    </w:p>
    <w:p>
      <w:pPr>
        <w:ind w:left="460" w:right="320" w:firstLine="443"/>
        <w:spacing w:after="0" w:line="264" w:lineRule="auto"/>
        <w:tabs>
          <w:tab w:leader="none" w:pos="1278"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42" w:name="page43"/>
    <w:bookmarkEnd w:id="42"/>
    <w:p>
      <w:pPr>
        <w:ind w:left="1260" w:hanging="357"/>
        <w:spacing w:after="0"/>
        <w:tabs>
          <w:tab w:leader="none" w:pos="1260" w:val="left"/>
        </w:tabs>
        <w:numPr>
          <w:ilvl w:val="0"/>
          <w:numId w:val="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Attributable Indebtedness in respect of Capitalized Leases and Synthetic Lease Obligations of such Person and all Synthetic Debt of such</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Person;</w:t>
      </w:r>
    </w:p>
    <w:p>
      <w:pPr>
        <w:spacing w:after="0" w:line="102" w:lineRule="exact"/>
        <w:rPr>
          <w:rFonts w:ascii="Arial" w:cs="Arial" w:eastAsia="Arial" w:hAnsi="Arial"/>
          <w:sz w:val="16"/>
          <w:szCs w:val="16"/>
          <w:color w:val="auto"/>
        </w:rPr>
      </w:pPr>
    </w:p>
    <w:p>
      <w:pPr>
        <w:jc w:val="both"/>
        <w:ind w:left="460" w:right="140" w:firstLine="443"/>
        <w:spacing w:after="0" w:line="264" w:lineRule="auto"/>
        <w:tabs>
          <w:tab w:leader="none" w:pos="1288"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all obligations of such Person to purchase, redeem, retire, defease or otherwise make any payment in respect of any Equity Interest in such Person or any other Person or any warrant, right or option to acquire such Equity Interest, valued, in the case of a redeemable preferred interest, at the greater of its voluntary or involuntary liquidation preference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accrued and unpaid dividends;</w:t>
      </w:r>
    </w:p>
    <w:p>
      <w:pPr>
        <w:spacing w:after="0" w:line="73" w:lineRule="exact"/>
        <w:rPr>
          <w:rFonts w:ascii="Arial" w:cs="Arial" w:eastAsia="Arial" w:hAnsi="Arial"/>
          <w:sz w:val="18"/>
          <w:szCs w:val="18"/>
          <w:color w:val="auto"/>
        </w:rPr>
      </w:pPr>
    </w:p>
    <w:p>
      <w:pPr>
        <w:ind w:left="460" w:right="80" w:firstLine="443"/>
        <w:spacing w:after="0" w:line="277" w:lineRule="auto"/>
        <w:tabs>
          <w:tab w:leader="none" w:pos="1288"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obligations of such Person with respect to asset securitization financing programs to the extent that there is recourse against such Person or such Person is liable (contingent or otherwise) under any such program;</w:t>
      </w:r>
    </w:p>
    <w:p>
      <w:pPr>
        <w:spacing w:after="0" w:line="62" w:lineRule="exact"/>
        <w:rPr>
          <w:rFonts w:ascii="Arial" w:cs="Arial" w:eastAsia="Arial" w:hAnsi="Arial"/>
          <w:sz w:val="18"/>
          <w:szCs w:val="18"/>
          <w:color w:val="auto"/>
        </w:rPr>
      </w:pPr>
    </w:p>
    <w:p>
      <w:pPr>
        <w:ind w:left="1260" w:hanging="357"/>
        <w:spacing w:after="0"/>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Guarantees of such Person in respect of any of the foregoing; and</w:t>
      </w:r>
    </w:p>
    <w:p>
      <w:pPr>
        <w:spacing w:after="0" w:line="117" w:lineRule="exact"/>
        <w:rPr>
          <w:rFonts w:ascii="Arial" w:cs="Arial" w:eastAsia="Arial" w:hAnsi="Arial"/>
          <w:sz w:val="18"/>
          <w:szCs w:val="18"/>
          <w:color w:val="auto"/>
        </w:rPr>
      </w:pPr>
    </w:p>
    <w:p>
      <w:pPr>
        <w:ind w:left="460" w:right="240" w:firstLine="443"/>
        <w:spacing w:after="0" w:line="264" w:lineRule="auto"/>
        <w:tabs>
          <w:tab w:leader="none" w:pos="1248"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Disqualified Equity Interests issued by such Person with the amount of Indebtedness represented by such Disqualified Equity Interests being equal to the greater of its voluntary or involuntary liquidation preference and its maximum fixed repurchase price or, with respect to any Subsidiary, any preferred Equity Interests (but excluding, in each case, accrued dividends, if any).</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w:t>
      </w:r>
    </w:p>
    <w:p>
      <w:pPr>
        <w:spacing w:after="0" w:line="18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xml:space="preserve">” means (a) Taxes, other than Excluded Taxes, imposed on or with respect to any payment made by or on account of any obligation of any Loan Party under any Loan Document and (b) to the extent not otherwise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Other Taxes.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10.04(b)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10.07</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Borrowing</w:t>
      </w:r>
      <w:r>
        <w:rPr>
          <w:rFonts w:ascii="Arial" w:cs="Arial" w:eastAsia="Arial" w:hAnsi="Arial"/>
          <w:sz w:val="18"/>
          <w:szCs w:val="18"/>
          <w:color w:val="auto"/>
        </w:rPr>
        <w:t xml:space="preserve">” means a borrowing made on the Closing Date, with respect to Initial Term Loans consisting of the same Type and, in the case of Eurodollar Rate Loans, having the same Interest Period, made by each of the Term Lenders pursuant to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170"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Initial Term Commitment</w:t>
      </w:r>
      <w:r>
        <w:rPr>
          <w:rFonts w:ascii="Arial" w:cs="Arial" w:eastAsia="Arial" w:hAnsi="Arial"/>
          <w:sz w:val="16"/>
          <w:szCs w:val="16"/>
          <w:color w:val="auto"/>
        </w:rPr>
        <w:t xml:space="preserve">” means, as to each Term Lender, its obligation to make Initial Term Loans to the Borrower on the Closing Date with respect to the Initial Term Facility pursuant to </w:t>
      </w:r>
      <w:r>
        <w:rPr>
          <w:rFonts w:ascii="Arial" w:cs="Arial" w:eastAsia="Arial" w:hAnsi="Arial"/>
          <w:sz w:val="16"/>
          <w:szCs w:val="16"/>
          <w:u w:val="single" w:color="auto"/>
          <w:color w:val="auto"/>
        </w:rPr>
        <w:t>Section 2.01(a)</w:t>
      </w:r>
      <w:r>
        <w:rPr>
          <w:rFonts w:ascii="Arial" w:cs="Arial" w:eastAsia="Arial" w:hAnsi="Arial"/>
          <w:sz w:val="16"/>
          <w:szCs w:val="16"/>
          <w:color w:val="auto"/>
        </w:rPr>
        <w:t xml:space="preserve">, in an aggregate principal amount at any one time outstanding not to exceed the amount set forth opposite such Lender’s name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under the caption “Term Commitment” or opposite such caption in the Assignment and Assumption pursuant to which such Lender becomes a party hereto, as applicable, as such amount may be adjusted from time to time in accordance with this Agreement.</w:t>
      </w:r>
    </w:p>
    <w:p>
      <w:pPr>
        <w:spacing w:after="0" w:line="154"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Facility</w:t>
      </w:r>
      <w:r>
        <w:rPr>
          <w:rFonts w:ascii="Arial" w:cs="Arial" w:eastAsia="Arial" w:hAnsi="Arial"/>
          <w:sz w:val="18"/>
          <w:szCs w:val="18"/>
          <w:color w:val="auto"/>
        </w:rPr>
        <w:t xml:space="preserve">” means, at any time, the </w:t>
      </w:r>
      <w:r>
        <w:rPr>
          <w:rFonts w:ascii="Arial" w:cs="Arial" w:eastAsia="Arial" w:hAnsi="Arial"/>
          <w:sz w:val="18"/>
          <w:szCs w:val="18"/>
          <w:u w:val="single" w:color="auto"/>
          <w:color w:val="auto"/>
        </w:rPr>
        <w:t>sum</w:t>
      </w:r>
      <w:r>
        <w:rPr>
          <w:rFonts w:ascii="Arial" w:cs="Arial" w:eastAsia="Arial" w:hAnsi="Arial"/>
          <w:sz w:val="18"/>
          <w:szCs w:val="18"/>
          <w:color w:val="auto"/>
        </w:rPr>
        <w:t xml:space="preserve"> of (a) the aggregate amount of the unused Initial Term Commitments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aggregate principal amount of the Initial Term Loans of all Initial Term Lenders outstanding at such time. As of the Closing Date, the Initial Term Facility is $200,000,000.</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Loan</w:t>
      </w:r>
      <w:r>
        <w:rPr>
          <w:rFonts w:ascii="Arial" w:cs="Arial" w:eastAsia="Arial" w:hAnsi="Arial"/>
          <w:sz w:val="18"/>
          <w:szCs w:val="18"/>
          <w:color w:val="auto"/>
        </w:rPr>
        <w:t xml:space="preserve">” means an advance made by any Term Lender under the Term Facility pursuant to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Loan Call Premium</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2.05(c)</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Security Agreement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4.01(a)(iii)</w:t>
      </w:r>
      <w:r>
        <w:rPr>
          <w:rFonts w:ascii="Arial" w:cs="Arial" w:eastAsia="Arial" w:hAnsi="Arial"/>
          <w:sz w:val="18"/>
          <w:szCs w:val="18"/>
          <w:color w:val="auto"/>
        </w:rPr>
        <w: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43" w:name="page44"/>
    <w:bookmarkEnd w:id="43"/>
    <w:p>
      <w:pPr>
        <w:ind w:right="140" w:firstLine="456"/>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xml:space="preserve">” means, (a) as to any Eurodollar Rate Loan, the last day of each Interest Period applicable to such Loan and the Maturity Date of the Facility under which such Loan was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any Interest Period for a Eurodollar Rate Loan exceeds three months, the respective dates that fall every three months after the beginning of such Interest Period shall also be Interest Payment Dates; and (b) as to any Base Rate Loan, the last Business Day of each March, June, September and December and the Maturity Date of the Facility under which such Loan was made.</w:t>
      </w:r>
    </w:p>
    <w:p>
      <w:pPr>
        <w:spacing w:after="0" w:line="15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as to each Eurodollar Rate Loan, the period commencing on the date such Eurodollar Rate Loan is disbursed or converted to or continued as a Eurodollar Rate Loan and ending on the date one, two, three or six months thereafter (in each case, subject to availability), as selected by the Borrower in its Committed Loan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73" w:lineRule="exact"/>
        <w:rPr>
          <w:sz w:val="20"/>
          <w:szCs w:val="20"/>
          <w:color w:val="auto"/>
        </w:rPr>
      </w:pPr>
    </w:p>
    <w:p>
      <w:pPr>
        <w:ind w:left="460" w:right="280" w:firstLine="443"/>
        <w:spacing w:after="0" w:line="264" w:lineRule="auto"/>
        <w:tabs>
          <w:tab w:leader="none" w:pos="1248"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Interest Period that would otherwise end on a day that is not a Business Day shall be extended to the next succeeding Business Day unless, in the case of a Eurodollar Rate Loan, such Business Day falls in another calendar month, in which case such Interest Period shall end on the next preceding Business Day;</w:t>
      </w:r>
    </w:p>
    <w:p>
      <w:pPr>
        <w:spacing w:after="0" w:line="73" w:lineRule="exact"/>
        <w:rPr>
          <w:rFonts w:ascii="Arial" w:cs="Arial" w:eastAsia="Arial" w:hAnsi="Arial"/>
          <w:sz w:val="18"/>
          <w:szCs w:val="18"/>
          <w:color w:val="auto"/>
        </w:rPr>
      </w:pPr>
    </w:p>
    <w:p>
      <w:pPr>
        <w:ind w:left="460" w:right="220" w:firstLine="443"/>
        <w:spacing w:after="0" w:line="264" w:lineRule="auto"/>
        <w:tabs>
          <w:tab w:leader="none" w:pos="1298"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Interest Period pertaining to a Eurodollar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73" w:lineRule="exact"/>
        <w:rPr>
          <w:rFonts w:ascii="Arial" w:cs="Arial" w:eastAsia="Arial" w:hAnsi="Arial"/>
          <w:sz w:val="18"/>
          <w:szCs w:val="18"/>
          <w:color w:val="auto"/>
        </w:rPr>
      </w:pPr>
    </w:p>
    <w:p>
      <w:pPr>
        <w:ind w:left="1360" w:hanging="457"/>
        <w:spacing w:after="0"/>
        <w:tabs>
          <w:tab w:leader="none" w:pos="1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 Interest Period shall extend beyond the Maturity Date.</w:t>
      </w:r>
    </w:p>
    <w:p>
      <w:pPr>
        <w:spacing w:after="0" w:line="22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means, as to any Person, any of the following: (a) creating, acquiring or holding any Subsidiary, (b) making or holding any investment in any stocks, bonds or securities of any kind, (c) being or becoming a party to any joint venture or other partnership, (d) making or keeping outstanding any advance or loan to any Person or assumption or acquisition of any debt of another Person, or (e) any Guarantee (other than the Guaranty). For purposes of covenant compliance, the amount of any Investment shall be the amount actually invested, without adjustment for subsequent increases or decreases in the value of such Investment.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right="36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Latest Maturity Date</w:t>
      </w:r>
      <w:r>
        <w:rPr>
          <w:rFonts w:ascii="Arial" w:cs="Arial" w:eastAsia="Arial" w:hAnsi="Arial"/>
          <w:sz w:val="17"/>
          <w:szCs w:val="17"/>
          <w:color w:val="auto"/>
        </w:rPr>
        <w:t>” means, at any date of incurrence of any Indebtedness, the latest maturity or expiration date applicable to any Loan or Commitment hereunder at such time, including the latest maturity or expiration of any Initial Term Loan or any Incremental Term Loan or any applicable Commitment in respect thereof, in each case then outstanding and as extended in accordance with this Agreement from time to time.</w:t>
      </w:r>
    </w:p>
    <w:p>
      <w:pPr>
        <w:spacing w:after="0" w:line="166"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Laws</w:t>
      </w:r>
      <w:r>
        <w:rPr>
          <w:rFonts w:ascii="Arial" w:cs="Arial" w:eastAsia="Arial" w:hAnsi="Arial"/>
          <w:sz w:val="17"/>
          <w:szCs w:val="17"/>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means, as to any Lender, the office or offices of such Lender described as such in such Lender’s Administrative Questionnaire, or such other office or offices as a Lender may from time to time notify the Borrower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18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hypothecation, assignment, deposit arrangement, encumbrance, easement, right-of-way or other encumbrance on title to real property, lien (statutory or other), charge, or preference, priority or other security interest or preferential arrangement in the nature of a security interest of any kind or nature whatsoever (including any conditional sale or other title retention agreement, and any financing lease having substantially the same economic effect as any of the foregoing).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44" w:name="page45"/>
    <w:bookmarkEnd w:id="44"/>
    <w:p>
      <w:pPr>
        <w:jc w:val="both"/>
        <w:ind w:right="8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Limited Condition Transaction</w:t>
      </w:r>
      <w:r>
        <w:rPr>
          <w:rFonts w:ascii="Arial" w:cs="Arial" w:eastAsia="Arial" w:hAnsi="Arial"/>
          <w:sz w:val="18"/>
          <w:szCs w:val="18"/>
          <w:color w:val="auto"/>
        </w:rPr>
        <w:t>” means (i) any Acquisition by one or more of Borrower or its Restricted Subsidiaries of any assets, business or Person whose consummation is not conditioned on the availability of, or on obtaining, third party financing or (ii) any permitted Investment whose consummation is not conditioned on the availability of, or on obtaining, third party financing.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xml:space="preserve">” means an extension of credit by a Lender to the Borrower under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in the form of a Term Loan.</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collectively, (a) this Agreement, (b) the Notes, (c) the First Lien/Second Lien Intercreditor Agreement, (d) the Collateral Documents and (e) the Guaranty.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collectively, the Borrower and each Guarantor.</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London Banking Day</w:t>
      </w:r>
      <w:r>
        <w:rPr>
          <w:rFonts w:ascii="Arial" w:cs="Arial" w:eastAsia="Arial" w:hAnsi="Arial"/>
          <w:sz w:val="18"/>
          <w:szCs w:val="18"/>
          <w:color w:val="auto"/>
        </w:rPr>
        <w:t>” means any day on which dealings in Dollar deposits are conducted by and between banks in the London interbank eurodollar market.</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 material adverse effect on (a) the business, assets, liabilities (actual or contingent), operations, condition (financial or otherwise) or prospects of the Borrower, (b) the business, assets, liabilities (actual or contingent), operations, condition (financial or otherwise) or prospects of the Borrower and its Subsidiaries, taken as a whole, (c) the ability of any Loan Party to perform its obligations under any Loan Document to which it is a party, or (d) the legality, validity, binding effect or enforceability against any Loan Party of any Loan Document to which it is a party.</w:t>
      </w:r>
    </w:p>
    <w:p>
      <w:pPr>
        <w:spacing w:after="0" w:line="154"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Indebtedness Agreement</w:t>
      </w:r>
      <w:r>
        <w:rPr>
          <w:rFonts w:ascii="Arial" w:cs="Arial" w:eastAsia="Arial" w:hAnsi="Arial"/>
          <w:sz w:val="16"/>
          <w:szCs w:val="16"/>
          <w:color w:val="auto"/>
        </w:rPr>
        <w:t>” means any debt instrument, lease (capital, operating or otherwise), guaranty, contract, commitment, agreement or other arrangement evidencing or entered into in connection with any Indebtedness of the Borrower or any Subsidiary in excess of $36,000,000.</w:t>
      </w:r>
    </w:p>
    <w:p>
      <w:pPr>
        <w:spacing w:after="0" w:line="124"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Real Property</w:t>
      </w:r>
      <w:r>
        <w:rPr>
          <w:rFonts w:ascii="Arial" w:cs="Arial" w:eastAsia="Arial" w:hAnsi="Arial"/>
          <w:sz w:val="18"/>
          <w:szCs w:val="18"/>
          <w:color w:val="auto"/>
        </w:rPr>
        <w:t xml:space="preserve">” means any real property owned by a Loan Party in fee simple or leasehold real property of a Loan Party that (a) has a fair market value of $7,500,000 or (b) is designated by the Borrower in accordance with </w:t>
      </w:r>
      <w:r>
        <w:rPr>
          <w:rFonts w:ascii="Arial" w:cs="Arial" w:eastAsia="Arial" w:hAnsi="Arial"/>
          <w:sz w:val="18"/>
          <w:szCs w:val="18"/>
          <w:u w:val="single" w:color="auto"/>
          <w:color w:val="auto"/>
        </w:rPr>
        <w:t>Section 6.12(h)</w:t>
      </w:r>
      <w:r>
        <w:rPr>
          <w:rFonts w:ascii="Arial" w:cs="Arial" w:eastAsia="Arial" w:hAnsi="Arial"/>
          <w:sz w:val="18"/>
          <w:szCs w:val="18"/>
          <w:color w:val="auto"/>
        </w:rPr>
        <w:t>. Schedule 5.05 hereto represents a complete and accurate list of each Material Real Property as of the Closing Date.</w:t>
      </w:r>
    </w:p>
    <w:p>
      <w:pPr>
        <w:spacing w:after="0" w:line="181"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Maturity Date</w:t>
      </w:r>
      <w:r>
        <w:rPr>
          <w:rFonts w:ascii="Arial" w:cs="Arial" w:eastAsia="Arial" w:hAnsi="Arial"/>
          <w:sz w:val="17"/>
          <w:szCs w:val="17"/>
          <w:color w:val="auto"/>
        </w:rPr>
        <w:t xml:space="preserve">” means (a) with respect to the Initial Term Facility, April 19, 2023 and (b) with respect to any Incremental Term Facility, as determined in accordance with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in each case, if such maturity is extended pursuant to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such maturity date as determined pursuant to such Section;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each case, if such date is not a Business Day, the Maturity Date shall be the next preceding Business Day.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 Policy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Schedule 6.17</w:t>
      </w:r>
      <w:r>
        <w:rPr>
          <w:rFonts w:ascii="Arial" w:cs="Arial" w:eastAsia="Arial" w:hAnsi="Arial"/>
          <w:sz w:val="18"/>
          <w:szCs w:val="18"/>
          <w:color w:val="auto"/>
        </w:rPr>
        <w:t>.</w:t>
      </w:r>
    </w:p>
    <w:p>
      <w:pPr>
        <w:spacing w:after="0" w:line="225" w:lineRule="exact"/>
        <w:rPr>
          <w:sz w:val="20"/>
          <w:szCs w:val="20"/>
          <w:color w:val="auto"/>
        </w:rPr>
      </w:pPr>
    </w:p>
    <w:p>
      <w:pPr>
        <w:ind w:right="62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Mortgaged Property</w:t>
      </w:r>
      <w:r>
        <w:rPr>
          <w:rFonts w:ascii="Arial" w:cs="Arial" w:eastAsia="Arial" w:hAnsi="Arial"/>
          <w:sz w:val="17"/>
          <w:szCs w:val="17"/>
          <w:color w:val="auto"/>
        </w:rPr>
        <w:t>” means any real property owned in fee simple by any Loan Party or leased by any Loan Party, which real property is or is intended under the terms hereof to be subject to a Lien in favor of the Administrative Agent for the benefit of the Secured Parties.</w:t>
      </w:r>
    </w:p>
    <w:p>
      <w:pPr>
        <w:spacing w:after="0" w:line="14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Mortgages</w:t>
      </w:r>
      <w:r>
        <w:rPr>
          <w:rFonts w:ascii="Arial" w:cs="Arial" w:eastAsia="Arial" w:hAnsi="Arial"/>
          <w:sz w:val="18"/>
          <w:szCs w:val="18"/>
          <w:color w:val="auto"/>
        </w:rPr>
        <w:t>” means deeds of trust, trust deeds, deeds to secure debt, mortgages, leasehold mortgages and leasehold deeds of trust or other equivalent document (together with related fixture filings and assignments of leases and rents) now or hereafter encumbering any Mortgaged Property of any Loan Party in favor of the Administrative Agent, on behalf of the Secured Parties, as security for any of the Obligations, each of which shall be in form and substance satisfactory to the Administrative Agent.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45" w:name="page46"/>
    <w:bookmarkEnd w:id="45"/>
    <w:p>
      <w:pPr>
        <w:ind w:right="220" w:firstLine="456"/>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Multiemployer Plan</w:t>
      </w:r>
      <w:r>
        <w:rPr>
          <w:rFonts w:ascii="Arial" w:cs="Arial" w:eastAsia="Arial" w:hAnsi="Arial"/>
          <w:sz w:val="16"/>
          <w:szCs w:val="16"/>
          <w:color w:val="auto"/>
        </w:rPr>
        <w:t>” means any employee benefit plan of the type described in Section 4001(a)(3) of ERISA, to which the Borrower or any ERISA Affiliate makes or is obligated to make contributions, or during the preceding five plan years, has made or been obligated to make contributions.</w:t>
      </w:r>
    </w:p>
    <w:p>
      <w:pPr>
        <w:spacing w:after="0" w:line="124" w:lineRule="exact"/>
        <w:rPr>
          <w:sz w:val="20"/>
          <w:szCs w:val="20"/>
          <w:color w:val="auto"/>
        </w:rPr>
      </w:pPr>
    </w:p>
    <w:p>
      <w:pPr>
        <w:ind w:right="42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Multiple Employer Plan</w:t>
      </w:r>
      <w:r>
        <w:rPr>
          <w:rFonts w:ascii="Arial" w:cs="Arial" w:eastAsia="Arial" w:hAnsi="Arial"/>
          <w:sz w:val="17"/>
          <w:szCs w:val="17"/>
          <w:color w:val="auto"/>
        </w:rPr>
        <w:t>” means any employee pension benefit plan which has two or more contributing sponsors (including the Borrower or any ERISA Affiliate) at least two of whom are not under common control, as such a plan is described in Section 4064 of ERISA.</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Cash Proceeds</w:t>
      </w:r>
      <w:r>
        <w:rPr>
          <w:rFonts w:ascii="Arial" w:cs="Arial" w:eastAsia="Arial" w:hAnsi="Arial"/>
          <w:sz w:val="18"/>
          <w:szCs w:val="18"/>
          <w:color w:val="auto"/>
        </w:rPr>
        <w:t>” means:</w:t>
      </w:r>
    </w:p>
    <w:p>
      <w:pPr>
        <w:spacing w:after="0" w:line="117" w:lineRule="exact"/>
        <w:rPr>
          <w:sz w:val="20"/>
          <w:szCs w:val="20"/>
          <w:color w:val="auto"/>
        </w:rPr>
      </w:pPr>
    </w:p>
    <w:p>
      <w:pPr>
        <w:ind w:left="460" w:right="40" w:firstLine="443"/>
        <w:spacing w:after="0" w:line="285" w:lineRule="auto"/>
        <w:tabs>
          <w:tab w:leader="none" w:pos="1278"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with respect to any Disposition by the Borrower or any of its Subsidiaries, or any Extraordinary Receipt received or paid to the account of the Borrower or any of its Subsidiaries, the excess, if any, of (i) the sum of cash and Cash Equivalents received in connection with such transaction (including any cash or Cash Equivalents received by way of deferred payment pursuant to, or by monetization of, a note receivable or otherwise, but only as and when so received) over (ii) the sum of (A) the principal amount of any Indebtedness that is secured by the applicable asset and that is required to be repaid in connection with such transaction (other than Indebtedness under the Loan Documents), (B) the reasonable and customary out-of-pocket fees and expenses incurred by the Borrower or such Subsidiary in connection with such transaction (including reasonable and customary fees of attorneys, accountants, consultants and investment advisers, reasonable and customary out-of-pocket costs associated with title insurance policies, surveys, lien and judgment searching, recording documents, and transaction and recording taxes), (C) income taxes reasonably estimated to be actually payable within two years of the date of the relevant transaction as a result of any gain recognized in connection therewith;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amount of any estimated taxes pursuant to this </w:t>
      </w:r>
      <w:r>
        <w:rPr>
          <w:rFonts w:ascii="Arial" w:cs="Arial" w:eastAsia="Arial" w:hAnsi="Arial"/>
          <w:sz w:val="16"/>
          <w:szCs w:val="16"/>
          <w:u w:val="single" w:color="auto"/>
          <w:color w:val="auto"/>
        </w:rPr>
        <w:t>subclause (C)</w:t>
      </w:r>
      <w:r>
        <w:rPr>
          <w:rFonts w:ascii="Arial" w:cs="Arial" w:eastAsia="Arial" w:hAnsi="Arial"/>
          <w:sz w:val="16"/>
          <w:szCs w:val="16"/>
          <w:color w:val="auto"/>
        </w:rPr>
        <w:t xml:space="preserve"> exceeds the amount of taxes actually required to be paid in cash in respect of such Disposition, the aggregate amount of such excess shall constitute Net Cash Proceeds and (D) amounts held in any reserve created for escrow, holdback, indemnity or similar obligations of the Borrower or any of its Subsidiaries in connection with such Disposition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(1) such amounts held in such reserves shall not exceed 10% of the gross cash proceeds received with respect to such Disposition and (2) such amounts held in such reserves shall constitute Net Cash Proceeds upon release to, or receipt by, the Borrower or any of its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such cash or Cash Equivalents received in connection with any Disposition or Extraordinary Receipt shall only constitute Net Cash Proceeds under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in any fiscal year to the extent that the aggregate amount of such cash and Cash Equivalents received in such fiscal year exceeds $5,000,000 (and solely to the extent of such excess); and</w:t>
      </w:r>
    </w:p>
    <w:p>
      <w:pPr>
        <w:spacing w:after="0" w:line="285" w:lineRule="exact"/>
        <w:rPr>
          <w:rFonts w:ascii="Arial" w:cs="Arial" w:eastAsia="Arial" w:hAnsi="Arial"/>
          <w:sz w:val="16"/>
          <w:szCs w:val="16"/>
          <w:color w:val="auto"/>
        </w:rPr>
      </w:pPr>
    </w:p>
    <w:p>
      <w:pPr>
        <w:ind w:left="460" w:right="20" w:firstLine="443"/>
        <w:spacing w:after="0" w:line="264" w:lineRule="auto"/>
        <w:tabs>
          <w:tab w:leader="none" w:pos="1288"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 respect to the incurrence or issuance of any Indebtedness by the Borrower or any of its Subsidiaries, the excess of (i) the sum of the cash and Cash Equivalents received in connection with such transaction over (ii) the underwriting discounts and commissions, and other reasonable and customary out-of-pocket expenses, incurred by the Borrower or such Subsidiary in connection therewith.</w:t>
      </w:r>
    </w:p>
    <w:p>
      <w:pPr>
        <w:spacing w:after="0" w:line="18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xml:space="preserve">” means any Lender that does not approve any consent, waiver or amendment that (i) requires the approval of all Lenders or all affected Lenders in accordance with the terms of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and (ii) has been approved by the Required Lenders.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at any time, each Lender that is not a Defaulting Lender at such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means a Term Note.</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all advances to, and debts, liabilities, obligations, covenants and duties of, any Loan Party arising under any Loan Document or otherwise with respect to any Loan, in each case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United States Department of the Treasury.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46" w:name="page47"/>
    <w:bookmarkEnd w:id="46"/>
    <w:p>
      <w:pPr>
        <w:ind w:right="2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Organization Documents</w:t>
      </w:r>
      <w:r>
        <w:rPr>
          <w:rFonts w:ascii="Arial" w:cs="Arial" w:eastAsia="Arial" w:hAnsi="Arial"/>
          <w:sz w:val="18"/>
          <w:szCs w:val="18"/>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Connection Taxes</w:t>
      </w:r>
      <w:r>
        <w:rPr>
          <w:rFonts w:ascii="Arial" w:cs="Arial" w:eastAsia="Arial" w:hAnsi="Arial"/>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8"/>
          <w:szCs w:val="18"/>
          <w:u w:val="single" w:color="auto"/>
          <w:color w:val="auto"/>
        </w:rPr>
        <w:t>Section 3.06)</w:t>
      </w:r>
      <w:r>
        <w:rPr>
          <w:rFonts w:ascii="Arial" w:cs="Arial" w:eastAsia="Arial" w:hAnsi="Arial"/>
          <w:sz w:val="18"/>
          <w:szCs w:val="18"/>
          <w:color w:val="auto"/>
        </w:rPr>
        <w:t>.</w:t>
      </w:r>
    </w:p>
    <w:p>
      <w:pPr>
        <w:spacing w:after="0" w:line="187"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 Amount</w:t>
      </w:r>
      <w:r>
        <w:rPr>
          <w:rFonts w:ascii="Arial" w:cs="Arial" w:eastAsia="Arial" w:hAnsi="Arial"/>
          <w:sz w:val="18"/>
          <w:szCs w:val="18"/>
          <w:color w:val="auto"/>
        </w:rPr>
        <w:t>” means the aggregate outstanding principal amount of Term Loans on any date after giving effect to any borrowings and prepayments or repayments of Term Loans occurring on such date.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Paragon Acquisition</w:t>
      </w:r>
      <w:r>
        <w:rPr>
          <w:rFonts w:ascii="Arial" w:cs="Arial" w:eastAsia="Arial" w:hAnsi="Arial"/>
          <w:sz w:val="18"/>
          <w:szCs w:val="18"/>
          <w:color w:val="auto"/>
        </w:rPr>
        <w:t>” has the meaning specified in the Preliminary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Paragon Purchase Agreement</w:t>
      </w:r>
      <w:r>
        <w:rPr>
          <w:rFonts w:ascii="Arial" w:cs="Arial" w:eastAsia="Arial" w:hAnsi="Arial"/>
          <w:sz w:val="18"/>
          <w:szCs w:val="18"/>
          <w:color w:val="auto"/>
        </w:rPr>
        <w:t>” has the meaning specified in the Preliminary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10.06(d)</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10.06(d)</w:t>
      </w:r>
      <w:r>
        <w:rPr>
          <w:rFonts w:ascii="Arial" w:cs="Arial" w:eastAsia="Arial" w:hAnsi="Arial"/>
          <w:sz w:val="18"/>
          <w:szCs w:val="18"/>
          <w:color w:val="auto"/>
        </w:rPr>
        <w:t>.</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 Security Agreement</w:t>
      </w:r>
      <w:r>
        <w:rPr>
          <w:rFonts w:ascii="Arial" w:cs="Arial" w:eastAsia="Arial" w:hAnsi="Arial"/>
          <w:sz w:val="18"/>
          <w:szCs w:val="18"/>
          <w:color w:val="auto"/>
        </w:rPr>
        <w:t>” means a patent security agreement or notice of grant of security interest in patents, in each case in form and substance satisfactory to the Administrative Agent.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means the USA Patriot Act (Title III of Pub. L.107-56 (signed into law October 26, 2001)).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w:t>
      </w:r>
    </w:p>
    <w:p>
      <w:pPr>
        <w:spacing w:after="0" w:line="225"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Funding Rules</w:t>
      </w:r>
      <w:r>
        <w:rPr>
          <w:rFonts w:ascii="Arial" w:cs="Arial" w:eastAsia="Arial" w:hAnsi="Arial"/>
          <w:sz w:val="18"/>
          <w:szCs w:val="18"/>
          <w:color w:val="auto"/>
        </w:rPr>
        <w:t>” means the rules of the Code and ERISA regarding minimum required contributions (including any installment payment thereof) to Pension Plans and set forth in Sections 412 and 430 of the Code and Sections 302 and 303 of ERISA.</w:t>
      </w:r>
    </w:p>
    <w:p>
      <w:pPr>
        <w:spacing w:after="0" w:line="170" w:lineRule="exact"/>
        <w:rPr>
          <w:sz w:val="20"/>
          <w:szCs w:val="20"/>
          <w:color w:val="auto"/>
        </w:rPr>
      </w:pPr>
    </w:p>
    <w:p>
      <w:pPr>
        <w:ind w:right="52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Pension Plan</w:t>
      </w:r>
      <w:r>
        <w:rPr>
          <w:rFonts w:ascii="Arial" w:cs="Arial" w:eastAsia="Arial" w:hAnsi="Arial"/>
          <w:sz w:val="17"/>
          <w:szCs w:val="17"/>
          <w:color w:val="auto"/>
        </w:rPr>
        <w:t>” means any employee pension benefit plan (including a Multiple Employer Plan or a Multiemployer Plan) that is maintained or is contributed to by the Borrower or any ERISA Affiliate and is either covered by Title IV of ERISA or is subject to the Pension Funding Rules.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Foreign Subsidiary and other Loans and Investments</w:t>
      </w:r>
      <w:r>
        <w:rPr>
          <w:rFonts w:ascii="Arial" w:cs="Arial" w:eastAsia="Arial" w:hAnsi="Arial"/>
          <w:sz w:val="18"/>
          <w:szCs w:val="18"/>
          <w:color w:val="auto"/>
        </w:rPr>
        <w:t>” means, collectively:</w:t>
      </w:r>
    </w:p>
    <w:p>
      <w:pPr>
        <w:spacing w:after="0" w:line="117" w:lineRule="exact"/>
        <w:rPr>
          <w:sz w:val="20"/>
          <w:szCs w:val="20"/>
          <w:color w:val="auto"/>
        </w:rPr>
      </w:pPr>
    </w:p>
    <w:p>
      <w:pPr>
        <w:ind w:left="460" w:firstLine="443"/>
        <w:spacing w:after="0" w:line="277" w:lineRule="auto"/>
        <w:tabs>
          <w:tab w:leader="none" w:pos="1278"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any investment existing as of the Closing Date by the Borrower or any of its Subsidiaries in, and any loan existing as of the Closing Date by the Borrower or any of its Subsidiaries to, a Foreign Subsidiary, as set forth on </w:t>
      </w:r>
      <w:r>
        <w:rPr>
          <w:rFonts w:ascii="Arial" w:cs="Arial" w:eastAsia="Arial" w:hAnsi="Arial"/>
          <w:sz w:val="18"/>
          <w:szCs w:val="18"/>
          <w:u w:val="single" w:color="auto"/>
          <w:color w:val="auto"/>
        </w:rPr>
        <w:t>Schedule 7.03</w:t>
      </w:r>
      <w:r>
        <w:rPr>
          <w:rFonts w:ascii="Arial" w:cs="Arial" w:eastAsia="Arial" w:hAnsi="Arial"/>
          <w:sz w:val="18"/>
          <w:szCs w:val="18"/>
          <w:color w:val="auto"/>
        </w:rPr>
        <w:t xml:space="preserve"> hereto;</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74" w:right="279" w:bottom="1440" w:gutter="0" w:footer="0" w:header="0"/>
        </w:sectPr>
      </w:pPr>
    </w:p>
    <w:bookmarkStart w:id="47" w:name="page48"/>
    <w:bookmarkEnd w:id="47"/>
    <w:p>
      <w:pPr>
        <w:ind w:left="460" w:firstLine="443"/>
        <w:spacing w:after="0" w:line="312" w:lineRule="auto"/>
        <w:tabs>
          <w:tab w:leader="none" w:pos="1288" w:val="left"/>
        </w:tabs>
        <w:numPr>
          <w:ilvl w:val="0"/>
          <w:numId w:val="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any investment by a Foreign Subsidiary in, or loan from a Foreign Subsidiary to, or Guarantee by a Foreign Subsidiary of Indebtedness of, a Loan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loan or Guarantee or, if applicable, such Investment, is subordinated to the Obligations on terms and conditions satisfactory to the Administrative Agent (unless such subordination requirement is waived by the Administrative Agent in its sole discretion); and</w:t>
      </w:r>
    </w:p>
    <w:p>
      <w:pPr>
        <w:spacing w:after="0" w:line="38" w:lineRule="exact"/>
        <w:rPr>
          <w:rFonts w:ascii="Arial" w:cs="Arial" w:eastAsia="Arial" w:hAnsi="Arial"/>
          <w:sz w:val="16"/>
          <w:szCs w:val="16"/>
          <w:color w:val="auto"/>
        </w:rPr>
      </w:pPr>
    </w:p>
    <w:p>
      <w:pPr>
        <w:ind w:left="460" w:right="20" w:firstLine="443"/>
        <w:spacing w:after="0" w:line="257" w:lineRule="auto"/>
        <w:tabs>
          <w:tab w:leader="none" w:pos="1278"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(i) any investment by any Loan Party in, or loan by any Loan Party to, or Guarantee by any Loan Party of the Indebtedness of, a Foreign Subsidiary or (ii) any investment by any Loan Party in the Equity Interest of, or loan, contribution or advance by any Loan Party to, a Person other than a Loan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any Investment under this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and after giving effect thereto, the aggregate amount of all such investments, loans, Guarantees, contributions and advances made pursuant to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shall not exceed $36,000,000 during any fiscal year and $72,000,000 during the term of this Agreement.</w:t>
      </w:r>
    </w:p>
    <w:p>
      <w:pPr>
        <w:spacing w:after="0" w:line="188"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any employee benefit plan within the meaning of Section 3(3) of ERISA (including a Pension Plan), maintained for employees of the Borrower or any ERISA Affiliate or any such plan to which the Borrower or any ERISA Affiliate is required to contribute on behalf of any of its employees.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Intercompany Note</w:t>
      </w:r>
      <w:r>
        <w:rPr>
          <w:rFonts w:ascii="Arial" w:cs="Arial" w:eastAsia="Arial" w:hAnsi="Arial"/>
          <w:sz w:val="18"/>
          <w:szCs w:val="18"/>
          <w:color w:val="auto"/>
        </w:rPr>
        <w:t>” means any promissory note made by any Subsidiary to the Borrower or a Loan Party, whether now owned or hereafter acquired by the Borrower or such Loan Party.</w:t>
      </w:r>
    </w:p>
    <w:p>
      <w:pPr>
        <w:spacing w:after="0" w:line="170"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Precious Metal Consignment Agreements</w:t>
      </w:r>
      <w:r>
        <w:rPr>
          <w:rFonts w:ascii="Arial" w:cs="Arial" w:eastAsia="Arial" w:hAnsi="Arial"/>
          <w:sz w:val="16"/>
          <w:szCs w:val="16"/>
          <w:color w:val="auto"/>
        </w:rPr>
        <w:t>” means, collectively, (a) the Consignment Agreement dated as of July 30, 2009, between Mitsubishi International Corporation and Precision Engineered Products LLC and (b) the Consignment Agreement dated as of January 25, 2010, between Umicore Precious Metals NJ, LLC and Precision Engineered Products LLC, and in each case each other agreement entered into in connection with such consignment agreements, each as may be amended, modified, restated or replaced, in each case, in a manner not adverse to the Lenders, from time to time.</w:t>
      </w:r>
    </w:p>
    <w:p>
      <w:pPr>
        <w:spacing w:after="0" w:line="154"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Forma Basis</w:t>
      </w:r>
      <w:r>
        <w:rPr>
          <w:rFonts w:ascii="Arial" w:cs="Arial" w:eastAsia="Arial" w:hAnsi="Arial"/>
          <w:sz w:val="18"/>
          <w:szCs w:val="18"/>
          <w:color w:val="auto"/>
        </w:rPr>
        <w:t>” and “</w:t>
      </w:r>
      <w:r>
        <w:rPr>
          <w:rFonts w:ascii="Arial" w:cs="Arial" w:eastAsia="Arial" w:hAnsi="Arial"/>
          <w:sz w:val="18"/>
          <w:szCs w:val="18"/>
          <w:u w:val="single" w:color="auto"/>
          <w:color w:val="auto"/>
        </w:rPr>
        <w:t>Pro Forma Effect</w:t>
      </w:r>
      <w:r>
        <w:rPr>
          <w:rFonts w:ascii="Arial" w:cs="Arial" w:eastAsia="Arial" w:hAnsi="Arial"/>
          <w:sz w:val="18"/>
          <w:szCs w:val="18"/>
          <w:color w:val="auto"/>
        </w:rPr>
        <w:t>” mean, with respect to compliance with any test or covenant or calculation of any ratio hereunder, the determination or calculation of such test, covenant or ratio in accordance with Sections 1.03(c) and 1.07.</w:t>
      </w:r>
    </w:p>
    <w:p>
      <w:pPr>
        <w:spacing w:after="0" w:line="170"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 Forma Leverage Test</w:t>
      </w:r>
      <w:r>
        <w:rPr>
          <w:rFonts w:ascii="Arial" w:cs="Arial" w:eastAsia="Arial" w:hAnsi="Arial"/>
          <w:sz w:val="17"/>
          <w:szCs w:val="17"/>
          <w:color w:val="auto"/>
        </w:rPr>
        <w:t xml:space="preserve">” means, as of any date of determination, with respect to any Specified Transaction,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Consolidated Net Leverage Ratio that is equal to or less than the maximum Consolidated Net Leverage Ratio set forth in the applicable fiscal quarter below for the most recent fiscal quarter (or fiscal year, as applicable) most recently ended prior to such date for which financial statements are required to have been delivered to the Administrative Agent pursuant to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w:t>
      </w:r>
      <w:r>
        <w:rPr>
          <w:rFonts w:ascii="Arial" w:cs="Arial" w:eastAsia="Arial" w:hAnsi="Arial"/>
          <w:sz w:val="17"/>
          <w:szCs w:val="17"/>
          <w:u w:val="single" w:color="auto"/>
          <w:color w:val="auto"/>
        </w:rPr>
        <w:t>6.01(a)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6.01(b)</w:t>
      </w:r>
      <w:r>
        <w:rPr>
          <w:rFonts w:ascii="Arial" w:cs="Arial" w:eastAsia="Arial" w:hAnsi="Arial"/>
          <w:sz w:val="17"/>
          <w:szCs w:val="17"/>
          <w:color w:val="auto"/>
        </w:rPr>
        <w:t>, determined based on the financial information received for such most recently ended fiscal quarter (or fiscal year, as applicable) after giving effect to such Specified Transaction and any other Specified Transaction consummated after the date of such financial statements and on or prior to the date of such Specified Transaction.”</w:t>
      </w:r>
    </w:p>
    <w:p>
      <w:pPr>
        <w:spacing w:after="0" w:line="197"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Fiscal Quarter</w:t>
            </w:r>
          </w:p>
        </w:tc>
        <w:tc>
          <w:tcPr>
            <w:tcW w:w="224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Consolidated Net Leverage Ratio</w:t>
            </w:r>
          </w:p>
        </w:tc>
      </w:tr>
      <w:tr>
        <w:trPr>
          <w:trHeight w:val="210"/>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2018</w:t>
            </w:r>
          </w:p>
        </w:tc>
        <w:tc>
          <w:tcPr>
            <w:tcW w:w="1060" w:type="dxa"/>
            <w:vAlign w:val="bottom"/>
            <w:shd w:val="clear" w:color="auto" w:fill="CCEEFF"/>
          </w:tcPr>
          <w:p>
            <w:pPr>
              <w:spacing w:after="0"/>
              <w:rPr>
                <w:sz w:val="18"/>
                <w:szCs w:val="18"/>
                <w:color w:val="auto"/>
              </w:rPr>
            </w:pPr>
          </w:p>
        </w:tc>
        <w:tc>
          <w:tcPr>
            <w:tcW w:w="3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6.50 to 1.00</w:t>
            </w: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June 30, 2018</w:t>
            </w:r>
          </w:p>
        </w:tc>
        <w:tc>
          <w:tcPr>
            <w:tcW w:w="10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0"/>
              </w:rPr>
              <w:t>6.25 to 1.00</w:t>
            </w:r>
          </w:p>
        </w:tc>
      </w:tr>
      <w:tr>
        <w:trPr>
          <w:trHeight w:val="216"/>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2018</w:t>
            </w:r>
          </w:p>
        </w:tc>
        <w:tc>
          <w:tcPr>
            <w:tcW w:w="1060" w:type="dxa"/>
            <w:vAlign w:val="bottom"/>
            <w:shd w:val="clear" w:color="auto" w:fill="CCEEFF"/>
          </w:tcPr>
          <w:p>
            <w:pPr>
              <w:spacing w:after="0"/>
              <w:rPr>
                <w:sz w:val="18"/>
                <w:szCs w:val="18"/>
                <w:color w:val="auto"/>
              </w:rPr>
            </w:pPr>
          </w:p>
        </w:tc>
        <w:tc>
          <w:tcPr>
            <w:tcW w:w="3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6.00 to 1.00</w:t>
            </w: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December 31, 2018</w:t>
            </w:r>
          </w:p>
        </w:tc>
        <w:tc>
          <w:tcPr>
            <w:tcW w:w="10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0"/>
              </w:rPr>
              <w:t>5.75 to 1.00</w:t>
            </w:r>
          </w:p>
        </w:tc>
      </w:tr>
      <w:tr>
        <w:trPr>
          <w:trHeight w:val="216"/>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2019</w:t>
            </w:r>
          </w:p>
        </w:tc>
        <w:tc>
          <w:tcPr>
            <w:tcW w:w="1060" w:type="dxa"/>
            <w:vAlign w:val="bottom"/>
            <w:shd w:val="clear" w:color="auto" w:fill="CCEEFF"/>
          </w:tcPr>
          <w:p>
            <w:pPr>
              <w:spacing w:after="0"/>
              <w:rPr>
                <w:sz w:val="18"/>
                <w:szCs w:val="18"/>
                <w:color w:val="auto"/>
              </w:rPr>
            </w:pPr>
          </w:p>
        </w:tc>
        <w:tc>
          <w:tcPr>
            <w:tcW w:w="3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5.75 to 1.00</w:t>
            </w: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June 30, 2019</w:t>
            </w:r>
          </w:p>
        </w:tc>
        <w:tc>
          <w:tcPr>
            <w:tcW w:w="10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0"/>
              </w:rPr>
              <w:t>5.75 to 1.00</w:t>
            </w:r>
          </w:p>
        </w:tc>
      </w:tr>
      <w:tr>
        <w:trPr>
          <w:trHeight w:val="216"/>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2019</w:t>
            </w:r>
          </w:p>
        </w:tc>
        <w:tc>
          <w:tcPr>
            <w:tcW w:w="1060" w:type="dxa"/>
            <w:vAlign w:val="bottom"/>
            <w:shd w:val="clear" w:color="auto" w:fill="CCEEFF"/>
          </w:tcPr>
          <w:p>
            <w:pPr>
              <w:spacing w:after="0"/>
              <w:rPr>
                <w:sz w:val="18"/>
                <w:szCs w:val="18"/>
                <w:color w:val="auto"/>
              </w:rPr>
            </w:pPr>
          </w:p>
        </w:tc>
        <w:tc>
          <w:tcPr>
            <w:tcW w:w="3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5.75 to 1.00</w:t>
            </w: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December 31, 2019</w:t>
            </w:r>
          </w:p>
        </w:tc>
        <w:tc>
          <w:tcPr>
            <w:tcW w:w="10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0"/>
              </w:rPr>
              <w:t>5.50 to 1.00</w:t>
            </w:r>
          </w:p>
        </w:tc>
      </w:tr>
      <w:tr>
        <w:trPr>
          <w:trHeight w:val="216"/>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2020</w:t>
            </w:r>
          </w:p>
        </w:tc>
        <w:tc>
          <w:tcPr>
            <w:tcW w:w="1060" w:type="dxa"/>
            <w:vAlign w:val="bottom"/>
            <w:shd w:val="clear" w:color="auto" w:fill="CCEEFF"/>
          </w:tcPr>
          <w:p>
            <w:pPr>
              <w:spacing w:after="0"/>
              <w:rPr>
                <w:sz w:val="18"/>
                <w:szCs w:val="18"/>
                <w:color w:val="auto"/>
              </w:rPr>
            </w:pPr>
          </w:p>
        </w:tc>
        <w:tc>
          <w:tcPr>
            <w:tcW w:w="3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5.50 to 1.00</w:t>
            </w: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June 30, 2020</w:t>
            </w:r>
          </w:p>
        </w:tc>
        <w:tc>
          <w:tcPr>
            <w:tcW w:w="106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0"/>
              </w:rPr>
              <w:t>5.50 to 1.00</w:t>
            </w:r>
          </w:p>
        </w:tc>
      </w:tr>
      <w:tr>
        <w:trPr>
          <w:trHeight w:val="216"/>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2020 and thereafter</w:t>
            </w:r>
          </w:p>
        </w:tc>
        <w:tc>
          <w:tcPr>
            <w:tcW w:w="1060" w:type="dxa"/>
            <w:vAlign w:val="bottom"/>
            <w:shd w:val="clear" w:color="auto" w:fill="CCEEFF"/>
          </w:tcPr>
          <w:p>
            <w:pPr>
              <w:spacing w:after="0"/>
              <w:rPr>
                <w:sz w:val="18"/>
                <w:szCs w:val="18"/>
                <w:color w:val="auto"/>
              </w:rPr>
            </w:pPr>
          </w:p>
        </w:tc>
        <w:tc>
          <w:tcPr>
            <w:tcW w:w="3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5.25 to 1.00</w:t>
            </w:r>
          </w:p>
        </w:tc>
      </w:tr>
      <w:tr>
        <w:trPr>
          <w:trHeight w:val="365"/>
        </w:trPr>
        <w:tc>
          <w:tcPr>
            <w:tcW w:w="9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20</w:t>
            </w:r>
          </w:p>
        </w:tc>
        <w:tc>
          <w:tcPr>
            <w:tcW w:w="3560" w:type="dxa"/>
            <w:vAlign w:val="bottom"/>
          </w:tcPr>
          <w:p>
            <w:pPr>
              <w:spacing w:after="0"/>
              <w:rPr>
                <w:sz w:val="24"/>
                <w:szCs w:val="24"/>
                <w:color w:val="auto"/>
              </w:rPr>
            </w:pPr>
          </w:p>
        </w:tc>
      </w:tr>
    </w:tbl>
    <w:p>
      <w:pPr>
        <w:sectPr>
          <w:pgSz w:w="11900" w:h="16838" w:orient="portrait"/>
          <w:cols w:equalWidth="0" w:num="1">
            <w:col w:w="11400"/>
          </w:cols>
          <w:pgMar w:left="240" w:top="274" w:right="259" w:bottom="1440" w:gutter="0" w:footer="0" w:header="0"/>
        </w:sectPr>
      </w:pPr>
    </w:p>
    <w:bookmarkStart w:id="48" w:name="page49"/>
    <w:bookmarkEnd w:id="48"/>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PTE</w:t>
      </w:r>
      <w:r>
        <w:rPr>
          <w:rFonts w:ascii="Arial" w:cs="Arial" w:eastAsia="Arial" w:hAnsi="Arial"/>
          <w:sz w:val="16"/>
          <w:szCs w:val="16"/>
          <w:color w:val="auto"/>
        </w:rPr>
        <w:t>” means a prohibited transaction class exemption issued by the U.S. Department of Labor, as any such exemption may be amended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Qualified Receivables Transaction</w:t>
      </w:r>
      <w:r>
        <w:rPr>
          <w:rFonts w:ascii="Arial" w:cs="Arial" w:eastAsia="Arial" w:hAnsi="Arial"/>
          <w:sz w:val="16"/>
          <w:szCs w:val="16"/>
          <w:color w:val="auto"/>
        </w:rPr>
        <w:t xml:space="preserve">” means any transaction or series of transactions entered into by Borrower or any Subsidiary pursuant to which Borrower or such Subsidiary sells, contributes, conveys or otherwise transfers to, or grants a security interest in for the benefit of, any other Person (other than Borrower or a Subsidiary), any Receivables (whether now existing or arising in the future) of Borrower or such Subsidiary, and any related assets, including, without limitation, all collateral securing such Receivables, all contracts and all guarantees or other obligations in respect of such Receivables, proceeds of such Receivables and other assets (including contract rights) which are customarily transferred or in respect of which security interests are customarily granted in connection with asset securitization transactions involving Receivables;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such Qualified Receivables Transactions shall be made at fair market value (including after giving effect to any Receivables Fees);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 all such Qualified Receivables Transactions shall not</w:t>
      </w:r>
    </w:p>
    <w:p>
      <w:pPr>
        <w:spacing w:after="0" w:line="3" w:lineRule="exact"/>
        <w:rPr>
          <w:sz w:val="20"/>
          <w:szCs w:val="20"/>
          <w:color w:val="auto"/>
        </w:rPr>
      </w:pPr>
    </w:p>
    <w:p>
      <w:pPr>
        <w:ind w:right="60" w:firstLine="8"/>
        <w:spacing w:after="0" w:line="287" w:lineRule="auto"/>
        <w:tabs>
          <w:tab w:leader="none" w:pos="255" w:val="left"/>
        </w:tabs>
        <w:numPr>
          <w:ilvl w:val="0"/>
          <w:numId w:val="38"/>
        </w:numPr>
        <w:rPr>
          <w:rFonts w:ascii="Arial" w:cs="Arial" w:eastAsia="Arial" w:hAnsi="Arial"/>
          <w:sz w:val="16"/>
          <w:szCs w:val="16"/>
          <w:color w:val="auto"/>
        </w:rPr>
      </w:pPr>
      <w:r>
        <w:rPr>
          <w:rFonts w:ascii="Arial" w:cs="Arial" w:eastAsia="Arial" w:hAnsi="Arial"/>
          <w:sz w:val="16"/>
          <w:szCs w:val="16"/>
          <w:color w:val="auto"/>
        </w:rPr>
        <w:t>be Guaranteed by Borrower or any Subsidiary (excluding Guarantees of obligations (other than the principal of, and interest on, Indebtedness) pursuant to representations, warranties, covenants, indemnities and performance Guarantees that are reasonably customary in an accounts receivables financings), (y) be recourse to or obligate Borrower or any Subsidiary in any way other than pursuant to representations, warranties, covenants, indemnities and performance Guarantees that are reasonably customary in accounts receivables financings, or (z) subject any property or asset of Borrower or any Subsidiary, directly or indirectly, contingently or otherwise, to the satisfaction thereof, other than pursuant to representations, warranties, covenants, indemnities and performance Guarantees reasonably customary in accounts receivables financings and other than any interest in the Receivables (whether in the form of an equity interest in such Receivables payable primarily from such Receivables) retained or acquired by Borrower or any Subsidiaries and (b) the fair market value of all Receivables sold, contributed conveyed or otherwise transferred, and all Receivables in which a security interest is granted by the Borrower or any Subsidiary, shall not exceed $24,000,000 in the aggregate for all Qualified Receivables Transactions during the term of this Agreement.</w:t>
      </w:r>
    </w:p>
    <w:p>
      <w:pPr>
        <w:spacing w:after="0" w:line="166"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Estate Requirements</w:t>
      </w:r>
      <w:r>
        <w:rPr>
          <w:rFonts w:ascii="Arial" w:cs="Arial" w:eastAsia="Arial" w:hAnsi="Arial"/>
          <w:sz w:val="18"/>
          <w:szCs w:val="18"/>
          <w:color w:val="auto"/>
        </w:rPr>
        <w:t xml:space="preserve">” means, with respect to any Material Real Property, the documentation and other items of the type specified in Section 1 of </w:t>
      </w:r>
      <w:r>
        <w:rPr>
          <w:rFonts w:ascii="Arial" w:cs="Arial" w:eastAsia="Arial" w:hAnsi="Arial"/>
          <w:sz w:val="18"/>
          <w:szCs w:val="18"/>
          <w:u w:val="single" w:color="auto"/>
          <w:color w:val="auto"/>
        </w:rPr>
        <w:t>Schedule 6.17</w:t>
      </w:r>
      <w:r>
        <w:rPr>
          <w:rFonts w:ascii="Arial" w:cs="Arial" w:eastAsia="Arial" w:hAnsi="Arial"/>
          <w:sz w:val="18"/>
          <w:szCs w:val="18"/>
          <w:color w:val="auto"/>
        </w:rPr>
        <w:t>.</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w:t>
      </w:r>
      <w:r>
        <w:rPr>
          <w:rFonts w:ascii="Arial" w:cs="Arial" w:eastAsia="Arial" w:hAnsi="Arial"/>
          <w:sz w:val="18"/>
          <w:szCs w:val="18"/>
          <w:color w:val="auto"/>
        </w:rPr>
        <w:t>” means any Indebtedness and other payment obligations owed to Borrower or any Subsidiary, whether constituting an account, chattel paper, payment intangible, instrument or general intangible, in each case arising in connection with (a) the sale of goods or the rendering of service or (b) the lease, license, rental or use of equipment, facilities or software, including the obligation to pay any finance charges, fees and other charges with respect thereto.</w:t>
      </w:r>
    </w:p>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Fees</w:t>
      </w:r>
      <w:r>
        <w:rPr>
          <w:rFonts w:ascii="Arial" w:cs="Arial" w:eastAsia="Arial" w:hAnsi="Arial"/>
          <w:sz w:val="18"/>
          <w:szCs w:val="18"/>
          <w:color w:val="auto"/>
        </w:rPr>
        <w:t>” means distributions or payments made directly or by means of discounts with respect to any participation interest issued or sold in connection with, and other fees and expenses (including reasonable fees and expenses of legal counsel) paid to a Person (other than Borrower or a Subsidiary) in connection with, any Qualified Receivables Transaction.</w:t>
      </w:r>
    </w:p>
    <w:p>
      <w:pPr>
        <w:spacing w:after="0" w:line="18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the Administrative Agent, any Lender or any other recipient of any payment to be made by or on account of any obligation of any Loan Party under any Loan Document.</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Refinance</w:t>
      </w:r>
      <w:r>
        <w:rPr>
          <w:rFonts w:ascii="Arial" w:cs="Arial" w:eastAsia="Arial" w:hAnsi="Arial"/>
          <w:sz w:val="18"/>
          <w:szCs w:val="18"/>
          <w:color w:val="auto"/>
        </w:rPr>
        <w:t>” means, in respect of any security or Indebtedness, to refinance, extend, renew, refund, repay, prepay, redeem, defease or retire, or to issue a security or Indebtedness in exchange or replacement for, such security or Indebtedness in whole or in part. “</w:t>
      </w:r>
      <w:r>
        <w:rPr>
          <w:rFonts w:ascii="Arial" w:cs="Arial" w:eastAsia="Arial" w:hAnsi="Arial"/>
          <w:sz w:val="18"/>
          <w:szCs w:val="18"/>
          <w:u w:val="single" w:color="auto"/>
          <w:color w:val="auto"/>
        </w:rPr>
        <w:t>Refinanced</w:t>
      </w:r>
      <w:r>
        <w:rPr>
          <w:rFonts w:ascii="Arial" w:cs="Arial" w:eastAsia="Arial" w:hAnsi="Arial"/>
          <w:sz w:val="18"/>
          <w:szCs w:val="18"/>
          <w:color w:val="auto"/>
        </w:rPr>
        <w:t>” and “</w:t>
      </w:r>
      <w:r>
        <w:rPr>
          <w:rFonts w:ascii="Arial" w:cs="Arial" w:eastAsia="Arial" w:hAnsi="Arial"/>
          <w:sz w:val="18"/>
          <w:szCs w:val="18"/>
          <w:u w:val="single" w:color="auto"/>
          <w:color w:val="auto"/>
        </w:rPr>
        <w:t>Refinancing</w:t>
      </w:r>
      <w:r>
        <w:rPr>
          <w:rFonts w:ascii="Arial" w:cs="Arial" w:eastAsia="Arial" w:hAnsi="Arial"/>
          <w:sz w:val="18"/>
          <w:szCs w:val="18"/>
          <w:color w:val="auto"/>
        </w:rPr>
        <w:t>” shall have correlative meanings.</w:t>
      </w:r>
    </w:p>
    <w:p>
      <w:pPr>
        <w:spacing w:after="0" w:line="18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Indebtedness</w:t>
      </w:r>
      <w:r>
        <w:rPr>
          <w:rFonts w:ascii="Arial" w:cs="Arial" w:eastAsia="Arial" w:hAnsi="Arial"/>
          <w:sz w:val="18"/>
          <w:szCs w:val="18"/>
          <w:color w:val="auto"/>
        </w:rPr>
        <w:t>” means any Refinancing, modification, replacement, restatement, refunding, deferral, extension, substitution, supplement, reissuance or resale of existing or future Indebtedness (other than intercompany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49" w:name="page50"/>
    <w:bookmarkEnd w:id="49"/>
    <w:p>
      <w:pPr>
        <w:ind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Indebtedness), including any additional Indebtedness incurred to pay interest or premiums required by the instruments governing such existing or future Indebtedness as in effect at the time of issuance thereof (“</w:t>
      </w:r>
      <w:r>
        <w:rPr>
          <w:rFonts w:ascii="Arial" w:cs="Arial" w:eastAsia="Arial" w:hAnsi="Arial"/>
          <w:sz w:val="16"/>
          <w:szCs w:val="16"/>
          <w:u w:val="single" w:color="auto"/>
          <w:color w:val="auto"/>
        </w:rPr>
        <w:t>Required Premiums</w:t>
      </w:r>
      <w:r>
        <w:rPr>
          <w:rFonts w:ascii="Arial" w:cs="Arial" w:eastAsia="Arial" w:hAnsi="Arial"/>
          <w:sz w:val="16"/>
          <w:szCs w:val="16"/>
          <w:color w:val="auto"/>
        </w:rPr>
        <w:t xml:space="preserve">”) and fees in connection therewith;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Refinancing, modification, replacement, restatement, refunding, deferral, extension, substitution, supplement, reissuance or resale shall not: (i) directly or indirectly result in an increase in the aggregate principal amount of such Indebtedness, except to the extent such increase is a result of a simultaneous incurrence of additional Indebtedness to pay Required Premiums and related fees and expenses; or (ii) result in Indebtedness with a weighted average life to maturity at the time of such Refinancing, modification, replacement, restatement, refunding, deferral, extension, substitution, supplement, reissuance or resale that is less than the weighted average life to maturity at such time of the Indebtedness being Refinanced, modified, replaced, renewed, restated, refunded, deferred, extended, substituted, supplemented, reissued or resold; or (iii) if the Indebtedness being Refinanced, modified, replaced, restated, refunded, deferred, extended, substituted, supplemented, reissued or resold is subordinated in right of payment or Lien priority to the Obligations or the Guarantees thereof, such Refinancing Indebtedness is subordinated in right of payment or Lien priority to the Obligations or the Guarantees thereof or Liens thereof, as applicable, on terms at least as favorable to the Lenders as those contained in the documentation governing the Indebtedness being Refinanced, modified, replaced, restated, refunded, deferred, extended, substituted, supplemented, reissued or resold.</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10.06(c)</w:t>
      </w:r>
      <w:r>
        <w:rPr>
          <w:rFonts w:ascii="Arial" w:cs="Arial" w:eastAsia="Arial" w:hAnsi="Arial"/>
          <w:sz w:val="18"/>
          <w:szCs w:val="18"/>
          <w:color w:val="auto"/>
        </w:rPr>
        <w:t>.</w:t>
      </w:r>
    </w:p>
    <w:p>
      <w:pPr>
        <w:spacing w:after="0" w:line="225"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trustees and advisors of such Person and of such Person’s Affiliates.</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release, spill, emission, discharge, deposit, disposal, leaking, pumping, pouring, dumping, emptying, injection or leaching into the Environment, or into, from or through any building, structure or facility.</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Reportable Event</w:t>
      </w:r>
      <w:r>
        <w:rPr>
          <w:rFonts w:ascii="Arial" w:cs="Arial" w:eastAsia="Arial" w:hAnsi="Arial"/>
          <w:sz w:val="18"/>
          <w:szCs w:val="18"/>
          <w:color w:val="auto"/>
        </w:rPr>
        <w:t>” means any of the events set forth in Section 4043(c) of ERISA or the regulations issued thereunder, other than events for which the 30 day notice period has been waived.</w:t>
      </w:r>
    </w:p>
    <w:p>
      <w:pPr>
        <w:spacing w:after="0" w:line="170"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Repricing Event</w:t>
      </w:r>
      <w:r>
        <w:rPr>
          <w:rFonts w:ascii="Arial" w:cs="Arial" w:eastAsia="Arial" w:hAnsi="Arial"/>
          <w:sz w:val="16"/>
          <w:szCs w:val="16"/>
          <w:color w:val="auto"/>
        </w:rPr>
        <w:t xml:space="preserve">” means (a) any prepayment or repayment of the initial Loans (or any portion thereof) with the proceeds of, or any conversion of initial Loans into, any new or replacement Indebtedness bearing interest with an “effective yield” (taking into account, for example, upfront fees, interest rate spreads, interest rate benchmark floors and original issue discount, but excluding the effect of any arrangement, structuring, syndication or other fees payable in connection therewith that are not shared with all lenders or holders of the initial Loans or such new or replacement Indebtedness, as the case may be) less than the “effective yield” applicable to all or a portion of the initial Loans subject to such prepayment or repayment (as such comparative yields are determined by the Administrative Agent) or (b) any amendment to this Agreement which reduces the “effective yield” (determined in accordance with </w:t>
      </w:r>
      <w:r>
        <w:rPr>
          <w:rFonts w:ascii="Arial" w:cs="Arial" w:eastAsia="Arial" w:hAnsi="Arial"/>
          <w:sz w:val="16"/>
          <w:szCs w:val="16"/>
          <w:u w:val="single" w:color="auto"/>
          <w:color w:val="auto"/>
        </w:rPr>
        <w:t>clause</w:t>
      </w:r>
    </w:p>
    <w:p>
      <w:pPr>
        <w:spacing w:after="0" w:line="5" w:lineRule="exact"/>
        <w:rPr>
          <w:sz w:val="20"/>
          <w:szCs w:val="20"/>
          <w:color w:val="auto"/>
        </w:rPr>
      </w:pPr>
    </w:p>
    <w:p>
      <w:pPr>
        <w:ind w:left="260" w:hanging="252"/>
        <w:spacing w:after="0"/>
        <w:tabs>
          <w:tab w:leader="none" w:pos="260" w:val="left"/>
        </w:tabs>
        <w:numPr>
          <w:ilvl w:val="0"/>
          <w:numId w:val="39"/>
        </w:numPr>
        <w:rPr>
          <w:rFonts w:ascii="Arial" w:cs="Arial" w:eastAsia="Arial" w:hAnsi="Arial"/>
          <w:sz w:val="18"/>
          <w:szCs w:val="18"/>
          <w:u w:val="single" w:color="auto"/>
          <w:color w:val="auto"/>
        </w:rPr>
      </w:pPr>
      <w:r>
        <w:rPr>
          <w:rFonts w:ascii="Arial" w:cs="Arial" w:eastAsia="Arial" w:hAnsi="Arial"/>
          <w:sz w:val="18"/>
          <w:szCs w:val="18"/>
          <w:color w:val="auto"/>
        </w:rPr>
        <w:t>above) applicable to all or a portion of the initial Loans.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 for Credit Extension</w:t>
      </w:r>
      <w:r>
        <w:rPr>
          <w:rFonts w:ascii="Arial" w:cs="Arial" w:eastAsia="Arial" w:hAnsi="Arial"/>
          <w:sz w:val="18"/>
          <w:szCs w:val="18"/>
          <w:color w:val="auto"/>
        </w:rPr>
        <w:t>” means, with respect to a Borrowing, conversion or continuation of Term Loans, a Committed Loan Notice.</w:t>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means, at any time, Lenders holding more than 50% of the sum of the (a) Total Outstandings and (b) aggregate unused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Facility held or deemed held by, any Defaulting Lender shall be excluded for purposes of making a determination of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at such time there are three or fewer unaffiliated Lenders (other than Defaulting Lenders), Required Lenders shall also require not fewer than two unaffiliated Lenders (other than Defaulting Lenders).</w:t>
      </w:r>
    </w:p>
    <w:p>
      <w:pPr>
        <w:spacing w:after="0" w:line="18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Responsible Officer</w:t>
      </w:r>
      <w:r>
        <w:rPr>
          <w:rFonts w:ascii="Arial" w:cs="Arial" w:eastAsia="Arial" w:hAnsi="Arial"/>
          <w:sz w:val="17"/>
          <w:szCs w:val="17"/>
          <w:color w:val="auto"/>
        </w:rPr>
        <w:t xml:space="preserve">” means the chief executive officer, president, chief financial officer, treasurer, assistant treasurer or controller of a Loan Party, solely for purposes of the delivery of incumbency certificates pursuant to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the secretary or any assistant secretary of a Loan Party and, solely for the purposes of notices given to </w:t>
      </w:r>
      <w:r>
        <w:rPr>
          <w:rFonts w:ascii="Arial" w:cs="Arial" w:eastAsia="Arial" w:hAnsi="Arial"/>
          <w:sz w:val="17"/>
          <w:szCs w:val="17"/>
          <w:u w:val="single" w:color="auto"/>
          <w:color w:val="auto"/>
        </w:rPr>
        <w:t>Article II</w:t>
      </w:r>
      <w:r>
        <w:rPr>
          <w:rFonts w:ascii="Arial" w:cs="Arial" w:eastAsia="Arial" w:hAnsi="Arial"/>
          <w:sz w:val="17"/>
          <w:szCs w:val="17"/>
          <w:color w:val="auto"/>
        </w:rPr>
        <w:t>,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50" w:name="page51"/>
    <w:bookmarkEnd w:id="50"/>
    <w:p>
      <w:pPr>
        <w:ind w:right="540" w:firstLine="456"/>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Restricted Payment</w:t>
      </w:r>
      <w:r>
        <w:rPr>
          <w:rFonts w:ascii="Arial" w:cs="Arial" w:eastAsia="Arial" w:hAnsi="Arial"/>
          <w:sz w:val="16"/>
          <w:szCs w:val="16"/>
          <w:color w:val="auto"/>
        </w:rPr>
        <w:t>” means, with respect to the Borrower or any of its Subsidiaries, (a) any Capital Distribution and (b) any amount paid by the Borrower or any of its Subsidiaries in repayment, redemption, retirement or repurchase, directly or indirectly, of any Subordinated Indebtedness.</w:t>
      </w:r>
    </w:p>
    <w:p>
      <w:pPr>
        <w:spacing w:after="0" w:line="124"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any sanction administered or enforced by the United States Government (including without limitation, OFAC), the United Nations Security Council, the European Union, Her Majesty’s Treasury or other relevant sanctions authority.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Financial Services LLC, a subsidiary of The McGraw-Hill Companies, Inc., and any successor thereto.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Screen Rate</w:t>
      </w:r>
      <w:r>
        <w:rPr>
          <w:rFonts w:ascii="Arial" w:cs="Arial" w:eastAsia="Arial" w:hAnsi="Arial"/>
          <w:sz w:val="18"/>
          <w:szCs w:val="18"/>
          <w:color w:val="auto"/>
        </w:rPr>
        <w:t>” shall mean the rate specified in clause (i) of the definition of Eurodollar Rate.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xml:space="preserve">” means, collectively, the Administrative Agent, the Lenders, each co-agent or sub-agent appointed by the Administrative Agent from time to time pursuant to </w:t>
      </w:r>
      <w:r>
        <w:rPr>
          <w:rFonts w:ascii="Arial" w:cs="Arial" w:eastAsia="Arial" w:hAnsi="Arial"/>
          <w:sz w:val="18"/>
          <w:szCs w:val="18"/>
          <w:u w:val="single" w:color="auto"/>
          <w:color w:val="auto"/>
        </w:rPr>
        <w:t>Section 9.05</w:t>
      </w:r>
      <w:r>
        <w:rPr>
          <w:rFonts w:ascii="Arial" w:cs="Arial" w:eastAsia="Arial" w:hAnsi="Arial"/>
          <w:sz w:val="18"/>
          <w:szCs w:val="18"/>
          <w:color w:val="auto"/>
        </w:rPr>
        <w:t>, and the other Persons the Obligations owing to which are or are purported to be secured by the Collateral under the terms of the Collateral Documents.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Account Control Agreement</w:t>
      </w:r>
      <w:r>
        <w:rPr>
          <w:rFonts w:ascii="Arial" w:cs="Arial" w:eastAsia="Arial" w:hAnsi="Arial"/>
          <w:sz w:val="18"/>
          <w:szCs w:val="18"/>
          <w:color w:val="auto"/>
        </w:rPr>
        <w:t>” has the meaning assigned thereto in the Security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4.01(a)(ii)</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Joinder Agreement</w:t>
      </w:r>
      <w:r>
        <w:rPr>
          <w:rFonts w:ascii="Arial" w:cs="Arial" w:eastAsia="Arial" w:hAnsi="Arial"/>
          <w:sz w:val="18"/>
          <w:szCs w:val="18"/>
          <w:color w:val="auto"/>
        </w:rPr>
        <w:t>” has the meaning specified in the Security Agreement.</w:t>
      </w:r>
    </w:p>
    <w:p>
      <w:pPr>
        <w:spacing w:after="0" w:line="225" w:lineRule="exact"/>
        <w:rPr>
          <w:sz w:val="20"/>
          <w:szCs w:val="20"/>
          <w:color w:val="auto"/>
        </w:rPr>
      </w:pPr>
    </w:p>
    <w:p>
      <w:pPr>
        <w:ind w:right="64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Sold Account</w:t>
      </w:r>
      <w:r>
        <w:rPr>
          <w:rFonts w:ascii="Arial" w:cs="Arial" w:eastAsia="Arial" w:hAnsi="Arial"/>
          <w:sz w:val="17"/>
          <w:szCs w:val="17"/>
          <w:color w:val="auto"/>
        </w:rPr>
        <w:t>” means an Account which Borrower or a Subsidiary has sold to, or otherwise has granted a Lien on or in favor of, the purchaser pursuant to a Qualified Receivables Transaction, for which such Credit Party has received the purchase price for such Account.</w:t>
      </w:r>
    </w:p>
    <w:p>
      <w:pPr>
        <w:spacing w:after="0" w:line="14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Solvent</w:t>
      </w:r>
      <w:r>
        <w:rPr>
          <w:rFonts w:ascii="Arial" w:cs="Arial" w:eastAsia="Arial" w:hAnsi="Arial"/>
          <w:sz w:val="16"/>
          <w:szCs w:val="16"/>
          <w:color w:val="auto"/>
        </w:rPr>
        <w:t>” and “</w:t>
      </w:r>
      <w:r>
        <w:rPr>
          <w:rFonts w:ascii="Arial" w:cs="Arial" w:eastAsia="Arial" w:hAnsi="Arial"/>
          <w:sz w:val="16"/>
          <w:szCs w:val="16"/>
          <w:u w:val="single" w:color="auto"/>
          <w:color w:val="auto"/>
        </w:rPr>
        <w:t>Solvency</w:t>
      </w:r>
      <w:r>
        <w:rPr>
          <w:rFonts w:ascii="Arial" w:cs="Arial" w:eastAsia="Arial" w:hAnsi="Arial"/>
          <w:sz w:val="16"/>
          <w:szCs w:val="16"/>
          <w:color w:val="auto"/>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66"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Purchase Agreement Representations</w:t>
      </w:r>
      <w:r>
        <w:rPr>
          <w:rFonts w:ascii="Arial" w:cs="Arial" w:eastAsia="Arial" w:hAnsi="Arial"/>
          <w:sz w:val="16"/>
          <w:szCs w:val="16"/>
          <w:color w:val="auto"/>
        </w:rPr>
        <w:t>” means the representations and warranties made by, or with respect to, the Target and its Subsidiaries in the Paragon Purchase Agreement as are material to the interests of the Lenders (in their capacities as such), but only to the extent that the Borrower (or any of its Affiliates) have the right to terminate the Borrower’s obligations under the Paragon Purchase Agreement (or decline or otherwise refuse to consummate the Paragon Acquisition pursuant to the Paragon Purchase Agreement) as a result of a breach of any such representation and warranty in the Paragon Purchase Agreement or any such representation and warranty not being accurate (in each case, determined without regard to any notice requirement).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51" w:name="page52"/>
    <w:bookmarkEnd w:id="51"/>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Specified Representations</w:t>
      </w:r>
      <w:r>
        <w:rPr>
          <w:rFonts w:ascii="Arial" w:cs="Arial" w:eastAsia="Arial" w:hAnsi="Arial"/>
          <w:sz w:val="16"/>
          <w:szCs w:val="16"/>
          <w:color w:val="auto"/>
        </w:rPr>
        <w:t xml:space="preserve">” means the representations and warranties set forth in </w:t>
      </w:r>
      <w:r>
        <w:rPr>
          <w:rFonts w:ascii="Arial" w:cs="Arial" w:eastAsia="Arial" w:hAnsi="Arial"/>
          <w:sz w:val="16"/>
          <w:szCs w:val="16"/>
          <w:u w:val="single" w:color="auto"/>
          <w:color w:val="auto"/>
        </w:rPr>
        <w:t>Sections 5.01</w:t>
      </w:r>
      <w:r>
        <w:rPr>
          <w:rFonts w:ascii="Arial" w:cs="Arial" w:eastAsia="Arial" w:hAnsi="Arial"/>
          <w:sz w:val="16"/>
          <w:szCs w:val="16"/>
          <w:color w:val="auto"/>
        </w:rPr>
        <w:t xml:space="preserve"> (as to the Loan Parties only), </w:t>
      </w:r>
      <w:r>
        <w:rPr>
          <w:rFonts w:ascii="Arial" w:cs="Arial" w:eastAsia="Arial" w:hAnsi="Arial"/>
          <w:sz w:val="16"/>
          <w:szCs w:val="16"/>
          <w:u w:val="single" w:color="auto"/>
          <w:color w:val="auto"/>
        </w:rPr>
        <w:t>5.02</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clauses</w:t>
      </w:r>
    </w:p>
    <w:p>
      <w:pPr>
        <w:spacing w:after="0" w:line="46" w:lineRule="exact"/>
        <w:rPr>
          <w:sz w:val="20"/>
          <w:szCs w:val="20"/>
          <w:color w:val="auto"/>
        </w:rPr>
      </w:pPr>
    </w:p>
    <w:p>
      <w:pPr>
        <w:ind w:right="160" w:firstLine="8"/>
        <w:spacing w:after="0" w:line="255" w:lineRule="auto"/>
        <w:tabs>
          <w:tab w:leader="none" w:pos="255" w:val="left"/>
        </w:tabs>
        <w:numPr>
          <w:ilvl w:val="0"/>
          <w:numId w:val="40"/>
        </w:numPr>
        <w:rPr>
          <w:rFonts w:ascii="Arial" w:cs="Arial" w:eastAsia="Arial" w:hAnsi="Arial"/>
          <w:sz w:val="18"/>
          <w:szCs w:val="18"/>
          <w:u w:val="single" w:color="auto"/>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thereof), </w:t>
      </w:r>
      <w:r>
        <w:rPr>
          <w:rFonts w:ascii="Arial" w:cs="Arial" w:eastAsia="Arial" w:hAnsi="Arial"/>
          <w:sz w:val="18"/>
          <w:szCs w:val="18"/>
          <w:u w:val="single" w:color="auto"/>
          <w:color w:val="auto"/>
        </w:rPr>
        <w:t>5.06</w:t>
      </w:r>
      <w:r>
        <w:rPr>
          <w:rFonts w:ascii="Arial" w:cs="Arial" w:eastAsia="Arial" w:hAnsi="Arial"/>
          <w:sz w:val="18"/>
          <w:szCs w:val="18"/>
          <w:color w:val="auto"/>
        </w:rPr>
        <w:t xml:space="preserve"> (as to the Loan Parties only and subject to the last sentence of </w:t>
      </w:r>
      <w:r>
        <w:rPr>
          <w:rFonts w:ascii="Arial" w:cs="Arial" w:eastAsia="Arial" w:hAnsi="Arial"/>
          <w:sz w:val="18"/>
          <w:szCs w:val="18"/>
          <w:u w:val="single" w:color="auto"/>
          <w:color w:val="auto"/>
        </w:rPr>
        <w:t>Section 4.01(a)</w:t>
      </w:r>
      <w:r>
        <w:rPr>
          <w:rFonts w:ascii="Arial" w:cs="Arial" w:eastAsia="Arial" w:hAnsi="Arial"/>
          <w:sz w:val="18"/>
          <w:szCs w:val="18"/>
          <w:color w:val="auto"/>
        </w:rPr>
        <w:t xml:space="preserve"> with respect to the perfection of liens), </w:t>
      </w:r>
      <w:r>
        <w:rPr>
          <w:rFonts w:ascii="Arial" w:cs="Arial" w:eastAsia="Arial" w:hAnsi="Arial"/>
          <w:sz w:val="18"/>
          <w:szCs w:val="18"/>
          <w:u w:val="single" w:color="auto"/>
          <w:color w:val="auto"/>
        </w:rPr>
        <w:t>5.13</w:t>
      </w:r>
      <w:r>
        <w:rPr>
          <w:rFonts w:ascii="Arial" w:cs="Arial" w:eastAsia="Arial" w:hAnsi="Arial"/>
          <w:sz w:val="18"/>
          <w:szCs w:val="18"/>
          <w:color w:val="auto"/>
        </w:rPr>
        <w:t xml:space="preserve"> (determined for this purpose for the Borrower and its Subsidiaries on a consolidated basis as of the Closing Date and after giving effect to the Transactions), </w:t>
      </w:r>
      <w:r>
        <w:rPr>
          <w:rFonts w:ascii="Arial" w:cs="Arial" w:eastAsia="Arial" w:hAnsi="Arial"/>
          <w:sz w:val="18"/>
          <w:szCs w:val="18"/>
          <w:u w:val="single" w:color="auto"/>
          <w:color w:val="auto"/>
        </w:rPr>
        <w:t>5.15</w:t>
      </w:r>
      <w:r>
        <w:rPr>
          <w:rFonts w:ascii="Arial" w:cs="Arial" w:eastAsia="Arial" w:hAnsi="Arial"/>
          <w:sz w:val="18"/>
          <w:szCs w:val="18"/>
          <w:color w:val="auto"/>
        </w:rPr>
        <w:t xml:space="preserve">, </w:t>
      </w:r>
      <w:r>
        <w:rPr>
          <w:rFonts w:ascii="Arial" w:cs="Arial" w:eastAsia="Arial" w:hAnsi="Arial"/>
          <w:sz w:val="18"/>
          <w:szCs w:val="18"/>
          <w:u w:val="single" w:color="auto"/>
          <w:color w:val="auto"/>
        </w:rPr>
        <w:t>5.21</w:t>
      </w:r>
      <w:r>
        <w:rPr>
          <w:rFonts w:ascii="Arial" w:cs="Arial" w:eastAsia="Arial" w:hAnsi="Arial"/>
          <w:sz w:val="18"/>
          <w:szCs w:val="18"/>
          <w:color w:val="auto"/>
        </w:rPr>
        <w:t xml:space="preserve">, </w:t>
      </w:r>
      <w:r>
        <w:rPr>
          <w:rFonts w:ascii="Arial" w:cs="Arial" w:eastAsia="Arial" w:hAnsi="Arial"/>
          <w:sz w:val="18"/>
          <w:szCs w:val="18"/>
          <w:u w:val="single" w:color="auto"/>
          <w:color w:val="auto"/>
        </w:rPr>
        <w:t>5.22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5.26</w:t>
      </w:r>
      <w:r>
        <w:rPr>
          <w:rFonts w:ascii="Arial" w:cs="Arial" w:eastAsia="Arial" w:hAnsi="Arial"/>
          <w:sz w:val="18"/>
          <w:szCs w:val="18"/>
          <w:color w:val="auto"/>
        </w:rPr>
        <w:t>.</w:t>
      </w:r>
    </w:p>
    <w:p>
      <w:pPr>
        <w:spacing w:after="0" w:line="19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Transaction</w:t>
      </w:r>
      <w:r>
        <w:rPr>
          <w:rFonts w:ascii="Arial" w:cs="Arial" w:eastAsia="Arial" w:hAnsi="Arial"/>
          <w:sz w:val="18"/>
          <w:szCs w:val="18"/>
          <w:color w:val="auto"/>
        </w:rPr>
        <w:t>” means any Acquisition, Investment or Restricted Payment (in each case, whether or not consummated and including any such transaction consummated prior to the Closing Date) and/or (ii) equity issuances, issuances of Indebtedness (including the incurrence of Incremental Loans) or other Refinancings, repayments, financings and amendments or other modifications or waivers of debt instruments or documents, mergers, Investments (other than Investments in cash or Cash Equivalents), Restricted Payments or dispositions outside of the ordinary course of business permitted by the Loan Documents.</w:t>
      </w:r>
    </w:p>
    <w:p>
      <w:pPr>
        <w:spacing w:after="0" w:line="188" w:lineRule="exact"/>
        <w:rPr>
          <w:sz w:val="20"/>
          <w:szCs w:val="20"/>
          <w:color w:val="auto"/>
        </w:rPr>
      </w:pPr>
    </w:p>
    <w:p>
      <w:pPr>
        <w:ind w:right="80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Subordinated</w:t>
      </w:r>
      <w:r>
        <w:rPr>
          <w:rFonts w:ascii="Arial" w:cs="Arial" w:eastAsia="Arial" w:hAnsi="Arial"/>
          <w:sz w:val="17"/>
          <w:szCs w:val="17"/>
          <w:color w:val="auto"/>
        </w:rPr>
        <w:t>” means, as applied to Indebtedness, Indebtedness that shall have been subordinated in favor of the prior payment in full of the Obligations pursuant to documentation in form and substance reasonably satisfactory to the Administrative Agent.</w:t>
      </w:r>
    </w:p>
    <w:p>
      <w:pPr>
        <w:spacing w:after="0" w:line="14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Borrower.</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Contract</w:t>
      </w:r>
      <w:r>
        <w:rPr>
          <w:rFonts w:ascii="Arial" w:cs="Arial" w:eastAsia="Arial" w:hAnsi="Arial"/>
          <w:sz w:val="17"/>
          <w:szCs w:val="17"/>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7"/>
          <w:szCs w:val="17"/>
          <w:u w:val="single" w:color="auto"/>
          <w:color w:val="auto"/>
        </w:rPr>
        <w:t>Master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including any such obligations or liabilities under any Master Agreement.</w:t>
      </w:r>
    </w:p>
    <w:p>
      <w:pPr>
        <w:spacing w:after="0" w:line="182"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Termination Value</w:t>
      </w:r>
      <w:r>
        <w:rPr>
          <w:rFonts w:ascii="Arial" w:cs="Arial" w:eastAsia="Arial" w:hAnsi="Arial"/>
          <w:sz w:val="17"/>
          <w:szCs w:val="17"/>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Arial" w:cs="Arial" w:eastAsia="Arial" w:hAnsi="Arial"/>
          <w:sz w:val="17"/>
          <w:szCs w:val="17"/>
          <w:u w:val="single" w:color="auto"/>
          <w:color w:val="auto"/>
        </w:rPr>
        <w:t>clause (a)</w:t>
      </w:r>
      <w:r>
        <w:rPr>
          <w:rFonts w:ascii="Arial" w:cs="Arial" w:eastAsia="Arial" w:hAnsi="Arial"/>
          <w:sz w:val="17"/>
          <w:szCs w:val="17"/>
          <w:color w:val="auto"/>
        </w:rPr>
        <w:t>,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7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Synthetic Debt</w:t>
      </w:r>
      <w:r>
        <w:rPr>
          <w:rFonts w:ascii="Arial" w:cs="Arial" w:eastAsia="Arial" w:hAnsi="Arial"/>
          <w:sz w:val="18"/>
          <w:szCs w:val="18"/>
          <w:color w:val="auto"/>
        </w:rPr>
        <w:t>” means, with respect to any Person as of any date of determination thereof, all obligations of such Person in respect of transactions entered into by such Person that are intended to function primarily as a borrowing of funds (including any minority interest transactions that function primarily as a borrowing) but are not otherwise included in the definition of “Indebtedness” or as a liability on the consolidated balance sheet of such Person and its Subsidiaries in accordance with GAAP.</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Synthetic Lease Obligation</w:t>
      </w:r>
      <w:r>
        <w:rPr>
          <w:rFonts w:ascii="Arial" w:cs="Arial" w:eastAsia="Arial" w:hAnsi="Arial"/>
          <w:sz w:val="16"/>
          <w:szCs w:val="16"/>
          <w:color w:val="auto"/>
        </w:rPr>
        <w:t>” means the monetary obligation of a Person under (a) a so-called synthetic, off-balance sheet or tax retention lease, or</w:t>
      </w:r>
    </w:p>
    <w:p>
      <w:pPr>
        <w:spacing w:after="0" w:line="46" w:lineRule="exact"/>
        <w:rPr>
          <w:sz w:val="20"/>
          <w:szCs w:val="20"/>
          <w:color w:val="auto"/>
        </w:rPr>
      </w:pPr>
    </w:p>
    <w:p>
      <w:pPr>
        <w:ind w:right="100" w:firstLine="8"/>
        <w:spacing w:after="0" w:line="255" w:lineRule="auto"/>
        <w:tabs>
          <w:tab w:leader="none" w:pos="2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agreement for the use or possession of property (including sale and leaseback transactions), in each case, creating obligations that do not appear on the balance sheet of such Person but which, upon the application of any Debtor Relief Laws to such Person, would be characterized as the indebtedness of such Person (without regard to accounting treatment).</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52" w:name="page53"/>
    <w:bookmarkEnd w:id="5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Target</w:t>
      </w:r>
      <w:r>
        <w:rPr>
          <w:rFonts w:ascii="Arial" w:cs="Arial" w:eastAsia="Arial" w:hAnsi="Arial"/>
          <w:sz w:val="18"/>
          <w:szCs w:val="18"/>
          <w:color w:val="auto"/>
        </w:rPr>
        <w:t>” has the meaning specified in the Preliminary Statements.</w:t>
      </w:r>
    </w:p>
    <w:p>
      <w:pPr>
        <w:spacing w:after="0" w:line="225"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Target Audited Financial Statements</w:t>
      </w:r>
      <w:r>
        <w:rPr>
          <w:rFonts w:ascii="Arial" w:cs="Arial" w:eastAsia="Arial" w:hAnsi="Arial"/>
          <w:sz w:val="16"/>
          <w:szCs w:val="16"/>
          <w:color w:val="auto"/>
        </w:rPr>
        <w:t>” means the audited consolidated balance sheet of the Target and its subsidiaries as of December 31, 2017 and December 31, 2016 and the related consolidated statements of income and cash flows for the years then ended, including the notes thereto.</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Companies</w:t>
      </w:r>
      <w:r>
        <w:rPr>
          <w:rFonts w:ascii="Arial" w:cs="Arial" w:eastAsia="Arial" w:hAnsi="Arial"/>
          <w:sz w:val="18"/>
          <w:szCs w:val="18"/>
          <w:color w:val="auto"/>
        </w:rPr>
        <w:t>” means the Target and its Subsidiaries.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Interim Financial Statements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4.01(a)(ix)</w:t>
      </w:r>
      <w:r>
        <w:rPr>
          <w:rFonts w:ascii="Arial" w:cs="Arial" w:eastAsia="Arial" w:hAnsi="Arial"/>
          <w:sz w:val="18"/>
          <w:szCs w:val="18"/>
          <w:color w:val="auto"/>
        </w:rPr>
        <w:t>.</w:t>
      </w:r>
    </w:p>
    <w:p>
      <w:pPr>
        <w:spacing w:after="0" w:line="225" w:lineRule="exact"/>
        <w:rPr>
          <w:sz w:val="20"/>
          <w:szCs w:val="20"/>
          <w:color w:val="auto"/>
        </w:rPr>
      </w:pPr>
    </w:p>
    <w:p>
      <w:pPr>
        <w:ind w:right="80" w:firstLine="456"/>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Target Material Adverse Effect</w:t>
      </w:r>
      <w:r>
        <w:rPr>
          <w:rFonts w:ascii="Arial" w:cs="Arial" w:eastAsia="Arial" w:hAnsi="Arial"/>
          <w:sz w:val="17"/>
          <w:szCs w:val="17"/>
          <w:color w:val="auto"/>
        </w:rPr>
        <w:t>” means any event, occurrence, fact, condition, change or effect (collectively, “</w:t>
      </w:r>
      <w:r>
        <w:rPr>
          <w:rFonts w:ascii="Arial" w:cs="Arial" w:eastAsia="Arial" w:hAnsi="Arial"/>
          <w:sz w:val="17"/>
          <w:szCs w:val="17"/>
          <w:u w:val="single" w:color="auto"/>
          <w:color w:val="auto"/>
        </w:rPr>
        <w:t>Events</w:t>
      </w:r>
      <w:r>
        <w:rPr>
          <w:rFonts w:ascii="Arial" w:cs="Arial" w:eastAsia="Arial" w:hAnsi="Arial"/>
          <w:sz w:val="17"/>
          <w:szCs w:val="17"/>
          <w:color w:val="auto"/>
        </w:rPr>
        <w:t xml:space="preserve">”) that has, or would reasonably be expected to have, individually or in the aggregate, a materially adverse effect on the business of the Target Companies, taken as a whole, the results of operations or financial condition of the Target Companies, taken as a whole, or the ability of the Paragon Equity, LLC to consummate timely the transactions contemplated by the Paragon Purchase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adverse Event arising out of, resulting from or attributable to any of the following (either alone or in combination with any other Event) (a) an Event affecting (i) the United States or global economy generally or capital, credit or financial markets generally (including any disruption, change or decline in the prices of any security or any market index), (ii) legal, tax, regulatory or political conditions generally of the United States or (iii) the industry generally in which the Target Companies operate, (b) any changes in applicable law or GAAP or the enforcement or interpretation thereof, (c) any acts of God, (d) any hostilities, acts of war, sabotage, terrorism or military actions, or any escalation or worsening of any such hostilities, acts of war, sabotage, terrorism or military actions, (e) any failure by any Target Company to meet any projections, forecasts or revenue or earnings predictions for any period, (f) the execution or announcement of the Paragon Purchase Agreement or of the Closing (as defined in the Paragon Purchase Agreement) or the taking of any action contemplated or required by the Paragon Purchase Agreement, or the consummation of the transactions contemplated hereby or (g) any actions or omissions by Borrower or any of its Affiliates, and shall not be taken into account in determining whether, a Target Material Adverse Effect has occurred or would be reasonably likely to occur, except to the extent with respect to clauses (a) through (d) above that any such Event has a disproportionate impact on the Target Companies relative to the other Persons in the industries in which the Target Companies operate.</w:t>
      </w:r>
    </w:p>
    <w:p>
      <w:pPr>
        <w:spacing w:after="0" w:line="183"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Borrowings</w:t>
      </w:r>
      <w:r>
        <w:rPr>
          <w:rFonts w:ascii="Arial" w:cs="Arial" w:eastAsia="Arial" w:hAnsi="Arial"/>
          <w:sz w:val="18"/>
          <w:szCs w:val="18"/>
          <w:color w:val="auto"/>
        </w:rPr>
        <w:t>” means, collectively, Initial Term Borrowings and Incremental Term Borrowings.</w:t>
      </w:r>
    </w:p>
    <w:p>
      <w:pPr>
        <w:spacing w:after="0" w:line="225" w:lineRule="exact"/>
        <w:rPr>
          <w:sz w:val="20"/>
          <w:szCs w:val="20"/>
          <w:color w:val="auto"/>
        </w:rPr>
      </w:pPr>
    </w:p>
    <w:p>
      <w:pPr>
        <w:jc w:val="both"/>
        <w:ind w:right="300"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Commitment</w:t>
      </w:r>
      <w:r>
        <w:rPr>
          <w:rFonts w:ascii="Arial" w:cs="Arial" w:eastAsia="Arial" w:hAnsi="Arial"/>
          <w:sz w:val="17"/>
          <w:szCs w:val="17"/>
          <w:color w:val="auto"/>
        </w:rPr>
        <w:t xml:space="preserve">” means, as to each Term Lender, (i) its Initial Term Commitment and (ii) its obligation to make Incremental Term Loans to the Borrower pursuant to </w:t>
      </w:r>
      <w:r>
        <w:rPr>
          <w:rFonts w:ascii="Arial" w:cs="Arial" w:eastAsia="Arial" w:hAnsi="Arial"/>
          <w:sz w:val="17"/>
          <w:szCs w:val="17"/>
          <w:u w:val="single" w:color="auto"/>
          <w:color w:val="auto"/>
        </w:rPr>
        <w:t>Section 2.14(a)</w:t>
      </w:r>
      <w:r>
        <w:rPr>
          <w:rFonts w:ascii="Arial" w:cs="Arial" w:eastAsia="Arial" w:hAnsi="Arial"/>
          <w:sz w:val="17"/>
          <w:szCs w:val="17"/>
          <w:color w:val="auto"/>
        </w:rPr>
        <w:t xml:space="preserve">, each in an aggregate principal amount not to exceed the amount set forth opposite such Lender’s name on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2.01</w:t>
      </w:r>
      <w:r>
        <w:rPr>
          <w:rFonts w:ascii="Arial" w:cs="Arial" w:eastAsia="Arial" w:hAnsi="Arial"/>
          <w:sz w:val="17"/>
          <w:szCs w:val="17"/>
          <w:color w:val="auto"/>
        </w:rPr>
        <w:t xml:space="preserve"> under the caption “Term Commitment,” or as set forth in the Assignment and Assumption pursuant to which such Lender becomes a party hereto, as applicable, as such amount may be adjusted from time to time in accordance with this Agreement.</w:t>
      </w:r>
    </w:p>
    <w:p>
      <w:pPr>
        <w:spacing w:after="0" w:line="171"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Facility</w:t>
      </w:r>
      <w:r>
        <w:rPr>
          <w:rFonts w:ascii="Arial" w:cs="Arial" w:eastAsia="Arial" w:hAnsi="Arial"/>
          <w:sz w:val="17"/>
          <w:szCs w:val="17"/>
          <w:color w:val="auto"/>
        </w:rPr>
        <w:t xml:space="preserve">” means, at any time, the </w:t>
      </w:r>
      <w:r>
        <w:rPr>
          <w:rFonts w:ascii="Arial" w:cs="Arial" w:eastAsia="Arial" w:hAnsi="Arial"/>
          <w:sz w:val="17"/>
          <w:szCs w:val="17"/>
          <w:u w:val="single" w:color="auto"/>
          <w:color w:val="auto"/>
        </w:rPr>
        <w:t>sum</w:t>
      </w:r>
      <w:r>
        <w:rPr>
          <w:rFonts w:ascii="Arial" w:cs="Arial" w:eastAsia="Arial" w:hAnsi="Arial"/>
          <w:sz w:val="17"/>
          <w:szCs w:val="17"/>
          <w:color w:val="auto"/>
        </w:rPr>
        <w:t xml:space="preserve"> of (a) the aggregate amount of the unused Term Commitments at such time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the aggregate principal amount of the Term Loans of all Term Lenders outstanding at such time. As of the Closing Date, the Term Facility is $200,000,000.</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Lender</w:t>
      </w:r>
      <w:r>
        <w:rPr>
          <w:rFonts w:ascii="Arial" w:cs="Arial" w:eastAsia="Arial" w:hAnsi="Arial"/>
          <w:sz w:val="18"/>
          <w:szCs w:val="18"/>
          <w:color w:val="auto"/>
        </w:rPr>
        <w:t>” means, at any time, any Lender that either has an unused Term Commitment or holds Term Loans at such time, or both.</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w:t>
      </w:r>
      <w:r>
        <w:rPr>
          <w:rFonts w:ascii="Arial" w:cs="Arial" w:eastAsia="Arial" w:hAnsi="Arial"/>
          <w:sz w:val="18"/>
          <w:szCs w:val="18"/>
          <w:color w:val="auto"/>
        </w:rPr>
        <w:t>” means, collectively, the Initial Term Loans and the Incremental Term Loans, as applicable.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53" w:name="page54"/>
    <w:bookmarkEnd w:id="53"/>
    <w:p>
      <w:pPr>
        <w:ind w:right="2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Term Note</w:t>
      </w:r>
      <w:r>
        <w:rPr>
          <w:rFonts w:ascii="Arial" w:cs="Arial" w:eastAsia="Arial" w:hAnsi="Arial"/>
          <w:sz w:val="18"/>
          <w:szCs w:val="18"/>
          <w:color w:val="auto"/>
        </w:rPr>
        <w:t xml:space="preserve">” means a promissory note made by the Borrower in favor of a Term Lender (and its registered assigns) evidencing Term Loans made by such Term Lender,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Outstandings</w:t>
      </w:r>
      <w:r>
        <w:rPr>
          <w:rFonts w:ascii="Arial" w:cs="Arial" w:eastAsia="Arial" w:hAnsi="Arial"/>
          <w:sz w:val="18"/>
          <w:szCs w:val="18"/>
          <w:color w:val="auto"/>
        </w:rPr>
        <w:t>” means the aggregate Outstanding Amount of all Loans.</w:t>
      </w:r>
    </w:p>
    <w:p>
      <w:pPr>
        <w:spacing w:after="0" w:line="225"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Term Loan Exposure</w:t>
      </w:r>
      <w:r>
        <w:rPr>
          <w:rFonts w:ascii="Arial" w:cs="Arial" w:eastAsia="Arial" w:hAnsi="Arial"/>
          <w:sz w:val="18"/>
          <w:szCs w:val="18"/>
          <w:color w:val="auto"/>
        </w:rPr>
        <w:t>” means, as to any Term Lender at any time, the unused Term Commitments and the aggregate principal amount of the outstanding Term Loans of such Term Lender at such time.</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 Security Agreement</w:t>
      </w:r>
      <w:r>
        <w:rPr>
          <w:rFonts w:ascii="Arial" w:cs="Arial" w:eastAsia="Arial" w:hAnsi="Arial"/>
          <w:sz w:val="18"/>
          <w:szCs w:val="18"/>
          <w:color w:val="auto"/>
        </w:rPr>
        <w:t>” means a second lien trademark security agreement or notice of grant of security interest in trademarks, in each case in form and substance satisfactory to the Administrative Agent.</w:t>
      </w:r>
    </w:p>
    <w:p>
      <w:pPr>
        <w:spacing w:after="0" w:line="17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Transactions</w:t>
      </w:r>
      <w:r>
        <w:rPr>
          <w:rFonts w:ascii="Arial" w:cs="Arial" w:eastAsia="Arial" w:hAnsi="Arial"/>
          <w:sz w:val="17"/>
          <w:szCs w:val="17"/>
          <w:color w:val="auto"/>
        </w:rPr>
        <w:t>” means, collectively, (a) the consummation of the Paragon Acquisition, (b) the entering into by the Loan Parties and their applicable Subsidiaries of the Loan Documents and the Paragon Purchase Agreement to which they are or are intended to be a party, (c) the effectiveness of Amendment No. 4 to the First Lien Credit Agreement, (d) the refinancing of the Existing Indebtedness and the termination of all commitments with respect thereto and (e) the payment of the fees and expenses incurred in connection with the consummation of the foregoing.</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Costs</w:t>
      </w:r>
      <w:r>
        <w:rPr>
          <w:rFonts w:ascii="Arial" w:cs="Arial" w:eastAsia="Arial" w:hAnsi="Arial"/>
          <w:sz w:val="18"/>
          <w:szCs w:val="18"/>
          <w:color w:val="auto"/>
        </w:rPr>
        <w:t xml:space="preserve">” means all customary and reasonable transaction fees, charges and other similar amounts related to the Transactions or any Acquisitions completed during the term of this Agreement in accordance with </w:t>
      </w:r>
      <w:r>
        <w:rPr>
          <w:rFonts w:ascii="Arial" w:cs="Arial" w:eastAsia="Arial" w:hAnsi="Arial"/>
          <w:sz w:val="18"/>
          <w:szCs w:val="18"/>
          <w:u w:val="single" w:color="auto"/>
          <w:color w:val="auto"/>
        </w:rPr>
        <w:t>Section 7.03(b)</w:t>
      </w:r>
      <w:r>
        <w:rPr>
          <w:rFonts w:ascii="Arial" w:cs="Arial" w:eastAsia="Arial" w:hAnsi="Arial"/>
          <w:sz w:val="18"/>
          <w:szCs w:val="18"/>
          <w:color w:val="auto"/>
        </w:rPr>
        <w:t xml:space="preserve"> (including, without limitation, any financing fees, merger and acquisition fees, legal fees and expenses, due diligence fees or any other fees and expenses in connection therewith), in each case to the extent paid within six (6) months of the Closing Date or the closing date of such Acquisition, as applicable.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with respect to a Loan, its character as a Base Rate Loan or a Eurodollar Rate Loan.</w:t>
      </w:r>
    </w:p>
    <w:p>
      <w:pPr>
        <w:spacing w:after="0" w:line="22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xml:space="preserve">” means the Uniform Commercial Code as in effect in the State of New York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perfection or the effect of perfection or non-perfection or the priority of any security interest in any Collateral is governed by the Uniform Commercial Code as in effect in a jurisdiction other than the State of New York, “UCC” means the Uniform Commercial Code as in effect from time to time in such other jurisdiction for purposes of the provisions hereof relating to such perfection, effect of perfection or non-perfection or priority.</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Undisclosed Administration</w:t>
      </w:r>
      <w:r>
        <w:rPr>
          <w:rFonts w:ascii="Arial" w:cs="Arial" w:eastAsia="Arial" w:hAnsi="Arial"/>
          <w:sz w:val="18"/>
          <w:szCs w:val="18"/>
          <w:color w:val="auto"/>
        </w:rPr>
        <w:t>” means in relation to a Lender or a Person that directly or indirectly controls such Lender, the appointment of an administrator, provisional liquidator, conservator, receiver, trustee, custodian or other similar official by a supervisory authority or regulator under or based on the law in the country where such Lender or Person, as the case may be, is subject to home jurisdiction supervision if applicable law requires that such appointment is not to be publicly disclosed.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mean the United States of America.</w:t>
      </w:r>
    </w:p>
    <w:p>
      <w:pPr>
        <w:spacing w:after="0" w:line="225"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Cash and Cash Equivalents</w:t>
      </w:r>
      <w:r>
        <w:rPr>
          <w:rFonts w:ascii="Arial" w:cs="Arial" w:eastAsia="Arial" w:hAnsi="Arial"/>
          <w:sz w:val="18"/>
          <w:szCs w:val="18"/>
          <w:color w:val="auto"/>
        </w:rPr>
        <w:t>” means, with respect to the Borrower and its Subsidiaries, cash or Cash Equivalents of the Borrower and its Subsidiaries that do not appear, or would not be required to appear, as “restricted” on the financial statements of the Borrower and its Subsidiaries (unless related to the Loan Documents or the Liens created thereunder).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Code.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3.01(e)(ii)(B)(3)</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Power</w:t>
      </w:r>
      <w:r>
        <w:rPr>
          <w:rFonts w:ascii="Arial" w:cs="Arial" w:eastAsia="Arial" w:hAnsi="Arial"/>
          <w:sz w:val="18"/>
          <w:szCs w:val="18"/>
          <w:color w:val="auto"/>
        </w:rPr>
        <w:t>” means, with respect to any Person, the exclusive ability to control, through the ownership of shares of capital stock, partnership interests, membership interests or otherwise, the election of members of the board of directors or other similar governing body of such Person. The holding of a designated percentage of Voting Power of a Person means the ownership of shares of capital stock, partnership interests, membership interests or other interests of such Person sufficient to control exclusively the election of that percentage of the members of the board of directors or similar governing body of such Person.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54" w:name="page55"/>
    <w:bookmarkEnd w:id="54"/>
    <w:p>
      <w:pPr>
        <w:ind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Weighted Average Yield</w:t>
      </w:r>
      <w:r>
        <w:rPr>
          <w:rFonts w:ascii="Arial" w:cs="Arial" w:eastAsia="Arial" w:hAnsi="Arial"/>
          <w:sz w:val="18"/>
          <w:szCs w:val="18"/>
          <w:color w:val="auto"/>
        </w:rPr>
        <w:t>” means, with respect to any Loan, on any date of determination, the weighted average yield to maturity, in each case, based on the interest rate applicable to such Loan on such date and giving effect to interest rate floors, upfront fees, original issue discount or similar yield related discounts or deductions payable with respect to such Loans (but, excluding, for the avoidance of doubt, any customary arranging, underwriting or similar fees not paid to all Lenders) based on (i) an assumed four-year average life for the applicable Loans or (ii) if the stated maturity of the applicable Loans is less than four years, the actual life of such Loans.</w:t>
      </w:r>
    </w:p>
    <w:p>
      <w:pPr>
        <w:spacing w:after="0" w:line="188"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Wholly-Owned</w:t>
      </w:r>
      <w:r>
        <w:rPr>
          <w:rFonts w:ascii="Arial" w:cs="Arial" w:eastAsia="Arial" w:hAnsi="Arial"/>
          <w:sz w:val="18"/>
          <w:szCs w:val="18"/>
          <w:color w:val="auto"/>
        </w:rPr>
        <w:t>” means, with respect to a Subsidiary, that all of the Equity Interests of such Subsidiary are, directly or indirectly, owned or controlled by the Borrower and/or one or more of its Wholly-Owned Subsidiaries (except for directors’ qualifying shares or other shares required by applicable Laws to be owned by a Person other than the Borrower and/or one or more of its Wholly-Owned Subsidiaries).</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Other Interpretive Provisions</w:t>
      </w:r>
      <w:r>
        <w:rPr>
          <w:rFonts w:ascii="Arial" w:cs="Arial" w:eastAsia="Arial" w:hAnsi="Arial"/>
          <w:sz w:val="18"/>
          <w:szCs w:val="18"/>
          <w:color w:val="auto"/>
        </w:rPr>
        <w:t>. With reference to this Agreement and each other Loan Document, unless otherwise specified herein or in such other Loan Document:</w:t>
      </w:r>
    </w:p>
    <w:p>
      <w:pPr>
        <w:spacing w:after="0" w:line="62" w:lineRule="exact"/>
        <w:rPr>
          <w:sz w:val="20"/>
          <w:szCs w:val="20"/>
          <w:color w:val="auto"/>
        </w:rPr>
      </w:pPr>
    </w:p>
    <w:p>
      <w:pPr>
        <w:ind w:left="460" w:right="80" w:firstLine="443"/>
        <w:spacing w:after="0" w:line="286" w:lineRule="auto"/>
        <w:tabs>
          <w:tab w:leader="none" w:pos="1275"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“hereto,” “herein,” “hereof” and “hereunder,”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rule or regulation shall include all statutory and regulatory provisions consolidating, amending, replacing or interpreting such law, rule or regulation and any reference to any law, rule or regulation shall, unless otherwise specified, refer to such law, rule or regulation as amended, modified or supplemented from time to time, and (vi) the words “asset” and “property” shall be construed to have the same meaning and effect and to refer to any and all tangible and intangible assets and properties, including cash, securities, accounts and contract rights.</w:t>
      </w:r>
    </w:p>
    <w:p>
      <w:pPr>
        <w:spacing w:after="0" w:line="63" w:lineRule="exact"/>
        <w:rPr>
          <w:rFonts w:ascii="Arial" w:cs="Arial" w:eastAsia="Arial" w:hAnsi="Arial"/>
          <w:sz w:val="16"/>
          <w:szCs w:val="16"/>
          <w:color w:val="auto"/>
        </w:rPr>
      </w:pPr>
    </w:p>
    <w:p>
      <w:pPr>
        <w:ind w:left="460" w:right="40" w:firstLine="443"/>
        <w:spacing w:after="0" w:line="277" w:lineRule="auto"/>
        <w:tabs>
          <w:tab w:leader="none" w:pos="1288"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62" w:lineRule="exact"/>
        <w:rPr>
          <w:rFonts w:ascii="Arial" w:cs="Arial" w:eastAsia="Arial" w:hAnsi="Arial"/>
          <w:sz w:val="18"/>
          <w:szCs w:val="18"/>
          <w:color w:val="auto"/>
        </w:rPr>
      </w:pPr>
    </w:p>
    <w:p>
      <w:pPr>
        <w:ind w:left="460" w:right="880" w:firstLine="443"/>
        <w:spacing w:after="0" w:line="277" w:lineRule="auto"/>
        <w:tabs>
          <w:tab w:leader="none" w:pos="1278"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Section headings herein and in the other Loan Documents are included for convenience of reference only and shall not affect the interpretation of this Agreement or any other Loan Document.</w:t>
      </w:r>
    </w:p>
    <w:p>
      <w:pPr>
        <w:spacing w:after="0" w:line="279"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u w:val="single" w:color="auto"/>
          <w:color w:val="auto"/>
        </w:rPr>
        <w:t>Accounting Terms</w:t>
      </w:r>
      <w:r>
        <w:rPr>
          <w:rFonts w:ascii="Arial" w:cs="Arial" w:eastAsia="Arial" w:hAnsi="Arial"/>
          <w:sz w:val="16"/>
          <w:szCs w:val="16"/>
          <w:color w:val="auto"/>
        </w:rPr>
        <w:t>.</w:t>
      </w:r>
    </w:p>
    <w:p>
      <w:pPr>
        <w:spacing w:after="0" w:line="117" w:lineRule="exact"/>
        <w:rPr>
          <w:sz w:val="20"/>
          <w:szCs w:val="20"/>
          <w:color w:val="auto"/>
        </w:rPr>
      </w:pPr>
    </w:p>
    <w:p>
      <w:pPr>
        <w:ind w:right="140" w:firstLine="464"/>
        <w:spacing w:after="0" w:line="293" w:lineRule="auto"/>
        <w:tabs>
          <w:tab w:leader="none" w:pos="836"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as otherwise specifically prescribed herein. Notwithstanding the foregoing,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and FASB ASC 470-20 on financial liabilities shall be disregarded.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55" w:name="page56"/>
    <w:bookmarkEnd w:id="55"/>
    <w:p>
      <w:pPr>
        <w:ind w:right="20" w:firstLine="464"/>
        <w:spacing w:after="0" w:line="255" w:lineRule="auto"/>
        <w:tabs>
          <w:tab w:leader="none" w:pos="846"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Changes in GAAP</w:t>
      </w:r>
      <w:r>
        <w:rPr>
          <w:rFonts w:ascii="Arial" w:cs="Arial" w:eastAsia="Arial" w:hAnsi="Arial"/>
          <w:sz w:val="18"/>
          <w:szCs w:val="18"/>
          <w:color w:val="auto"/>
        </w:rPr>
        <w:t xml:space="preserve">. If at any time any change in GAAP (including the adoption of IFRS)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until so amended, (A) such ratio or requirement shall continue to be computed in accordance with GAAP prior to such change therein and (B)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89" w:lineRule="exact"/>
        <w:rPr>
          <w:rFonts w:ascii="Arial" w:cs="Arial" w:eastAsia="Arial" w:hAnsi="Arial"/>
          <w:sz w:val="18"/>
          <w:szCs w:val="18"/>
          <w:color w:val="auto"/>
        </w:rPr>
      </w:pPr>
    </w:p>
    <w:p>
      <w:pPr>
        <w:ind w:firstLine="464"/>
        <w:spacing w:after="0" w:line="255" w:lineRule="auto"/>
        <w:tabs>
          <w:tab w:leader="none" w:pos="836"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Pro Forma Effect</w:t>
      </w:r>
      <w:r>
        <w:rPr>
          <w:rFonts w:ascii="Arial" w:cs="Arial" w:eastAsia="Arial" w:hAnsi="Arial"/>
          <w:sz w:val="18"/>
          <w:szCs w:val="18"/>
          <w:color w:val="auto"/>
        </w:rPr>
        <w:t xml:space="preserve">. Notwithstanding the above, the parties hereto acknowledge and agree that, for purposes of all financial calculations (other than with respect to Excess Cash Flow), if the Borrower or any Subsidiary has made any Acquisition permitted by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or any Disposition outside the ordinary course of business permitted by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during the relevant period for determining compliance with such covenants, such calculations shall be made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thereto, as if such Acquisition or Disposition had occurred on the first day of such period, but in the case of an Acquisition, only so long as the results of the business being acquired are supported by financial statements or other financial data reasonably acceptable to the Administrative Agent.</w:t>
      </w:r>
    </w:p>
    <w:p>
      <w:pPr>
        <w:spacing w:after="0" w:line="193"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Rounding</w:t>
      </w:r>
      <w:r>
        <w:rPr>
          <w:rFonts w:ascii="Arial" w:cs="Arial" w:eastAsia="Arial" w:hAnsi="Arial"/>
          <w:sz w:val="18"/>
          <w:szCs w:val="18"/>
          <w:color w:val="auto"/>
        </w:rPr>
        <w:t>. 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8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Times of Day; Rates</w:t>
      </w:r>
      <w:r>
        <w:rPr>
          <w:rFonts w:ascii="Arial" w:cs="Arial" w:eastAsia="Arial" w:hAnsi="Arial"/>
          <w:sz w:val="18"/>
          <w:szCs w:val="18"/>
          <w:color w:val="auto"/>
        </w:rPr>
        <w:t>. Unless otherwise specified, all references herein to times of day shall be references to Eastern time (daylight or standard, as applicable).</w:t>
      </w:r>
    </w:p>
    <w:p>
      <w:pPr>
        <w:spacing w:after="0" w:line="170"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Administrative Agent does not warrant, nor accept responsibility, nor shall the Administrative Agent have any liability with respect to the administration, submission or any other matter related to the rates in the definition of “Eurodollar Rate” or with respect to any comparable or successor rate thereto.</w:t>
      </w:r>
    </w:p>
    <w:p>
      <w:pPr>
        <w:spacing w:after="0" w:line="181"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 xml:space="preserve">1.06. </w:t>
      </w:r>
      <w:r>
        <w:rPr>
          <w:rFonts w:ascii="Arial" w:cs="Arial" w:eastAsia="Arial" w:hAnsi="Arial"/>
          <w:sz w:val="17"/>
          <w:szCs w:val="17"/>
          <w:u w:val="single" w:color="auto"/>
          <w:color w:val="auto"/>
        </w:rPr>
        <w:t>Currency Equivalents Generally</w:t>
      </w:r>
      <w:r>
        <w:rPr>
          <w:rFonts w:ascii="Arial" w:cs="Arial" w:eastAsia="Arial" w:hAnsi="Arial"/>
          <w:sz w:val="17"/>
          <w:szCs w:val="17"/>
          <w:color w:val="auto"/>
        </w:rPr>
        <w:t xml:space="preserve">. Any amount specified in this Agreement (other than in </w:t>
      </w:r>
      <w:r>
        <w:rPr>
          <w:rFonts w:ascii="Arial" w:cs="Arial" w:eastAsia="Arial" w:hAnsi="Arial"/>
          <w:sz w:val="17"/>
          <w:szCs w:val="17"/>
          <w:u w:val="single" w:color="auto"/>
          <w:color w:val="auto"/>
        </w:rPr>
        <w:t>Article II, Article IX</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or any of the other Loan Documents to be in Dollars shall also include the equivalent of such amount in any currency other than Dollars, such equivalent amount thereof in the applicable currency to be determined by the Administrative Agent at such time on the basis of the Spot Rate (as defined below) for the purchase of such currency with Dollars. For purposes of this </w:t>
      </w:r>
      <w:r>
        <w:rPr>
          <w:rFonts w:ascii="Arial" w:cs="Arial" w:eastAsia="Arial" w:hAnsi="Arial"/>
          <w:sz w:val="17"/>
          <w:szCs w:val="17"/>
          <w:u w:val="single" w:color="auto"/>
          <w:color w:val="auto"/>
        </w:rPr>
        <w:t>Section 1.06</w:t>
      </w:r>
      <w:r>
        <w:rPr>
          <w:rFonts w:ascii="Arial" w:cs="Arial" w:eastAsia="Arial" w:hAnsi="Arial"/>
          <w:sz w:val="17"/>
          <w:szCs w:val="17"/>
          <w:color w:val="auto"/>
        </w:rPr>
        <w:t>, the “</w:t>
      </w:r>
      <w:r>
        <w:rPr>
          <w:rFonts w:ascii="Arial" w:cs="Arial" w:eastAsia="Arial" w:hAnsi="Arial"/>
          <w:sz w:val="17"/>
          <w:szCs w:val="17"/>
          <w:u w:val="single" w:color="auto"/>
          <w:color w:val="auto"/>
        </w:rPr>
        <w:t>Spot Rate</w:t>
      </w:r>
      <w:r>
        <w:rPr>
          <w:rFonts w:ascii="Arial" w:cs="Arial" w:eastAsia="Arial" w:hAnsi="Arial"/>
          <w:sz w:val="17"/>
          <w:szCs w:val="17"/>
          <w:color w:val="auto"/>
        </w:rPr>
        <w:t xml:space="preserve">” for a currency means the rate determined by the Administrative Agent to be the rate quoted by the Person acting in such capacity as the spot rate for the purchase by such Person of such currency with another currency through its principal foreign exchange trading office at approximately 11:00 a.m. on the date two Business Days prior to the date of such determination;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may obtain such spot rate from another financial institution designated by the Administrative Agent if the Person acting in such capacity does not have as of the date of determination a spot buying rate for any such currency.</w:t>
      </w:r>
    </w:p>
    <w:p>
      <w:pPr>
        <w:spacing w:after="0" w:line="179"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u w:val="single" w:color="auto"/>
          <w:color w:val="auto"/>
        </w:rPr>
        <w:t>Limited Condition Transaction</w:t>
      </w:r>
      <w:r>
        <w:rPr>
          <w:rFonts w:ascii="Arial" w:cs="Arial" w:eastAsia="Arial" w:hAnsi="Arial"/>
          <w:sz w:val="16"/>
          <w:szCs w:val="16"/>
          <w:color w:val="auto"/>
        </w:rPr>
        <w:t>. As relates to any action being taken solely in connection with a Limited Condition Transaction, for purposes of:</w:t>
      </w:r>
    </w:p>
    <w:p>
      <w:pPr>
        <w:spacing w:after="0" w:line="225" w:lineRule="exact"/>
        <w:rPr>
          <w:sz w:val="20"/>
          <w:szCs w:val="20"/>
          <w:color w:val="auto"/>
        </w:rPr>
      </w:pPr>
    </w:p>
    <w:p>
      <w:pPr>
        <w:ind w:right="800" w:firstLine="464"/>
        <w:spacing w:after="0" w:line="277" w:lineRule="auto"/>
        <w:tabs>
          <w:tab w:leader="none" w:pos="836"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determining compliance with any provision of this Agreement which requires the calculation of any financial ratio or test, including the Consolidated Net Leverage Ratio, Consolidated Secured Leverage Ratio and Consolidated Leverage Ratio, or</w:t>
      </w:r>
    </w:p>
    <w:p>
      <w:pPr>
        <w:spacing w:after="0" w:line="170" w:lineRule="exact"/>
        <w:rPr>
          <w:rFonts w:ascii="Arial" w:cs="Arial" w:eastAsia="Arial" w:hAnsi="Arial"/>
          <w:sz w:val="18"/>
          <w:szCs w:val="18"/>
          <w:color w:val="auto"/>
        </w:rPr>
      </w:pPr>
    </w:p>
    <w:p>
      <w:pPr>
        <w:ind w:left="860" w:hanging="396"/>
        <w:spacing w:after="0"/>
        <w:tabs>
          <w:tab w:leader="none" w:pos="8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testing availability under baskets set forth in this Agreement,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56" w:name="page57"/>
    <w:bookmarkEnd w:id="56"/>
    <w:p>
      <w:pPr>
        <w:ind w:firstLine="456"/>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each case, at the option of the Borrower (the Borrower’s election to exercise such option in connection with any Limited Condition Transaction, an “</w:t>
      </w:r>
      <w:r>
        <w:rPr>
          <w:rFonts w:ascii="Arial" w:cs="Arial" w:eastAsia="Arial" w:hAnsi="Arial"/>
          <w:sz w:val="16"/>
          <w:szCs w:val="16"/>
          <w:u w:val="single" w:color="auto"/>
          <w:color w:val="auto"/>
        </w:rPr>
        <w:t>LCT Election</w:t>
      </w:r>
      <w:r>
        <w:rPr>
          <w:rFonts w:ascii="Arial" w:cs="Arial" w:eastAsia="Arial" w:hAnsi="Arial"/>
          <w:sz w:val="16"/>
          <w:szCs w:val="16"/>
          <w:color w:val="auto"/>
        </w:rPr>
        <w:t>”), the date of determination of whether any such action is permitted hereunder shall be deemed to be the date the definitive agreements for such Limited Condition Transaction are entered into (the “</w:t>
      </w:r>
      <w:r>
        <w:rPr>
          <w:rFonts w:ascii="Arial" w:cs="Arial" w:eastAsia="Arial" w:hAnsi="Arial"/>
          <w:sz w:val="16"/>
          <w:szCs w:val="16"/>
          <w:u w:val="single" w:color="auto"/>
          <w:color w:val="auto"/>
        </w:rPr>
        <w:t>LCT Test Date</w:t>
      </w:r>
      <w:r>
        <w:rPr>
          <w:rFonts w:ascii="Arial" w:cs="Arial" w:eastAsia="Arial" w:hAnsi="Arial"/>
          <w:sz w:val="16"/>
          <w:szCs w:val="16"/>
          <w:color w:val="auto"/>
        </w:rPr>
        <w:t xml:space="preserve">”), and if, after giving Pro Forma Effect to the Limited Condition Transaction (and the other transactions to be entered into in connection therewith, including any incurrence of Indebtedness and the use of proceeds thereof, as if they had occurred on the first day of the most recent test period ending prior to the LCT Test Date (except with respect to any incurrence or repayment of Indebtedness for purposes of the calculation of any leverage-based test or ratio, which shall in each case be treated as if they had occurred on the last day of such Test Period)), the Borrower would have been permitted to take such action on the relevant LCT Test Date in compliance with such ratio, test or basket, such ratio, test or basket shall be deemed to have been complied with;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financial statements for one or more subsequent fiscal periods shall have become available, the Borrower may elect, in its sole discretion, to redetermine all such ratios, tests or baskets on the basis of such financial statements, in which case, such date of redetermination shall thereafter be deemed to be the applicable LCT Test Date. For the avoidance of doubt, if the Borrower has made an LCT Election and any of the ratios, tests or baskets for which compliance was determined or tested as of the LCT Test Date would have failed to have been complied with as a result of fluctuations in any such ratio, test or basket, including due to fluctuations in Consolidated EBITDA of the Borrower or the Person subject to such Limited Condition Transaction, at or prior to the consummation of the relevant transaction or action, such baskets, tests or ratios will not be deemed to have failed to have been complied with as a result of such fluctuations. If the Borrower has made an LCT Election for any Limited Condition Transaction, then in connection with any calculation of any ratio, test or basket availability with respect to the incurrence of Indebtedness or Liens, the making of Restricted Payments, the making of any Acquisition, Investment, mergers, the conveyance, lease or other transfer of all or substantially all of the assets of the Borrower, the prepayment, redemption, purchase, defeasance or other satisfaction of Indebtedness, or the designation of an Unrestricted Subsidiary (each, a “</w:t>
      </w:r>
      <w:r>
        <w:rPr>
          <w:rFonts w:ascii="Arial" w:cs="Arial" w:eastAsia="Arial" w:hAnsi="Arial"/>
          <w:sz w:val="16"/>
          <w:szCs w:val="16"/>
          <w:u w:val="single" w:color="auto"/>
          <w:color w:val="auto"/>
        </w:rPr>
        <w:t>Subsequent Transaction</w:t>
      </w:r>
      <w:r>
        <w:rPr>
          <w:rFonts w:ascii="Arial" w:cs="Arial" w:eastAsia="Arial" w:hAnsi="Arial"/>
          <w:sz w:val="16"/>
          <w:szCs w:val="16"/>
          <w:color w:val="auto"/>
        </w:rPr>
        <w:t>”) following the relevant LCT Test Date and prior to the earlier of the date on which such Limited Condition Transaction is consummated or the date that the definitive agreement or irrevocable notice for such Limited Condition Transaction is terminated or expires without consummation of such Limited Condition Transaction, for purposes of determining whether such Subsequent Transaction is permitted under this Agreement, any such ratio, test or basket shall be required to be satisfied on a Pro Forma Basis (i) assuming such Limited Condition Transaction and other transactions in connection therewith (including any incurrence of Indebtedness and the use of proceeds thereof) have been consummated and (ii) assuming such Limited Condition Transaction and other transactions in connection therewith (including any incurrence of Indebtedness and the use of proceeds thereof) have not been consummated.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COMMITMENTS AND BORROWINGS</w:t>
      </w:r>
    </w:p>
    <w:p>
      <w:pPr>
        <w:spacing w:after="0" w:line="211"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u w:val="single" w:color="auto"/>
          <w:color w:val="auto"/>
        </w:rPr>
        <w:t>The Loans</w:t>
      </w:r>
      <w:r>
        <w:rPr>
          <w:rFonts w:ascii="Arial" w:cs="Arial" w:eastAsia="Arial" w:hAnsi="Arial"/>
          <w:sz w:val="16"/>
          <w:szCs w:val="16"/>
          <w:color w:val="auto"/>
        </w:rPr>
        <w:t>.</w:t>
      </w:r>
    </w:p>
    <w:p>
      <w:pPr>
        <w:spacing w:after="0" w:line="117" w:lineRule="exact"/>
        <w:rPr>
          <w:sz w:val="20"/>
          <w:szCs w:val="20"/>
          <w:color w:val="auto"/>
        </w:rPr>
      </w:pPr>
    </w:p>
    <w:p>
      <w:pPr>
        <w:ind w:right="160" w:firstLine="464"/>
        <w:spacing w:after="0" w:line="297" w:lineRule="auto"/>
        <w:tabs>
          <w:tab w:leader="none" w:pos="836"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Term Borrowings</w:t>
      </w:r>
      <w:r>
        <w:rPr>
          <w:rFonts w:ascii="Arial" w:cs="Arial" w:eastAsia="Arial" w:hAnsi="Arial"/>
          <w:sz w:val="16"/>
          <w:szCs w:val="16"/>
          <w:color w:val="auto"/>
        </w:rPr>
        <w:t xml:space="preserve">. Subject to the terms and conditions set forth herein, each Term Lender severally agrees to make a single loan to the Borrower on the Closing Date in an amount not to exceed such Term Lender’s Term Commitment then in effect. The Initial Term Borrowings shall consist of Initial Term Loans made simultaneously by the Term Lenders in accordance with their respective Applicable Percentage of the Term Commitments. Amounts borrowed under this </w:t>
      </w:r>
      <w:r>
        <w:rPr>
          <w:rFonts w:ascii="Arial" w:cs="Arial" w:eastAsia="Arial" w:hAnsi="Arial"/>
          <w:sz w:val="16"/>
          <w:szCs w:val="16"/>
          <w:u w:val="single" w:color="auto"/>
          <w:color w:val="auto"/>
        </w:rPr>
        <w:t>Section 2.01(a)</w:t>
      </w:r>
      <w:r>
        <w:rPr>
          <w:rFonts w:ascii="Arial" w:cs="Arial" w:eastAsia="Arial" w:hAnsi="Arial"/>
          <w:sz w:val="16"/>
          <w:szCs w:val="16"/>
          <w:color w:val="auto"/>
        </w:rPr>
        <w:t xml:space="preserve"> and repaid or prepaid may not be reborrowed. The Initial Term Loans made pursuant to the Initial Term Borrowings under this </w:t>
      </w:r>
      <w:r>
        <w:rPr>
          <w:rFonts w:ascii="Arial" w:cs="Arial" w:eastAsia="Arial" w:hAnsi="Arial"/>
          <w:sz w:val="16"/>
          <w:szCs w:val="16"/>
          <w:u w:val="single" w:color="auto"/>
          <w:color w:val="auto"/>
        </w:rPr>
        <w:t>Section 2.01(a)</w:t>
      </w:r>
      <w:r>
        <w:rPr>
          <w:rFonts w:ascii="Arial" w:cs="Arial" w:eastAsia="Arial" w:hAnsi="Arial"/>
          <w:sz w:val="16"/>
          <w:szCs w:val="16"/>
          <w:color w:val="auto"/>
        </w:rPr>
        <w:t xml:space="preserve"> shall constitute a single Term Facility. Term Loans may be Base Rate Loans or Eurodollar Rate Loans, as further provided herein.</w:t>
      </w:r>
    </w:p>
    <w:p>
      <w:pPr>
        <w:spacing w:after="0" w:line="266"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6"/>
          <w:szCs w:val="16"/>
          <w:u w:val="single" w:color="auto"/>
          <w:color w:val="auto"/>
        </w:rPr>
        <w:t>Borrowings, Conversions and Continuations of Loans</w:t>
      </w:r>
      <w:r>
        <w:rPr>
          <w:rFonts w:ascii="Arial" w:cs="Arial" w:eastAsia="Arial" w:hAnsi="Arial"/>
          <w:sz w:val="16"/>
          <w:szCs w:val="16"/>
          <w:color w:val="auto"/>
        </w:rPr>
        <w:t>.</w:t>
      </w:r>
    </w:p>
    <w:p>
      <w:pPr>
        <w:spacing w:after="0" w:line="117" w:lineRule="exact"/>
        <w:rPr>
          <w:sz w:val="20"/>
          <w:szCs w:val="20"/>
          <w:color w:val="auto"/>
        </w:rPr>
      </w:pPr>
    </w:p>
    <w:p>
      <w:pPr>
        <w:ind w:right="100" w:firstLine="464"/>
        <w:spacing w:after="0" w:line="293" w:lineRule="auto"/>
        <w:tabs>
          <w:tab w:leader="none" w:pos="836"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Each Term Borrowing each conversion of Term Loans from one Type to the other, and each continuation of Eurodollar Rate Loans shall be made upon the Borrower’s irrevocable notice to the Administrative Agent, which may be given by (A) telephone, or (B) a Committed Loan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telephone notice must be confirmed promptly by delivery to the Administrative Agent of a Committed Loan Notice. Each such telephone notice and Committed Loan Notice must be received by the Administrative Agent not later than 11:00 a.m. (i) three Business Days prior to the requested date of any Borrowing of, conversion to or continuation of Eurodollar Rate Loans or of any conversion of Eurodollar Rate Loans to Base Rate Loans, and (ii) on the requested date of any Borrowing of Base Rate Loans. Each Borrowing of, conversion to or continuation of Eurodollar Rate Loans shall be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57" w:name="page58"/>
    <w:bookmarkEnd w:id="57"/>
    <w:p>
      <w:pPr>
        <w:ind w:right="8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 minimum principal amount of $1,000,000 or a whole multiple of $500,000 in excess thereof. Each Borrowing of or conversion to Base Rate Loans shall be in a minimum principal amount of $500,000 or a whole multiple of $100,000 in excess thereof. Each such telephone notice and Committed Loan Notice shall specify (i) whether the Borrower is requesting a Term Borrowing, a conversion of Term Loans from one Type to the other, or a continuation of Eurodollar Rate Loans, (ii) the requested date of the Borrowing, conversion or continuation, as the case may be (which shall be a Business Day), (iii) the principal amount of Loans to be borrowed, converted or continued, (iv) the Type of Term Loans to be borrowed or to which existing Loans are to be converted, and (v) if applicable, the duration of the Interest Period with respect thereto. If the Borrower fails to specify a Type of Loan in a Committed Loan Notice or if the Borrower fails to give a timely notice requesting a conversion or continuation, then the applicable Term Loans shall be made as, or converted to, Base Rate Loans. Any such automatic conversion to Base Rate Loans shall be effective as of the last day of the Interest Period then in effect with respect to the applicable Eurodollar Rate Loans. If the Borrower requests a Borrowing of, conversion to, or continuation of Eurodollar Rate Loans in any such Committed Loan Notice, but fails to specify an Interest Period, it will be deemed to have specified an Interest Period of one month.</w:t>
      </w:r>
    </w:p>
    <w:p>
      <w:pPr>
        <w:spacing w:after="0" w:line="169" w:lineRule="exact"/>
        <w:rPr>
          <w:sz w:val="20"/>
          <w:szCs w:val="20"/>
          <w:color w:val="auto"/>
        </w:rPr>
      </w:pPr>
    </w:p>
    <w:p>
      <w:pPr>
        <w:ind w:right="20" w:firstLine="464"/>
        <w:spacing w:after="0" w:line="284" w:lineRule="auto"/>
        <w:tabs>
          <w:tab w:leader="none" w:pos="846" w:val="left"/>
        </w:tabs>
        <w:numPr>
          <w:ilvl w:val="1"/>
          <w:numId w:val="48"/>
        </w:numPr>
        <w:rPr>
          <w:rFonts w:ascii="Arial" w:cs="Arial" w:eastAsia="Arial" w:hAnsi="Arial"/>
          <w:sz w:val="16"/>
          <w:szCs w:val="16"/>
          <w:color w:val="auto"/>
        </w:rPr>
      </w:pPr>
      <w:r>
        <w:rPr>
          <w:rFonts w:ascii="Arial" w:cs="Arial" w:eastAsia="Arial" w:hAnsi="Arial"/>
          <w:sz w:val="16"/>
          <w:szCs w:val="16"/>
          <w:color w:val="auto"/>
        </w:rPr>
        <w:t xml:space="preserve">Following receipt of a Committed Loan Notice, the Administrative Agent shall promptly notify each Lender of the amount of its Applicable Percentage under the applicable Facility of the applicable Term Loans, and if no timely notice of a conversion or continuation is provided by the Borrower, the Administrative Agent shall notify each Lender of the details of any automatic conversion to Base Rate Loans described in </w:t>
      </w:r>
      <w:r>
        <w:rPr>
          <w:rFonts w:ascii="Arial" w:cs="Arial" w:eastAsia="Arial" w:hAnsi="Arial"/>
          <w:sz w:val="16"/>
          <w:szCs w:val="16"/>
          <w:u w:val="single" w:color="auto"/>
          <w:color w:val="auto"/>
        </w:rPr>
        <w:t>Section 2.02(a)</w:t>
      </w:r>
      <w:r>
        <w:rPr>
          <w:rFonts w:ascii="Arial" w:cs="Arial" w:eastAsia="Arial" w:hAnsi="Arial"/>
          <w:sz w:val="16"/>
          <w:szCs w:val="16"/>
          <w:color w:val="auto"/>
        </w:rPr>
        <w:t xml:space="preserve">. In the case of a Term Borrowing, each Term Lender shall make the amount of its Loan available to the Administrative Agent in immediately available funds at the Administrative Agent’s Office not later than 1:00 p.m. on the Business Day specified in the applicable Committed Loan Notice. Upon satisfaction of the applicable conditions set forth in </w:t>
      </w:r>
      <w:r>
        <w:rPr>
          <w:rFonts w:ascii="Arial" w:cs="Arial" w:eastAsia="Arial" w:hAnsi="Arial"/>
          <w:sz w:val="16"/>
          <w:szCs w:val="16"/>
          <w:u w:val="single" w:color="auto"/>
          <w:color w:val="auto"/>
        </w:rPr>
        <w:t>Section 4.01</w:t>
      </w:r>
      <w:r>
        <w:rPr>
          <w:rFonts w:ascii="Arial" w:cs="Arial" w:eastAsia="Arial" w:hAnsi="Arial"/>
          <w:sz w:val="16"/>
          <w:szCs w:val="16"/>
          <w:color w:val="auto"/>
        </w:rPr>
        <w:t>, the Administrative Agent shall make all funds so received available to the Borrower in like funds as received by the Administrative Agent either by (i) crediting the account of the Borrower on the books of SunTrust Bank, if any, with the amount of such funds or</w:t>
      </w:r>
    </w:p>
    <w:p>
      <w:pPr>
        <w:spacing w:after="0" w:line="2" w:lineRule="exact"/>
        <w:rPr>
          <w:rFonts w:ascii="Arial" w:cs="Arial" w:eastAsia="Arial" w:hAnsi="Arial"/>
          <w:sz w:val="16"/>
          <w:szCs w:val="16"/>
          <w:color w:val="auto"/>
        </w:rPr>
      </w:pPr>
    </w:p>
    <w:p>
      <w:pPr>
        <w:ind w:right="480" w:firstLine="8"/>
        <w:spacing w:after="0" w:line="261" w:lineRule="auto"/>
        <w:tabs>
          <w:tab w:leader="none" w:pos="265" w:val="left"/>
        </w:tabs>
        <w:numPr>
          <w:ilvl w:val="0"/>
          <w:numId w:val="49"/>
        </w:numPr>
        <w:rPr>
          <w:rFonts w:ascii="Arial" w:cs="Arial" w:eastAsia="Arial" w:hAnsi="Arial"/>
          <w:sz w:val="18"/>
          <w:szCs w:val="18"/>
          <w:color w:val="auto"/>
        </w:rPr>
      </w:pPr>
      <w:r>
        <w:rPr>
          <w:rFonts w:ascii="Arial" w:cs="Arial" w:eastAsia="Arial" w:hAnsi="Arial"/>
          <w:sz w:val="18"/>
          <w:szCs w:val="18"/>
          <w:color w:val="auto"/>
        </w:rPr>
        <w:t>wire transfer of such funds, in each case in accordance with instructions provided to (and reasonably acceptable to) the Administrative Agent by the Borrower.</w:t>
      </w:r>
    </w:p>
    <w:p>
      <w:pPr>
        <w:spacing w:after="0" w:line="183" w:lineRule="exact"/>
        <w:rPr>
          <w:rFonts w:ascii="Arial" w:cs="Arial" w:eastAsia="Arial" w:hAnsi="Arial"/>
          <w:sz w:val="18"/>
          <w:szCs w:val="18"/>
          <w:color w:val="auto"/>
        </w:rPr>
      </w:pPr>
    </w:p>
    <w:p>
      <w:pPr>
        <w:ind w:right="300" w:firstLine="464"/>
        <w:spacing w:after="0" w:line="264" w:lineRule="auto"/>
        <w:tabs>
          <w:tab w:leader="none" w:pos="836" w:val="left"/>
        </w:tabs>
        <w:numPr>
          <w:ilvl w:val="1"/>
          <w:numId w:val="49"/>
        </w:numPr>
        <w:rPr>
          <w:rFonts w:ascii="Arial" w:cs="Arial" w:eastAsia="Arial" w:hAnsi="Arial"/>
          <w:sz w:val="18"/>
          <w:szCs w:val="18"/>
          <w:color w:val="auto"/>
        </w:rPr>
      </w:pPr>
      <w:r>
        <w:rPr>
          <w:rFonts w:ascii="Arial" w:cs="Arial" w:eastAsia="Arial" w:hAnsi="Arial"/>
          <w:sz w:val="18"/>
          <w:szCs w:val="18"/>
          <w:color w:val="auto"/>
        </w:rPr>
        <w:t>Except as otherwise provided herein, a Eurodollar Rate Loan may be continued or converted only on the last day of an Interest Period for such Eurodollar Rate Loan. During the existence of a Default, no Loans may be requested as, converted to or continued as Eurodollar Rate Loans without the consent of the Required Lenders.</w:t>
      </w:r>
    </w:p>
    <w:p>
      <w:pPr>
        <w:spacing w:after="0" w:line="181" w:lineRule="exact"/>
        <w:rPr>
          <w:rFonts w:ascii="Arial" w:cs="Arial" w:eastAsia="Arial" w:hAnsi="Arial"/>
          <w:sz w:val="18"/>
          <w:szCs w:val="18"/>
          <w:color w:val="auto"/>
        </w:rPr>
      </w:pPr>
    </w:p>
    <w:p>
      <w:pPr>
        <w:ind w:firstLine="464"/>
        <w:spacing w:after="0" w:line="312" w:lineRule="auto"/>
        <w:tabs>
          <w:tab w:leader="none" w:pos="843" w:val="left"/>
        </w:tabs>
        <w:numPr>
          <w:ilvl w:val="1"/>
          <w:numId w:val="49"/>
        </w:numPr>
        <w:rPr>
          <w:rFonts w:ascii="Arial" w:cs="Arial" w:eastAsia="Arial" w:hAnsi="Arial"/>
          <w:sz w:val="16"/>
          <w:szCs w:val="16"/>
          <w:color w:val="auto"/>
        </w:rPr>
      </w:pPr>
      <w:r>
        <w:rPr>
          <w:rFonts w:ascii="Arial" w:cs="Arial" w:eastAsia="Arial" w:hAnsi="Arial"/>
          <w:sz w:val="16"/>
          <w:szCs w:val="16"/>
          <w:color w:val="auto"/>
        </w:rPr>
        <w:t>The Administrative Agent shall promptly notify the Borrower and the Lenders of the interest rate applicable to any Interest Period for Eurodollar Rate Loans upon determination of such interest rate. At any time that Base Rate Loans are outstanding, the Administrative Agent shall notify the Borrower and the Lenders of any change in SunTrust Bank’s prime rate used in determining the Base Rate promptly following the public announcement of such change.</w:t>
      </w:r>
    </w:p>
    <w:p>
      <w:pPr>
        <w:spacing w:after="0" w:line="146" w:lineRule="exact"/>
        <w:rPr>
          <w:rFonts w:ascii="Arial" w:cs="Arial" w:eastAsia="Arial" w:hAnsi="Arial"/>
          <w:sz w:val="16"/>
          <w:szCs w:val="16"/>
          <w:color w:val="auto"/>
        </w:rPr>
      </w:pPr>
    </w:p>
    <w:p>
      <w:pPr>
        <w:ind w:right="120" w:firstLine="464"/>
        <w:spacing w:after="0" w:line="277" w:lineRule="auto"/>
        <w:tabs>
          <w:tab w:leader="none" w:pos="826" w:val="left"/>
        </w:tabs>
        <w:numPr>
          <w:ilvl w:val="1"/>
          <w:numId w:val="49"/>
        </w:numPr>
        <w:rPr>
          <w:rFonts w:ascii="Arial" w:cs="Arial" w:eastAsia="Arial" w:hAnsi="Arial"/>
          <w:sz w:val="18"/>
          <w:szCs w:val="18"/>
          <w:color w:val="auto"/>
        </w:rPr>
      </w:pPr>
      <w:r>
        <w:rPr>
          <w:rFonts w:ascii="Arial" w:cs="Arial" w:eastAsia="Arial" w:hAnsi="Arial"/>
          <w:sz w:val="18"/>
          <w:szCs w:val="18"/>
          <w:color w:val="auto"/>
        </w:rPr>
        <w:t>After giving effect to all Borrowings, all conversions of Loans from one Type to the other, and all continuations of Loans as the same Type, there shall not be more than ten (10) Interest Periods in effect in respect of the Facilities.</w:t>
      </w:r>
    </w:p>
    <w:p>
      <w:pPr>
        <w:spacing w:after="0" w:line="170" w:lineRule="exact"/>
        <w:rPr>
          <w:rFonts w:ascii="Arial" w:cs="Arial" w:eastAsia="Arial" w:hAnsi="Arial"/>
          <w:sz w:val="18"/>
          <w:szCs w:val="18"/>
          <w:color w:val="auto"/>
        </w:rPr>
      </w:pPr>
    </w:p>
    <w:p>
      <w:pPr>
        <w:ind w:right="20" w:firstLine="464"/>
        <w:spacing w:after="0" w:line="342" w:lineRule="auto"/>
        <w:tabs>
          <w:tab w:leader="none" w:pos="806" w:val="left"/>
        </w:tabs>
        <w:numPr>
          <w:ilvl w:val="1"/>
          <w:numId w:val="49"/>
        </w:numPr>
        <w:rPr>
          <w:rFonts w:ascii="Arial" w:cs="Arial" w:eastAsia="Arial" w:hAnsi="Arial"/>
          <w:sz w:val="16"/>
          <w:szCs w:val="16"/>
          <w:color w:val="auto"/>
        </w:rPr>
      </w:pPr>
      <w:r>
        <w:rPr>
          <w:rFonts w:ascii="Arial" w:cs="Arial" w:eastAsia="Arial" w:hAnsi="Arial"/>
          <w:sz w:val="16"/>
          <w:szCs w:val="16"/>
          <w:color w:val="auto"/>
        </w:rPr>
        <w:t xml:space="preserve">Anything in this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to the contrary notwithstanding, the Borrower may not select the Eurodollar Rate for the initial Borrowing unless the Borrower delivers a Funding Indemnity Letter to the Administrative Agent no later than 11:00 a.m. three (3) Business Days prior to the Closing Date.</w:t>
      </w:r>
    </w:p>
    <w:p>
      <w:pPr>
        <w:spacing w:after="0" w:line="124"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2.04.</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333"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2.05.</w:t>
      </w:r>
      <w:r>
        <w:rPr>
          <w:sz w:val="20"/>
          <w:szCs w:val="20"/>
          <w:color w:val="auto"/>
        </w:rPr>
        <w:tab/>
      </w:r>
      <w:r>
        <w:rPr>
          <w:rFonts w:ascii="Arial" w:cs="Arial" w:eastAsia="Arial" w:hAnsi="Arial"/>
          <w:sz w:val="15"/>
          <w:szCs w:val="15"/>
          <w:u w:val="single" w:color="auto"/>
          <w:color w:val="auto"/>
        </w:rPr>
        <w:t>Prepayments</w:t>
      </w:r>
      <w:r>
        <w:rPr>
          <w:rFonts w:ascii="Arial" w:cs="Arial" w:eastAsia="Arial" w:hAnsi="Arial"/>
          <w:sz w:val="15"/>
          <w:szCs w:val="15"/>
          <w:color w:val="auto"/>
        </w:rPr>
        <w:t>.</w:t>
      </w:r>
    </w:p>
    <w:p>
      <w:pPr>
        <w:spacing w:after="0" w:line="117" w:lineRule="exact"/>
        <w:rPr>
          <w:sz w:val="20"/>
          <w:szCs w:val="20"/>
          <w:color w:val="auto"/>
        </w:rPr>
      </w:pPr>
    </w:p>
    <w:p>
      <w:pPr>
        <w:ind w:right="80" w:firstLine="464"/>
        <w:spacing w:after="0" w:line="264" w:lineRule="auto"/>
        <w:tabs>
          <w:tab w:leader="none" w:pos="836"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Optional</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2.05(c)</w:t>
      </w:r>
      <w:r>
        <w:rPr>
          <w:rFonts w:ascii="Arial" w:cs="Arial" w:eastAsia="Arial" w:hAnsi="Arial"/>
          <w:sz w:val="18"/>
          <w:szCs w:val="18"/>
          <w:color w:val="auto"/>
        </w:rPr>
        <w:t xml:space="preserve">, the Borrower may, upon notice to the Administrative Agent, at any time or from time to time after the date that is ten (10) Business Days after the Closing Date, voluntarily prepay Loans in whole or in part without premium or penalty;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notice must be in a form acceptable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4" w:right="259" w:bottom="1440" w:gutter="0" w:footer="0" w:header="0"/>
        </w:sectPr>
      </w:pPr>
    </w:p>
    <w:bookmarkStart w:id="58" w:name="page59"/>
    <w:bookmarkEnd w:id="58"/>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to the Administrative Agent (including any form on an electronic platform or electronic transmission system as shall be approved by the Administrative Agent) appropriately completed and signed by a Responsible Officer and be received by the Administrative Agent not later than 11:00 a.m. (1) three Business Days prior to any date of prepayment of Eurodollar Rate Loans and (2) on the date of prepayment of Base Rate Loans; (B) any prepayment of Eurodollar Rate Loans shall be in a principal amount of $1,000,000 or a whole multiple of $500,000 in excess thereof; and (C) any prepayment of Base Rate Loans shall be in a principal amount of $500,000 or a whole multiple of $100,000 in excess thereof or, in each case, if less, the entire principal amount thereof then outstanding. Each such notice shall specify the date and amount of such prepayment and the Type(s) of Loans to be prepaid and, if Eurodollar Rate Loans are to be prepaid, the Interest Period(s) of such Loans. The Administrative Agent will promptly notify each Lender of its receipt of each such notice, and of the amount of such Lender’s ratable portion of such prepayment (based on such Lender’s Applicable Percentage in respect of the relevant Facility). If such notice is given by the Borrower, the Borrower shall make such prepayment and the payment amount specified in such notice shall be due and payable on the date specified therein. Any prepayment of a Loan shall be accompanied by all accrued interest on the amount prepaid, together with, in the case of a Eurodollar Rate Loan, any additional amounts required pursuant to </w:t>
      </w: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Each prepayment of the outstanding Term Loans pursuant to this </w:t>
      </w:r>
      <w:r>
        <w:rPr>
          <w:rFonts w:ascii="Arial" w:cs="Arial" w:eastAsia="Arial" w:hAnsi="Arial"/>
          <w:sz w:val="16"/>
          <w:szCs w:val="16"/>
          <w:u w:val="single" w:color="auto"/>
          <w:color w:val="auto"/>
        </w:rPr>
        <w:t>Section 2.05(a)</w:t>
      </w:r>
      <w:r>
        <w:rPr>
          <w:rFonts w:ascii="Arial" w:cs="Arial" w:eastAsia="Arial" w:hAnsi="Arial"/>
          <w:sz w:val="16"/>
          <w:szCs w:val="16"/>
          <w:color w:val="auto"/>
        </w:rPr>
        <w:t xml:space="preserve"> shall be applied to the principal repayment installments thereof as directed by the Borrower, and subject to </w:t>
      </w:r>
      <w:r>
        <w:rPr>
          <w:rFonts w:ascii="Arial" w:cs="Arial" w:eastAsia="Arial" w:hAnsi="Arial"/>
          <w:sz w:val="16"/>
          <w:szCs w:val="16"/>
          <w:u w:val="single" w:color="auto"/>
          <w:color w:val="auto"/>
        </w:rPr>
        <w:t>Section 2.15</w:t>
      </w:r>
      <w:r>
        <w:rPr>
          <w:rFonts w:ascii="Arial" w:cs="Arial" w:eastAsia="Arial" w:hAnsi="Arial"/>
          <w:sz w:val="16"/>
          <w:szCs w:val="16"/>
          <w:color w:val="auto"/>
        </w:rPr>
        <w:t>, each such prepayment shall be paid to the Lenders in accordance with their respective Applicable Percentages in respect of each of the relevant Facility.</w:t>
      </w:r>
    </w:p>
    <w:p>
      <w:pPr>
        <w:spacing w:after="0" w:line="283" w:lineRule="exact"/>
        <w:rPr>
          <w:sz w:val="20"/>
          <w:szCs w:val="20"/>
          <w:color w:val="auto"/>
        </w:rPr>
      </w:pPr>
    </w:p>
    <w:p>
      <w:pPr>
        <w:ind w:left="860" w:hanging="396"/>
        <w:spacing w:after="0"/>
        <w:tabs>
          <w:tab w:leader="none" w:pos="86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Mandatory</w:t>
      </w:r>
      <w:r>
        <w:rPr>
          <w:rFonts w:ascii="Arial" w:cs="Arial" w:eastAsia="Arial" w:hAnsi="Arial"/>
          <w:sz w:val="18"/>
          <w:szCs w:val="18"/>
          <w:color w:val="auto"/>
        </w:rPr>
        <w:t>.</w:t>
      </w:r>
    </w:p>
    <w:p>
      <w:pPr>
        <w:spacing w:after="0" w:line="117" w:lineRule="exact"/>
        <w:rPr>
          <w:sz w:val="20"/>
          <w:szCs w:val="20"/>
          <w:color w:val="auto"/>
        </w:rPr>
      </w:pPr>
    </w:p>
    <w:p>
      <w:pPr>
        <w:ind w:right="140" w:firstLine="464"/>
        <w:spacing w:after="0" w:line="288" w:lineRule="auto"/>
        <w:tabs>
          <w:tab w:leader="none" w:pos="806"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2.05(b)(ix)</w:t>
      </w:r>
      <w:r>
        <w:rPr>
          <w:rFonts w:ascii="Arial" w:cs="Arial" w:eastAsia="Arial" w:hAnsi="Arial"/>
          <w:sz w:val="16"/>
          <w:szCs w:val="16"/>
          <w:color w:val="auto"/>
        </w:rPr>
        <w:t xml:space="preserve">, commencing with the fiscal year ending December 31, 2018, within the later of (x) five Business Days after financial statements have been delivered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and the related Compliance Certificate has been delivered pursuant to </w:t>
      </w:r>
      <w:r>
        <w:rPr>
          <w:rFonts w:ascii="Arial" w:cs="Arial" w:eastAsia="Arial" w:hAnsi="Arial"/>
          <w:sz w:val="16"/>
          <w:szCs w:val="16"/>
          <w:u w:val="single" w:color="auto"/>
          <w:color w:val="auto"/>
        </w:rPr>
        <w:t>Section 6.02(b)</w:t>
      </w:r>
      <w:r>
        <w:rPr>
          <w:rFonts w:ascii="Arial" w:cs="Arial" w:eastAsia="Arial" w:hAnsi="Arial"/>
          <w:sz w:val="16"/>
          <w:szCs w:val="16"/>
          <w:color w:val="auto"/>
        </w:rPr>
        <w:t xml:space="preserve"> and (y) ninety-five (95) days after the end of such fiscal year, the Borrower shall prepay an aggregate principal amount of Loans equal to the excess (if any) of (A) the ECF Percentage of Excess Cash Flow for the fiscal year covered by such financial statements </w:t>
      </w:r>
      <w:r>
        <w:rPr>
          <w:rFonts w:ascii="Arial" w:cs="Arial" w:eastAsia="Arial" w:hAnsi="Arial"/>
          <w:sz w:val="16"/>
          <w:szCs w:val="16"/>
          <w:u w:val="single" w:color="auto"/>
          <w:color w:val="auto"/>
        </w:rPr>
        <w:t>over</w:t>
      </w:r>
      <w:r>
        <w:rPr>
          <w:rFonts w:ascii="Arial" w:cs="Arial" w:eastAsia="Arial" w:hAnsi="Arial"/>
          <w:sz w:val="16"/>
          <w:szCs w:val="16"/>
          <w:color w:val="auto"/>
        </w:rPr>
        <w:t xml:space="preserve"> (B) the aggregate principal amount of Term Loans prepaid pursuant to </w:t>
      </w:r>
      <w:r>
        <w:rPr>
          <w:rFonts w:ascii="Arial" w:cs="Arial" w:eastAsia="Arial" w:hAnsi="Arial"/>
          <w:sz w:val="16"/>
          <w:szCs w:val="16"/>
          <w:u w:val="single" w:color="auto"/>
          <w:color w:val="auto"/>
        </w:rPr>
        <w:t>Section 2.05(a)</w:t>
      </w:r>
      <w:r>
        <w:rPr>
          <w:rFonts w:ascii="Arial" w:cs="Arial" w:eastAsia="Arial" w:hAnsi="Arial"/>
          <w:sz w:val="16"/>
          <w:szCs w:val="16"/>
          <w:color w:val="auto"/>
        </w:rPr>
        <w:t xml:space="preserve"> of this Agreement, the aggregate principal amount of Term Loans (as defined in the First Lien Credit Agreement) prepaid pursuant to </w:t>
      </w:r>
      <w:r>
        <w:rPr>
          <w:rFonts w:ascii="Arial" w:cs="Arial" w:eastAsia="Arial" w:hAnsi="Arial"/>
          <w:sz w:val="16"/>
          <w:szCs w:val="16"/>
          <w:u w:val="single" w:color="auto"/>
          <w:color w:val="auto"/>
        </w:rPr>
        <w:t>Section 2.05(a)</w:t>
      </w:r>
      <w:r>
        <w:rPr>
          <w:rFonts w:ascii="Arial" w:cs="Arial" w:eastAsia="Arial" w:hAnsi="Arial"/>
          <w:sz w:val="16"/>
          <w:szCs w:val="16"/>
          <w:color w:val="auto"/>
        </w:rPr>
        <w:t xml:space="preserve"> of the First Lien Credit Agreement and the aggregate principal amount of optional prepayments of Revolving Credit Loans (as defined in the First Lien Credit Agreement) during such fiscal year (solely to the extent such prepayments are accompanied by a concurrent equivalent permanent reduction in the Revolving Credit Commitments (as defined in the First Lien Credit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prepayments were not made with proceeds of any Indebtedness, Disposition, equity issuance, Extraordinary Receipts or other proceeds that would not be included in calculating Consolidated EBITDA for the applicable fiscal year (such prepayments to be applied as set forth in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below).</w:t>
      </w:r>
    </w:p>
    <w:p>
      <w:pPr>
        <w:spacing w:after="0" w:line="169" w:lineRule="exact"/>
        <w:rPr>
          <w:rFonts w:ascii="Arial" w:cs="Arial" w:eastAsia="Arial" w:hAnsi="Arial"/>
          <w:sz w:val="16"/>
          <w:szCs w:val="16"/>
          <w:color w:val="auto"/>
        </w:rPr>
      </w:pPr>
    </w:p>
    <w:p>
      <w:pPr>
        <w:ind w:right="20" w:firstLine="464"/>
        <w:spacing w:after="0" w:line="283" w:lineRule="auto"/>
        <w:tabs>
          <w:tab w:leader="none" w:pos="856"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2.05(b)(ix)</w:t>
      </w:r>
      <w:r>
        <w:rPr>
          <w:rFonts w:ascii="Arial" w:cs="Arial" w:eastAsia="Arial" w:hAnsi="Arial"/>
          <w:sz w:val="16"/>
          <w:szCs w:val="16"/>
          <w:color w:val="auto"/>
        </w:rPr>
        <w:t xml:space="preserve">, if the Borrower or any of its Subsidiaries Disposes of any property (other than any Disposition of any property permitted by </w:t>
      </w:r>
      <w:r>
        <w:rPr>
          <w:rFonts w:ascii="Arial" w:cs="Arial" w:eastAsia="Arial" w:hAnsi="Arial"/>
          <w:sz w:val="16"/>
          <w:szCs w:val="16"/>
          <w:u w:val="single" w:color="auto"/>
          <w:color w:val="auto"/>
        </w:rPr>
        <w:t>Section 7.05</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thereof) which results in the realization by such Person of Net Cash Proceeds, the Borrower shall prepay an aggregate principal amount of Loans equal to 100% of such Net Cash Proceeds within ten (10) Business Days of receipt thereof by such Person (such prepayments to be applied as set forth in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with respect to any Net Cash Proceeds realized under a Disposition described in this </w:t>
      </w:r>
      <w:r>
        <w:rPr>
          <w:rFonts w:ascii="Arial" w:cs="Arial" w:eastAsia="Arial" w:hAnsi="Arial"/>
          <w:sz w:val="16"/>
          <w:szCs w:val="16"/>
          <w:u w:val="single" w:color="auto"/>
          <w:color w:val="auto"/>
        </w:rPr>
        <w:t>Section 2.05(b)(ii)</w:t>
      </w:r>
      <w:r>
        <w:rPr>
          <w:rFonts w:ascii="Arial" w:cs="Arial" w:eastAsia="Arial" w:hAnsi="Arial"/>
          <w:sz w:val="16"/>
          <w:szCs w:val="16"/>
          <w:color w:val="auto"/>
        </w:rPr>
        <w:t>, at the election of the Borrower (as notified by the Borrower to the Administrative Agent on or prior to the date of such Disposition), and so long as no Default shall have occurred and be continuing, the Borrower or such Subsidiary may reinvest all or any portion of such Net Cash Proceeds in operating assets so long as within 365 days after the receipt of such Net Cash Proceeds, such reinvestment shall have been consummated (as certified by the Borrower in writing to the Administrative Agent) and if such Net Cash Proceeds are not so reinvested within such 365-day period but such Net Cash Proceeds are subject to a definitive agreement within such 365-day period to reinvest such Net Cash Proceeds in accordance with this</w:t>
      </w:r>
    </w:p>
    <w:p>
      <w:pPr>
        <w:spacing w:after="0" w:line="6" w:lineRule="exact"/>
        <w:rPr>
          <w:rFonts w:ascii="Arial" w:cs="Arial" w:eastAsia="Arial" w:hAnsi="Arial"/>
          <w:sz w:val="16"/>
          <w:szCs w:val="16"/>
          <w:color w:val="auto"/>
        </w:rPr>
      </w:pPr>
    </w:p>
    <w:p>
      <w:pPr>
        <w:ind w:right="40"/>
        <w:spacing w:after="0" w:line="277" w:lineRule="auto"/>
        <w:rPr>
          <w:rFonts w:ascii="Arial" w:cs="Arial" w:eastAsia="Arial" w:hAnsi="Arial"/>
          <w:sz w:val="16"/>
          <w:szCs w:val="16"/>
          <w:color w:val="auto"/>
        </w:rPr>
      </w:pPr>
      <w:r>
        <w:rPr>
          <w:rFonts w:ascii="Arial" w:cs="Arial" w:eastAsia="Arial" w:hAnsi="Arial"/>
          <w:sz w:val="17"/>
          <w:szCs w:val="17"/>
          <w:u w:val="single" w:color="auto"/>
          <w:color w:val="auto"/>
        </w:rPr>
        <w:t>Section 2.05(b)(ii)</w:t>
      </w:r>
      <w:r>
        <w:rPr>
          <w:rFonts w:ascii="Arial" w:cs="Arial" w:eastAsia="Arial" w:hAnsi="Arial"/>
          <w:sz w:val="17"/>
          <w:szCs w:val="17"/>
          <w:color w:val="auto"/>
        </w:rPr>
        <w:t xml:space="preserve"> then the Borrower or such Subsidiary shall have an additional 180 days after the end of the such initial 365-day period to reinvest such Net Cash Proceeds in accordance with this </w:t>
      </w:r>
      <w:r>
        <w:rPr>
          <w:rFonts w:ascii="Arial" w:cs="Arial" w:eastAsia="Arial" w:hAnsi="Arial"/>
          <w:sz w:val="17"/>
          <w:szCs w:val="17"/>
          <w:u w:val="single" w:color="auto"/>
          <w:color w:val="auto"/>
        </w:rPr>
        <w:t>Section 2.05(b)(ii)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Net Cash Proceeds not subject to such definitive agreement or so reinvested shall be promptly applied to the prepayment of the Loans as set forth in this </w:t>
      </w:r>
      <w:r>
        <w:rPr>
          <w:rFonts w:ascii="Arial" w:cs="Arial" w:eastAsia="Arial" w:hAnsi="Arial"/>
          <w:sz w:val="17"/>
          <w:szCs w:val="17"/>
          <w:u w:val="single" w:color="auto"/>
          <w:color w:val="auto"/>
        </w:rPr>
        <w:t>Section 2.05(b)(ii)</w:t>
      </w:r>
      <w:r>
        <w:rPr>
          <w:rFonts w:ascii="Arial" w:cs="Arial" w:eastAsia="Arial" w:hAnsi="Arial"/>
          <w:sz w:val="17"/>
          <w:szCs w:val="17"/>
          <w:color w:val="auto"/>
        </w:rPr>
        <w:t>.</w:t>
      </w:r>
    </w:p>
    <w:p>
      <w:pPr>
        <w:spacing w:after="0" w:line="173" w:lineRule="exact"/>
        <w:rPr>
          <w:rFonts w:ascii="Arial" w:cs="Arial" w:eastAsia="Arial" w:hAnsi="Arial"/>
          <w:sz w:val="16"/>
          <w:szCs w:val="16"/>
          <w:color w:val="auto"/>
        </w:rPr>
      </w:pPr>
    </w:p>
    <w:p>
      <w:pPr>
        <w:ind w:right="120" w:firstLine="464"/>
        <w:spacing w:after="0" w:line="264" w:lineRule="auto"/>
        <w:tabs>
          <w:tab w:leader="none" w:pos="906"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2.05(b)(ix)</w:t>
      </w:r>
      <w:r>
        <w:rPr>
          <w:rFonts w:ascii="Arial" w:cs="Arial" w:eastAsia="Arial" w:hAnsi="Arial"/>
          <w:sz w:val="18"/>
          <w:szCs w:val="18"/>
          <w:color w:val="auto"/>
        </w:rPr>
        <w:t xml:space="preserve">, upon the incurrence or issuance by the Borrower or any of its Subsidiaries of any Indebtedness (other than Indebtedness expressly permitted to be incurred or issued pursuant to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clause (j)(ii)</w:t>
      </w:r>
      <w:r>
        <w:rPr>
          <w:rFonts w:ascii="Arial" w:cs="Arial" w:eastAsia="Arial" w:hAnsi="Arial"/>
          <w:sz w:val="18"/>
          <w:szCs w:val="18"/>
          <w:color w:val="auto"/>
        </w:rPr>
        <w:t xml:space="preserve"> thereof)), the Borrower shall prepay an aggregate principal amount of Loans equal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59" w:name="page60"/>
    <w:bookmarkEnd w:id="59"/>
    <w:p>
      <w:pPr>
        <w:jc w:val="both"/>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to 100% of all Net Cash Proceeds received therefrom within five (5) Business Days of receipt thereof (or, in the case of Net Cash Proceeds of Indebtedness incurred in reliance upon </w:t>
      </w:r>
      <w:r>
        <w:rPr>
          <w:rFonts w:ascii="Arial" w:cs="Arial" w:eastAsia="Arial" w:hAnsi="Arial"/>
          <w:sz w:val="18"/>
          <w:szCs w:val="18"/>
          <w:u w:val="single" w:color="auto"/>
          <w:color w:val="auto"/>
        </w:rPr>
        <w:t>Section 7.02(j)(ii)</w:t>
      </w:r>
      <w:r>
        <w:rPr>
          <w:rFonts w:ascii="Arial" w:cs="Arial" w:eastAsia="Arial" w:hAnsi="Arial"/>
          <w:sz w:val="18"/>
          <w:szCs w:val="18"/>
          <w:color w:val="auto"/>
        </w:rPr>
        <w:t>, substantially simultaneously with the receipt thereof) by the Borrower or such Subsidiary (such prepayments to be applied as set forth in clause (vi) below).</w:t>
      </w:r>
    </w:p>
    <w:p>
      <w:pPr>
        <w:spacing w:after="0" w:line="181" w:lineRule="exact"/>
        <w:rPr>
          <w:sz w:val="20"/>
          <w:szCs w:val="20"/>
          <w:color w:val="auto"/>
        </w:rPr>
      </w:pPr>
    </w:p>
    <w:p>
      <w:pPr>
        <w:ind w:left="900" w:hanging="43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2.05(b)(ix)</w:t>
      </w:r>
      <w:r>
        <w:rPr>
          <w:rFonts w:ascii="Arial" w:cs="Arial" w:eastAsia="Arial" w:hAnsi="Arial"/>
          <w:sz w:val="18"/>
          <w:szCs w:val="18"/>
          <w:color w:val="auto"/>
        </w:rPr>
        <w:t>, upon any Extraordinary Receipt received by or paid to or for the account of the Borrower or any of its</w:t>
      </w:r>
    </w:p>
    <w:p>
      <w:pPr>
        <w:spacing w:after="0" w:line="23" w:lineRule="exact"/>
        <w:rPr>
          <w:rFonts w:ascii="Arial" w:cs="Arial" w:eastAsia="Arial" w:hAnsi="Arial"/>
          <w:sz w:val="18"/>
          <w:szCs w:val="18"/>
          <w:color w:val="auto"/>
        </w:rPr>
      </w:pPr>
    </w:p>
    <w:p>
      <w:pPr>
        <w:ind w:right="20"/>
        <w:spacing w:after="0" w:line="267" w:lineRule="auto"/>
        <w:rPr>
          <w:rFonts w:ascii="Arial" w:cs="Arial" w:eastAsia="Arial" w:hAnsi="Arial"/>
          <w:sz w:val="18"/>
          <w:szCs w:val="18"/>
          <w:color w:val="auto"/>
        </w:rPr>
      </w:pPr>
      <w:r>
        <w:rPr>
          <w:rFonts w:ascii="Arial" w:cs="Arial" w:eastAsia="Arial" w:hAnsi="Arial"/>
          <w:sz w:val="17"/>
          <w:szCs w:val="17"/>
          <w:color w:val="auto"/>
        </w:rPr>
        <w:t xml:space="preserve">Subsidiaries, and not otherwise included in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2.05(b)</w:t>
      </w:r>
      <w:r>
        <w:rPr>
          <w:rFonts w:ascii="Arial" w:cs="Arial" w:eastAsia="Arial" w:hAnsi="Arial"/>
          <w:sz w:val="17"/>
          <w:szCs w:val="17"/>
          <w:color w:val="auto"/>
        </w:rPr>
        <w:t xml:space="preserve">, the Borrower shall prepay an aggregate principal amount of Loans equal to 100% of all Net Cash Proceeds received therefrom within ten (10) Business Days of receipt thereof by the Borrower or such Subsidiary (such prepayments to be applied as set forth in </w:t>
      </w:r>
      <w:r>
        <w:rPr>
          <w:rFonts w:ascii="Arial" w:cs="Arial" w:eastAsia="Arial" w:hAnsi="Arial"/>
          <w:sz w:val="17"/>
          <w:szCs w:val="17"/>
          <w:u w:val="single" w:color="auto"/>
          <w:color w:val="auto"/>
        </w:rPr>
        <w:t>clause (vi)</w:t>
      </w:r>
      <w:r>
        <w:rPr>
          <w:rFonts w:ascii="Arial" w:cs="Arial" w:eastAsia="Arial" w:hAnsi="Arial"/>
          <w:sz w:val="17"/>
          <w:szCs w:val="17"/>
          <w:color w:val="auto"/>
        </w:rPr>
        <w:t xml:space="preserve"> below);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with respect to any proceeds of insurance, condemnation awards (or payments in lieu thereof) or indemnity payments, at the election of the Borrower (as notified by the Borrower to the Administrative Agent on or prior to the date of receipt of such insurance proceeds, condemnation awards or indemnity payments), and so long as no Default shall have occurred and be continuing, the Borrower or such Subsidiary may apply within 365 days after the receipt of such cash proceeds to replace or repair the equipment, fixed assets or real property in respect of which such cash proceeds were received and if such Net Cash Proceeds are not so reinvested within such 365-day period but such Net Cash Proceeds are subject to a definitive agreement within such 365-day period to reinvest such Net Cash Proceeds in accordance with this </w:t>
      </w:r>
      <w:r>
        <w:rPr>
          <w:rFonts w:ascii="Arial" w:cs="Arial" w:eastAsia="Arial" w:hAnsi="Arial"/>
          <w:sz w:val="17"/>
          <w:szCs w:val="17"/>
          <w:u w:val="single" w:color="auto"/>
          <w:color w:val="auto"/>
        </w:rPr>
        <w:t>Section 2.05(b)(iv)</w:t>
      </w:r>
      <w:r>
        <w:rPr>
          <w:rFonts w:ascii="Arial" w:cs="Arial" w:eastAsia="Arial" w:hAnsi="Arial"/>
          <w:sz w:val="17"/>
          <w:szCs w:val="17"/>
          <w:color w:val="auto"/>
        </w:rPr>
        <w:t xml:space="preserve"> then the Borrower or such Subsidiary shall have an additional 180 days after the end of the such initial 365-day period to reinvest such Net Cash Proceeds in accordance with this </w:t>
      </w:r>
      <w:r>
        <w:rPr>
          <w:rFonts w:ascii="Arial" w:cs="Arial" w:eastAsia="Arial" w:hAnsi="Arial"/>
          <w:sz w:val="17"/>
          <w:szCs w:val="17"/>
          <w:u w:val="single" w:color="auto"/>
          <w:color w:val="auto"/>
        </w:rPr>
        <w:t>Section 2.05(b)(iv)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cash proceeds not so applied shall be promptly applied to the prepayment of the Loans as set forth in this </w:t>
      </w:r>
      <w:r>
        <w:rPr>
          <w:rFonts w:ascii="Arial" w:cs="Arial" w:eastAsia="Arial" w:hAnsi="Arial"/>
          <w:sz w:val="17"/>
          <w:szCs w:val="17"/>
          <w:u w:val="single" w:color="auto"/>
          <w:color w:val="auto"/>
        </w:rPr>
        <w:t>Section 2.05(b)(iv)</w:t>
      </w:r>
      <w:r>
        <w:rPr>
          <w:rFonts w:ascii="Arial" w:cs="Arial" w:eastAsia="Arial" w:hAnsi="Arial"/>
          <w:sz w:val="17"/>
          <w:szCs w:val="17"/>
          <w:color w:val="auto"/>
        </w:rPr>
        <w:t>.</w:t>
      </w:r>
    </w:p>
    <w:p>
      <w:pPr>
        <w:spacing w:after="0" w:line="186" w:lineRule="exact"/>
        <w:rPr>
          <w:rFonts w:ascii="Arial" w:cs="Arial" w:eastAsia="Arial" w:hAnsi="Arial"/>
          <w:sz w:val="18"/>
          <w:szCs w:val="18"/>
          <w:color w:val="auto"/>
        </w:rPr>
      </w:pPr>
    </w:p>
    <w:p>
      <w:pPr>
        <w:ind w:right="20" w:firstLine="464"/>
        <w:spacing w:after="0" w:line="302" w:lineRule="auto"/>
        <w:tabs>
          <w:tab w:leader="none" w:pos="846" w:val="left"/>
        </w:tabs>
        <w:numPr>
          <w:ilvl w:val="0"/>
          <w:numId w:val="53"/>
        </w:numPr>
        <w:rPr>
          <w:rFonts w:ascii="Arial" w:cs="Arial" w:eastAsia="Arial" w:hAnsi="Arial"/>
          <w:sz w:val="16"/>
          <w:szCs w:val="16"/>
          <w:color w:val="auto"/>
        </w:rPr>
      </w:pPr>
      <w:r>
        <w:rPr>
          <w:rFonts w:ascii="Arial" w:cs="Arial" w:eastAsia="Arial" w:hAnsi="Arial"/>
          <w:sz w:val="16"/>
          <w:szCs w:val="16"/>
          <w:color w:val="auto"/>
        </w:rPr>
        <w:t>Upon the issuance by the Borrower of new common Equity Interests prior to the date that is three months after the Closing Date, the Borrower shall prepay an aggregate principal amount of Loans equal to 100% of the excess of (i) the sum of the cash and Cash Equivalents received in connection with such transaction over (ii) the underwriting discounts and commissions, and other reasonable and customary out-of-pocket expenses, incurred by the Borrower in connection therewith within five (5) Business Days of receipt thereof by the Borrower (such prepayments to be applied as set forth in clause (vi) below).</w:t>
      </w:r>
    </w:p>
    <w:p>
      <w:pPr>
        <w:spacing w:after="0" w:line="154" w:lineRule="exact"/>
        <w:rPr>
          <w:rFonts w:ascii="Arial" w:cs="Arial" w:eastAsia="Arial" w:hAnsi="Arial"/>
          <w:sz w:val="16"/>
          <w:szCs w:val="16"/>
          <w:color w:val="auto"/>
        </w:rPr>
      </w:pPr>
    </w:p>
    <w:p>
      <w:pPr>
        <w:ind w:firstLine="464"/>
        <w:spacing w:after="0" w:line="274" w:lineRule="auto"/>
        <w:tabs>
          <w:tab w:leader="none" w:pos="896" w:val="left"/>
        </w:tabs>
        <w:numPr>
          <w:ilvl w:val="0"/>
          <w:numId w:val="53"/>
        </w:numPr>
        <w:rPr>
          <w:rFonts w:ascii="Arial" w:cs="Arial" w:eastAsia="Arial" w:hAnsi="Arial"/>
          <w:sz w:val="17"/>
          <w:szCs w:val="17"/>
          <w:color w:val="auto"/>
        </w:rPr>
      </w:pPr>
      <w:r>
        <w:rPr>
          <w:rFonts w:ascii="Arial" w:cs="Arial" w:eastAsia="Arial" w:hAnsi="Arial"/>
          <w:sz w:val="17"/>
          <w:szCs w:val="17"/>
          <w:color w:val="auto"/>
        </w:rPr>
        <w:t xml:space="preserve">Each prepayment of Loans pursuant to the foregoing provisions of this </w:t>
      </w:r>
      <w:r>
        <w:rPr>
          <w:rFonts w:ascii="Arial" w:cs="Arial" w:eastAsia="Arial" w:hAnsi="Arial"/>
          <w:sz w:val="17"/>
          <w:szCs w:val="17"/>
          <w:u w:val="single" w:color="auto"/>
          <w:color w:val="auto"/>
        </w:rPr>
        <w:t>Section 2.05(b)</w:t>
      </w:r>
      <w:r>
        <w:rPr>
          <w:rFonts w:ascii="Arial" w:cs="Arial" w:eastAsia="Arial" w:hAnsi="Arial"/>
          <w:sz w:val="17"/>
          <w:szCs w:val="17"/>
          <w:color w:val="auto"/>
        </w:rPr>
        <w:t xml:space="preserve"> shall be applied in direct order of maturity to the next four principal repayment installments of the Term Facility (and, to the extent provided in the definitive loan documentation therefor in accordance with</w:t>
      </w:r>
    </w:p>
    <w:p>
      <w:pPr>
        <w:jc w:val="both"/>
        <w:ind w:right="500"/>
        <w:spacing w:after="0" w:line="302" w:lineRule="auto"/>
        <w:rPr>
          <w:rFonts w:ascii="Arial" w:cs="Arial" w:eastAsia="Arial" w:hAnsi="Arial"/>
          <w:sz w:val="17"/>
          <w:szCs w:val="17"/>
          <w:color w:val="auto"/>
        </w:rPr>
      </w:pP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of any Incremental Term Loans) and, </w:t>
      </w:r>
      <w:r>
        <w:rPr>
          <w:rFonts w:ascii="Arial" w:cs="Arial" w:eastAsia="Arial" w:hAnsi="Arial"/>
          <w:sz w:val="16"/>
          <w:szCs w:val="16"/>
          <w:u w:val="single" w:color="auto"/>
          <w:color w:val="auto"/>
        </w:rPr>
        <w:t>thereafter</w:t>
      </w:r>
      <w:r>
        <w:rPr>
          <w:rFonts w:ascii="Arial" w:cs="Arial" w:eastAsia="Arial" w:hAnsi="Arial"/>
          <w:sz w:val="16"/>
          <w:szCs w:val="16"/>
          <w:color w:val="auto"/>
        </w:rPr>
        <w:t xml:space="preserve">, to the remaining scheduled principal installments of the Term Facility (and, to the extent provided in the definitive loan documentation therefor in accordance with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of any Incremental Term Loans)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Subject to </w:t>
      </w:r>
      <w:r>
        <w:rPr>
          <w:rFonts w:ascii="Arial" w:cs="Arial" w:eastAsia="Arial" w:hAnsi="Arial"/>
          <w:sz w:val="16"/>
          <w:szCs w:val="16"/>
          <w:u w:val="single" w:color="auto"/>
          <w:color w:val="auto"/>
        </w:rPr>
        <w:t>Section 2.15</w:t>
      </w:r>
      <w:r>
        <w:rPr>
          <w:rFonts w:ascii="Arial" w:cs="Arial" w:eastAsia="Arial" w:hAnsi="Arial"/>
          <w:sz w:val="16"/>
          <w:szCs w:val="16"/>
          <w:color w:val="auto"/>
        </w:rPr>
        <w:t>, such prepayments shall be paid to the Lenders in accordance with their respective Applicable Percentages in respect of the Facility.</w:t>
      </w:r>
    </w:p>
    <w:p>
      <w:pPr>
        <w:spacing w:after="0" w:line="155" w:lineRule="exact"/>
        <w:rPr>
          <w:rFonts w:ascii="Arial" w:cs="Arial" w:eastAsia="Arial" w:hAnsi="Arial"/>
          <w:sz w:val="17"/>
          <w:szCs w:val="17"/>
          <w:color w:val="auto"/>
        </w:rPr>
      </w:pPr>
    </w:p>
    <w:p>
      <w:pPr>
        <w:ind w:left="960" w:hanging="496"/>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464"/>
        <w:spacing w:after="0" w:line="270" w:lineRule="auto"/>
        <w:tabs>
          <w:tab w:leader="none" w:pos="996" w:val="left"/>
        </w:tabs>
        <w:numPr>
          <w:ilvl w:val="0"/>
          <w:numId w:val="53"/>
        </w:numPr>
        <w:rPr>
          <w:rFonts w:ascii="Arial" w:cs="Arial" w:eastAsia="Arial" w:hAnsi="Arial"/>
          <w:sz w:val="17"/>
          <w:szCs w:val="17"/>
          <w:color w:val="auto"/>
        </w:rPr>
      </w:pPr>
      <w:r>
        <w:rPr>
          <w:rFonts w:ascii="Arial" w:cs="Arial" w:eastAsia="Arial" w:hAnsi="Arial"/>
          <w:sz w:val="17"/>
          <w:szCs w:val="17"/>
          <w:color w:val="auto"/>
        </w:rPr>
        <w:t>Notwithstanding any other provisions of this Section 2.05(b) any mandatory prepayments arising under Section 2.05(b)(ii) or (iv) from the receipt of Net Cash Proceeds from any Disposition or Extraordinary Receipts by any Foreign Subsidiary (each, a “Foreign Disposition”) or arising under Section 2.05(b)(i) from Excess Cash Flow directly attributable to Foreign Subsidiaries (“Foreign Excess Cash Flow”) shall not be required to the extent that the repatriation of such Net Cash Proceeds or Foreign Excess Cash Flow would (A) give rise to a material adverse tax consequence or (B) be prohibited or delayed by any requirement of applicable Laws. The Borrower hereby agreeing to use commercially reasonable efforts to cause the applicable Foreign Subsidiary to promptly file any required forms, obtain any necessary consents and take all similar actions reasonably required by the applicable local Laws to permit such repatriation without material adverse tax consequences; provided that if such repatriation of any such affected Net Cash Proceeds or Foreign Excess Cash Flow is later permitted under applicable Laws and can be accomplished without material adverse tax consequences, an amount equal to such Net Cash Proceeds or Foreign Excess Cash Flow, as applicable, will be promptly applied to the repayment of the Loans pursuant to this Section 2.05(b) to the extent provided herein.</w:t>
      </w:r>
    </w:p>
    <w:p>
      <w:pPr>
        <w:spacing w:after="0" w:line="177" w:lineRule="exact"/>
        <w:rPr>
          <w:rFonts w:ascii="Arial" w:cs="Arial" w:eastAsia="Arial" w:hAnsi="Arial"/>
          <w:sz w:val="17"/>
          <w:szCs w:val="17"/>
          <w:color w:val="auto"/>
        </w:rPr>
      </w:pPr>
    </w:p>
    <w:p>
      <w:pPr>
        <w:ind w:right="140" w:firstLine="464"/>
        <w:spacing w:after="0" w:line="264" w:lineRule="auto"/>
        <w:tabs>
          <w:tab w:leader="none" w:pos="896"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Notwithstanding anything to the contrary, mandatory prepayments of the Term Loans shall only be payable to the extent the Borrower is not required to make prepayments of loans under the First Lien Credit Agreement or any other first lien Indebtedness permitted under this Agreement with such amounts.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274" w:right="279" w:bottom="1440" w:gutter="0" w:footer="0" w:header="0"/>
        </w:sectPr>
      </w:pPr>
    </w:p>
    <w:bookmarkStart w:id="60" w:name="page61"/>
    <w:bookmarkEnd w:id="60"/>
    <w:p>
      <w:pPr>
        <w:ind w:left="-8" w:firstLine="464"/>
        <w:spacing w:after="0" w:line="268" w:lineRule="auto"/>
        <w:tabs>
          <w:tab w:leader="none" w:pos="828"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Call Premium</w:t>
      </w:r>
      <w:r>
        <w:rPr>
          <w:rFonts w:ascii="Arial" w:cs="Arial" w:eastAsia="Arial" w:hAnsi="Arial"/>
          <w:sz w:val="17"/>
          <w:szCs w:val="17"/>
          <w:color w:val="auto"/>
        </w:rPr>
        <w:t xml:space="preserve">. In the event that, after the date that is three months after the Closing Date but on or prior to the date that is twenty-four months after the Closing Date, the Borrower (x) makes any prepayment of Term Loans pursuant to </w:t>
      </w:r>
      <w:r>
        <w:rPr>
          <w:rFonts w:ascii="Arial" w:cs="Arial" w:eastAsia="Arial" w:hAnsi="Arial"/>
          <w:sz w:val="17"/>
          <w:szCs w:val="17"/>
          <w:u w:val="single" w:color="auto"/>
          <w:color w:val="auto"/>
        </w:rPr>
        <w:t>Section 2.05(a)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2.05(b)(iii)</w:t>
      </w:r>
      <w:r>
        <w:rPr>
          <w:rFonts w:ascii="Arial" w:cs="Arial" w:eastAsia="Arial" w:hAnsi="Arial"/>
          <w:sz w:val="17"/>
          <w:szCs w:val="17"/>
          <w:color w:val="auto"/>
        </w:rPr>
        <w:t xml:space="preserve"> or (y) a Repricing Event occurs with respect to the Initial Term Loans, the Borrower will pay a premium (an “</w:t>
      </w:r>
      <w:r>
        <w:rPr>
          <w:rFonts w:ascii="Arial" w:cs="Arial" w:eastAsia="Arial" w:hAnsi="Arial"/>
          <w:sz w:val="17"/>
          <w:szCs w:val="17"/>
          <w:u w:val="single" w:color="auto"/>
          <w:color w:val="auto"/>
        </w:rPr>
        <w:t>Initial Term Loan Call Premium</w:t>
      </w:r>
      <w:r>
        <w:rPr>
          <w:rFonts w:ascii="Arial" w:cs="Arial" w:eastAsia="Arial" w:hAnsi="Arial"/>
          <w:sz w:val="17"/>
          <w:szCs w:val="17"/>
          <w:color w:val="auto"/>
        </w:rPr>
        <w:t xml:space="preserve">”), for the ratable account of each Lender that holds Initial Term Loans, in an amount equal to (1) if such prepayment is made or such Repricing Event occurs, in each case, on or after the date that is three months after the Closing Date but prior to the date that is twelve months after the Closing Date, 2.00% of the aggregate principal amount of the Initial Term Loans being prepaid or subject to such Repricing Event (it being understood that any such Initial Term Loan Call Premium with respect to a Repricing Event under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of the definition of “Repricing Event” shall be paid to each Non-Consenting Lender that is replaced in such Repricing Event pursuant to </w:t>
      </w:r>
      <w:r>
        <w:rPr>
          <w:rFonts w:ascii="Arial" w:cs="Arial" w:eastAsia="Arial" w:hAnsi="Arial"/>
          <w:sz w:val="17"/>
          <w:szCs w:val="17"/>
          <w:u w:val="single" w:color="auto"/>
          <w:color w:val="auto"/>
        </w:rPr>
        <w:t>Section 10.13)</w:t>
      </w:r>
      <w:r>
        <w:rPr>
          <w:rFonts w:ascii="Arial" w:cs="Arial" w:eastAsia="Arial" w:hAnsi="Arial"/>
          <w:sz w:val="17"/>
          <w:szCs w:val="17"/>
          <w:color w:val="auto"/>
        </w:rPr>
        <w:t xml:space="preserve"> and (2) if such prepayment is made or such Repricing Event occurs, in each case, on or after the date that is twelve months after the Closing Date but prior to the date that is twenty-four months after the Closing Date, 1.00% of the aggregate principal amount of the Initial Term Loans being prepaid or subject to such Repricing Event (it being understood that any such Initial Term Loan Call Premium with respect to a Repricing Event under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of the definition of “Repricing Event” shall be paid to each Non-Consenting Lender that is replaced in such Repricing Event pursuant to </w:t>
      </w:r>
      <w:r>
        <w:rPr>
          <w:rFonts w:ascii="Arial" w:cs="Arial" w:eastAsia="Arial" w:hAnsi="Arial"/>
          <w:sz w:val="17"/>
          <w:szCs w:val="17"/>
          <w:u w:val="single" w:color="auto"/>
          <w:color w:val="auto"/>
        </w:rPr>
        <w:t>Section 10.13)</w:t>
      </w:r>
      <w:r>
        <w:rPr>
          <w:rFonts w:ascii="Arial" w:cs="Arial" w:eastAsia="Arial" w:hAnsi="Arial"/>
          <w:sz w:val="17"/>
          <w:szCs w:val="17"/>
          <w:color w:val="auto"/>
        </w:rPr>
        <w:t>. Such Initial Term Loan Call Premium shall be due and payable within three (3) Business Days of the date of the effectiveness of such prepayment or such Repricing Event, as applicable. For the avoidance of doubt, in no event shall any Initial Term Loan Call Premium be payable in connection with (x) any prepayment of Term Loans or (y) a Repricing Event that occurs with respect to the Initial Term Loans, in each case, on or prior to the date that is three months after the Closing Date.</w:t>
      </w:r>
    </w:p>
    <w:p>
      <w:pPr>
        <w:spacing w:after="0" w:line="291" w:lineRule="exact"/>
        <w:rPr>
          <w:sz w:val="20"/>
          <w:szCs w:val="20"/>
          <w:color w:val="auto"/>
        </w:rPr>
      </w:pPr>
    </w:p>
    <w:p>
      <w:pPr>
        <w:ind w:left="452"/>
        <w:spacing w:after="0"/>
        <w:tabs>
          <w:tab w:leader="none" w:pos="972" w:val="left"/>
        </w:tabs>
        <w:rPr>
          <w:sz w:val="20"/>
          <w:szCs w:val="20"/>
          <w:color w:val="auto"/>
        </w:rPr>
      </w:pPr>
      <w:r>
        <w:rPr>
          <w:rFonts w:ascii="Arial" w:cs="Arial" w:eastAsia="Arial" w:hAnsi="Arial"/>
          <w:sz w:val="18"/>
          <w:szCs w:val="18"/>
          <w:color w:val="auto"/>
        </w:rPr>
        <w:t>2.06.</w:t>
      </w:r>
      <w:r>
        <w:rPr>
          <w:sz w:val="20"/>
          <w:szCs w:val="20"/>
          <w:color w:val="auto"/>
        </w:rPr>
        <w:tab/>
      </w:r>
      <w:r>
        <w:rPr>
          <w:rFonts w:ascii="Arial" w:cs="Arial" w:eastAsia="Arial" w:hAnsi="Arial"/>
          <w:sz w:val="16"/>
          <w:szCs w:val="16"/>
          <w:u w:val="single" w:color="auto"/>
          <w:color w:val="auto"/>
        </w:rPr>
        <w:t>Termination or Reduction of Commitments</w:t>
      </w:r>
      <w:r>
        <w:rPr>
          <w:rFonts w:ascii="Arial" w:cs="Arial" w:eastAsia="Arial" w:hAnsi="Arial"/>
          <w:sz w:val="16"/>
          <w:szCs w:val="16"/>
          <w:color w:val="auto"/>
        </w:rPr>
        <w:t>.</w:t>
      </w:r>
    </w:p>
    <w:p>
      <w:pPr>
        <w:spacing w:after="0" w:line="117" w:lineRule="exact"/>
        <w:rPr>
          <w:sz w:val="20"/>
          <w:szCs w:val="20"/>
          <w:color w:val="auto"/>
        </w:rPr>
      </w:pPr>
    </w:p>
    <w:p>
      <w:pPr>
        <w:ind w:left="832" w:hanging="376"/>
        <w:spacing w:after="0"/>
        <w:tabs>
          <w:tab w:leader="none" w:pos="832"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[Reserved].</w:t>
      </w:r>
    </w:p>
    <w:p>
      <w:pPr>
        <w:spacing w:after="0" w:line="333" w:lineRule="exact"/>
        <w:rPr>
          <w:rFonts w:ascii="Arial" w:cs="Arial" w:eastAsia="Arial" w:hAnsi="Arial"/>
          <w:sz w:val="18"/>
          <w:szCs w:val="18"/>
          <w:color w:val="auto"/>
        </w:rPr>
      </w:pPr>
    </w:p>
    <w:p>
      <w:pPr>
        <w:ind w:left="852" w:hanging="396"/>
        <w:spacing w:after="0"/>
        <w:tabs>
          <w:tab w:leader="none" w:pos="852"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Mandatory</w:t>
      </w:r>
      <w:r>
        <w:rPr>
          <w:rFonts w:ascii="Arial" w:cs="Arial" w:eastAsia="Arial" w:hAnsi="Arial"/>
          <w:sz w:val="18"/>
          <w:szCs w:val="18"/>
          <w:color w:val="auto"/>
        </w:rPr>
        <w:t>.</w:t>
      </w:r>
    </w:p>
    <w:p>
      <w:pPr>
        <w:spacing w:after="0" w:line="117" w:lineRule="exact"/>
        <w:rPr>
          <w:sz w:val="20"/>
          <w:szCs w:val="20"/>
          <w:color w:val="auto"/>
        </w:rPr>
      </w:pPr>
    </w:p>
    <w:p>
      <w:pPr>
        <w:ind w:left="-8" w:right="280" w:firstLine="464"/>
        <w:spacing w:after="0" w:line="277" w:lineRule="auto"/>
        <w:tabs>
          <w:tab w:leader="none" w:pos="795"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The aggregate Term Commitments shall be automatically and permanently reduced by the amount of the Term Borrowing made on the Closing Date and by the amount of any Term Borrowing made after the Closing Date, in each case pursuant to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852" w:hanging="396"/>
        <w:spacing w:after="0"/>
        <w:tabs>
          <w:tab w:leader="none" w:pos="852" w:val="left"/>
        </w:tabs>
        <w:numPr>
          <w:ilvl w:val="0"/>
          <w:numId w:val="56"/>
        </w:numPr>
        <w:rPr>
          <w:rFonts w:ascii="Arial" w:cs="Arial" w:eastAsia="Arial" w:hAnsi="Arial"/>
          <w:sz w:val="17"/>
          <w:szCs w:val="17"/>
          <w:color w:val="auto"/>
        </w:rPr>
      </w:pPr>
      <w:r>
        <w:rPr>
          <w:rFonts w:ascii="Arial" w:cs="Arial" w:eastAsia="Arial" w:hAnsi="Arial"/>
          <w:sz w:val="17"/>
          <w:szCs w:val="17"/>
          <w:color w:val="auto"/>
        </w:rPr>
        <w:t>Any unused Term Commitments shall be automatically and permanently reduced to zero on the last day of the applicable Availability Period.</w:t>
      </w:r>
    </w:p>
    <w:p>
      <w:pPr>
        <w:spacing w:after="0" w:line="345" w:lineRule="exact"/>
        <w:rPr>
          <w:sz w:val="20"/>
          <w:szCs w:val="20"/>
          <w:color w:val="auto"/>
        </w:rPr>
      </w:pPr>
    </w:p>
    <w:p>
      <w:pPr>
        <w:ind w:left="832" w:hanging="376"/>
        <w:spacing w:after="0"/>
        <w:tabs>
          <w:tab w:leader="none" w:pos="832"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Application of Commitment Reductions; Payment of Fees</w:t>
      </w:r>
      <w:r>
        <w:rPr>
          <w:rFonts w:ascii="Arial" w:cs="Arial" w:eastAsia="Arial" w:hAnsi="Arial"/>
          <w:sz w:val="18"/>
          <w:szCs w:val="18"/>
          <w:color w:val="auto"/>
        </w:rPr>
        <w:t>.</w:t>
      </w:r>
    </w:p>
    <w:p>
      <w:pPr>
        <w:spacing w:after="0" w:line="117" w:lineRule="exact"/>
        <w:rPr>
          <w:sz w:val="20"/>
          <w:szCs w:val="20"/>
          <w:color w:val="auto"/>
        </w:rPr>
      </w:pPr>
    </w:p>
    <w:p>
      <w:pPr>
        <w:ind w:left="812" w:hanging="356"/>
        <w:spacing w:after="0"/>
        <w:tabs>
          <w:tab w:leader="none" w:pos="812"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8" w:right="160" w:firstLine="464"/>
        <w:spacing w:after="0" w:line="264" w:lineRule="auto"/>
        <w:tabs>
          <w:tab w:leader="none" w:pos="845"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The Administrative Agent will promptly notify the Lenders of any termination or reduction of the unused portion of the aggregate Term Commitments under this </w:t>
      </w:r>
      <w:r>
        <w:rPr>
          <w:rFonts w:ascii="Arial" w:cs="Arial" w:eastAsia="Arial" w:hAnsi="Arial"/>
          <w:sz w:val="18"/>
          <w:szCs w:val="18"/>
          <w:u w:val="single" w:color="auto"/>
          <w:color w:val="auto"/>
        </w:rPr>
        <w:t>Section 2.06</w:t>
      </w:r>
      <w:r>
        <w:rPr>
          <w:rFonts w:ascii="Arial" w:cs="Arial" w:eastAsia="Arial" w:hAnsi="Arial"/>
          <w:sz w:val="18"/>
          <w:szCs w:val="18"/>
          <w:color w:val="auto"/>
        </w:rPr>
        <w:t>. Upon any reduction of the unused portion of the aggregate Term Commitments, the Term Commitment of each Term Lender shall be reduced by such Lender’s ratable portion of such reduction amount.</w:t>
      </w:r>
    </w:p>
    <w:p>
      <w:pPr>
        <w:spacing w:after="0" w:line="289" w:lineRule="exact"/>
        <w:rPr>
          <w:sz w:val="20"/>
          <w:szCs w:val="20"/>
          <w:color w:val="auto"/>
        </w:rPr>
      </w:pPr>
    </w:p>
    <w:p>
      <w:pPr>
        <w:ind w:left="452"/>
        <w:spacing w:after="0"/>
        <w:tabs>
          <w:tab w:leader="none" w:pos="972" w:val="left"/>
        </w:tabs>
        <w:rPr>
          <w:sz w:val="20"/>
          <w:szCs w:val="20"/>
          <w:color w:val="auto"/>
        </w:rPr>
      </w:pPr>
      <w:r>
        <w:rPr>
          <w:rFonts w:ascii="Arial" w:cs="Arial" w:eastAsia="Arial" w:hAnsi="Arial"/>
          <w:sz w:val="18"/>
          <w:szCs w:val="18"/>
          <w:color w:val="auto"/>
        </w:rPr>
        <w:t>2.07.</w:t>
      </w:r>
      <w:r>
        <w:rPr>
          <w:sz w:val="20"/>
          <w:szCs w:val="20"/>
          <w:color w:val="auto"/>
        </w:rPr>
        <w:tab/>
      </w:r>
      <w:r>
        <w:rPr>
          <w:rFonts w:ascii="Arial" w:cs="Arial" w:eastAsia="Arial" w:hAnsi="Arial"/>
          <w:sz w:val="16"/>
          <w:szCs w:val="16"/>
          <w:u w:val="single" w:color="auto"/>
          <w:color w:val="auto"/>
        </w:rPr>
        <w:t>Repayment of Loans</w:t>
      </w:r>
      <w:r>
        <w:rPr>
          <w:rFonts w:ascii="Arial" w:cs="Arial" w:eastAsia="Arial" w:hAnsi="Arial"/>
          <w:sz w:val="16"/>
          <w:szCs w:val="16"/>
          <w:color w:val="auto"/>
        </w:rPr>
        <w:t>.</w:t>
      </w:r>
    </w:p>
    <w:p>
      <w:pPr>
        <w:spacing w:after="0" w:line="117" w:lineRule="exact"/>
        <w:rPr>
          <w:sz w:val="20"/>
          <w:szCs w:val="20"/>
          <w:color w:val="auto"/>
        </w:rPr>
      </w:pPr>
    </w:p>
    <w:p>
      <w:pPr>
        <w:ind w:left="-8" w:right="260" w:firstLine="464"/>
        <w:spacing w:after="0" w:line="277" w:lineRule="auto"/>
        <w:tabs>
          <w:tab w:leader="none" w:pos="828"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Term Loans</w:t>
      </w:r>
      <w:r>
        <w:rPr>
          <w:rFonts w:ascii="Arial" w:cs="Arial" w:eastAsia="Arial" w:hAnsi="Arial"/>
          <w:sz w:val="18"/>
          <w:szCs w:val="18"/>
          <w:color w:val="auto"/>
        </w:rPr>
        <w:t>. To the extent not previously paid, the Borrower shall repay to the Term Lenders the aggregate principal amount of all Initial Term Loans outstanding on the Maturity Date.</w:t>
      </w:r>
    </w:p>
    <w:p>
      <w:pPr>
        <w:spacing w:after="0" w:line="279" w:lineRule="exact"/>
        <w:rPr>
          <w:sz w:val="20"/>
          <w:szCs w:val="20"/>
          <w:color w:val="auto"/>
        </w:rPr>
      </w:pPr>
    </w:p>
    <w:p>
      <w:pPr>
        <w:ind w:left="452"/>
        <w:spacing w:after="0"/>
        <w:tabs>
          <w:tab w:leader="none" w:pos="972" w:val="left"/>
        </w:tabs>
        <w:rPr>
          <w:sz w:val="20"/>
          <w:szCs w:val="20"/>
          <w:color w:val="auto"/>
        </w:rPr>
      </w:pPr>
      <w:r>
        <w:rPr>
          <w:rFonts w:ascii="Arial" w:cs="Arial" w:eastAsia="Arial" w:hAnsi="Arial"/>
          <w:sz w:val="18"/>
          <w:szCs w:val="18"/>
          <w:color w:val="auto"/>
        </w:rPr>
        <w:t>2.08.</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117" w:lineRule="exact"/>
        <w:rPr>
          <w:sz w:val="20"/>
          <w:szCs w:val="20"/>
          <w:color w:val="auto"/>
        </w:rPr>
      </w:pPr>
    </w:p>
    <w:p>
      <w:pPr>
        <w:ind w:left="-8" w:right="40" w:firstLine="464"/>
        <w:spacing w:after="0" w:line="291" w:lineRule="auto"/>
        <w:tabs>
          <w:tab w:leader="none" w:pos="828" w:val="left"/>
        </w:tabs>
        <w:numPr>
          <w:ilvl w:val="1"/>
          <w:numId w:val="60"/>
        </w:numPr>
        <w:rPr>
          <w:rFonts w:ascii="Arial" w:cs="Arial" w:eastAsia="Arial" w:hAnsi="Arial"/>
          <w:sz w:val="16"/>
          <w:szCs w:val="16"/>
          <w:color w:val="auto"/>
        </w:rPr>
      </w:pPr>
      <w:r>
        <w:rPr>
          <w:rFonts w:ascii="Arial" w:cs="Arial" w:eastAsia="Arial" w:hAnsi="Arial"/>
          <w:sz w:val="16"/>
          <w:szCs w:val="16"/>
          <w:color w:val="auto"/>
        </w:rPr>
        <w:t xml:space="preserve">Subject to the provisions of </w:t>
      </w:r>
      <w:r>
        <w:rPr>
          <w:rFonts w:ascii="Arial" w:cs="Arial" w:eastAsia="Arial" w:hAnsi="Arial"/>
          <w:sz w:val="16"/>
          <w:szCs w:val="16"/>
          <w:u w:val="single" w:color="auto"/>
          <w:color w:val="auto"/>
        </w:rPr>
        <w:t>Section 2.08(b)</w:t>
      </w:r>
      <w:r>
        <w:rPr>
          <w:rFonts w:ascii="Arial" w:cs="Arial" w:eastAsia="Arial" w:hAnsi="Arial"/>
          <w:sz w:val="16"/>
          <w:szCs w:val="16"/>
          <w:color w:val="auto"/>
        </w:rPr>
        <w:t xml:space="preserve">, (i) each Eurodollar Rate Loan under a Facility shall bear interest on the outstanding principal amount thereof for each Interest Period at a rate per annum equal to the Eurodollar Rate for such Interest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Rate for such Facility; and</w:t>
      </w:r>
    </w:p>
    <w:p>
      <w:pPr>
        <w:ind w:left="-8" w:right="460" w:firstLine="8"/>
        <w:spacing w:after="0" w:line="261" w:lineRule="auto"/>
        <w:tabs>
          <w:tab w:leader="none" w:pos="257"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each Base Rate Loan under a Facility shall bear interest on the outstanding principal amount thereof from the applicable borrowing date at a rate per annum equal to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 for such Facility.</w:t>
      </w:r>
    </w:p>
    <w:p>
      <w:pPr>
        <w:spacing w:after="0" w:line="11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92"/>
          </w:cols>
          <w:pgMar w:left="248" w:top="274" w:right="259" w:bottom="1440" w:gutter="0" w:footer="0" w:header="0"/>
        </w:sectPr>
      </w:pPr>
    </w:p>
    <w:bookmarkStart w:id="61" w:name="page62"/>
    <w:bookmarkEnd w:id="61"/>
    <w:p>
      <w:pPr>
        <w:ind w:right="100" w:firstLine="464"/>
        <w:spacing w:after="0" w:line="264" w:lineRule="auto"/>
        <w:tabs>
          <w:tab w:leader="none" w:pos="846" w:val="left"/>
        </w:tabs>
        <w:numPr>
          <w:ilvl w:val="0"/>
          <w:numId w:val="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181" w:lineRule="exact"/>
        <w:rPr>
          <w:sz w:val="20"/>
          <w:szCs w:val="20"/>
          <w:color w:val="auto"/>
        </w:rPr>
      </w:pPr>
    </w:p>
    <w:p>
      <w:pPr>
        <w:ind w:right="740" w:firstLine="464"/>
        <w:spacing w:after="0" w:line="342" w:lineRule="auto"/>
        <w:tabs>
          <w:tab w:leader="none" w:pos="853" w:val="left"/>
        </w:tabs>
        <w:numPr>
          <w:ilvl w:val="0"/>
          <w:numId w:val="63"/>
        </w:numPr>
        <w:rPr>
          <w:rFonts w:ascii="Arial" w:cs="Arial" w:eastAsia="Arial" w:hAnsi="Arial"/>
          <w:sz w:val="16"/>
          <w:szCs w:val="16"/>
          <w:color w:val="auto"/>
        </w:rPr>
      </w:pPr>
      <w:r>
        <w:rPr>
          <w:rFonts w:ascii="Arial" w:cs="Arial" w:eastAsia="Arial" w:hAnsi="Arial"/>
          <w:sz w:val="16"/>
          <w:szCs w:val="16"/>
          <w:color w:val="auto"/>
        </w:rPr>
        <w:t>While any Event of Default exists and is continuing under Section 8.01(j), the Borrower shall pay interest on all outstanding Obligations hereunder at a fluctuating interest rate per annum at all times equal to the Default Rate to the fullest extent permitted by applicable Laws.</w:t>
      </w:r>
    </w:p>
    <w:p>
      <w:pPr>
        <w:spacing w:after="0" w:line="123" w:lineRule="exact"/>
        <w:rPr>
          <w:rFonts w:ascii="Arial" w:cs="Arial" w:eastAsia="Arial" w:hAnsi="Arial"/>
          <w:sz w:val="16"/>
          <w:szCs w:val="16"/>
          <w:color w:val="auto"/>
        </w:rPr>
      </w:pPr>
    </w:p>
    <w:p>
      <w:pPr>
        <w:jc w:val="both"/>
        <w:ind w:right="220" w:firstLine="464"/>
        <w:spacing w:after="0" w:line="264" w:lineRule="auto"/>
        <w:tabs>
          <w:tab w:leader="none" w:pos="906" w:val="left"/>
        </w:tabs>
        <w:numPr>
          <w:ilvl w:val="0"/>
          <w:numId w:val="63"/>
        </w:numPr>
        <w:rPr>
          <w:rFonts w:ascii="Arial" w:cs="Arial" w:eastAsia="Arial" w:hAnsi="Arial"/>
          <w:sz w:val="18"/>
          <w:szCs w:val="18"/>
          <w:color w:val="auto"/>
        </w:rPr>
      </w:pPr>
      <w:r>
        <w:rPr>
          <w:rFonts w:ascii="Arial" w:cs="Arial" w:eastAsia="Arial" w:hAnsi="Arial"/>
          <w:sz w:val="18"/>
          <w:szCs w:val="18"/>
          <w:color w:val="auto"/>
        </w:rPr>
        <w:t>Upon the request of the Required Lenders, while any Event of Default exists (other than to the extent set forth in Sections 2.08(b)(i) and (b)(ii) above), the Borrower shall pay interest on the principal amount of all outstanding Obligations hereunder at a fluctuating interest rate per annum at all times equal to the Default Rate to the fullest extent permitted by applicable Laws.</w:t>
      </w:r>
    </w:p>
    <w:p>
      <w:pPr>
        <w:spacing w:after="0" w:line="181" w:lineRule="exact"/>
        <w:rPr>
          <w:rFonts w:ascii="Arial" w:cs="Arial" w:eastAsia="Arial" w:hAnsi="Arial"/>
          <w:sz w:val="18"/>
          <w:szCs w:val="18"/>
          <w:color w:val="auto"/>
        </w:rPr>
      </w:pPr>
    </w:p>
    <w:p>
      <w:pPr>
        <w:ind w:left="900" w:hanging="43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840" w:hanging="376"/>
        <w:spacing w:after="0"/>
        <w:tabs>
          <w:tab w:leader="none" w:pos="8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Accrued and unpaid interest on past due amounts (including interest on past due interest) shall be due and payable upon demand.</w:t>
      </w:r>
    </w:p>
    <w:p>
      <w:pPr>
        <w:spacing w:after="0" w:line="225" w:lineRule="exact"/>
        <w:rPr>
          <w:sz w:val="20"/>
          <w:szCs w:val="20"/>
          <w:color w:val="auto"/>
        </w:rPr>
      </w:pPr>
    </w:p>
    <w:p>
      <w:pPr>
        <w:ind w:right="440" w:firstLine="464"/>
        <w:spacing w:after="0" w:line="264" w:lineRule="auto"/>
        <w:tabs>
          <w:tab w:leader="none" w:pos="836"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289"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2.09.</w:t>
      </w:r>
      <w:r>
        <w:rPr>
          <w:sz w:val="20"/>
          <w:szCs w:val="20"/>
          <w:color w:val="auto"/>
        </w:rPr>
        <w:tab/>
      </w:r>
      <w:r>
        <w:rPr>
          <w:rFonts w:ascii="Arial" w:cs="Arial" w:eastAsia="Arial" w:hAnsi="Arial"/>
          <w:sz w:val="15"/>
          <w:szCs w:val="15"/>
          <w:u w:val="single" w:color="auto"/>
          <w:color w:val="auto"/>
        </w:rPr>
        <w:t>Fees</w:t>
      </w:r>
      <w:r>
        <w:rPr>
          <w:rFonts w:ascii="Arial" w:cs="Arial" w:eastAsia="Arial" w:hAnsi="Arial"/>
          <w:sz w:val="15"/>
          <w:szCs w:val="15"/>
          <w:color w:val="auto"/>
        </w:rPr>
        <w:t>.</w:t>
      </w:r>
    </w:p>
    <w:p>
      <w:pPr>
        <w:spacing w:after="0" w:line="117" w:lineRule="exact"/>
        <w:rPr>
          <w:sz w:val="20"/>
          <w:szCs w:val="20"/>
          <w:color w:val="auto"/>
        </w:rPr>
      </w:pPr>
    </w:p>
    <w:p>
      <w:pPr>
        <w:jc w:val="both"/>
        <w:ind w:left="460" w:right="400" w:firstLine="443"/>
        <w:spacing w:after="0" w:line="264" w:lineRule="auto"/>
        <w:tabs>
          <w:tab w:leader="none" w:pos="127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Borrower shall pay to the Arrangers and the Administrative Agent for their own respective accounts fees in the amounts and at the times as separately agreed between the Borrower and the Arrangers and/or the Administrative Agent, as applicable. Such fees shall be fully earned when paid and shall not be refundable for any reason whatsoever.</w:t>
      </w:r>
    </w:p>
    <w:p>
      <w:pPr>
        <w:spacing w:after="0" w:line="73" w:lineRule="exact"/>
        <w:rPr>
          <w:sz w:val="20"/>
          <w:szCs w:val="20"/>
          <w:color w:val="auto"/>
        </w:rPr>
      </w:pPr>
    </w:p>
    <w:p>
      <w:pPr>
        <w:ind w:left="460" w:right="380" w:firstLine="443"/>
        <w:spacing w:after="0" w:line="277" w:lineRule="auto"/>
        <w:tabs>
          <w:tab w:leader="none" w:pos="124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Borrower shall pay to the Lenders such fees as shall have been separately agreed upon in writing in the amounts and at the times so specified. All such fees shall be fully earned when paid and shall not be refundable for any reason whatsoever.</w:t>
      </w:r>
    </w:p>
    <w:p>
      <w:pPr>
        <w:spacing w:after="0" w:line="279"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u w:val="single" w:color="auto"/>
          <w:color w:val="auto"/>
        </w:rPr>
        <w:t>Computation of Interest and Fees; Retroactive Adjustments of Applicable Rate</w:t>
      </w:r>
      <w:r>
        <w:rPr>
          <w:rFonts w:ascii="Arial" w:cs="Arial" w:eastAsia="Arial" w:hAnsi="Arial"/>
          <w:sz w:val="16"/>
          <w:szCs w:val="16"/>
          <w:color w:val="auto"/>
        </w:rPr>
        <w:t>.</w:t>
      </w:r>
    </w:p>
    <w:p>
      <w:pPr>
        <w:spacing w:after="0" w:line="117" w:lineRule="exact"/>
        <w:rPr>
          <w:sz w:val="20"/>
          <w:szCs w:val="20"/>
          <w:color w:val="auto"/>
        </w:rPr>
      </w:pPr>
    </w:p>
    <w:p>
      <w:pPr>
        <w:ind w:firstLine="464"/>
        <w:spacing w:after="0" w:line="291" w:lineRule="auto"/>
        <w:tabs>
          <w:tab w:leader="none" w:pos="826" w:val="left"/>
        </w:tabs>
        <w:numPr>
          <w:ilvl w:val="0"/>
          <w:numId w:val="67"/>
        </w:numPr>
        <w:rPr>
          <w:rFonts w:ascii="Arial" w:cs="Arial" w:eastAsia="Arial" w:hAnsi="Arial"/>
          <w:sz w:val="16"/>
          <w:szCs w:val="16"/>
          <w:color w:val="auto"/>
        </w:rPr>
      </w:pPr>
      <w:r>
        <w:rPr>
          <w:rFonts w:ascii="Arial" w:cs="Arial" w:eastAsia="Arial" w:hAnsi="Arial"/>
          <w:sz w:val="16"/>
          <w:szCs w:val="16"/>
          <w:color w:val="auto"/>
        </w:rPr>
        <w:t>All computations of interest for Base Rate Loans (including Base Rate Loans determined by reference to the Eurodollar Rate) shall be made on the basis of a year of 365 or 366 days, as the case may be, and actual days elapsed. All other computations of fees and interest shall be made on the basis of a</w:t>
      </w:r>
    </w:p>
    <w:p>
      <w:pPr>
        <w:ind w:right="20"/>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360-day year and actual days elapsed (which results in more fees or interest, as applicable, being paid than if computed on the basis of a 365 or 366-day year). Interest shall accrue on each Loan for the day on which the Loan is made, and shall not accrue on a Loan, or any portion thereof, for the day on which the Loan or such portion is 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Loan that is repaid on the same day on which it is made shall, subject to </w:t>
      </w:r>
      <w:r>
        <w:rPr>
          <w:rFonts w:ascii="Arial" w:cs="Arial" w:eastAsia="Arial" w:hAnsi="Arial"/>
          <w:sz w:val="18"/>
          <w:szCs w:val="18"/>
          <w:u w:val="single" w:color="auto"/>
          <w:color w:val="auto"/>
        </w:rPr>
        <w:t>Section 2.12(a),</w:t>
      </w:r>
      <w:r>
        <w:rPr>
          <w:rFonts w:ascii="Arial" w:cs="Arial" w:eastAsia="Arial" w:hAnsi="Arial"/>
          <w:sz w:val="18"/>
          <w:szCs w:val="18"/>
          <w:color w:val="auto"/>
        </w:rPr>
        <w:t xml:space="preserve"> bear interest for one day. Each determination by the Administrative Agent of an interest rate or fee hereunder shall be conclusive and binding for all purposes, absent manifest error.</w:t>
      </w:r>
    </w:p>
    <w:p>
      <w:pPr>
        <w:spacing w:after="0" w:line="191" w:lineRule="exact"/>
        <w:rPr>
          <w:rFonts w:ascii="Arial" w:cs="Arial" w:eastAsia="Arial" w:hAnsi="Arial"/>
          <w:sz w:val="16"/>
          <w:szCs w:val="16"/>
          <w:color w:val="auto"/>
        </w:rPr>
      </w:pPr>
    </w:p>
    <w:p>
      <w:pPr>
        <w:ind w:right="40" w:firstLine="464"/>
        <w:spacing w:after="0" w:line="293" w:lineRule="auto"/>
        <w:tabs>
          <w:tab w:leader="none" w:pos="846" w:val="left"/>
        </w:tabs>
        <w:numPr>
          <w:ilvl w:val="0"/>
          <w:numId w:val="67"/>
        </w:numPr>
        <w:rPr>
          <w:rFonts w:ascii="Arial" w:cs="Arial" w:eastAsia="Arial" w:hAnsi="Arial"/>
          <w:sz w:val="16"/>
          <w:szCs w:val="16"/>
          <w:color w:val="auto"/>
        </w:rPr>
      </w:pPr>
      <w:r>
        <w:rPr>
          <w:rFonts w:ascii="Arial" w:cs="Arial" w:eastAsia="Arial" w:hAnsi="Arial"/>
          <w:sz w:val="16"/>
          <w:szCs w:val="16"/>
          <w:color w:val="auto"/>
        </w:rPr>
        <w:t>If, as a result of any restatement of or other adjustment to the financial statements of the Borrower or for any other reason, the Borrower or the Lenders determine that (i) the Consolidated Leverage Ratio as calculated by the Borrower as of any applicable date was inaccurate and (ii) a proper calculation of the Consolidated Leverage Ratio would have resulted in higher pricing for such period, the Borrower shall immediately and retroactively be obligated to pay to the Administrative Agent for the account of the applicable Lenders promptly on demand by the Administrative Agent (or, after the occurrence of an actual or deemed entry of an order for relief with respect to the Borrower under the Bankruptcy Code of the United States, automatically and without further action by the Administrative Agent or any Lender, as the case may be), an amount equal to the excess of the amount of interest and fees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62" w:name="page63"/>
    <w:bookmarkEnd w:id="62"/>
    <w:p>
      <w:pPr>
        <w:jc w:val="both"/>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that should have been paid for such period over the amount of interest and fees actually paid for such period. This paragraph shall not limit the rights of the Administrative Agent or any Lender, as the case may be, under </w:t>
      </w:r>
      <w:r>
        <w:rPr>
          <w:rFonts w:ascii="Arial" w:cs="Arial" w:eastAsia="Arial" w:hAnsi="Arial"/>
          <w:sz w:val="17"/>
          <w:szCs w:val="17"/>
          <w:u w:val="single" w:color="auto"/>
          <w:color w:val="auto"/>
        </w:rPr>
        <w:t>Section 2.08(b)</w:t>
      </w:r>
      <w:r>
        <w:rPr>
          <w:rFonts w:ascii="Arial" w:cs="Arial" w:eastAsia="Arial" w:hAnsi="Arial"/>
          <w:sz w:val="17"/>
          <w:szCs w:val="17"/>
          <w:color w:val="auto"/>
        </w:rPr>
        <w:t xml:space="preserve"> or under </w:t>
      </w:r>
      <w:r>
        <w:rPr>
          <w:rFonts w:ascii="Arial" w:cs="Arial" w:eastAsia="Arial" w:hAnsi="Arial"/>
          <w:sz w:val="17"/>
          <w:szCs w:val="17"/>
          <w:u w:val="single" w:color="auto"/>
          <w:color w:val="auto"/>
        </w:rPr>
        <w:t>Article VIII</w:t>
      </w:r>
      <w:r>
        <w:rPr>
          <w:rFonts w:ascii="Arial" w:cs="Arial" w:eastAsia="Arial" w:hAnsi="Arial"/>
          <w:sz w:val="17"/>
          <w:szCs w:val="17"/>
          <w:color w:val="auto"/>
        </w:rPr>
        <w:t>. The Borrower’s obligations under this paragraph shall survive the termination of the Aggregate Commitments and the repayment of all other Obligations hereunder.</w:t>
      </w:r>
    </w:p>
    <w:p>
      <w:pPr>
        <w:spacing w:after="0" w:line="274"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u w:val="single" w:color="auto"/>
          <w:color w:val="auto"/>
        </w:rPr>
        <w:t>Evidence of Debt</w:t>
      </w:r>
      <w:r>
        <w:rPr>
          <w:rFonts w:ascii="Arial" w:cs="Arial" w:eastAsia="Arial" w:hAnsi="Arial"/>
          <w:sz w:val="16"/>
          <w:szCs w:val="16"/>
          <w:color w:val="auto"/>
        </w:rPr>
        <w:t>.</w:t>
      </w:r>
    </w:p>
    <w:p>
      <w:pPr>
        <w:spacing w:after="0" w:line="117" w:lineRule="exact"/>
        <w:rPr>
          <w:sz w:val="20"/>
          <w:szCs w:val="20"/>
          <w:color w:val="auto"/>
        </w:rPr>
      </w:pPr>
    </w:p>
    <w:p>
      <w:pPr>
        <w:ind w:firstLine="464"/>
        <w:spacing w:after="0" w:line="270" w:lineRule="auto"/>
        <w:tabs>
          <w:tab w:leader="none" w:pos="833"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 shall execute and deliver to such Lender (through the Administrative Agent) a Note, which shall evidence such Lender’s Loans in addition to such accounts or records. Each Lender may attach schedules to its Note and endorse thereon the date, Type (if applicable), amount and maturity of its Loans and payments with respect thereto.</w:t>
      </w:r>
    </w:p>
    <w:p>
      <w:pPr>
        <w:spacing w:after="0" w:line="290"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u w:val="single" w:color="auto"/>
          <w:color w:val="auto"/>
        </w:rPr>
        <w:t>Payments Generally; Administrative Agent’s Clawback</w:t>
      </w:r>
      <w:r>
        <w:rPr>
          <w:rFonts w:ascii="Arial" w:cs="Arial" w:eastAsia="Arial" w:hAnsi="Arial"/>
          <w:sz w:val="16"/>
          <w:szCs w:val="16"/>
          <w:color w:val="auto"/>
        </w:rPr>
        <w:t>.</w:t>
      </w:r>
    </w:p>
    <w:p>
      <w:pPr>
        <w:spacing w:after="0" w:line="117" w:lineRule="exact"/>
        <w:rPr>
          <w:sz w:val="20"/>
          <w:szCs w:val="20"/>
          <w:color w:val="auto"/>
        </w:rPr>
      </w:pPr>
    </w:p>
    <w:p>
      <w:pPr>
        <w:ind w:firstLine="464"/>
        <w:spacing w:after="0" w:line="290" w:lineRule="auto"/>
        <w:tabs>
          <w:tab w:leader="none" w:pos="836"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All payments to be made by the Borrower shall be made free and clear of and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in respect of the relevant Facility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166" w:lineRule="exact"/>
        <w:rPr>
          <w:rFonts w:ascii="Arial" w:cs="Arial" w:eastAsia="Arial" w:hAnsi="Arial"/>
          <w:sz w:val="16"/>
          <w:szCs w:val="16"/>
          <w:color w:val="auto"/>
        </w:rPr>
      </w:pPr>
    </w:p>
    <w:p>
      <w:pPr>
        <w:ind w:firstLine="464"/>
        <w:spacing w:after="0" w:line="268" w:lineRule="auto"/>
        <w:tabs>
          <w:tab w:leader="none" w:pos="846" w:val="left"/>
        </w:tabs>
        <w:numPr>
          <w:ilvl w:val="0"/>
          <w:numId w:val="69"/>
        </w:numPr>
        <w:rPr>
          <w:rFonts w:ascii="Arial" w:cs="Arial" w:eastAsia="Arial" w:hAnsi="Arial"/>
          <w:sz w:val="17"/>
          <w:szCs w:val="17"/>
          <w:color w:val="auto"/>
        </w:rPr>
      </w:pPr>
      <w:r>
        <w:rPr>
          <w:rFonts w:ascii="Arial" w:cs="Arial" w:eastAsia="Arial" w:hAnsi="Arial"/>
          <w:sz w:val="17"/>
          <w:szCs w:val="17"/>
          <w:color w:val="auto"/>
        </w:rPr>
        <w:t xml:space="preserve">(i) </w:t>
      </w:r>
      <w:r>
        <w:rPr>
          <w:rFonts w:ascii="Arial" w:cs="Arial" w:eastAsia="Arial" w:hAnsi="Arial"/>
          <w:sz w:val="17"/>
          <w:szCs w:val="17"/>
          <w:u w:val="single" w:color="auto"/>
          <w:color w:val="auto"/>
        </w:rPr>
        <w:t>Funding by Lenders; Presumption by Administrative Agent</w:t>
      </w:r>
      <w:r>
        <w:rPr>
          <w:rFonts w:ascii="Arial" w:cs="Arial" w:eastAsia="Arial" w:hAnsi="Arial"/>
          <w:sz w:val="17"/>
          <w:szCs w:val="17"/>
          <w:color w:val="auto"/>
        </w:rPr>
        <w:t xml:space="preserve">. Unless the Administrative Agent shall have received notice from a Lender prior to the proposed date of any Borrowing of Eurodollar Rate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(or, in the case of a Borrowing of Base Rate Loans, that such Lender has made such share available in accordance with and at the time required by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74" w:right="259" w:bottom="1440" w:gutter="0" w:footer="0" w:header="0"/>
        </w:sectPr>
      </w:pPr>
    </w:p>
    <w:bookmarkStart w:id="63" w:name="page64"/>
    <w:bookmarkEnd w:id="63"/>
    <w:p>
      <w:pPr>
        <w:ind w:right="100" w:firstLine="464"/>
        <w:spacing w:after="0" w:line="254" w:lineRule="auto"/>
        <w:tabs>
          <w:tab w:leader="none" w:pos="856"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Payments by Borrower; Presumptions by Administrative Agent</w:t>
      </w:r>
      <w:r>
        <w:rPr>
          <w:rFonts w:ascii="Arial" w:cs="Arial" w:eastAsia="Arial" w:hAnsi="Arial"/>
          <w:sz w:val="18"/>
          <w:szCs w:val="18"/>
          <w:color w:val="auto"/>
        </w:rPr>
        <w:t>. Unless the Administrative Agent shall have received notice from the Borrower prior to the time at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the amount due to the Term Lenders. In such event, if the Borrower has not in fact made such payment, then each of the Term Lenders severally agrees to repay to the Administrative Agent forthwith on demand the amount so distributed to such Lender,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92"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 xml:space="preserve">A notice of the Administrative Agent to any Lender or the Borrower with respect to any amount owing under this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shall be conclusive, absent manifest error.</w:t>
      </w:r>
    </w:p>
    <w:p>
      <w:pPr>
        <w:spacing w:after="0" w:line="170" w:lineRule="exact"/>
        <w:rPr>
          <w:sz w:val="20"/>
          <w:szCs w:val="20"/>
          <w:color w:val="auto"/>
        </w:rPr>
      </w:pPr>
    </w:p>
    <w:p>
      <w:pPr>
        <w:ind w:firstLine="464"/>
        <w:spacing w:after="0" w:line="279" w:lineRule="auto"/>
        <w:tabs>
          <w:tab w:leader="none" w:pos="836"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Failure to Satisfy Conditions Precedent</w:t>
      </w:r>
      <w:r>
        <w:rPr>
          <w:rFonts w:ascii="Arial" w:cs="Arial" w:eastAsia="Arial" w:hAnsi="Arial"/>
          <w:sz w:val="17"/>
          <w:szCs w:val="17"/>
          <w:color w:val="auto"/>
        </w:rPr>
        <w:t xml:space="preserve">. If any Lender makes available to the Administrative Agent funds for any Loan to be made by such Lender as provided in the foregoing provisions of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and such funds are not made available to the Borrower by the Administrative Agent because the conditions to the applicable Credit Extension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are not satisfied or waived in accordance with the terms hereof, the Administrative Agent shall return such funds (in like funds as received from such Lender) to such Lender, without interest.</w:t>
      </w:r>
    </w:p>
    <w:p>
      <w:pPr>
        <w:spacing w:after="0" w:line="171" w:lineRule="exact"/>
        <w:rPr>
          <w:rFonts w:ascii="Arial" w:cs="Arial" w:eastAsia="Arial" w:hAnsi="Arial"/>
          <w:sz w:val="17"/>
          <w:szCs w:val="17"/>
          <w:color w:val="auto"/>
        </w:rPr>
      </w:pPr>
    </w:p>
    <w:p>
      <w:pPr>
        <w:ind w:right="60" w:firstLine="464"/>
        <w:spacing w:after="0" w:line="302" w:lineRule="auto"/>
        <w:tabs>
          <w:tab w:leader="none" w:pos="846"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Obligations of Lenders Several</w:t>
      </w:r>
      <w:r>
        <w:rPr>
          <w:rFonts w:ascii="Arial" w:cs="Arial" w:eastAsia="Arial" w:hAnsi="Arial"/>
          <w:sz w:val="16"/>
          <w:szCs w:val="16"/>
          <w:color w:val="auto"/>
        </w:rPr>
        <w:t xml:space="preserve">. The obligations of the Lenders hereunder to make Loans and to make Term Loans and to make payments pursuant to </w:t>
      </w:r>
      <w:r>
        <w:rPr>
          <w:rFonts w:ascii="Arial" w:cs="Arial" w:eastAsia="Arial" w:hAnsi="Arial"/>
          <w:sz w:val="16"/>
          <w:szCs w:val="16"/>
          <w:u w:val="single" w:color="auto"/>
          <w:color w:val="auto"/>
        </w:rPr>
        <w:t>Section 10.04(c)</w:t>
      </w:r>
      <w:r>
        <w:rPr>
          <w:rFonts w:ascii="Arial" w:cs="Arial" w:eastAsia="Arial" w:hAnsi="Arial"/>
          <w:sz w:val="16"/>
          <w:szCs w:val="16"/>
          <w:color w:val="auto"/>
        </w:rPr>
        <w:t xml:space="preserve"> are several and not joint. The failure of any Lender to make any Loan, to fund any such participation or to make any payment under </w:t>
      </w:r>
      <w:r>
        <w:rPr>
          <w:rFonts w:ascii="Arial" w:cs="Arial" w:eastAsia="Arial" w:hAnsi="Arial"/>
          <w:sz w:val="16"/>
          <w:szCs w:val="16"/>
          <w:u w:val="single" w:color="auto"/>
          <w:color w:val="auto"/>
        </w:rPr>
        <w:t>Section 10.04(c)</w:t>
      </w:r>
      <w:r>
        <w:rPr>
          <w:rFonts w:ascii="Arial" w:cs="Arial" w:eastAsia="Arial" w:hAnsi="Arial"/>
          <w:sz w:val="16"/>
          <w:szCs w:val="16"/>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16"/>
          <w:szCs w:val="16"/>
          <w:u w:val="single" w:color="auto"/>
          <w:color w:val="auto"/>
        </w:rPr>
        <w:t>Section 10.04(c)</w:t>
      </w:r>
      <w:r>
        <w:rPr>
          <w:rFonts w:ascii="Arial" w:cs="Arial" w:eastAsia="Arial" w:hAnsi="Arial"/>
          <w:sz w:val="16"/>
          <w:szCs w:val="16"/>
          <w:color w:val="auto"/>
        </w:rPr>
        <w:t>.</w:t>
      </w:r>
    </w:p>
    <w:p>
      <w:pPr>
        <w:spacing w:after="0" w:line="154" w:lineRule="exact"/>
        <w:rPr>
          <w:rFonts w:ascii="Arial" w:cs="Arial" w:eastAsia="Arial" w:hAnsi="Arial"/>
          <w:sz w:val="16"/>
          <w:szCs w:val="16"/>
          <w:color w:val="auto"/>
        </w:rPr>
      </w:pPr>
    </w:p>
    <w:p>
      <w:pPr>
        <w:ind w:right="200" w:firstLine="464"/>
        <w:spacing w:after="0" w:line="308" w:lineRule="auto"/>
        <w:tabs>
          <w:tab w:leader="none" w:pos="836"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Funding Source</w:t>
      </w:r>
      <w:r>
        <w:rPr>
          <w:rFonts w:ascii="Arial" w:cs="Arial" w:eastAsia="Arial" w:hAnsi="Arial"/>
          <w:sz w:val="17"/>
          <w:szCs w:val="17"/>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46" w:lineRule="exact"/>
        <w:rPr>
          <w:rFonts w:ascii="Arial" w:cs="Arial" w:eastAsia="Arial" w:hAnsi="Arial"/>
          <w:sz w:val="17"/>
          <w:szCs w:val="17"/>
          <w:color w:val="auto"/>
        </w:rPr>
      </w:pPr>
    </w:p>
    <w:p>
      <w:pPr>
        <w:ind w:right="60" w:firstLine="464"/>
        <w:spacing w:after="0" w:line="279" w:lineRule="auto"/>
        <w:tabs>
          <w:tab w:leader="none" w:pos="816"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Insufficient Funds</w:t>
      </w:r>
      <w:r>
        <w:rPr>
          <w:rFonts w:ascii="Arial" w:cs="Arial" w:eastAsia="Arial" w:hAnsi="Arial"/>
          <w:sz w:val="17"/>
          <w:szCs w:val="17"/>
          <w:color w:val="auto"/>
        </w:rPr>
        <w:t xml:space="preserve">. If at any time insufficient funds are received by and available to the Administrative Agent to pay fully all amounts of principal, interest and fees then due hereunder, such funds shall be applied (i)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toward payment of interest and fees then due hereunder, ratably among the parties entitled thereto in accordance with the amounts of interest and fees then due to such parties, and (ii) </w:t>
      </w:r>
      <w:r>
        <w:rPr>
          <w:rFonts w:ascii="Arial" w:cs="Arial" w:eastAsia="Arial" w:hAnsi="Arial"/>
          <w:sz w:val="17"/>
          <w:szCs w:val="17"/>
          <w:u w:val="single" w:color="auto"/>
          <w:color w:val="auto"/>
        </w:rPr>
        <w:t>second</w:t>
      </w:r>
      <w:r>
        <w:rPr>
          <w:rFonts w:ascii="Arial" w:cs="Arial" w:eastAsia="Arial" w:hAnsi="Arial"/>
          <w:sz w:val="17"/>
          <w:szCs w:val="17"/>
          <w:color w:val="auto"/>
        </w:rPr>
        <w:t>, toward payment of principal then due hereunder, ratably among the parties entitled thereto in accordance with the amounts of principal then due to such parties.</w:t>
      </w:r>
    </w:p>
    <w:p>
      <w:pPr>
        <w:spacing w:after="0" w:line="171"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Sharing of Payments by Lenders</w:t>
      </w:r>
      <w:r>
        <w:rPr>
          <w:rFonts w:ascii="Arial" w:cs="Arial" w:eastAsia="Arial" w:hAnsi="Arial"/>
          <w:sz w:val="16"/>
          <w:szCs w:val="16"/>
          <w:color w:val="auto"/>
        </w:rPr>
        <w:t xml:space="preserve">. If any Lender shall, by exercising any right of setoff or counterclaim or otherwise, obtain payment in respect of (a) Obligations due and payable to such Lender hereunder and under the other Loan Documents at such time in excess of its ratable share (according to the proportion of (i) the amount of such Obligations due and payable to such Lender at such time to (ii) the aggregate amount of the Obligations due and payable to all Lenders hereunder and under the other Loan Documents at such time) of payments on account of the Obligations due and payable to all Lenders hereunder and under the other Loan Documents at such time obtained by all the Lenders at such time or (b) Obligations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owing (but not due and payable) to all Lenders hereunder and under the other Loan Parties at such time) of payment on account of the Obligations owing (but not due and payable) to all Lenders hereunder and under the other Loan Documents at such time obtained by all of the Lenders at such time then the Lender receiving such greater proportion shall (a) notify the Administrative Agent of such fact, and (b) purchase (for cash at face value) participations in the Loans of the other Lenders, or make such other adjustments as shall be equitable, so that the benefit of all such payments shall be shared by the Lenders ratably in accordance with the aggregate amount of Obligations then due and payable to the Lenders or owing (but not due and payable) to the Lenders,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61" w:lineRule="exact"/>
        <w:rPr>
          <w:sz w:val="20"/>
          <w:szCs w:val="20"/>
          <w:color w:val="auto"/>
        </w:rPr>
      </w:pPr>
    </w:p>
    <w:p>
      <w:pPr>
        <w:ind w:left="460" w:right="440" w:firstLine="443"/>
        <w:spacing w:after="0" w:line="342" w:lineRule="auto"/>
        <w:tabs>
          <w:tab w:leader="none" w:pos="1248" w:val="left"/>
        </w:tabs>
        <w:numPr>
          <w:ilvl w:val="0"/>
          <w:numId w:val="72"/>
        </w:numPr>
        <w:rPr>
          <w:rFonts w:ascii="Arial" w:cs="Arial" w:eastAsia="Arial" w:hAnsi="Arial"/>
          <w:sz w:val="16"/>
          <w:szCs w:val="16"/>
          <w:color w:val="auto"/>
        </w:rPr>
      </w:pPr>
      <w:r>
        <w:rPr>
          <w:rFonts w:ascii="Arial" w:cs="Arial" w:eastAsia="Arial" w:hAnsi="Arial"/>
          <w:sz w:val="16"/>
          <w:szCs w:val="16"/>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4" w:right="239" w:bottom="1440" w:gutter="0" w:footer="0" w:header="0"/>
        </w:sectPr>
      </w:pPr>
    </w:p>
    <w:bookmarkStart w:id="64" w:name="page65"/>
    <w:bookmarkEnd w:id="64"/>
    <w:p>
      <w:pPr>
        <w:ind w:left="460" w:right="100" w:firstLine="443"/>
        <w:spacing w:after="0" w:line="302" w:lineRule="auto"/>
        <w:tabs>
          <w:tab w:leader="none" w:pos="1298" w:val="left"/>
        </w:tabs>
        <w:numPr>
          <w:ilvl w:val="0"/>
          <w:numId w:val="7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provisions of this Section shall not be construed to apply to (x) any payment made by or on behalf of the Borrower pursuant to and in accordance with the express terms of this Agreement (including the application of funds arising from the existence of a Defaulting Lender), (y) [reserved], or (z) any payment obtained by a Lender as consideration for the assignment of or sale of a participation in any of its Loans to any assignee or participant, other than an assignment to the Borrower or any Affiliate thereof (as to which the provisions of this Section shall apply).</w:t>
      </w:r>
    </w:p>
    <w:p>
      <w:pPr>
        <w:spacing w:after="0" w:line="154"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Borrower consents to the foregoing and agrees, to the extent it may effectively do so under applicable Laws,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289"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u w:val="single" w:color="auto"/>
          <w:color w:val="auto"/>
        </w:rPr>
        <w:t>Increase in Commitments</w:t>
      </w:r>
      <w:r>
        <w:rPr>
          <w:rFonts w:ascii="Arial" w:cs="Arial" w:eastAsia="Arial" w:hAnsi="Arial"/>
          <w:sz w:val="16"/>
          <w:szCs w:val="16"/>
          <w:color w:val="auto"/>
        </w:rPr>
        <w:t>.</w:t>
      </w:r>
    </w:p>
    <w:p>
      <w:pPr>
        <w:spacing w:after="0" w:line="117" w:lineRule="exact"/>
        <w:rPr>
          <w:sz w:val="20"/>
          <w:szCs w:val="20"/>
          <w:color w:val="auto"/>
        </w:rPr>
      </w:pPr>
    </w:p>
    <w:p>
      <w:pPr>
        <w:ind w:right="580" w:firstLine="464"/>
        <w:spacing w:after="0" w:line="342" w:lineRule="auto"/>
        <w:tabs>
          <w:tab w:leader="none" w:pos="836"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Request</w:t>
      </w:r>
      <w:r>
        <w:rPr>
          <w:rFonts w:ascii="Arial" w:cs="Arial" w:eastAsia="Arial" w:hAnsi="Arial"/>
          <w:sz w:val="16"/>
          <w:szCs w:val="16"/>
          <w:color w:val="auto"/>
        </w:rPr>
        <w:t>. The Borrower may, from time to time, request by notice to the Administrative Agent one or more term loan tranches to be made available to the Borrower (each, an “</w:t>
      </w:r>
      <w:r>
        <w:rPr>
          <w:rFonts w:ascii="Arial" w:cs="Arial" w:eastAsia="Arial" w:hAnsi="Arial"/>
          <w:sz w:val="16"/>
          <w:szCs w:val="16"/>
          <w:u w:val="single" w:color="auto"/>
          <w:color w:val="auto"/>
        </w:rPr>
        <w:t>Incremental Term Loan</w:t>
      </w:r>
      <w:r>
        <w:rPr>
          <w:rFonts w:ascii="Arial" w:cs="Arial" w:eastAsia="Arial" w:hAnsi="Arial"/>
          <w:sz w:val="16"/>
          <w:szCs w:val="16"/>
          <w:color w:val="auto"/>
        </w:rPr>
        <w:t>”; each Incremental Term Loan, referred to as the “</w:t>
      </w:r>
      <w:r>
        <w:rPr>
          <w:rFonts w:ascii="Arial" w:cs="Arial" w:eastAsia="Arial" w:hAnsi="Arial"/>
          <w:sz w:val="16"/>
          <w:szCs w:val="16"/>
          <w:u w:val="single" w:color="auto"/>
          <w:color w:val="auto"/>
        </w:rPr>
        <w:t>Incremental Increases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5" w:lineRule="exact"/>
        <w:rPr>
          <w:rFonts w:ascii="Arial" w:cs="Arial" w:eastAsia="Arial" w:hAnsi="Arial"/>
          <w:sz w:val="16"/>
          <w:szCs w:val="16"/>
          <w:color w:val="auto"/>
        </w:rPr>
      </w:pPr>
    </w:p>
    <w:p>
      <w:pPr>
        <w:ind w:left="460" w:firstLine="443"/>
        <w:spacing w:after="0" w:line="288" w:lineRule="auto"/>
        <w:tabs>
          <w:tab w:leader="none" w:pos="1245" w:val="left"/>
        </w:tabs>
        <w:numPr>
          <w:ilvl w:val="1"/>
          <w:numId w:val="74"/>
        </w:numPr>
        <w:rPr>
          <w:rFonts w:ascii="Arial" w:cs="Arial" w:eastAsia="Arial" w:hAnsi="Arial"/>
          <w:sz w:val="16"/>
          <w:szCs w:val="16"/>
          <w:color w:val="auto"/>
        </w:rPr>
      </w:pPr>
      <w:r>
        <w:rPr>
          <w:rFonts w:ascii="Arial" w:cs="Arial" w:eastAsia="Arial" w:hAnsi="Arial"/>
          <w:sz w:val="16"/>
          <w:szCs w:val="16"/>
          <w:color w:val="auto"/>
        </w:rPr>
        <w:t xml:space="preserve">The aggregate principal amount of Incremental Increases shall not exceed the sum of (A) an amount equal to $100,000,000 (less the aggregate principal amount of First Lien Incremental Facilities incurred after the Closing Date) and (B) an amount equal to the sum of (1) all voluntary prepayments or repurchases of Term Loans (as defined in the First Lien Credit Agreement) made pursuant to </w:t>
      </w:r>
      <w:r>
        <w:rPr>
          <w:rFonts w:ascii="Arial" w:cs="Arial" w:eastAsia="Arial" w:hAnsi="Arial"/>
          <w:sz w:val="16"/>
          <w:szCs w:val="16"/>
          <w:u w:val="single" w:color="auto"/>
          <w:color w:val="auto"/>
        </w:rPr>
        <w:t>Section 2.05(a)</w:t>
      </w:r>
      <w:r>
        <w:rPr>
          <w:rFonts w:ascii="Arial" w:cs="Arial" w:eastAsia="Arial" w:hAnsi="Arial"/>
          <w:sz w:val="16"/>
          <w:szCs w:val="16"/>
          <w:color w:val="auto"/>
        </w:rPr>
        <w:t xml:space="preserve"> of the First Lien Credit Agreement and (2) all permanent voluntary reductions or terminations of Revolving Credit Commitments (as defined in the First Lien Credit Agreement) pursuant to </w:t>
      </w:r>
      <w:r>
        <w:rPr>
          <w:rFonts w:ascii="Arial" w:cs="Arial" w:eastAsia="Arial" w:hAnsi="Arial"/>
          <w:sz w:val="16"/>
          <w:szCs w:val="16"/>
          <w:u w:val="single" w:color="auto"/>
          <w:color w:val="auto"/>
        </w:rPr>
        <w:t>Section 2.06(a)</w:t>
      </w:r>
      <w:r>
        <w:rPr>
          <w:rFonts w:ascii="Arial" w:cs="Arial" w:eastAsia="Arial" w:hAnsi="Arial"/>
          <w:sz w:val="16"/>
          <w:szCs w:val="16"/>
          <w:color w:val="auto"/>
        </w:rPr>
        <w:t xml:space="preserve"> of the First Lien Credit Agreement, except to the extent, in each case, financed with long term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immediately after giving effect to such Incremental Increase incurred pursuant to clause (A) above, as of the Increase Effective Date, the Borrower shall be in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compliance (after giving effect to the incurrence of such Incremental Increase incurred pursuant to clause (A) above and the use of proceeds thereof, but disregarding any cash constituting proceeds of such Incremental Increase incurred pursuant to clause (A) above solely for purposes of determining the Consolidated Secured Leverage Ratio in connection with this </w:t>
      </w:r>
      <w:r>
        <w:rPr>
          <w:rFonts w:ascii="Arial" w:cs="Arial" w:eastAsia="Arial" w:hAnsi="Arial"/>
          <w:sz w:val="16"/>
          <w:szCs w:val="16"/>
          <w:u w:val="single" w:color="auto"/>
          <w:color w:val="auto"/>
        </w:rPr>
        <w:t>clause (i)</w:t>
      </w:r>
      <w:r>
        <w:rPr>
          <w:rFonts w:ascii="Arial" w:cs="Arial" w:eastAsia="Arial" w:hAnsi="Arial"/>
          <w:sz w:val="16"/>
          <w:szCs w:val="16"/>
          <w:color w:val="auto"/>
        </w:rPr>
        <w:t>) with, in the case of any Incremental Term Loan incurred after the Closing Date pursuant to clause (A) above, a Consolidated Secured Leverage Ratio of not more than 4.00 to 1.00;</w:t>
      </w:r>
    </w:p>
    <w:p>
      <w:pPr>
        <w:spacing w:after="0" w:line="61" w:lineRule="exact"/>
        <w:rPr>
          <w:rFonts w:ascii="Arial" w:cs="Arial" w:eastAsia="Arial" w:hAnsi="Arial"/>
          <w:sz w:val="16"/>
          <w:szCs w:val="16"/>
          <w:color w:val="auto"/>
        </w:rPr>
      </w:pPr>
    </w:p>
    <w:p>
      <w:pPr>
        <w:ind w:left="1300" w:hanging="397"/>
        <w:spacing w:after="0"/>
        <w:tabs>
          <w:tab w:leader="none" w:pos="1300" w:val="left"/>
        </w:tabs>
        <w:numPr>
          <w:ilvl w:val="1"/>
          <w:numId w:val="74"/>
        </w:numPr>
        <w:rPr>
          <w:rFonts w:ascii="Arial" w:cs="Arial" w:eastAsia="Arial" w:hAnsi="Arial"/>
          <w:sz w:val="17"/>
          <w:szCs w:val="17"/>
          <w:color w:val="auto"/>
        </w:rPr>
      </w:pPr>
      <w:r>
        <w:rPr>
          <w:rFonts w:ascii="Arial" w:cs="Arial" w:eastAsia="Arial" w:hAnsi="Arial"/>
          <w:sz w:val="17"/>
          <w:szCs w:val="17"/>
          <w:color w:val="auto"/>
        </w:rPr>
        <w:t>unless the Administrative Agent otherwise agrees, any such request for an Incremental Increase shall be in a minimum amount of</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$25,000,000 (or a lesser amount in the event such amount represents all remaining availability under this Section);</w:t>
      </w:r>
    </w:p>
    <w:p>
      <w:pPr>
        <w:spacing w:after="0" w:line="103" w:lineRule="exact"/>
        <w:rPr>
          <w:sz w:val="20"/>
          <w:szCs w:val="20"/>
          <w:color w:val="auto"/>
        </w:rPr>
      </w:pPr>
    </w:p>
    <w:p>
      <w:pPr>
        <w:ind w:left="1360" w:hanging="457"/>
        <w:spacing w:after="0"/>
        <w:tabs>
          <w:tab w:leader="none" w:pos="13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60" w:right="540" w:firstLine="443"/>
        <w:spacing w:after="0" w:line="277" w:lineRule="auto"/>
        <w:tabs>
          <w:tab w:leader="none" w:pos="1338"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 Incremental Term Loan shall mature earlier than the Latest Maturity Date then in effect or have a shorter weighted average life to maturity than the remaining weighted average life to maturity of any then-existing series of Term Loans;</w:t>
      </w:r>
    </w:p>
    <w:p>
      <w:pPr>
        <w:spacing w:after="0" w:line="62" w:lineRule="exact"/>
        <w:rPr>
          <w:rFonts w:ascii="Arial" w:cs="Arial" w:eastAsia="Arial" w:hAnsi="Arial"/>
          <w:sz w:val="18"/>
          <w:szCs w:val="18"/>
          <w:color w:val="auto"/>
        </w:rPr>
      </w:pPr>
    </w:p>
    <w:p>
      <w:pPr>
        <w:ind w:left="460" w:right="140" w:firstLine="443"/>
        <w:spacing w:after="0" w:line="273" w:lineRule="auto"/>
        <w:tabs>
          <w:tab w:leader="none" w:pos="1288"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each Incremental Term Loan shall (A)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 right of payment, prepayment, voting and/or security with the then-existing Term Loans, including sharing in mandatory prepayments under </w:t>
      </w:r>
      <w:r>
        <w:rPr>
          <w:rFonts w:ascii="Arial" w:cs="Arial" w:eastAsia="Arial" w:hAnsi="Arial"/>
          <w:sz w:val="17"/>
          <w:szCs w:val="17"/>
          <w:u w:val="single" w:color="auto"/>
          <w:color w:val="auto"/>
        </w:rPr>
        <w:t>Section 2.05(b)</w:t>
      </w:r>
      <w:r>
        <w:rPr>
          <w:rFonts w:ascii="Arial" w:cs="Arial" w:eastAsia="Arial" w:hAnsi="Arial"/>
          <w:sz w:val="17"/>
          <w:szCs w:val="17"/>
          <w:color w:val="auto"/>
        </w:rPr>
        <w:t xml:space="preserv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with the then-existing Term Loans (unless agreed to be paid on a basis less than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with the then-existing Term Loans by the Lenders providing such Incremental Term Loans) and (B) shall have an Applicable Rate or pricing grid as determined by the Lenders providing such Incremental Term Loans and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Weighted Average Yield applicable to the Incremental Term Loans made pursuant to this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exceeds the Weighted Average Yield for any then-existing Term Loans by more than 50 basis points per annum (such amount in excess of 50 basis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65" w:name="page66"/>
    <w:bookmarkEnd w:id="65"/>
    <w:p>
      <w:pPr>
        <w:ind w:left="420"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points, hereafter referred to as the “</w:t>
      </w:r>
      <w:r>
        <w:rPr>
          <w:rFonts w:ascii="Arial" w:cs="Arial" w:eastAsia="Arial" w:hAnsi="Arial"/>
          <w:sz w:val="17"/>
          <w:szCs w:val="17"/>
          <w:u w:val="single" w:color="auto"/>
          <w:color w:val="auto"/>
        </w:rPr>
        <w:t>Incremental Excess Yield</w:t>
      </w:r>
      <w:r>
        <w:rPr>
          <w:rFonts w:ascii="Arial" w:cs="Arial" w:eastAsia="Arial" w:hAnsi="Arial"/>
          <w:sz w:val="17"/>
          <w:szCs w:val="17"/>
          <w:color w:val="auto"/>
        </w:rPr>
        <w:t xml:space="preserve">”), then the Weighted Average Yield with respect to any applicable then-existing Term Loans shall be increased by the Incremental Excess Yield (it being understood that any increase in the Weighted Average Yield of any then-existing Term Loans, may (A) take the form of upfront fees or original issue discount, with such upfront fees or original issue discount being equated to interest margins in a manner determined by the Administrative Agent and consistent with generally accepted financial practice based on an assumed four-year life to maturity or (B) be accomplished by a combination of an increase in the weighted average interest rates, interest rate floors and/or upfront fees or original issue discount) of such Incremental Term Loans made pursuant to this </w:t>
      </w:r>
      <w:r>
        <w:rPr>
          <w:rFonts w:ascii="Arial" w:cs="Arial" w:eastAsia="Arial" w:hAnsi="Arial"/>
          <w:sz w:val="17"/>
          <w:szCs w:val="17"/>
          <w:u w:val="single" w:color="auto"/>
          <w:color w:val="auto"/>
        </w:rPr>
        <w:t>Section 2.14</w:t>
      </w:r>
      <w:r>
        <w:rPr>
          <w:rFonts w:ascii="Arial" w:cs="Arial" w:eastAsia="Arial" w:hAnsi="Arial"/>
          <w:sz w:val="17"/>
          <w:szCs w:val="17"/>
          <w:color w:val="auto"/>
        </w:rPr>
        <w:t>;</w:t>
      </w:r>
    </w:p>
    <w:p>
      <w:pPr>
        <w:spacing w:after="0" w:line="70" w:lineRule="exact"/>
        <w:rPr>
          <w:sz w:val="20"/>
          <w:szCs w:val="20"/>
          <w:color w:val="auto"/>
        </w:rPr>
      </w:pPr>
    </w:p>
    <w:p>
      <w:pPr>
        <w:ind w:left="420" w:right="80" w:firstLine="443"/>
        <w:spacing w:after="0" w:line="257" w:lineRule="auto"/>
        <w:tabs>
          <w:tab w:leader="none" w:pos="1298" w:val="left"/>
        </w:tabs>
        <w:numPr>
          <w:ilvl w:val="1"/>
          <w:numId w:val="76"/>
        </w:numPr>
        <w:rPr>
          <w:rFonts w:ascii="Arial" w:cs="Arial" w:eastAsia="Arial" w:hAnsi="Arial"/>
          <w:sz w:val="18"/>
          <w:szCs w:val="18"/>
          <w:color w:val="auto"/>
        </w:rPr>
      </w:pPr>
      <w:r>
        <w:rPr>
          <w:rFonts w:ascii="Arial" w:cs="Arial" w:eastAsia="Arial" w:hAnsi="Arial"/>
          <w:sz w:val="18"/>
          <w:szCs w:val="18"/>
          <w:color w:val="auto"/>
        </w:rPr>
        <w:t xml:space="preserve">both before and immediately after giving effect to such Incremental Increase, as of the Increase Effective Date, no Default or Event of Default shall exist and be continuing;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connection with any Incremental Increase which is being used to finance a Limited Condition Transaction, this clause (vi) may, at the Borrower’s option, be tested at the time the definitive agreements for such Limited Condition Transaction are entered into rather than at the time of incurrence of the Incremental Term Loans so long as no Event of Default described in Section 8.01(a) or (j) shall exist and be continuing at the time of incurrence of the Incremental Term Loans;</w:t>
      </w:r>
    </w:p>
    <w:p>
      <w:pPr>
        <w:spacing w:after="0" w:line="80" w:lineRule="exact"/>
        <w:rPr>
          <w:rFonts w:ascii="Arial" w:cs="Arial" w:eastAsia="Arial" w:hAnsi="Arial"/>
          <w:sz w:val="18"/>
          <w:szCs w:val="18"/>
          <w:color w:val="auto"/>
        </w:rPr>
      </w:pPr>
    </w:p>
    <w:p>
      <w:pPr>
        <w:ind w:left="1360" w:hanging="497"/>
        <w:spacing w:after="0"/>
        <w:tabs>
          <w:tab w:leader="none" w:pos="13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20" w:firstLine="443"/>
        <w:spacing w:after="0" w:line="270" w:lineRule="auto"/>
        <w:tabs>
          <w:tab w:leader="none" w:pos="1398" w:val="left"/>
        </w:tabs>
        <w:numPr>
          <w:ilvl w:val="1"/>
          <w:numId w:val="76"/>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the Borrower and each other Loan Party contained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or any other Loan Document, or which are contained in any document furnished at any time under or in connection herewith or therewith, shall be true and correct in all material respects (or, with respect to representations and warranties modified by a materiality or Material Adverse Effect standard, in all respects) on and as of the Increase Effective Date, except to the extent that such representations and warranties specifically refer to an earlier date, in which case they are true and correct in all material respects (or, with respect to representations and warranties modified by a materiality or Material Adverse Effect standard, in all respects) as of such earlier date, and except that for purposes of this </w:t>
      </w:r>
      <w:r>
        <w:rPr>
          <w:rFonts w:ascii="Arial" w:cs="Arial" w:eastAsia="Arial" w:hAnsi="Arial"/>
          <w:sz w:val="17"/>
          <w:szCs w:val="17"/>
          <w:u w:val="single" w:color="auto"/>
          <w:color w:val="auto"/>
        </w:rPr>
        <w:t>clause (a)(viii)</w:t>
      </w:r>
      <w:r>
        <w:rPr>
          <w:rFonts w:ascii="Arial" w:cs="Arial" w:eastAsia="Arial" w:hAnsi="Arial"/>
          <w:sz w:val="17"/>
          <w:szCs w:val="17"/>
          <w:color w:val="auto"/>
        </w:rPr>
        <w:t xml:space="preserve">, the representations and warranties contained in </w:t>
      </w:r>
      <w:r>
        <w:rPr>
          <w:rFonts w:ascii="Arial" w:cs="Arial" w:eastAsia="Arial" w:hAnsi="Arial"/>
          <w:sz w:val="17"/>
          <w:szCs w:val="17"/>
          <w:u w:val="single" w:color="auto"/>
          <w:color w:val="auto"/>
        </w:rPr>
        <w:t>Sections 5.05(a)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shall be deemed to refer to the most recent statements furnished pursuant to </w:t>
      </w:r>
      <w:r>
        <w:rPr>
          <w:rFonts w:ascii="Arial" w:cs="Arial" w:eastAsia="Arial" w:hAnsi="Arial"/>
          <w:sz w:val="17"/>
          <w:szCs w:val="17"/>
          <w:u w:val="single" w:color="auto"/>
          <w:color w:val="auto"/>
        </w:rPr>
        <w:t>Sections 6.01(a)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respectively;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satisfying this clause (a)(viii), only the Specified Representations shall be required to be true and correct in all material respects (or, with respect to Specified Representations modified by a materiality or Material Adverse Effect standard, in all respects) to the extent the proceeds of such Incremental Term Loans are used to consummate a Limited Condition Transaction;</w:t>
      </w:r>
    </w:p>
    <w:p>
      <w:pPr>
        <w:spacing w:after="0" w:line="69" w:lineRule="exact"/>
        <w:rPr>
          <w:rFonts w:ascii="Arial" w:cs="Arial" w:eastAsia="Arial" w:hAnsi="Arial"/>
          <w:sz w:val="17"/>
          <w:szCs w:val="17"/>
          <w:color w:val="auto"/>
        </w:rPr>
      </w:pPr>
    </w:p>
    <w:p>
      <w:pPr>
        <w:ind w:left="420" w:right="100" w:firstLine="443"/>
        <w:spacing w:after="0" w:line="257" w:lineRule="auto"/>
        <w:tabs>
          <w:tab w:leader="none" w:pos="1298" w:val="left"/>
        </w:tabs>
        <w:numPr>
          <w:ilvl w:val="1"/>
          <w:numId w:val="76"/>
        </w:numPr>
        <w:rPr>
          <w:rFonts w:ascii="Arial" w:cs="Arial" w:eastAsia="Arial" w:hAnsi="Arial"/>
          <w:sz w:val="18"/>
          <w:szCs w:val="18"/>
          <w:color w:val="auto"/>
        </w:rPr>
      </w:pPr>
      <w:r>
        <w:rPr>
          <w:rFonts w:ascii="Arial" w:cs="Arial" w:eastAsia="Arial" w:hAnsi="Arial"/>
          <w:sz w:val="18"/>
          <w:szCs w:val="18"/>
          <w:color w:val="auto"/>
        </w:rPr>
        <w:t>except as provided above, all other terms and conditions applicable to any Incremental Term Loans, to the extent not consistent with the terms and conditions applicable to the Initial Term Loans, shall be reasonably satisfactory to the Administrative Agent, the applicable Lenders providing such Incremental Term Loan and the Borrower (it being understood that if any terms taken as a whole are adverse to the interests of the existing Lenders, as reasonably determined by the Administrative Agent, then that shall constitute a reasonable basis for the Administrative Agent not to be satisfied with such terms); and</w:t>
      </w:r>
    </w:p>
    <w:p>
      <w:pPr>
        <w:spacing w:after="0" w:line="80" w:lineRule="exact"/>
        <w:rPr>
          <w:rFonts w:ascii="Arial" w:cs="Arial" w:eastAsia="Arial" w:hAnsi="Arial"/>
          <w:sz w:val="18"/>
          <w:szCs w:val="18"/>
          <w:color w:val="auto"/>
        </w:rPr>
      </w:pPr>
    </w:p>
    <w:p>
      <w:pPr>
        <w:ind w:left="420" w:right="580" w:firstLine="443"/>
        <w:spacing w:after="0" w:line="308" w:lineRule="auto"/>
        <w:tabs>
          <w:tab w:leader="none" w:pos="1248" w:val="left"/>
        </w:tabs>
        <w:numPr>
          <w:ilvl w:val="1"/>
          <w:numId w:val="76"/>
        </w:numPr>
        <w:rPr>
          <w:rFonts w:ascii="Arial" w:cs="Arial" w:eastAsia="Arial" w:hAnsi="Arial"/>
          <w:sz w:val="17"/>
          <w:szCs w:val="17"/>
          <w:color w:val="auto"/>
        </w:rPr>
      </w:pPr>
      <w:r>
        <w:rPr>
          <w:rFonts w:ascii="Arial" w:cs="Arial" w:eastAsia="Arial" w:hAnsi="Arial"/>
          <w:sz w:val="17"/>
          <w:szCs w:val="17"/>
          <w:color w:val="auto"/>
        </w:rPr>
        <w:t xml:space="preserve">each Incremental Increase shall constitute Obligations hereunder and shall be guaranteed and secured pursuant to the Guarantee and Collateral Agreement and the other Collateral Documents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with the other Obligations hereunder.</w:t>
      </w:r>
    </w:p>
    <w:p>
      <w:pPr>
        <w:spacing w:after="0" w:line="146" w:lineRule="exact"/>
        <w:rPr>
          <w:rFonts w:ascii="Arial" w:cs="Arial" w:eastAsia="Arial" w:hAnsi="Arial"/>
          <w:sz w:val="17"/>
          <w:szCs w:val="17"/>
          <w:color w:val="auto"/>
        </w:rPr>
      </w:pPr>
    </w:p>
    <w:p>
      <w:pPr>
        <w:ind w:left="-40" w:right="80" w:firstLine="464"/>
        <w:spacing w:after="0" w:line="270" w:lineRule="auto"/>
        <w:tabs>
          <w:tab w:leader="none" w:pos="806"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Process for Increase</w:t>
      </w:r>
      <w:r>
        <w:rPr>
          <w:rFonts w:ascii="Arial" w:cs="Arial" w:eastAsia="Arial" w:hAnsi="Arial"/>
          <w:sz w:val="17"/>
          <w:szCs w:val="17"/>
          <w:color w:val="auto"/>
        </w:rPr>
        <w:t xml:space="preserve">. Incremental Increases may be (but shall not be required to be) provided by any existing Lender, in each case on terms permitted in this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and otherwise on terms reasonably acceptable to the Borrower and the Administrative Agent, or by any other Person that qualifies as an Eligible Assignee (each such other Person, an “</w:t>
      </w:r>
      <w:r>
        <w:rPr>
          <w:rFonts w:ascii="Arial" w:cs="Arial" w:eastAsia="Arial" w:hAnsi="Arial"/>
          <w:sz w:val="17"/>
          <w:szCs w:val="17"/>
          <w:u w:val="single" w:color="auto"/>
          <w:color w:val="auto"/>
        </w:rPr>
        <w:t>Additional Lender</w:t>
      </w:r>
      <w:r>
        <w:rPr>
          <w:rFonts w:ascii="Arial" w:cs="Arial" w:eastAsia="Arial" w:hAnsi="Arial"/>
          <w:sz w:val="17"/>
          <w:szCs w:val="17"/>
          <w:color w:val="auto"/>
        </w:rPr>
        <w:t xml:space="preserve">”) pursuant to a joinder agreement in form and substance reasonably satisfactory to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shall have consented (in each case, such consent not to be unreasonably withheld, delayed or conditioned) to each proposed Additional Lender providing such Incremental Increase to the extent the Administrative Agent would be required to consent to an assignment to such Additional Lender pursuant to </w:t>
      </w:r>
      <w:r>
        <w:rPr>
          <w:rFonts w:ascii="Arial" w:cs="Arial" w:eastAsia="Arial" w:hAnsi="Arial"/>
          <w:sz w:val="17"/>
          <w:szCs w:val="17"/>
          <w:u w:val="single" w:color="auto"/>
          <w:color w:val="auto"/>
        </w:rPr>
        <w:t>Section 10.06(b)(iii)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Borrower shall not be required to offer or accept commitments from existing Lenders for any Incremental Increase. No Lender shall have any obligation to increase its Term Commitment or Term Loans or participate in any Incremental Term Loan, as the case may be, and no consent of any Lender, other than the Lenders agreeing to provide any portion of an Incremental Increase, shall be required to effectuate such Incremental Increase.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280" w:top="274" w:right="279" w:bottom="1440" w:gutter="0" w:footer="0" w:header="0"/>
        </w:sectPr>
      </w:pPr>
    </w:p>
    <w:bookmarkStart w:id="66" w:name="page67"/>
    <w:bookmarkEnd w:id="66"/>
    <w:p>
      <w:pPr>
        <w:ind w:left="-8" w:right="100" w:firstLine="464"/>
        <w:spacing w:after="0" w:line="259" w:lineRule="auto"/>
        <w:tabs>
          <w:tab w:leader="none" w:pos="828"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Effective Date and Allocations</w:t>
      </w:r>
      <w:r>
        <w:rPr>
          <w:rFonts w:ascii="Arial" w:cs="Arial" w:eastAsia="Arial" w:hAnsi="Arial"/>
          <w:sz w:val="18"/>
          <w:szCs w:val="18"/>
          <w:color w:val="auto"/>
        </w:rPr>
        <w:t>. The Administrative Agent and the Borrower shall determine the effective date of any Incremental Increase (the “</w:t>
      </w:r>
      <w:r>
        <w:rPr>
          <w:rFonts w:ascii="Arial" w:cs="Arial" w:eastAsia="Arial" w:hAnsi="Arial"/>
          <w:sz w:val="18"/>
          <w:szCs w:val="18"/>
          <w:u w:val="single" w:color="auto"/>
          <w:color w:val="auto"/>
        </w:rPr>
        <w:t>Increase Effective Date</w:t>
      </w:r>
      <w:r>
        <w:rPr>
          <w:rFonts w:ascii="Arial" w:cs="Arial" w:eastAsia="Arial" w:hAnsi="Arial"/>
          <w:sz w:val="18"/>
          <w:szCs w:val="18"/>
          <w:color w:val="auto"/>
        </w:rPr>
        <w:t>”), which shall be a date not less than 10 Business Days after the date on which such notice is delivered to the Administrative Agent. The Administrative Agent shall promptly notify the Borrower and the Lenders of the final allocation of such Incremental Increase and the Increase Effective Date.</w:t>
      </w:r>
    </w:p>
    <w:p>
      <w:pPr>
        <w:spacing w:after="0" w:line="294" w:lineRule="exact"/>
        <w:rPr>
          <w:rFonts w:ascii="Arial" w:cs="Arial" w:eastAsia="Arial" w:hAnsi="Arial"/>
          <w:sz w:val="18"/>
          <w:szCs w:val="18"/>
          <w:color w:val="auto"/>
        </w:rPr>
      </w:pPr>
    </w:p>
    <w:p>
      <w:pPr>
        <w:ind w:left="852" w:hanging="396"/>
        <w:spacing w:after="0"/>
        <w:tabs>
          <w:tab w:leader="none" w:pos="852"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Conditions to Effectiveness of Increase</w:t>
      </w:r>
      <w:r>
        <w:rPr>
          <w:rFonts w:ascii="Arial" w:cs="Arial" w:eastAsia="Arial" w:hAnsi="Arial"/>
          <w:sz w:val="18"/>
          <w:szCs w:val="18"/>
          <w:color w:val="auto"/>
        </w:rPr>
        <w:t>.</w:t>
      </w:r>
    </w:p>
    <w:p>
      <w:pPr>
        <w:spacing w:after="0" w:line="117" w:lineRule="exact"/>
        <w:rPr>
          <w:sz w:val="20"/>
          <w:szCs w:val="20"/>
          <w:color w:val="auto"/>
        </w:rPr>
      </w:pPr>
    </w:p>
    <w:p>
      <w:pPr>
        <w:ind w:left="-8" w:right="40" w:firstLine="464"/>
        <w:spacing w:after="0" w:line="288" w:lineRule="auto"/>
        <w:tabs>
          <w:tab w:leader="none" w:pos="788" w:val="left"/>
        </w:tabs>
        <w:numPr>
          <w:ilvl w:val="1"/>
          <w:numId w:val="79"/>
        </w:numPr>
        <w:rPr>
          <w:rFonts w:ascii="Arial" w:cs="Arial" w:eastAsia="Arial" w:hAnsi="Arial"/>
          <w:sz w:val="16"/>
          <w:szCs w:val="16"/>
          <w:color w:val="auto"/>
        </w:rPr>
      </w:pPr>
      <w:r>
        <w:rPr>
          <w:rFonts w:ascii="Arial" w:cs="Arial" w:eastAsia="Arial" w:hAnsi="Arial"/>
          <w:sz w:val="16"/>
          <w:szCs w:val="16"/>
          <w:color w:val="auto"/>
        </w:rPr>
        <w:t>As a condition precedent to each Incremental Increase, the Borrower shall deliver to the Administrative Agent a certificate of the Borrower and, if reasonably determined by the Administrative Agent to be necessary or desirable under applicable Laws with respect to the Guarantee and Collateral Agreement of a Guarantor, of each such Guarantor, dated as of the Increase Effective Date, signed by a Responsible Officer of the Borrower or Guarantor and</w:t>
      </w:r>
    </w:p>
    <w:p>
      <w:pPr>
        <w:ind w:left="-8" w:firstLine="8"/>
        <w:spacing w:after="0" w:line="284" w:lineRule="auto"/>
        <w:tabs>
          <w:tab w:leader="none" w:pos="287"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certifying and attaching the resolutions adopted by the Borrower or Guarantor approving or consenting to such Incremental Increase (which, with respect to any such Loan Party, may, if applicable, be the resolutions entered into by such Loan Party in connection with the incurrence of the Obligations on the Closing Date) and (B) certifying that (1) both before and immediately after giving effect to such Incremental Increase, as of the Increase Effective Date no Default or Event of Default shall exist and be continuing (or, to the extent such Incremental Increase is obtained in connection with a Limited Condition Transaction, at the Borrower’s option, as of the date the definitive agreements for such Limited Condition Transaction are entered into, no Default or Event of Default existed and, as of the Increase Effective Date, no Event of Default under </w:t>
      </w:r>
      <w:r>
        <w:rPr>
          <w:rFonts w:ascii="Arial" w:cs="Arial" w:eastAsia="Arial" w:hAnsi="Arial"/>
          <w:sz w:val="16"/>
          <w:szCs w:val="16"/>
          <w:u w:val="single" w:color="auto"/>
          <w:color w:val="auto"/>
        </w:rPr>
        <w:t>Section 8.01(a)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(j)</w:t>
      </w:r>
      <w:r>
        <w:rPr>
          <w:rFonts w:ascii="Arial" w:cs="Arial" w:eastAsia="Arial" w:hAnsi="Arial"/>
          <w:sz w:val="16"/>
          <w:szCs w:val="16"/>
          <w:color w:val="auto"/>
        </w:rPr>
        <w:t xml:space="preserve"> exists and is continuing), (2) immediately after giving effect to such Incremental Increase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(after giving effect to the incurrence of such Incremental Increase and the use of proceeds thereof, but disregarding any cash constituting proceeds of such Incremental Increase solely for purposes of determining the Consolidated Net Leverage Ratio in connection with this clause (2)), as of the Increase Effective Date, the Consolidated Net Leverage Ratio shall not exceed 4.77 and (3) the representations and warranties of the Borrower and each other Loan Party contained in Article V or any other Loan Document, or which are contained in any document furnished at any time under or in connection herewith or therewith, are true and correct in all material respects (or, with respect to representations and warranties modified by a materiality or Material Adverse Effect standard, in all respects) on and as of the Increase Effective Date, except to the extent that such representations and warranties specifically refer to an earlier date, in which case they are true and correct in all material respects (or, with respect to representations and warranties modified by a materiality or Material Adverse Effect standard, in all respects) as of such earlier date, and except that for purposes of this clause (i)(B)(3), the representations and warranties contained in Sections 5.05(a) and (b) shall be deemed to refer to the most recent statements furnished pursuant to Sections 6.01(a) and (b), respectively;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connection with a Limited Condition Transaction, the Responsible Officer shall only be required to make the certifications in this clause (3) with respect to the Specified Representations. In addition, as a condition precedent to each Incremental Increase, the Borrower shall deliver or cause to be delivered such other officer’s certificates, Organization Documents and legal opinions of the type delivered on the Closing Date as are reasonably requested by, and in form and substance reasonably satisfactory to, the Administrative Agent.</w:t>
      </w:r>
    </w:p>
    <w:p>
      <w:pPr>
        <w:spacing w:after="0" w:line="170" w:lineRule="exact"/>
        <w:rPr>
          <w:rFonts w:ascii="Arial" w:cs="Arial" w:eastAsia="Arial" w:hAnsi="Arial"/>
          <w:sz w:val="16"/>
          <w:szCs w:val="16"/>
          <w:color w:val="auto"/>
        </w:rPr>
      </w:pPr>
    </w:p>
    <w:p>
      <w:pPr>
        <w:ind w:left="852" w:hanging="396"/>
        <w:spacing w:after="0"/>
        <w:tabs>
          <w:tab w:leader="none" w:pos="852" w:val="left"/>
        </w:tabs>
        <w:numPr>
          <w:ilvl w:val="1"/>
          <w:numId w:val="8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8" w:right="60" w:firstLine="464"/>
        <w:spacing w:after="0" w:line="289" w:lineRule="auto"/>
        <w:tabs>
          <w:tab w:leader="none" w:pos="895" w:val="left"/>
        </w:tabs>
        <w:numPr>
          <w:ilvl w:val="1"/>
          <w:numId w:val="80"/>
        </w:numPr>
        <w:rPr>
          <w:rFonts w:ascii="Arial" w:cs="Arial" w:eastAsia="Arial" w:hAnsi="Arial"/>
          <w:sz w:val="16"/>
          <w:szCs w:val="16"/>
          <w:color w:val="auto"/>
        </w:rPr>
      </w:pPr>
      <w:r>
        <w:rPr>
          <w:rFonts w:ascii="Arial" w:cs="Arial" w:eastAsia="Arial" w:hAnsi="Arial"/>
          <w:sz w:val="16"/>
          <w:szCs w:val="16"/>
          <w:color w:val="auto"/>
        </w:rPr>
        <w:t xml:space="preserve">This Agreement may be amended to the extent necessary (without the need to obtain the consent of any Lender other than the Lenders providing such Incremental Increase), in form and substance reasonably satisfactory to the Administrative Agent and the Borrower, to include such terms as may be necessary or appropriate, in the opinion of the Borrower and the Administrative Agent, to effect the provisions of this Section, (including amendments to increase the amortization payments or interest rate margins thereunder or add customary call protection provisions with respect thereto to allow for the applicable Incremental Term Loans to be fungible with an existing tranche of Term Loans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terms taken as a whole are adverse to the material interests of the existing Lenders, as reasonably determined by the Administrative Agent, then that shall constitute a reasonable basis for the Administrative Agent not to be satisfied with such terms or amendment. On any Increase Effective Date on which any Incremental Increase in the form of an Incremental Term Loan is effective, subject to the satisfaction of the terms and conditions in this </w:t>
      </w:r>
      <w:r>
        <w:rPr>
          <w:rFonts w:ascii="Arial" w:cs="Arial" w:eastAsia="Arial" w:hAnsi="Arial"/>
          <w:sz w:val="16"/>
          <w:szCs w:val="16"/>
          <w:u w:val="single" w:color="auto"/>
          <w:color w:val="auto"/>
        </w:rPr>
        <w:t>Section 2.14</w:t>
      </w:r>
      <w:r>
        <w:rPr>
          <w:rFonts w:ascii="Arial" w:cs="Arial" w:eastAsia="Arial" w:hAnsi="Arial"/>
          <w:sz w:val="16"/>
          <w:szCs w:val="16"/>
          <w:color w:val="auto"/>
        </w:rPr>
        <w:t>, each Lender of such Incremental Term Loan shall make an amount equal to its commitment to such Incremental Term Loan available to the Borrower, in a manner consistent with Borrowings hereunder.</w:t>
      </w:r>
    </w:p>
    <w:p>
      <w:pPr>
        <w:spacing w:after="0" w:line="9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12"/>
          </w:cols>
          <w:pgMar w:left="248" w:top="274" w:right="239" w:bottom="1440" w:gutter="0" w:footer="0" w:header="0"/>
        </w:sectPr>
      </w:pPr>
    </w:p>
    <w:bookmarkStart w:id="67" w:name="page68"/>
    <w:bookmarkEnd w:id="67"/>
    <w:p>
      <w:pPr>
        <w:ind w:left="-80" w:right="20" w:firstLine="464"/>
        <w:spacing w:after="0" w:line="277" w:lineRule="auto"/>
        <w:tabs>
          <w:tab w:leader="none" w:pos="806" w:val="left"/>
        </w:tabs>
        <w:numPr>
          <w:ilvl w:val="0"/>
          <w:numId w:val="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a condition precedent to each Incremental Increase, all fees and expenses relating to each Incremental Increase, to the extent due and payable, shall have been paid in full.</w:t>
      </w:r>
    </w:p>
    <w:p>
      <w:pPr>
        <w:spacing w:after="0" w:line="170"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6"/>
          <w:szCs w:val="16"/>
          <w:u w:val="single" w:color="auto"/>
          <w:color w:val="auto"/>
        </w:rPr>
        <w:t>Conflicting Provisions</w:t>
      </w:r>
      <w:r>
        <w:rPr>
          <w:rFonts w:ascii="Arial" w:cs="Arial" w:eastAsia="Arial" w:hAnsi="Arial"/>
          <w:sz w:val="16"/>
          <w:szCs w:val="16"/>
          <w:color w:val="auto"/>
        </w:rPr>
        <w:t>. This Section shall supersede any provisions in</w:t>
      </w:r>
      <w:r>
        <w:rPr>
          <w:rFonts w:ascii="Arial" w:cs="Arial" w:eastAsia="Arial" w:hAnsi="Arial"/>
          <w:sz w:val="16"/>
          <w:szCs w:val="16"/>
          <w:u w:val="single" w:color="auto"/>
          <w:color w:val="auto"/>
        </w:rPr>
        <w:t xml:space="preserve"> Section 2.13 </w:t>
      </w:r>
      <w:r>
        <w:rPr>
          <w:rFonts w:ascii="Arial" w:cs="Arial" w:eastAsia="Arial" w:hAnsi="Arial"/>
          <w:sz w:val="16"/>
          <w:szCs w:val="16"/>
          <w:color w:val="auto"/>
        </w:rPr>
        <w:t>or</w:t>
      </w:r>
      <w:r>
        <w:rPr>
          <w:rFonts w:ascii="Arial" w:cs="Arial" w:eastAsia="Arial" w:hAnsi="Arial"/>
          <w:sz w:val="16"/>
          <w:szCs w:val="16"/>
          <w:u w:val="single" w:color="auto"/>
          <w:color w:val="auto"/>
        </w:rPr>
        <w:t xml:space="preserve"> 10.01 </w:t>
      </w:r>
      <w:r>
        <w:rPr>
          <w:rFonts w:ascii="Arial" w:cs="Arial" w:eastAsia="Arial" w:hAnsi="Arial"/>
          <w:sz w:val="16"/>
          <w:szCs w:val="16"/>
          <w:color w:val="auto"/>
        </w:rPr>
        <w:t>to the contrary.</w:t>
      </w:r>
    </w:p>
    <w:p>
      <w:pPr>
        <w:spacing w:after="0" w:line="333" w:lineRule="exact"/>
        <w:rPr>
          <w:sz w:val="20"/>
          <w:szCs w:val="20"/>
          <w:color w:val="auto"/>
        </w:rPr>
      </w:pPr>
    </w:p>
    <w:p>
      <w:pPr>
        <w:ind w:left="380"/>
        <w:spacing w:after="0"/>
        <w:tabs>
          <w:tab w:leader="none" w:pos="90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u w:val="single" w:color="auto"/>
          <w:color w:val="auto"/>
        </w:rPr>
        <w:t>Defaulting Lenders</w:t>
      </w:r>
      <w:r>
        <w:rPr>
          <w:rFonts w:ascii="Arial" w:cs="Arial" w:eastAsia="Arial" w:hAnsi="Arial"/>
          <w:sz w:val="16"/>
          <w:szCs w:val="16"/>
          <w:color w:val="auto"/>
        </w:rPr>
        <w:t>.</w:t>
      </w:r>
    </w:p>
    <w:p>
      <w:pPr>
        <w:spacing w:after="0" w:line="117" w:lineRule="exact"/>
        <w:rPr>
          <w:sz w:val="20"/>
          <w:szCs w:val="20"/>
          <w:color w:val="auto"/>
        </w:rPr>
      </w:pPr>
    </w:p>
    <w:p>
      <w:pPr>
        <w:ind w:left="-80" w:right="60" w:firstLine="464"/>
        <w:spacing w:after="0" w:line="277" w:lineRule="auto"/>
        <w:tabs>
          <w:tab w:leader="none" w:pos="756"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in this Agreement, if any Lender becomes a Defaulting Lender, then, until such time as that Lender is no longer a Defaulting Lender, to the extent permitted by applicable Laws:</w:t>
      </w:r>
    </w:p>
    <w:p>
      <w:pPr>
        <w:spacing w:after="0" w:line="62" w:lineRule="exact"/>
        <w:rPr>
          <w:rFonts w:ascii="Arial" w:cs="Arial" w:eastAsia="Arial" w:hAnsi="Arial"/>
          <w:sz w:val="18"/>
          <w:szCs w:val="18"/>
          <w:color w:val="auto"/>
        </w:rPr>
      </w:pPr>
    </w:p>
    <w:p>
      <w:pPr>
        <w:ind w:left="380" w:right="80" w:firstLine="443"/>
        <w:spacing w:after="0" w:line="277" w:lineRule="auto"/>
        <w:tabs>
          <w:tab w:leader="none" w:pos="1168"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xml:space="preserve">. Such Defaulting Lender’s right to approve or disapprove any amendment, waiver or consent with respect to this Agreement shall be restricted as set forth in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and in the definition of “Required Lender.”</w:t>
      </w:r>
    </w:p>
    <w:p>
      <w:pPr>
        <w:spacing w:after="0" w:line="62" w:lineRule="exact"/>
        <w:rPr>
          <w:rFonts w:ascii="Arial" w:cs="Arial" w:eastAsia="Arial" w:hAnsi="Arial"/>
          <w:sz w:val="18"/>
          <w:szCs w:val="18"/>
          <w:color w:val="auto"/>
        </w:rPr>
      </w:pPr>
    </w:p>
    <w:p>
      <w:pPr>
        <w:ind w:left="380" w:right="20" w:firstLine="443"/>
        <w:spacing w:after="0" w:line="267" w:lineRule="auto"/>
        <w:tabs>
          <w:tab w:leader="none" w:pos="1218" w:val="left"/>
        </w:tabs>
        <w:numPr>
          <w:ilvl w:val="1"/>
          <w:numId w:val="82"/>
        </w:numPr>
        <w:rPr>
          <w:rFonts w:ascii="Arial" w:cs="Arial" w:eastAsia="Arial" w:hAnsi="Arial"/>
          <w:sz w:val="17"/>
          <w:szCs w:val="17"/>
          <w:color w:val="auto"/>
        </w:rPr>
      </w:pPr>
      <w:r>
        <w:rPr>
          <w:rFonts w:ascii="Arial" w:cs="Arial" w:eastAsia="Arial" w:hAnsi="Arial"/>
          <w:sz w:val="17"/>
          <w:szCs w:val="17"/>
          <w:u w:val="single" w:color="auto"/>
          <w:color w:val="auto"/>
        </w:rPr>
        <w:t>Defaulting Lender Waterfall</w:t>
      </w:r>
      <w:r>
        <w:rPr>
          <w:rFonts w:ascii="Arial" w:cs="Arial" w:eastAsia="Arial" w:hAnsi="Arial"/>
          <w:sz w:val="17"/>
          <w:szCs w:val="17"/>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or otherwise) or received by the Administrative Agent from a Defaulting Lender pursuant to </w:t>
      </w:r>
      <w:r>
        <w:rPr>
          <w:rFonts w:ascii="Arial" w:cs="Arial" w:eastAsia="Arial" w:hAnsi="Arial"/>
          <w:sz w:val="17"/>
          <w:szCs w:val="17"/>
          <w:u w:val="single" w:color="auto"/>
          <w:color w:val="auto"/>
        </w:rPr>
        <w:t>Section 10.08</w:t>
      </w:r>
      <w:r>
        <w:rPr>
          <w:rFonts w:ascii="Arial" w:cs="Arial" w:eastAsia="Arial" w:hAnsi="Arial"/>
          <w:sz w:val="17"/>
          <w:szCs w:val="17"/>
          <w:color w:val="auto"/>
        </w:rPr>
        <w:t xml:space="preserve"> shall be applied at such time or times as may be determined by the Administrative Agent as follows: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to the payment of any amounts owing by such Defaulting Lender to the Administrative Agent hereunder;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7"/>
          <w:szCs w:val="17"/>
          <w:u w:val="single" w:color="auto"/>
          <w:color w:val="auto"/>
        </w:rPr>
        <w:t>third</w:t>
      </w:r>
      <w:r>
        <w:rPr>
          <w:rFonts w:ascii="Arial" w:cs="Arial" w:eastAsia="Arial" w:hAnsi="Arial"/>
          <w:sz w:val="17"/>
          <w:szCs w:val="17"/>
          <w:color w:val="auto"/>
        </w:rPr>
        <w:t xml:space="preserve">, if so determined by the Administrative Agent and the Borrower, to be held in a deposit account and released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in order to satisfy such Defaulting Lender’s potential future funding obligations with respect to Loans under this Agreement</w:t>
      </w:r>
      <w:r>
        <w:rPr>
          <w:rFonts w:ascii="Arial" w:cs="Arial" w:eastAsia="Arial" w:hAnsi="Arial"/>
          <w:sz w:val="17"/>
          <w:szCs w:val="17"/>
          <w:u w:val="single" w:color="auto"/>
          <w:color w:val="auto"/>
        </w:rPr>
        <w:t>; fourth</w:t>
      </w:r>
      <w:r>
        <w:rPr>
          <w:rFonts w:ascii="Arial" w:cs="Arial" w:eastAsia="Arial" w:hAnsi="Arial"/>
          <w:sz w:val="17"/>
          <w:szCs w:val="17"/>
          <w:color w:val="auto"/>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Arial" w:cs="Arial" w:eastAsia="Arial" w:hAnsi="Arial"/>
          <w:sz w:val="17"/>
          <w:szCs w:val="17"/>
          <w:u w:val="single" w:color="auto"/>
          <w:color w:val="auto"/>
        </w:rPr>
        <w:t>fifth</w:t>
      </w:r>
      <w:r>
        <w:rPr>
          <w:rFonts w:ascii="Arial" w:cs="Arial" w:eastAsia="Arial" w:hAnsi="Arial"/>
          <w:sz w:val="17"/>
          <w:szCs w:val="17"/>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7"/>
          <w:szCs w:val="17"/>
          <w:u w:val="single" w:color="auto"/>
          <w:color w:val="auto"/>
        </w:rPr>
        <w:t>sixth</w:t>
      </w:r>
      <w:r>
        <w:rPr>
          <w:rFonts w:ascii="Arial" w:cs="Arial" w:eastAsia="Arial" w:hAnsi="Arial"/>
          <w:sz w:val="17"/>
          <w:szCs w:val="17"/>
          <w:color w:val="auto"/>
        </w:rPr>
        <w:t xml:space="preserve">, to such Defaulting Lender or as otherwise directed by a court of competent jurisdiction;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payment is a payment of the principal amount of any Loans in respect of which such Defaulting Lender has not fully funded its appropriate share, such payment shall be applied solely to pay the Loans of all Non-Defaulting Lenders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prior to being applied to the payment of any Loans of such Defaulting Lender until such time as all Loans are held by the Lenders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in accordance with the Commitments hereunder. Any payments, prepayments or other amounts paid or payable to a Defaulting Lender that are applied (or held) to pay amounts owed by a Defaulting Lender pursuant to this </w:t>
      </w:r>
      <w:r>
        <w:rPr>
          <w:rFonts w:ascii="Arial" w:cs="Arial" w:eastAsia="Arial" w:hAnsi="Arial"/>
          <w:sz w:val="17"/>
          <w:szCs w:val="17"/>
          <w:u w:val="single" w:color="auto"/>
          <w:color w:val="auto"/>
        </w:rPr>
        <w:t>Section 2.15(a)(ii)</w:t>
      </w:r>
      <w:r>
        <w:rPr>
          <w:rFonts w:ascii="Arial" w:cs="Arial" w:eastAsia="Arial" w:hAnsi="Arial"/>
          <w:sz w:val="17"/>
          <w:szCs w:val="17"/>
          <w:color w:val="auto"/>
        </w:rPr>
        <w:t xml:space="preserve"> shall be deemed paid to and redirected by such Defaulting Lender, and each Lender irrevocably consents hereto.</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TAXES, YIELD PROTECTION AND ILLEGALITY</w:t>
      </w:r>
    </w:p>
    <w:p>
      <w:pPr>
        <w:spacing w:after="0" w:line="211" w:lineRule="exact"/>
        <w:rPr>
          <w:sz w:val="20"/>
          <w:szCs w:val="20"/>
          <w:color w:val="auto"/>
        </w:rPr>
      </w:pPr>
    </w:p>
    <w:p>
      <w:pPr>
        <w:ind w:left="380"/>
        <w:spacing w:after="0"/>
        <w:tabs>
          <w:tab w:leader="none" w:pos="900" w:val="left"/>
        </w:tabs>
        <w:rPr>
          <w:sz w:val="20"/>
          <w:szCs w:val="20"/>
          <w:color w:val="auto"/>
        </w:rPr>
      </w:pPr>
      <w:r>
        <w:rPr>
          <w:rFonts w:ascii="Arial" w:cs="Arial" w:eastAsia="Arial" w:hAnsi="Arial"/>
          <w:sz w:val="18"/>
          <w:szCs w:val="18"/>
          <w:color w:val="auto"/>
        </w:rPr>
        <w:t>3.01.</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117" w:lineRule="exact"/>
        <w:rPr>
          <w:sz w:val="20"/>
          <w:szCs w:val="20"/>
          <w:color w:val="auto"/>
        </w:rPr>
      </w:pPr>
    </w:p>
    <w:p>
      <w:pPr>
        <w:ind w:left="760" w:hanging="376"/>
        <w:spacing w:after="0"/>
        <w:tabs>
          <w:tab w:leader="none" w:pos="76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Payments Free of Taxes; Obligation to Withhold; Payments on Account of Taxes</w:t>
      </w:r>
      <w:r>
        <w:rPr>
          <w:rFonts w:ascii="Arial" w:cs="Arial" w:eastAsia="Arial" w:hAnsi="Arial"/>
          <w:sz w:val="18"/>
          <w:szCs w:val="18"/>
          <w:color w:val="auto"/>
        </w:rPr>
        <w:t>.</w:t>
      </w:r>
    </w:p>
    <w:p>
      <w:pPr>
        <w:spacing w:after="0" w:line="117" w:lineRule="exact"/>
        <w:rPr>
          <w:sz w:val="20"/>
          <w:szCs w:val="20"/>
          <w:color w:val="auto"/>
        </w:rPr>
      </w:pPr>
    </w:p>
    <w:p>
      <w:pPr>
        <w:ind w:left="-80" w:firstLine="464"/>
        <w:spacing w:after="0" w:line="277" w:lineRule="auto"/>
        <w:tabs>
          <w:tab w:leader="none" w:pos="716" w:val="left"/>
        </w:tabs>
        <w:numPr>
          <w:ilvl w:val="0"/>
          <w:numId w:val="84"/>
        </w:numPr>
        <w:rPr>
          <w:rFonts w:ascii="Arial" w:cs="Arial" w:eastAsia="Arial" w:hAnsi="Arial"/>
          <w:sz w:val="18"/>
          <w:szCs w:val="18"/>
          <w:color w:val="auto"/>
        </w:rPr>
      </w:pPr>
      <w:r>
        <w:rPr>
          <w:rFonts w:ascii="Arial" w:cs="Arial" w:eastAsia="Arial" w:hAnsi="Arial"/>
          <w:sz w:val="18"/>
          <w:szCs w:val="18"/>
          <w:color w:val="auto"/>
        </w:rPr>
        <w:t>All payments by or on account of any obligation of any Loan Party under any Loan Document shall be made without deduction or withholding for any Taxes, except as required by applicable Laws.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80"/>
          </w:cols>
          <w:pgMar w:left="320" w:top="274" w:right="299" w:bottom="1440" w:gutter="0" w:footer="0" w:header="0"/>
        </w:sectPr>
      </w:pPr>
    </w:p>
    <w:bookmarkStart w:id="68" w:name="page69"/>
    <w:bookmarkEnd w:id="68"/>
    <w:p>
      <w:pPr>
        <w:ind w:right="80" w:firstLine="464"/>
        <w:spacing w:after="0" w:line="272" w:lineRule="auto"/>
        <w:tabs>
          <w:tab w:leader="none" w:pos="856" w:val="left"/>
        </w:tabs>
        <w:numPr>
          <w:ilvl w:val="0"/>
          <w:numId w:val="8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any applicable withholding agent shall be required by any applicable Laws to withhold or deduct any Taxes from any payment on account of any obligation of any Loan Party under any Loan Document, then (A) such applicable withholding agent, as required by such Laws, shall withhold or make such deductions pursuant to applicable Laws, (B) such applicable withholding agent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and withholdings applicable to additional sums payable under this Section 3.01) each applicable Recipient receives an amount equal to the sum it would have received had no such withholding or deduction been made.</w:t>
      </w:r>
    </w:p>
    <w:p>
      <w:pPr>
        <w:spacing w:after="0" w:line="178" w:lineRule="exact"/>
        <w:rPr>
          <w:sz w:val="20"/>
          <w:szCs w:val="20"/>
          <w:color w:val="auto"/>
        </w:rPr>
      </w:pPr>
    </w:p>
    <w:p>
      <w:pPr>
        <w:jc w:val="both"/>
        <w:ind w:right="160" w:firstLine="464"/>
        <w:spacing w:after="0" w:line="264" w:lineRule="auto"/>
        <w:tabs>
          <w:tab w:leader="none" w:pos="846"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Borrower</w:t>
      </w:r>
      <w:r>
        <w:rPr>
          <w:rFonts w:ascii="Arial" w:cs="Arial" w:eastAsia="Arial" w:hAnsi="Arial"/>
          <w:sz w:val="18"/>
          <w:szCs w:val="18"/>
          <w:color w:val="auto"/>
        </w:rPr>
        <w:t xml:space="preserve">. Without limiting the provisions of </w:t>
      </w:r>
      <w:r>
        <w:rPr>
          <w:rFonts w:ascii="Arial" w:cs="Arial" w:eastAsia="Arial" w:hAnsi="Arial"/>
          <w:sz w:val="18"/>
          <w:szCs w:val="18"/>
          <w:u w:val="single" w:color="auto"/>
          <w:color w:val="auto"/>
        </w:rPr>
        <w:t>subsection (a)</w:t>
      </w:r>
      <w:r>
        <w:rPr>
          <w:rFonts w:ascii="Arial" w:cs="Arial" w:eastAsia="Arial" w:hAnsi="Arial"/>
          <w:sz w:val="18"/>
          <w:szCs w:val="18"/>
          <w:color w:val="auto"/>
        </w:rPr>
        <w:t xml:space="preserve"> above, the Borrower shall timely pay to the relevant Governmental Authority in accordance with applicable Laws, or at the option of the Administrative Agent timely reimburse it for the payment of, any Other Taxes.</w:t>
      </w:r>
    </w:p>
    <w:p>
      <w:pPr>
        <w:spacing w:after="0" w:line="289" w:lineRule="exact"/>
        <w:rPr>
          <w:rFonts w:ascii="Arial" w:cs="Arial" w:eastAsia="Arial" w:hAnsi="Arial"/>
          <w:sz w:val="18"/>
          <w:szCs w:val="18"/>
          <w:color w:val="auto"/>
        </w:rPr>
      </w:pPr>
    </w:p>
    <w:p>
      <w:pPr>
        <w:ind w:left="840" w:hanging="376"/>
        <w:spacing w:after="0"/>
        <w:tabs>
          <w:tab w:leader="none" w:pos="84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Tax Indemnifications</w:t>
      </w:r>
      <w:r>
        <w:rPr>
          <w:rFonts w:ascii="Arial" w:cs="Arial" w:eastAsia="Arial" w:hAnsi="Arial"/>
          <w:sz w:val="18"/>
          <w:szCs w:val="18"/>
          <w:color w:val="auto"/>
        </w:rPr>
        <w:t>.</w:t>
      </w:r>
    </w:p>
    <w:p>
      <w:pPr>
        <w:spacing w:after="0" w:line="117"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 xml:space="preserve">The Borrower shall, and does hereby, indemnify each Recipient, and shall make payment in respect thereof within 10 days after demand therefor, for the full amount of any Indemnified Taxes (including Indemnified Taxes imposed or asserted on or attributable to amounts payable under this </w:t>
      </w:r>
      <w:r>
        <w:rPr>
          <w:rFonts w:ascii="Arial" w:cs="Arial" w:eastAsia="Arial" w:hAnsi="Arial"/>
          <w:sz w:val="17"/>
          <w:szCs w:val="17"/>
          <w:u w:val="single" w:color="auto"/>
          <w:color w:val="auto"/>
        </w:rPr>
        <w:t>Section 3.01</w:t>
      </w:r>
      <w:r>
        <w:rPr>
          <w:rFonts w:ascii="Arial" w:cs="Arial" w:eastAsia="Arial" w:hAnsi="Arial"/>
          <w:sz w:val="17"/>
          <w:szCs w:val="17"/>
          <w:color w:val="auto"/>
        </w:rPr>
        <w:t>)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78" w:lineRule="exact"/>
        <w:rPr>
          <w:sz w:val="20"/>
          <w:szCs w:val="20"/>
          <w:color w:val="auto"/>
        </w:rPr>
      </w:pPr>
    </w:p>
    <w:p>
      <w:pPr>
        <w:jc w:val="both"/>
        <w:ind w:firstLine="464"/>
        <w:spacing w:after="0" w:line="312" w:lineRule="auto"/>
        <w:tabs>
          <w:tab w:leader="none" w:pos="846"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Evidence of Payments</w:t>
      </w:r>
      <w:r>
        <w:rPr>
          <w:rFonts w:ascii="Arial" w:cs="Arial" w:eastAsia="Arial" w:hAnsi="Arial"/>
          <w:sz w:val="16"/>
          <w:szCs w:val="16"/>
          <w:color w:val="auto"/>
        </w:rPr>
        <w:t>. After any payment of Taxes by any Loan Party to a Governmental Authority as provided in this Section 3.01, the Borrower shall deliver to the Administrative Agent the original or a certified copy of a receipt issued by such Governmental Authority evidencing such payment, a copy of any return required by Laws to report such payment or other evidence of such payment reasonably satisfactory to the Administrative Agent.</w:t>
      </w:r>
    </w:p>
    <w:p>
      <w:pPr>
        <w:spacing w:after="0" w:line="254" w:lineRule="exact"/>
        <w:rPr>
          <w:rFonts w:ascii="Arial" w:cs="Arial" w:eastAsia="Arial" w:hAnsi="Arial"/>
          <w:sz w:val="16"/>
          <w:szCs w:val="16"/>
          <w:color w:val="auto"/>
        </w:rPr>
      </w:pPr>
    </w:p>
    <w:p>
      <w:pPr>
        <w:ind w:left="840" w:hanging="376"/>
        <w:spacing w:after="0"/>
        <w:tabs>
          <w:tab w:leader="none" w:pos="84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Status of Lenders; Tax Documentation</w:t>
      </w:r>
      <w:r>
        <w:rPr>
          <w:rFonts w:ascii="Arial" w:cs="Arial" w:eastAsia="Arial" w:hAnsi="Arial"/>
          <w:sz w:val="18"/>
          <w:szCs w:val="18"/>
          <w:color w:val="auto"/>
        </w:rPr>
        <w:t>.</w:t>
      </w:r>
    </w:p>
    <w:p>
      <w:pPr>
        <w:spacing w:after="0" w:line="117" w:lineRule="exact"/>
        <w:rPr>
          <w:sz w:val="20"/>
          <w:szCs w:val="20"/>
          <w:color w:val="auto"/>
        </w:rPr>
      </w:pPr>
    </w:p>
    <w:p>
      <w:pPr>
        <w:ind w:right="60" w:firstLine="464"/>
        <w:spacing w:after="0" w:line="270" w:lineRule="auto"/>
        <w:tabs>
          <w:tab w:leader="none" w:pos="796" w:val="left"/>
        </w:tabs>
        <w:numPr>
          <w:ilvl w:val="0"/>
          <w:numId w:val="88"/>
        </w:numPr>
        <w:rPr>
          <w:rFonts w:ascii="Arial" w:cs="Arial" w:eastAsia="Arial" w:hAnsi="Arial"/>
          <w:sz w:val="17"/>
          <w:szCs w:val="17"/>
          <w:color w:val="auto"/>
        </w:rPr>
      </w:pPr>
      <w:r>
        <w:rPr>
          <w:rFonts w:ascii="Arial" w:cs="Arial" w:eastAsia="Arial" w:hAnsi="Arial"/>
          <w:sz w:val="17"/>
          <w:szCs w:val="17"/>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7"/>
          <w:szCs w:val="17"/>
          <w:u w:val="single" w:color="auto"/>
          <w:color w:val="auto"/>
        </w:rPr>
        <w:t>Section 3.01(e)(ii)(A)</w:t>
      </w:r>
      <w:r>
        <w:rPr>
          <w:rFonts w:ascii="Arial" w:cs="Arial" w:eastAsia="Arial" w:hAnsi="Arial"/>
          <w:sz w:val="17"/>
          <w:szCs w:val="17"/>
          <w:color w:val="auto"/>
        </w:rPr>
        <w:t xml:space="preserve">, </w:t>
      </w:r>
      <w:r>
        <w:rPr>
          <w:rFonts w:ascii="Arial" w:cs="Arial" w:eastAsia="Arial" w:hAnsi="Arial"/>
          <w:sz w:val="17"/>
          <w:szCs w:val="17"/>
          <w:u w:val="single" w:color="auto"/>
          <w:color w:val="auto"/>
        </w:rPr>
        <w:t>(ii)(B)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(ii)(D)</w:t>
      </w:r>
      <w:r>
        <w:rPr>
          <w:rFonts w:ascii="Arial" w:cs="Arial" w:eastAsia="Arial" w:hAnsi="Arial"/>
          <w:sz w:val="17"/>
          <w:szCs w:val="17"/>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77" w:lineRule="exact"/>
        <w:rPr>
          <w:rFonts w:ascii="Arial" w:cs="Arial" w:eastAsia="Arial" w:hAnsi="Arial"/>
          <w:sz w:val="17"/>
          <w:szCs w:val="17"/>
          <w:color w:val="auto"/>
        </w:rPr>
      </w:pPr>
    </w:p>
    <w:p>
      <w:pPr>
        <w:ind w:left="860" w:hanging="396"/>
        <w:spacing w:after="0"/>
        <w:tabs>
          <w:tab w:leader="none" w:pos="8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Without limiting the generality of the foregoing;</w:t>
      </w:r>
    </w:p>
    <w:p>
      <w:pPr>
        <w:spacing w:after="0" w:line="117" w:lineRule="exact"/>
        <w:rPr>
          <w:rFonts w:ascii="Arial" w:cs="Arial" w:eastAsia="Arial" w:hAnsi="Arial"/>
          <w:sz w:val="18"/>
          <w:szCs w:val="18"/>
          <w:color w:val="auto"/>
        </w:rPr>
      </w:pPr>
    </w:p>
    <w:p>
      <w:pPr>
        <w:jc w:val="both"/>
        <w:ind w:left="460" w:right="220" w:firstLine="443"/>
        <w:spacing w:after="0" w:line="312" w:lineRule="auto"/>
        <w:tabs>
          <w:tab w:leader="none" w:pos="1328" w:val="left"/>
        </w:tabs>
        <w:numPr>
          <w:ilvl w:val="1"/>
          <w:numId w:val="88"/>
        </w:numPr>
        <w:rPr>
          <w:rFonts w:ascii="Arial" w:cs="Arial" w:eastAsia="Arial" w:hAnsi="Arial"/>
          <w:sz w:val="16"/>
          <w:szCs w:val="16"/>
          <w:color w:val="auto"/>
        </w:rPr>
      </w:pPr>
      <w:r>
        <w:rPr>
          <w:rFonts w:ascii="Arial" w:cs="Arial" w:eastAsia="Arial" w:hAnsi="Arial"/>
          <w:sz w:val="16"/>
          <w:szCs w:val="16"/>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two executed originals of IRS Form W-9 (or any successor form) certifying that such Lender is exempt from U.S. federal backup withholding tax;</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4" w:right="239" w:bottom="1440" w:gutter="0" w:footer="0" w:header="0"/>
        </w:sectPr>
      </w:pPr>
    </w:p>
    <w:bookmarkStart w:id="69" w:name="page70"/>
    <w:bookmarkEnd w:id="69"/>
    <w:p>
      <w:pPr>
        <w:ind w:right="220" w:firstLine="443"/>
        <w:spacing w:after="0" w:line="264" w:lineRule="auto"/>
        <w:tabs>
          <w:tab w:leader="none" w:pos="858" w:val="left"/>
        </w:tabs>
        <w:numPr>
          <w:ilvl w:val="0"/>
          <w:numId w:val="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Foreign Lender shall deliver to the Borrower and the Administrative Agent, on or prior to the date on which such Foreign Lender becomes a Lender under this Agreement (and from time to time thereafter upon the reasonable request of the Borrower or the Administrative Agent), two copies of whichever of the following is applicable:</w:t>
      </w:r>
    </w:p>
    <w:p>
      <w:pPr>
        <w:spacing w:after="0" w:line="73" w:lineRule="exact"/>
        <w:rPr>
          <w:rFonts w:ascii="Arial" w:cs="Arial" w:eastAsia="Arial" w:hAnsi="Arial"/>
          <w:sz w:val="18"/>
          <w:szCs w:val="18"/>
          <w:color w:val="auto"/>
        </w:rPr>
      </w:pPr>
    </w:p>
    <w:p>
      <w:pPr>
        <w:ind w:left="460" w:right="140" w:firstLine="421"/>
        <w:spacing w:after="0" w:line="264" w:lineRule="auto"/>
        <w:tabs>
          <w:tab w:leader="none" w:pos="1270" w:val="left"/>
        </w:tabs>
        <w:numPr>
          <w:ilvl w:val="2"/>
          <w:numId w:val="89"/>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an income tax treaty to which the United States is a party, executed originals of IRS Form W-8BEN or W-8BEN-E (or any successor forms), as applicable, establishing an exemption from, or reduction of, U.S. federal withholding Tax pursuant to such tax treaty;</w:t>
      </w:r>
    </w:p>
    <w:p>
      <w:pPr>
        <w:spacing w:after="0" w:line="73" w:lineRule="exact"/>
        <w:rPr>
          <w:rFonts w:ascii="Arial" w:cs="Arial" w:eastAsia="Arial" w:hAnsi="Arial"/>
          <w:sz w:val="18"/>
          <w:szCs w:val="18"/>
          <w:color w:val="auto"/>
        </w:rPr>
      </w:pPr>
    </w:p>
    <w:p>
      <w:pPr>
        <w:ind w:left="1280" w:hanging="399"/>
        <w:spacing w:after="0"/>
        <w:tabs>
          <w:tab w:leader="none" w:pos="1280" w:val="left"/>
        </w:tabs>
        <w:numPr>
          <w:ilvl w:val="2"/>
          <w:numId w:val="89"/>
        </w:numPr>
        <w:rPr>
          <w:rFonts w:ascii="Arial" w:cs="Arial" w:eastAsia="Arial" w:hAnsi="Arial"/>
          <w:sz w:val="18"/>
          <w:szCs w:val="18"/>
          <w:color w:val="auto"/>
        </w:rPr>
      </w:pPr>
      <w:r>
        <w:rPr>
          <w:rFonts w:ascii="Arial" w:cs="Arial" w:eastAsia="Arial" w:hAnsi="Arial"/>
          <w:sz w:val="18"/>
          <w:szCs w:val="18"/>
          <w:color w:val="auto"/>
        </w:rPr>
        <w:t>executed originals of IRS Form W-8ECI (or any successor form);</w:t>
      </w:r>
    </w:p>
    <w:p>
      <w:pPr>
        <w:spacing w:after="0" w:line="117" w:lineRule="exact"/>
        <w:rPr>
          <w:rFonts w:ascii="Arial" w:cs="Arial" w:eastAsia="Arial" w:hAnsi="Arial"/>
          <w:sz w:val="18"/>
          <w:szCs w:val="18"/>
          <w:color w:val="auto"/>
        </w:rPr>
      </w:pPr>
    </w:p>
    <w:p>
      <w:pPr>
        <w:ind w:left="460" w:right="100" w:firstLine="421"/>
        <w:spacing w:after="0" w:line="291" w:lineRule="auto"/>
        <w:tabs>
          <w:tab w:leader="none" w:pos="1270" w:val="left"/>
        </w:tabs>
        <w:numPr>
          <w:ilvl w:val="2"/>
          <w:numId w:val="89"/>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the exemption for portfolio interest under Section 881(c) of the Code, (x) a certificate substantially in the form of Exhibit E-1 to the effect that such Foreign Lender is not a “bank” within the meaning of Section 881(c)(3)</w:t>
      </w:r>
    </w:p>
    <w:p>
      <w:pPr>
        <w:ind w:left="460" w:right="120" w:firstLine="1"/>
        <w:spacing w:after="0" w:line="254" w:lineRule="auto"/>
        <w:tabs>
          <w:tab w:leader="none" w:pos="755" w:val="left"/>
        </w:tabs>
        <w:numPr>
          <w:ilvl w:val="1"/>
          <w:numId w:val="89"/>
        </w:numPr>
        <w:rPr>
          <w:rFonts w:ascii="Arial" w:cs="Arial" w:eastAsia="Arial" w:hAnsi="Arial"/>
          <w:sz w:val="18"/>
          <w:szCs w:val="18"/>
          <w:color w:val="auto"/>
        </w:rPr>
      </w:pPr>
      <w:r>
        <w:rPr>
          <w:rFonts w:ascii="Arial" w:cs="Arial" w:eastAsia="Arial" w:hAnsi="Arial"/>
          <w:sz w:val="18"/>
          <w:szCs w:val="18"/>
          <w:color w:val="auto"/>
        </w:rPr>
        <w:t>of the Code, a “10 percent shareholder” of the Borrower within the meaning of Section 881(c)(3)(B) of the Code, or a “controlled foreign corporation” described in Section 881(c)(3)(C) of the Code, and that no payments in connection with the Loan Documents are effectively connected with such Lender’s conduct of a U.S. trade or business (a “U.S. Tax Compliance Certificate”) and (y) executed originals of IRS Form W-8BEN or W-8BEN-E (or any successor forms), as applicable; or</w:t>
      </w:r>
    </w:p>
    <w:p>
      <w:pPr>
        <w:spacing w:after="0" w:line="81" w:lineRule="exact"/>
        <w:rPr>
          <w:rFonts w:ascii="Arial" w:cs="Arial" w:eastAsia="Arial" w:hAnsi="Arial"/>
          <w:sz w:val="18"/>
          <w:szCs w:val="18"/>
          <w:color w:val="auto"/>
        </w:rPr>
      </w:pPr>
    </w:p>
    <w:p>
      <w:pPr>
        <w:ind w:left="460" w:right="80" w:firstLine="421"/>
        <w:spacing w:after="0" w:line="255" w:lineRule="auto"/>
        <w:tabs>
          <w:tab w:leader="none" w:pos="1270" w:val="left"/>
        </w:tabs>
        <w:numPr>
          <w:ilvl w:val="2"/>
          <w:numId w:val="90"/>
        </w:numPr>
        <w:rPr>
          <w:rFonts w:ascii="Arial" w:cs="Arial" w:eastAsia="Arial" w:hAnsi="Arial"/>
          <w:sz w:val="18"/>
          <w:szCs w:val="18"/>
          <w:color w:val="auto"/>
        </w:rPr>
      </w:pPr>
      <w:r>
        <w:rPr>
          <w:rFonts w:ascii="Arial" w:cs="Arial" w:eastAsia="Arial" w:hAnsi="Arial"/>
          <w:sz w:val="18"/>
          <w:szCs w:val="18"/>
          <w:color w:val="auto"/>
        </w:rPr>
        <w:t xml:space="preserve">to the extent a Foreign Lender is not the beneficial owner, executed originals of IRS Form W-8IMY (or any successor form), accompanied by IRS Form W-8ECI, IRS Form W-8BEN or W-8BEN-E (or any successor forms), as applicable, a U.S. Tax Compliance Certificate substantially in the form of </w:t>
      </w:r>
      <w:r>
        <w:rPr>
          <w:rFonts w:ascii="Arial" w:cs="Arial" w:eastAsia="Arial" w:hAnsi="Arial"/>
          <w:sz w:val="18"/>
          <w:szCs w:val="18"/>
          <w:u w:val="single" w:color="auto"/>
          <w:color w:val="auto"/>
        </w:rPr>
        <w:t>Exhibit E-2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 E-3</w:t>
      </w:r>
      <w:r>
        <w:rPr>
          <w:rFonts w:ascii="Arial" w:cs="Arial" w:eastAsia="Arial" w:hAnsi="Arial"/>
          <w:sz w:val="18"/>
          <w:szCs w:val="18"/>
          <w:color w:val="auto"/>
        </w:rPr>
        <w:t xml:space="preserve">, IRS Form W-9 (or any successor form), and/or other certification documents from each beneficial owner,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8"/>
          <w:szCs w:val="18"/>
          <w:u w:val="single" w:color="auto"/>
          <w:color w:val="auto"/>
        </w:rPr>
        <w:t>Exhibit E-4</w:t>
      </w:r>
      <w:r>
        <w:rPr>
          <w:rFonts w:ascii="Arial" w:cs="Arial" w:eastAsia="Arial" w:hAnsi="Arial"/>
          <w:sz w:val="18"/>
          <w:szCs w:val="18"/>
          <w:color w:val="auto"/>
        </w:rPr>
        <w:t xml:space="preserve"> on behalf of each such direct and indirect partner;</w:t>
      </w:r>
    </w:p>
    <w:p>
      <w:pPr>
        <w:spacing w:after="0" w:line="85" w:lineRule="exact"/>
        <w:rPr>
          <w:rFonts w:ascii="Arial" w:cs="Arial" w:eastAsia="Arial" w:hAnsi="Arial"/>
          <w:sz w:val="18"/>
          <w:szCs w:val="18"/>
          <w:color w:val="auto"/>
        </w:rPr>
      </w:pPr>
    </w:p>
    <w:p>
      <w:pPr>
        <w:ind w:firstLine="443"/>
        <w:spacing w:after="0" w:line="255" w:lineRule="auto"/>
        <w:tabs>
          <w:tab w:leader="none" w:pos="858"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eligible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85" w:lineRule="exact"/>
        <w:rPr>
          <w:rFonts w:ascii="Arial" w:cs="Arial" w:eastAsia="Arial" w:hAnsi="Arial"/>
          <w:sz w:val="18"/>
          <w:szCs w:val="18"/>
          <w:color w:val="auto"/>
        </w:rPr>
      </w:pPr>
    </w:p>
    <w:p>
      <w:pPr>
        <w:ind w:right="40" w:firstLine="443"/>
        <w:spacing w:after="0" w:line="290" w:lineRule="auto"/>
        <w:tabs>
          <w:tab w:leader="none" w:pos="868" w:val="left"/>
        </w:tabs>
        <w:numPr>
          <w:ilvl w:val="0"/>
          <w:numId w:val="91"/>
        </w:numPr>
        <w:rPr>
          <w:rFonts w:ascii="Arial" w:cs="Arial" w:eastAsia="Arial" w:hAnsi="Arial"/>
          <w:sz w:val="16"/>
          <w:szCs w:val="16"/>
          <w:color w:val="auto"/>
        </w:rPr>
      </w:pPr>
      <w:r>
        <w:rPr>
          <w:rFonts w:ascii="Arial" w:cs="Arial" w:eastAsia="Arial" w:hAnsi="Arial"/>
          <w:sz w:val="16"/>
          <w:szCs w:val="16"/>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whether such Lender has complied with such Lender’s obligations under FATCA or to determine the amount to deduct and withhold from such payment. Solely for purposes of this </w:t>
      </w:r>
      <w:r>
        <w:rPr>
          <w:rFonts w:ascii="Arial" w:cs="Arial" w:eastAsia="Arial" w:hAnsi="Arial"/>
          <w:sz w:val="16"/>
          <w:szCs w:val="16"/>
          <w:u w:val="single" w:color="auto"/>
          <w:color w:val="auto"/>
        </w:rPr>
        <w:t>clause (D)</w:t>
      </w:r>
      <w:r>
        <w:rPr>
          <w:rFonts w:ascii="Arial" w:cs="Arial" w:eastAsia="Arial" w:hAnsi="Arial"/>
          <w:sz w:val="16"/>
          <w:szCs w:val="16"/>
          <w:color w:val="auto"/>
        </w:rPr>
        <w:t>, “FATCA” shall include any amendments made to FATCA after the date of this Agreement.</w:t>
      </w:r>
    </w:p>
    <w:p>
      <w:pPr>
        <w:spacing w:after="0" w:line="58" w:lineRule="exact"/>
        <w:rPr>
          <w:sz w:val="20"/>
          <w:szCs w:val="20"/>
          <w:color w:val="auto"/>
        </w:rPr>
      </w:pPr>
    </w:p>
    <w:p>
      <w:pPr>
        <w:ind w:right="80" w:firstLine="443"/>
        <w:spacing w:after="0" w:line="264" w:lineRule="auto"/>
        <w:tabs>
          <w:tab w:leader="none" w:pos="888"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Each Lender agrees that if any form or certification it previously delivered pursuant to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expires or becomes obsolete or inaccurate in any respect, it shall update such form or certification or promptly notify the Borrower and the Administrative Agent in writing of its legal ineligibility to do so.</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60"/>
          </w:cols>
          <w:pgMar w:left="700" w:top="274" w:right="239" w:bottom="1440" w:gutter="0" w:footer="0" w:header="0"/>
        </w:sectPr>
      </w:pPr>
    </w:p>
    <w:bookmarkStart w:id="70" w:name="page71"/>
    <w:bookmarkEnd w:id="70"/>
    <w:p>
      <w:pPr>
        <w:ind w:left="460" w:right="40" w:firstLine="443"/>
        <w:spacing w:after="0" w:line="277" w:lineRule="auto"/>
        <w:tabs>
          <w:tab w:leader="none" w:pos="1338" w:val="left"/>
        </w:tabs>
        <w:numPr>
          <w:ilvl w:val="1"/>
          <w:numId w:val="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anything to the contrary in this Section 3.01(e), no Lender shall be required to deliver pursuant to this Section 3.01(e) any documentation that such Lender is not legally eligible to deliver.</w:t>
      </w:r>
    </w:p>
    <w:p>
      <w:pPr>
        <w:spacing w:after="0" w:line="62" w:lineRule="exact"/>
        <w:rPr>
          <w:rFonts w:ascii="Arial" w:cs="Arial" w:eastAsia="Arial" w:hAnsi="Arial"/>
          <w:sz w:val="18"/>
          <w:szCs w:val="18"/>
          <w:color w:val="auto"/>
        </w:rPr>
      </w:pPr>
    </w:p>
    <w:p>
      <w:pPr>
        <w:ind w:left="460" w:right="420" w:firstLine="443"/>
        <w:spacing w:after="0" w:line="277" w:lineRule="auto"/>
        <w:tabs>
          <w:tab w:leader="none" w:pos="1288" w:val="left"/>
        </w:tabs>
        <w:numPr>
          <w:ilvl w:val="1"/>
          <w:numId w:val="93"/>
        </w:numPr>
        <w:rPr>
          <w:rFonts w:ascii="Arial" w:cs="Arial" w:eastAsia="Arial" w:hAnsi="Arial"/>
          <w:sz w:val="18"/>
          <w:szCs w:val="18"/>
          <w:color w:val="auto"/>
        </w:rPr>
      </w:pPr>
      <w:r>
        <w:rPr>
          <w:rFonts w:ascii="Arial" w:cs="Arial" w:eastAsia="Arial" w:hAnsi="Arial"/>
          <w:sz w:val="18"/>
          <w:szCs w:val="18"/>
          <w:color w:val="auto"/>
        </w:rPr>
        <w:t>Each Lender hereby authorizes the Administrative Agent to deliver to the Loan Parties and to any successor Administrative Agent any documentation provided by such Lender to the Administrative Agent pursuant to this Section 3.01(e).</w:t>
      </w:r>
    </w:p>
    <w:p>
      <w:pPr>
        <w:spacing w:after="0" w:line="170" w:lineRule="exact"/>
        <w:rPr>
          <w:rFonts w:ascii="Arial" w:cs="Arial" w:eastAsia="Arial" w:hAnsi="Arial"/>
          <w:sz w:val="18"/>
          <w:szCs w:val="18"/>
          <w:color w:val="auto"/>
        </w:rPr>
      </w:pPr>
    </w:p>
    <w:p>
      <w:pPr>
        <w:ind w:right="40" w:firstLine="464"/>
        <w:spacing w:after="0" w:line="268" w:lineRule="auto"/>
        <w:tabs>
          <w:tab w:leader="none" w:pos="816"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t>Treatment of Certain Refunds</w:t>
      </w:r>
      <w:r>
        <w:rPr>
          <w:rFonts w:ascii="Arial" w:cs="Arial" w:eastAsia="Arial" w:hAnsi="Arial"/>
          <w:sz w:val="17"/>
          <w:szCs w:val="17"/>
          <w:color w:val="auto"/>
        </w:rPr>
        <w:t>. Unless required by applicable Laws, at no time shall the Administrative Agent have any obligation to file for or otherwise pursue on behalf of a Lender any refund of Taxes withheld or deducted from funds paid for the account of such Lender. If any Recipient determines, in its sole discretion exercised in good faith, that it has received a refund of any Taxes as to which it has been indemnified by any Loan Party or with respect to which any Loan Party has paid additional amounts pursuant to this Section 3.01, it shall pay such Loan Party an amount equal to such refund (but only to the extent of indemnity payments made, or additional amounts paid, by such Loan Party under this Section 3.01 with respect to the Taxes giving rise to such refund), net of all out-of-pocket expenses (including Taxes) incurred by such Recipient, and without interest (other than any interest paid by the relevant Governmental Authority with respect to such refund), provided that the Borrower, upon the request of the Recipient, agrees to repay the amount paid over to such Loan Party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any Loan Party pursuant to this subsection the payment of which would place the Recipient in a less favorable net after-Tax position than such Recipient would have been in if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Loan Party or any other Person.</w:t>
      </w:r>
    </w:p>
    <w:p>
      <w:pPr>
        <w:spacing w:after="0" w:line="185" w:lineRule="exact"/>
        <w:rPr>
          <w:rFonts w:ascii="Arial" w:cs="Arial" w:eastAsia="Arial" w:hAnsi="Arial"/>
          <w:sz w:val="17"/>
          <w:szCs w:val="17"/>
          <w:color w:val="auto"/>
        </w:rPr>
      </w:pPr>
    </w:p>
    <w:p>
      <w:pPr>
        <w:jc w:val="both"/>
        <w:ind w:right="620" w:firstLine="464"/>
        <w:spacing w:after="0" w:line="264" w:lineRule="auto"/>
        <w:tabs>
          <w:tab w:leader="none" w:pos="846"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Each party’s obligations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shall survive the resignation or replacement of the Administrative Agent or any assignment of rights by, or the replacement of, a Lender, the termination of the Commitments and the repayment, satisfaction or discharge of all other Obligations.</w:t>
      </w:r>
    </w:p>
    <w:p>
      <w:pPr>
        <w:spacing w:after="0" w:line="181"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 xml:space="preserve">3.02. </w:t>
      </w:r>
      <w:r>
        <w:rPr>
          <w:rFonts w:ascii="Arial" w:cs="Arial" w:eastAsia="Arial" w:hAnsi="Arial"/>
          <w:sz w:val="16"/>
          <w:szCs w:val="16"/>
          <w:u w:val="single" w:color="auto"/>
          <w:color w:val="auto"/>
        </w:rPr>
        <w:t>Illegality</w:t>
      </w:r>
      <w:r>
        <w:rPr>
          <w:rFonts w:ascii="Arial" w:cs="Arial" w:eastAsia="Arial" w:hAnsi="Arial"/>
          <w:sz w:val="16"/>
          <w:szCs w:val="16"/>
          <w:color w:val="auto"/>
        </w:rPr>
        <w:t>. If any Lender determines that any Law has made it unlawful, or that any Governmental Authority has asserted that it is unlawful, for any Lender or its applicable Lending Office to make, maintain or fund Loans whose interest is determined by reference to the Eurodollar Rate, or to determine or charge interest rates based upon the Eurodollar Rate, or any Governmental Authority has imposed material restrictions on the authority of such Lender to purchase or sell, or to take deposits of, Dollars in the London interbank market, then, on notice thereof by such Lender to the Borrower through the Administrative Agent, (i) any obligation of such Lender to make or continue Eurodollar Rate Loans or to convert Base Rate Loans to Eurodollar Rate Loans shall be suspended, and (ii) if such notice asserts the illegality of such Lender making or maintaining Base Rate Loans the interest rate on which is determined by reference to the Eurodollar Rate component of the Base Rate, the interest rate on which Base Rate Loans of such Lender shall, if necessary to avoid such illegality, be determined by the Administrative Agent without reference to the Eurodollar Rate component of the Base Rate, in each case until such Lender notifies the Administrative Agent and the Borrower that the circumstances giving rise to such determination no longer exist. Upon receipt of such notice,</w:t>
      </w:r>
    </w:p>
    <w:p>
      <w:pPr>
        <w:spacing w:after="0" w:line="7" w:lineRule="exact"/>
        <w:rPr>
          <w:sz w:val="20"/>
          <w:szCs w:val="20"/>
          <w:color w:val="auto"/>
        </w:rPr>
      </w:pPr>
    </w:p>
    <w:p>
      <w:pPr>
        <w:ind w:right="60" w:firstLine="8"/>
        <w:spacing w:after="0" w:line="269" w:lineRule="auto"/>
        <w:tabs>
          <w:tab w:leader="none" w:pos="255"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Borrower shall, upon demand from such Lender (with a copy to the Administrative Agent), prepay or, if applicable, convert all Eurodollar Rate Loans of such Lender to Base Rate Loans (the interest rate on which Base Rate Loans of such Lender shall, if necessary to avoid such illegality, be determined by the Administrative Agent without reference to the Eurodollar Rate component of the Base Rate), either on the last day of the Interest Period therefor, if such Lender may lawfully continue to maintain such Eurodollar Rate Loans to such day, or immediately, if such Lender may not lawfully continue to maintain such Eurodollar Rate Loans and (y) if such notice asserts the illegality of such Lender determining or charging interest rates based upon the Eurodollar Rate, the Administrative Agent shall during the period of such suspension compute the Base Rate applicable to such Lender without reference to the Eurodollar Rate component thereof until the Administrative Agent is advised in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74" w:right="259" w:bottom="1440" w:gutter="0" w:footer="0" w:header="0"/>
        </w:sectPr>
      </w:pPr>
    </w:p>
    <w:bookmarkStart w:id="71" w:name="page72"/>
    <w:bookmarkEnd w:id="71"/>
    <w:p>
      <w:pPr>
        <w:ind w:right="6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writing by such Lender that it is no longer illegal for such Lender to determine or charge interest rates based upon the Eurodollar Rate. Upon any such prepayment or conversion, the Borrower shall also pay accrued interest on the amount so prepaid or converted.</w:t>
      </w:r>
    </w:p>
    <w:p>
      <w:pPr>
        <w:spacing w:after="0" w:line="17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7"/>
          <w:szCs w:val="17"/>
          <w:color w:val="auto"/>
        </w:rPr>
        <w:t xml:space="preserve">3.03. </w:t>
      </w:r>
      <w:r>
        <w:rPr>
          <w:rFonts w:ascii="Arial" w:cs="Arial" w:eastAsia="Arial" w:hAnsi="Arial"/>
          <w:sz w:val="17"/>
          <w:szCs w:val="17"/>
          <w:u w:val="single" w:color="auto"/>
          <w:color w:val="auto"/>
        </w:rPr>
        <w:t>Inability to Determine Rates</w:t>
      </w:r>
      <w:r>
        <w:rPr>
          <w:rFonts w:ascii="Arial" w:cs="Arial" w:eastAsia="Arial" w:hAnsi="Arial"/>
          <w:sz w:val="17"/>
          <w:szCs w:val="17"/>
          <w:color w:val="auto"/>
        </w:rPr>
        <w:t xml:space="preserve">. If in connection with any request for a Eurodollar Rate Loan or a conversion to or continuation thereof, (a) the Administrative Agent determines that (i) Dollar deposits are not being offered to banks in the London interbank eurodollar market for the applicable amount and Interest Period of such Eurodollar Rate Loan, or (ii) adequate and reasonable means do not exist for determining the Eurodollar Rate for any requested Interest Period with respect to a proposed Eurodollar Rate Loan or in connection with an existing or proposed Base Rate Loan (in each case with respect to </w:t>
      </w:r>
      <w:r>
        <w:rPr>
          <w:rFonts w:ascii="Arial" w:cs="Arial" w:eastAsia="Arial" w:hAnsi="Arial"/>
          <w:sz w:val="17"/>
          <w:szCs w:val="17"/>
          <w:u w:val="single" w:color="auto"/>
          <w:color w:val="auto"/>
        </w:rPr>
        <w:t>clause (a)(i)</w:t>
      </w:r>
      <w:r>
        <w:rPr>
          <w:rFonts w:ascii="Arial" w:cs="Arial" w:eastAsia="Arial" w:hAnsi="Arial"/>
          <w:sz w:val="17"/>
          <w:szCs w:val="17"/>
          <w:color w:val="auto"/>
        </w:rPr>
        <w:t xml:space="preserve"> above, “</w:t>
      </w:r>
      <w:r>
        <w:rPr>
          <w:rFonts w:ascii="Arial" w:cs="Arial" w:eastAsia="Arial" w:hAnsi="Arial"/>
          <w:sz w:val="17"/>
          <w:szCs w:val="17"/>
          <w:u w:val="single" w:color="auto"/>
          <w:color w:val="auto"/>
        </w:rPr>
        <w:t>Impacted Loans</w:t>
      </w:r>
      <w:r>
        <w:rPr>
          <w:rFonts w:ascii="Arial" w:cs="Arial" w:eastAsia="Arial" w:hAnsi="Arial"/>
          <w:sz w:val="17"/>
          <w:szCs w:val="17"/>
          <w:color w:val="auto"/>
        </w:rPr>
        <w:t>”), or (b) the Administrative Agent or the Required Lenders determine that for any reason the Eurodollar Rate for any requested Interest Period with respect to a proposed Eurodollar Rate Loan does not adequately and fairly reflect the cost to such Lenders of funding such Eurodollar Rate Loan, the Administrative Agent will promptly so notify the Borrower and each Lender. Thereafter, (x) the obligation of the Lenders to make or maintain Eurodollar Rate Loans shall be suspended (to the extent of the affected Eurodollar Rate Loans or Interest Periods) and (y) in the event of a determination described in the preceding sentence with respect to the Eurodollar Rate component of the Base Rate, the utilization of the Eurodollar Rate component in determining the Base Rate shall be suspended, in each case until the Administrative Agent upon the instruction of the Required Lenders revokes such notice. Upon receipt of such notice, the Borrower may revoke any pending request for a Borrowing of, conversion to or continuation of Eurodollar Rate Loans (to the extent of the affected Eurodollar Rate Loans or Interest Periods) or, failing that, will be deemed to have converted such request into a request for a Borrowing of Base Rate Loans in the amount specified therein.</w:t>
      </w:r>
    </w:p>
    <w:p>
      <w:pPr>
        <w:spacing w:after="0" w:line="188"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If at any time the Administrative Agent determines (which determination shall be conclusive absent manifest error) that (i) the circumstances set forth in clause (a)(i) above have arisen and such circumstances are unlikely to be temporary or (ii) the circumstances set forth in clause (a)(i) above have not arisen but the supervisor for the administrator of the Screen Rate or a Governmental Authority having jurisdiction over the Administrative Agent has made a public statement identifying a specific date after which the Screen Rate shall no longer be used for determining interest rates for loans, then the Administrative Agent and the Borrower shall endeavor to establish an alternate rate of interest to the Screen Rate that gives due consideration to the then prevailing market convention for determining a rate of interest for syndicated loans in the United States at such time, and shall enter into an amendment to this Agreement to reflect such alternate rate of interest and such other related changes to this Agreement as may be applicable (but for the avoidance of doubt, such related changes shall not include a reduction of the Applicable Rate). Notwithstanding anything to the contrary in Section 10.01, such amendment shall become effective without any further action or consent of any other party to this Agreement so long as the Administrative Agent shall not have received, within five</w:t>
      </w:r>
    </w:p>
    <w:p>
      <w:pPr>
        <w:spacing w:after="0" w:line="7" w:lineRule="exact"/>
        <w:rPr>
          <w:sz w:val="20"/>
          <w:szCs w:val="20"/>
          <w:color w:val="auto"/>
        </w:rPr>
      </w:pPr>
    </w:p>
    <w:p>
      <w:pPr>
        <w:ind w:right="20" w:firstLine="8"/>
        <w:spacing w:after="0" w:line="252" w:lineRule="auto"/>
        <w:tabs>
          <w:tab w:leader="none" w:pos="2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Business Days of the date notice of such alternate rate of interest is provided to the Lenders, a written notice from the Required Lenders stating that such Required Lenders object to such amendment. Until an alternate rate of interest shall be determined in accordance with this paragraph (but, in the case of the circumstances described in clause (ii) of the first sentence of this paragraph, only to the extent the Screen Rate for the applicable currency and/or such Interest Period is not available or published at such time on a current basis), (x) any Committed Loan Notice that requests the conversion of any Borrowing to, or continuation of any Borrowing as, Eurodollar Rate Loans shall be ineffective;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alternate rate of interest shall be less than zero, such rate shall be deemed to be zero for the purposes of this Agreement.</w:t>
      </w:r>
    </w:p>
    <w:p>
      <w:pPr>
        <w:spacing w:after="0" w:line="302"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3.04.</w:t>
      </w:r>
      <w:r>
        <w:rPr>
          <w:sz w:val="20"/>
          <w:szCs w:val="20"/>
          <w:color w:val="auto"/>
        </w:rPr>
        <w:tab/>
      </w:r>
      <w:r>
        <w:rPr>
          <w:rFonts w:ascii="Arial" w:cs="Arial" w:eastAsia="Arial" w:hAnsi="Arial"/>
          <w:sz w:val="15"/>
          <w:szCs w:val="15"/>
          <w:u w:val="single" w:color="auto"/>
          <w:color w:val="auto"/>
        </w:rPr>
        <w:t>Increased Costs; Reserves on Eurodollar Rate Loans</w:t>
      </w:r>
      <w:r>
        <w:rPr>
          <w:rFonts w:ascii="Arial" w:cs="Arial" w:eastAsia="Arial" w:hAnsi="Arial"/>
          <w:sz w:val="15"/>
          <w:szCs w:val="15"/>
          <w:color w:val="auto"/>
        </w:rPr>
        <w:t>.</w:t>
      </w:r>
    </w:p>
    <w:p>
      <w:pPr>
        <w:spacing w:after="0" w:line="117" w:lineRule="exact"/>
        <w:rPr>
          <w:sz w:val="20"/>
          <w:szCs w:val="20"/>
          <w:color w:val="auto"/>
        </w:rPr>
      </w:pPr>
    </w:p>
    <w:p>
      <w:pPr>
        <w:ind w:left="840" w:hanging="376"/>
        <w:spacing w:after="0"/>
        <w:tabs>
          <w:tab w:leader="none" w:pos="84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117" w:lineRule="exact"/>
        <w:rPr>
          <w:rFonts w:ascii="Arial" w:cs="Arial" w:eastAsia="Arial" w:hAnsi="Arial"/>
          <w:sz w:val="18"/>
          <w:szCs w:val="18"/>
          <w:color w:val="auto"/>
        </w:rPr>
      </w:pPr>
    </w:p>
    <w:p>
      <w:pPr>
        <w:ind w:left="460" w:right="80" w:firstLine="443"/>
        <w:spacing w:after="0" w:line="291" w:lineRule="auto"/>
        <w:tabs>
          <w:tab w:leader="none" w:pos="1248" w:val="left"/>
        </w:tabs>
        <w:numPr>
          <w:ilvl w:val="1"/>
          <w:numId w:val="97"/>
        </w:numPr>
        <w:rPr>
          <w:rFonts w:ascii="Arial" w:cs="Arial" w:eastAsia="Arial" w:hAnsi="Arial"/>
          <w:sz w:val="16"/>
          <w:szCs w:val="16"/>
          <w:color w:val="auto"/>
        </w:rPr>
      </w:pPr>
      <w:r>
        <w:rPr>
          <w:rFonts w:ascii="Arial" w:cs="Arial" w:eastAsia="Arial" w:hAnsi="Arial"/>
          <w:sz w:val="16"/>
          <w:szCs w:val="16"/>
          <w:color w:val="auto"/>
        </w:rPr>
        <w:t>impose, modify or deem applicable any reserve, special deposit, compulsory loan, insurance charge or similar requirement against assets of, deposits with or for the account of, or credit extended or participated in by, any Lender (except any reserve requirement contemplated by</w:t>
      </w:r>
    </w:p>
    <w:p>
      <w:pPr>
        <w:ind w:left="460"/>
        <w:spacing w:after="0"/>
        <w:rPr>
          <w:rFonts w:ascii="Arial" w:cs="Arial" w:eastAsia="Arial" w:hAnsi="Arial"/>
          <w:sz w:val="16"/>
          <w:szCs w:val="16"/>
          <w:color w:val="auto"/>
        </w:rPr>
      </w:pPr>
      <w:r>
        <w:rPr>
          <w:rFonts w:ascii="Arial" w:cs="Arial" w:eastAsia="Arial" w:hAnsi="Arial"/>
          <w:sz w:val="18"/>
          <w:szCs w:val="18"/>
          <w:u w:val="single" w:color="auto"/>
          <w:color w:val="auto"/>
        </w:rPr>
        <w:t>Section 3.04(e))</w:t>
      </w:r>
      <w:r>
        <w:rPr>
          <w:rFonts w:ascii="Arial" w:cs="Arial" w:eastAsia="Arial" w:hAnsi="Arial"/>
          <w:sz w:val="18"/>
          <w:szCs w:val="18"/>
          <w:color w:val="auto"/>
        </w:rPr>
        <w:t>;</w:t>
      </w:r>
    </w:p>
    <w:p>
      <w:pPr>
        <w:spacing w:after="0" w:line="102" w:lineRule="exact"/>
        <w:rPr>
          <w:rFonts w:ascii="Arial" w:cs="Arial" w:eastAsia="Arial" w:hAnsi="Arial"/>
          <w:sz w:val="16"/>
          <w:szCs w:val="16"/>
          <w:color w:val="auto"/>
        </w:rPr>
      </w:pPr>
    </w:p>
    <w:p>
      <w:pPr>
        <w:ind w:left="460" w:right="320" w:firstLine="443"/>
        <w:spacing w:after="0" w:line="264" w:lineRule="auto"/>
        <w:tabs>
          <w:tab w:leader="none" w:pos="1298" w:val="left"/>
        </w:tabs>
        <w:numPr>
          <w:ilvl w:val="1"/>
          <w:numId w:val="97"/>
        </w:numPr>
        <w:rPr>
          <w:rFonts w:ascii="Arial" w:cs="Arial" w:eastAsia="Arial" w:hAnsi="Arial"/>
          <w:sz w:val="18"/>
          <w:szCs w:val="18"/>
          <w:color w:val="auto"/>
        </w:rPr>
      </w:pPr>
      <w:r>
        <w:rPr>
          <w:rFonts w:ascii="Arial" w:cs="Arial" w:eastAsia="Arial" w:hAnsi="Arial"/>
          <w:sz w:val="18"/>
          <w:szCs w:val="18"/>
          <w:color w:val="auto"/>
        </w:rPr>
        <w:t xml:space="preserve">subject any Recipient to any Taxes (other than (A) Indemnified Taxes, (B) Taxes described in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the definition of “Excluded Taxes” and (C) Connection Income Taxes) on its loans, commitments, or other obligations, or its deposits, reserves, other liabilities or capital attributable thereto; or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4" w:right="239" w:bottom="1440" w:gutter="0" w:footer="0" w:header="0"/>
        </w:sectPr>
      </w:pPr>
    </w:p>
    <w:bookmarkStart w:id="72" w:name="page73"/>
    <w:bookmarkEnd w:id="72"/>
    <w:p>
      <w:pPr>
        <w:ind w:left="460" w:right="220" w:firstLine="443"/>
        <w:spacing w:after="0" w:line="277" w:lineRule="auto"/>
        <w:tabs>
          <w:tab w:leader="none" w:pos="1348" w:val="left"/>
        </w:tabs>
        <w:numPr>
          <w:ilvl w:val="0"/>
          <w:numId w:val="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impose on any Lender or the London interbank market any other condition, cost or expense affecting this Agreement or Eurodollar Rate Loans made by such Lender;</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and the result of any of the foregoing shall be to increase the cost to such Lender of making, converting to, continuing or maintaining any Loan the interest on which is determined by reference to the Eurodollar Rate (or, in the case of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above, any Loan), or of maintaining its obligation to make any such Loan, or to reduce the amount of any sum received or receivable by such Lender hereunder (whether of principal, interest or any other amount) then, upon request of such Lender, the Borrower will pay to such Lender, as the case may be, such additional amount or amounts as will compensate such Lender for such additional costs incurred or reduction suffered.</w:t>
      </w:r>
    </w:p>
    <w:p>
      <w:pPr>
        <w:spacing w:after="0" w:line="188" w:lineRule="exact"/>
        <w:rPr>
          <w:sz w:val="20"/>
          <w:szCs w:val="20"/>
          <w:color w:val="auto"/>
        </w:rPr>
      </w:pPr>
    </w:p>
    <w:p>
      <w:pPr>
        <w:ind w:right="40" w:firstLine="464"/>
        <w:spacing w:after="0" w:line="255" w:lineRule="auto"/>
        <w:tabs>
          <w:tab w:leader="none" w:pos="846"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Capital Requirements</w:t>
      </w:r>
      <w:r>
        <w:rPr>
          <w:rFonts w:ascii="Arial" w:cs="Arial" w:eastAsia="Arial" w:hAnsi="Arial"/>
          <w:sz w:val="18"/>
          <w:szCs w:val="18"/>
          <w:color w:val="auto"/>
        </w:rPr>
        <w:t>. 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or liquidity), then from time to time the Borrower will pay to such Lender such additional amount or amounts as will compensate such Lender or such Lender’s holding company for any such reduction suffered.</w:t>
      </w:r>
    </w:p>
    <w:p>
      <w:pPr>
        <w:spacing w:after="0" w:line="189" w:lineRule="exact"/>
        <w:rPr>
          <w:rFonts w:ascii="Arial" w:cs="Arial" w:eastAsia="Arial" w:hAnsi="Arial"/>
          <w:sz w:val="18"/>
          <w:szCs w:val="18"/>
          <w:color w:val="auto"/>
        </w:rPr>
      </w:pPr>
    </w:p>
    <w:p>
      <w:pPr>
        <w:jc w:val="both"/>
        <w:ind w:right="20" w:firstLine="464"/>
        <w:spacing w:after="0" w:line="286" w:lineRule="auto"/>
        <w:tabs>
          <w:tab w:leader="none" w:pos="836"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Certificates for Reimbursement</w:t>
      </w:r>
      <w:r>
        <w:rPr>
          <w:rFonts w:ascii="Arial" w:cs="Arial" w:eastAsia="Arial" w:hAnsi="Arial"/>
          <w:sz w:val="17"/>
          <w:szCs w:val="17"/>
          <w:color w:val="auto"/>
        </w:rPr>
        <w:t xml:space="preserve">. A certificate of a Lender setting forth the amount or amounts necessary to compensate such Lender or its holding company, as the case may be, as specified in </w:t>
      </w:r>
      <w:r>
        <w:rPr>
          <w:rFonts w:ascii="Arial" w:cs="Arial" w:eastAsia="Arial" w:hAnsi="Arial"/>
          <w:sz w:val="17"/>
          <w:szCs w:val="17"/>
          <w:u w:val="single" w:color="auto"/>
          <w:color w:val="auto"/>
        </w:rPr>
        <w:t>subsection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this Section and delivered to the Borrower shall be conclusive absent manifest error. The Borrower shall pay such Lender the amount shown as due on any such certificate within 10 days after receipt thereof.</w:t>
      </w:r>
    </w:p>
    <w:p>
      <w:pPr>
        <w:spacing w:after="0" w:line="165" w:lineRule="exact"/>
        <w:rPr>
          <w:rFonts w:ascii="Arial" w:cs="Arial" w:eastAsia="Arial" w:hAnsi="Arial"/>
          <w:sz w:val="17"/>
          <w:szCs w:val="17"/>
          <w:color w:val="auto"/>
        </w:rPr>
      </w:pPr>
    </w:p>
    <w:p>
      <w:pPr>
        <w:ind w:right="140" w:firstLine="464"/>
        <w:spacing w:after="0" w:line="273" w:lineRule="auto"/>
        <w:tabs>
          <w:tab w:leader="none" w:pos="846"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Delay in Requests</w:t>
      </w:r>
      <w:r>
        <w:rPr>
          <w:rFonts w:ascii="Arial" w:cs="Arial" w:eastAsia="Arial" w:hAnsi="Arial"/>
          <w:sz w:val="17"/>
          <w:szCs w:val="17"/>
          <w:color w:val="auto"/>
        </w:rPr>
        <w:t xml:space="preserve">. Failure or delay on the part of any Lender to demand compensation pursuant to the foregoing provisions of this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shall not constitute a waiver of such Lender’s right to demand such compensation,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not be required to compensate a Lender pursuant to the foregoing provisions of this Section for any increased costs incurred or reductions suffered more than nine months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78" w:lineRule="exact"/>
        <w:rPr>
          <w:rFonts w:ascii="Arial" w:cs="Arial" w:eastAsia="Arial" w:hAnsi="Arial"/>
          <w:sz w:val="17"/>
          <w:szCs w:val="17"/>
          <w:color w:val="auto"/>
        </w:rPr>
      </w:pPr>
    </w:p>
    <w:p>
      <w:pPr>
        <w:ind w:right="40" w:firstLine="464"/>
        <w:spacing w:after="0" w:line="255" w:lineRule="auto"/>
        <w:tabs>
          <w:tab w:leader="none" w:pos="836"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Reserves on Eurodollar Rate Loans</w:t>
      </w:r>
      <w:r>
        <w:rPr>
          <w:rFonts w:ascii="Arial" w:cs="Arial" w:eastAsia="Arial" w:hAnsi="Arial"/>
          <w:sz w:val="18"/>
          <w:szCs w:val="18"/>
          <w:color w:val="auto"/>
        </w:rPr>
        <w:t>. The Borrower shall pay to each Lender, as long as such Lender shall be required to maintain reserves with respect to liabilities or assets consisting of or including Eurocurrency funds or deposits (currently known as “</w:t>
      </w:r>
      <w:r>
        <w:rPr>
          <w:rFonts w:ascii="Arial" w:cs="Arial" w:eastAsia="Arial" w:hAnsi="Arial"/>
          <w:sz w:val="18"/>
          <w:szCs w:val="18"/>
          <w:u w:val="single" w:color="auto"/>
          <w:color w:val="auto"/>
        </w:rPr>
        <w:t>Eurocurrency liabilities</w:t>
      </w:r>
      <w:r>
        <w:rPr>
          <w:rFonts w:ascii="Arial" w:cs="Arial" w:eastAsia="Arial" w:hAnsi="Arial"/>
          <w:sz w:val="18"/>
          <w:szCs w:val="18"/>
          <w:color w:val="auto"/>
        </w:rPr>
        <w:t xml:space="preserve">”), additional interest on the unpaid principal amount of each Eurodollar Rate Loan equal to the actual costs of such reserves allocated to such Loan by such Lender (as determined by such Lender in good faith, which determination shall be conclusive), which shall be due and payable on each date on which interest is payable on such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have received at least 10 days’ prior notice (with a copy to the Administrative Agent) of such additional interest from such Lender. If a Lender fails to give notice 10 days prior to the relevant Interest Payment Date, such additional interest shall be due and payable 10 days from receipt of such notice.</w:t>
      </w:r>
    </w:p>
    <w:p>
      <w:pPr>
        <w:spacing w:after="0" w:line="189" w:lineRule="exact"/>
        <w:rPr>
          <w:sz w:val="20"/>
          <w:szCs w:val="20"/>
          <w:color w:val="auto"/>
        </w:rPr>
      </w:pPr>
    </w:p>
    <w:p>
      <w:pPr>
        <w:ind w:right="580" w:firstLine="456"/>
        <w:spacing w:after="0" w:line="308" w:lineRule="auto"/>
        <w:rPr>
          <w:sz w:val="20"/>
          <w:szCs w:val="20"/>
          <w:color w:val="auto"/>
        </w:rPr>
      </w:pPr>
      <w:r>
        <w:rPr>
          <w:rFonts w:ascii="Arial" w:cs="Arial" w:eastAsia="Arial" w:hAnsi="Arial"/>
          <w:sz w:val="17"/>
          <w:szCs w:val="17"/>
          <w:color w:val="auto"/>
        </w:rPr>
        <w:t xml:space="preserve">3.05. </w:t>
      </w:r>
      <w:r>
        <w:rPr>
          <w:rFonts w:ascii="Arial" w:cs="Arial" w:eastAsia="Arial" w:hAnsi="Arial"/>
          <w:sz w:val="17"/>
          <w:szCs w:val="17"/>
          <w:u w:val="single" w:color="auto"/>
          <w:color w:val="auto"/>
        </w:rPr>
        <w:t>Compensation for Losses</w:t>
      </w:r>
      <w:r>
        <w:rPr>
          <w:rFonts w:ascii="Arial" w:cs="Arial" w:eastAsia="Arial" w:hAnsi="Arial"/>
          <w:sz w:val="17"/>
          <w:szCs w:val="17"/>
          <w:color w:val="auto"/>
        </w:rPr>
        <w:t>. Upon demand of any Lender (with a copy to the Administrative Agent) from time to time, the Borrower shall promptly compensate such Lender for and hold such Lender harmless from any loss, cost or expense incurred by it as a result of:</w:t>
      </w:r>
    </w:p>
    <w:p>
      <w:pPr>
        <w:spacing w:after="0" w:line="38" w:lineRule="exact"/>
        <w:rPr>
          <w:sz w:val="20"/>
          <w:szCs w:val="20"/>
          <w:color w:val="auto"/>
        </w:rPr>
      </w:pPr>
    </w:p>
    <w:p>
      <w:pPr>
        <w:ind w:left="460" w:right="480" w:firstLine="443"/>
        <w:spacing w:after="0" w:line="277" w:lineRule="auto"/>
        <w:tabs>
          <w:tab w:leader="none" w:pos="127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62" w:lineRule="exact"/>
        <w:rPr>
          <w:rFonts w:ascii="Arial" w:cs="Arial" w:eastAsia="Arial" w:hAnsi="Arial"/>
          <w:sz w:val="18"/>
          <w:szCs w:val="18"/>
          <w:color w:val="auto"/>
        </w:rPr>
      </w:pPr>
    </w:p>
    <w:p>
      <w:pPr>
        <w:ind w:left="460" w:right="140" w:firstLine="443"/>
        <w:spacing w:after="0" w:line="277" w:lineRule="auto"/>
        <w:tabs>
          <w:tab w:leader="none" w:pos="128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failure by the Borrower (for a reason other than the failure of such Lender to make a Loan) to prepay, borrow, continue or convert any Loan other than a Base Rate Loan on the date or in the amount notified by the Borrower;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274" w:right="279" w:bottom="1440" w:gutter="0" w:footer="0" w:header="0"/>
        </w:sectPr>
      </w:pPr>
    </w:p>
    <w:bookmarkStart w:id="73" w:name="page74"/>
    <w:bookmarkEnd w:id="73"/>
    <w:p>
      <w:pPr>
        <w:ind w:left="460" w:right="440" w:firstLine="443"/>
        <w:spacing w:after="0" w:line="277" w:lineRule="auto"/>
        <w:tabs>
          <w:tab w:leader="none" w:pos="1278" w:val="left"/>
        </w:tabs>
        <w:numPr>
          <w:ilvl w:val="0"/>
          <w:numId w:val="1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assignment of a Eurodollar Rate Loan on a day other than the last day of the Interest Period therefor as a result of a request by the Borrower pursuant to Section 10.13;</w:t>
      </w:r>
    </w:p>
    <w:p>
      <w:pPr>
        <w:spacing w:after="0" w:line="1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including any loss of anticipated profits and any loss or expense arising from the liquidation or reemployment of funds obtained by it to maintain such Loan or from fees payable to terminate the deposits from which such funds were obtained. The Borrower shall also pay any customary administrative fees charged by such Lender in connection with the foregoing.</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 xml:space="preserve">For purposes of calculating amounts payable by the Borrower to the Lenders under this </w:t>
      </w:r>
      <w:r>
        <w:rPr>
          <w:rFonts w:ascii="Arial" w:cs="Arial" w:eastAsia="Arial" w:hAnsi="Arial"/>
          <w:sz w:val="17"/>
          <w:szCs w:val="17"/>
          <w:u w:val="single" w:color="auto"/>
          <w:color w:val="auto"/>
        </w:rPr>
        <w:t>Section 3.05</w:t>
      </w:r>
      <w:r>
        <w:rPr>
          <w:rFonts w:ascii="Arial" w:cs="Arial" w:eastAsia="Arial" w:hAnsi="Arial"/>
          <w:sz w:val="17"/>
          <w:szCs w:val="17"/>
          <w:color w:val="auto"/>
        </w:rPr>
        <w:t>, each Lender shall be deemed to have funded each Eurodollar Rate Loan made by it at the Eurodollar Rate for such Loan by a matching deposit or other borrowing in the London interbank eurodollar market for a comparable amount and for a comparable period, whether or not such Eurodollar Rate Loan was in fact so funded.</w:t>
      </w:r>
    </w:p>
    <w:p>
      <w:pPr>
        <w:spacing w:after="0" w:line="274"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3.06.</w:t>
      </w:r>
      <w:r>
        <w:rPr>
          <w:sz w:val="20"/>
          <w:szCs w:val="20"/>
          <w:color w:val="auto"/>
        </w:rPr>
        <w:tab/>
      </w:r>
      <w:r>
        <w:rPr>
          <w:rFonts w:ascii="Arial" w:cs="Arial" w:eastAsia="Arial" w:hAnsi="Arial"/>
          <w:sz w:val="16"/>
          <w:szCs w:val="16"/>
          <w:u w:val="single" w:color="auto"/>
          <w:color w:val="auto"/>
        </w:rPr>
        <w:t>Mitigation Obligations; Replacement of Lenders</w:t>
      </w:r>
      <w:r>
        <w:rPr>
          <w:rFonts w:ascii="Arial" w:cs="Arial" w:eastAsia="Arial" w:hAnsi="Arial"/>
          <w:sz w:val="16"/>
          <w:szCs w:val="16"/>
          <w:color w:val="auto"/>
        </w:rPr>
        <w:t>.</w:t>
      </w:r>
    </w:p>
    <w:p>
      <w:pPr>
        <w:spacing w:after="0" w:line="117" w:lineRule="exact"/>
        <w:rPr>
          <w:sz w:val="20"/>
          <w:szCs w:val="20"/>
          <w:color w:val="auto"/>
        </w:rPr>
      </w:pPr>
    </w:p>
    <w:p>
      <w:pPr>
        <w:ind w:firstLine="464"/>
        <w:spacing w:after="0" w:line="270" w:lineRule="auto"/>
        <w:tabs>
          <w:tab w:leader="none" w:pos="836"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Designation of a Different Lending Office</w:t>
      </w:r>
      <w:r>
        <w:rPr>
          <w:rFonts w:ascii="Arial" w:cs="Arial" w:eastAsia="Arial" w:hAnsi="Arial"/>
          <w:sz w:val="17"/>
          <w:szCs w:val="17"/>
          <w:color w:val="auto"/>
        </w:rPr>
        <w:t xml:space="preserve">. Each Lender may fund any Borrowing through any Lending Office,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exercise of this option shall not affect the obligation of the Borrower to repay the Borrowing in accordance with the terms of this Agreement. If any Lender requests compensation under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or requires the Borrower to pay any Indemnified Taxes or additional amounts to any Lender or any Governmental Authority for the account of any Lender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or if any Lender gives a notice pursuant to </w:t>
      </w:r>
      <w:r>
        <w:rPr>
          <w:rFonts w:ascii="Arial" w:cs="Arial" w:eastAsia="Arial" w:hAnsi="Arial"/>
          <w:sz w:val="17"/>
          <w:szCs w:val="17"/>
          <w:u w:val="single" w:color="auto"/>
          <w:color w:val="auto"/>
        </w:rPr>
        <w:t>Section 3.02</w:t>
      </w:r>
      <w:r>
        <w:rPr>
          <w:rFonts w:ascii="Arial" w:cs="Arial" w:eastAsia="Arial" w:hAnsi="Arial"/>
          <w:sz w:val="17"/>
          <w:szCs w:val="17"/>
          <w:color w:val="auto"/>
        </w:rPr>
        <w:t xml:space="preserve">, then at the request of the Borrower such Lender shall, as applicable,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as the case may be, in the future, or eliminate the need for the notice pursuant to </w:t>
      </w:r>
      <w:r>
        <w:rPr>
          <w:rFonts w:ascii="Arial" w:cs="Arial" w:eastAsia="Arial" w:hAnsi="Arial"/>
          <w:sz w:val="17"/>
          <w:szCs w:val="17"/>
          <w:u w:val="single" w:color="auto"/>
          <w:color w:val="auto"/>
        </w:rPr>
        <w:t>Section 3.02</w:t>
      </w:r>
      <w:r>
        <w:rPr>
          <w:rFonts w:ascii="Arial" w:cs="Arial" w:eastAsia="Arial" w:hAnsi="Arial"/>
          <w:sz w:val="17"/>
          <w:szCs w:val="17"/>
          <w:color w:val="auto"/>
        </w:rPr>
        <w:t>, as applicable, and (ii) in each case,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77" w:lineRule="exact"/>
        <w:rPr>
          <w:rFonts w:ascii="Arial" w:cs="Arial" w:eastAsia="Arial" w:hAnsi="Arial"/>
          <w:sz w:val="17"/>
          <w:szCs w:val="17"/>
          <w:color w:val="auto"/>
        </w:rPr>
      </w:pPr>
    </w:p>
    <w:p>
      <w:pPr>
        <w:ind w:right="20" w:firstLine="464"/>
        <w:spacing w:after="0" w:line="259" w:lineRule="auto"/>
        <w:tabs>
          <w:tab w:leader="none" w:pos="846"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if the Borrower is required to pay any Indemnified Taxes or additional amounts to any Lender or any Governmental Authority for the account of any Lender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and in each case, such Lender has declined or is unable to designate a different lending office in accordance with </w:t>
      </w:r>
      <w:r>
        <w:rPr>
          <w:rFonts w:ascii="Arial" w:cs="Arial" w:eastAsia="Arial" w:hAnsi="Arial"/>
          <w:sz w:val="18"/>
          <w:szCs w:val="18"/>
          <w:u w:val="single" w:color="auto"/>
          <w:color w:val="auto"/>
        </w:rPr>
        <w:t>Section 3.06(a)</w:t>
      </w:r>
      <w:r>
        <w:rPr>
          <w:rFonts w:ascii="Arial" w:cs="Arial" w:eastAsia="Arial" w:hAnsi="Arial"/>
          <w:sz w:val="18"/>
          <w:szCs w:val="18"/>
          <w:color w:val="auto"/>
        </w:rPr>
        <w:t xml:space="preserve">, the Borrower may replace such Lender in accordance with </w:t>
      </w:r>
      <w:r>
        <w:rPr>
          <w:rFonts w:ascii="Arial" w:cs="Arial" w:eastAsia="Arial" w:hAnsi="Arial"/>
          <w:sz w:val="18"/>
          <w:szCs w:val="18"/>
          <w:u w:val="single" w:color="auto"/>
          <w:color w:val="auto"/>
        </w:rPr>
        <w:t>Section 10.13</w:t>
      </w:r>
      <w:r>
        <w:rPr>
          <w:rFonts w:ascii="Arial" w:cs="Arial" w:eastAsia="Arial" w:hAnsi="Arial"/>
          <w:sz w:val="18"/>
          <w:szCs w:val="18"/>
          <w:color w:val="auto"/>
        </w:rPr>
        <w:t>.</w:t>
      </w:r>
    </w:p>
    <w:p>
      <w:pPr>
        <w:spacing w:after="0" w:line="18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 xml:space="preserve">3.07.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All of the Borrower’s obligations under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shall survive termination of the Aggregate Commitments, repayment of all other Obligations hereunder, and resignation of the Administrative Agent.</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CONDITIONS PRECEDENT TO CLOSING AND BORROWING</w:t>
      </w:r>
    </w:p>
    <w:p>
      <w:pPr>
        <w:spacing w:after="0" w:line="211"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4.01.</w:t>
      </w:r>
      <w:r>
        <w:rPr>
          <w:sz w:val="20"/>
          <w:szCs w:val="20"/>
          <w:color w:val="auto"/>
        </w:rPr>
        <w:tab/>
      </w:r>
      <w:r>
        <w:rPr>
          <w:rFonts w:ascii="Arial" w:cs="Arial" w:eastAsia="Arial" w:hAnsi="Arial"/>
          <w:sz w:val="16"/>
          <w:szCs w:val="16"/>
          <w:u w:val="single" w:color="auto"/>
          <w:color w:val="auto"/>
        </w:rPr>
        <w:t>Conditions of Closing and Initial Borrowing</w:t>
      </w:r>
      <w:r>
        <w:rPr>
          <w:rFonts w:ascii="Arial" w:cs="Arial" w:eastAsia="Arial" w:hAnsi="Arial"/>
          <w:sz w:val="16"/>
          <w:szCs w:val="16"/>
          <w:color w:val="auto"/>
        </w:rPr>
        <w:t>. The effectiveness of this Agreement and the obligation of each Lender to make its Loans on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Closing Date are subject to satisfaction of the following conditions precedent:</w:t>
      </w:r>
    </w:p>
    <w:p>
      <w:pPr>
        <w:spacing w:after="0" w:line="103" w:lineRule="exact"/>
        <w:rPr>
          <w:sz w:val="20"/>
          <w:szCs w:val="20"/>
          <w:color w:val="auto"/>
        </w:rPr>
      </w:pPr>
    </w:p>
    <w:p>
      <w:pPr>
        <w:ind w:left="460" w:right="100" w:firstLine="443"/>
        <w:spacing w:after="0" w:line="259" w:lineRule="auto"/>
        <w:tabs>
          <w:tab w:leader="none" w:pos="127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Administrative Agent’s receipt of the following, each of which shall be originals or telecopies (followed promptly by originals) unless otherwise specified, each properly executed by a Responsible Officer of the signing Loan Party, each dated the Closing Date (or, in the case of certificates of governmental officials, a recent date before the Closing Date) and each in form and substance reasonably satisfactory to the Administrative Agent and each of the Lenders:</w:t>
      </w:r>
    </w:p>
    <w:p>
      <w:pPr>
        <w:spacing w:after="0" w:line="78" w:lineRule="exact"/>
        <w:rPr>
          <w:rFonts w:ascii="Arial" w:cs="Arial" w:eastAsia="Arial" w:hAnsi="Arial"/>
          <w:sz w:val="18"/>
          <w:szCs w:val="18"/>
          <w:color w:val="auto"/>
        </w:rPr>
      </w:pPr>
    </w:p>
    <w:p>
      <w:pPr>
        <w:ind w:left="1700" w:hanging="359"/>
        <w:spacing w:after="0"/>
        <w:tabs>
          <w:tab w:leader="none" w:pos="17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executed counterparts of this Agreement, the First Lien/Second Lien Intercreditor Agreement and the Guaranty;</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274" w:right="299" w:bottom="1440" w:gutter="0" w:footer="0" w:header="0"/>
        </w:sectPr>
      </w:pPr>
    </w:p>
    <w:bookmarkStart w:id="74" w:name="page75"/>
    <w:bookmarkEnd w:id="74"/>
    <w:p>
      <w:pPr>
        <w:ind w:left="-280" w:right="40" w:firstLine="421"/>
        <w:spacing w:after="0" w:line="308" w:lineRule="auto"/>
        <w:tabs>
          <w:tab w:leader="none" w:pos="540" w:val="left"/>
        </w:tabs>
        <w:numPr>
          <w:ilvl w:val="0"/>
          <w:numId w:val="10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 second lien security agreement (together with each other security agreement and security agreement supplement delivered pursuant to </w:t>
      </w:r>
      <w:r>
        <w:rPr>
          <w:rFonts w:ascii="Arial" w:cs="Arial" w:eastAsia="Arial" w:hAnsi="Arial"/>
          <w:sz w:val="17"/>
          <w:szCs w:val="17"/>
          <w:u w:val="single" w:color="auto"/>
          <w:color w:val="auto"/>
        </w:rPr>
        <w:t>Section 6.12</w:t>
      </w:r>
      <w:r>
        <w:rPr>
          <w:rFonts w:ascii="Arial" w:cs="Arial" w:eastAsia="Arial" w:hAnsi="Arial"/>
          <w:sz w:val="17"/>
          <w:szCs w:val="17"/>
          <w:color w:val="auto"/>
        </w:rPr>
        <w:t>, in each case as amended, the “</w:t>
      </w:r>
      <w:r>
        <w:rPr>
          <w:rFonts w:ascii="Arial" w:cs="Arial" w:eastAsia="Arial" w:hAnsi="Arial"/>
          <w:sz w:val="17"/>
          <w:szCs w:val="17"/>
          <w:u w:val="single" w:color="auto"/>
          <w:color w:val="auto"/>
        </w:rPr>
        <w:t>Security Agreement</w:t>
      </w:r>
      <w:r>
        <w:rPr>
          <w:rFonts w:ascii="Arial" w:cs="Arial" w:eastAsia="Arial" w:hAnsi="Arial"/>
          <w:sz w:val="17"/>
          <w:szCs w:val="17"/>
          <w:color w:val="auto"/>
        </w:rPr>
        <w:t>”), duly executed by each Loan Party, together with:</w:t>
      </w:r>
    </w:p>
    <w:p>
      <w:pPr>
        <w:spacing w:after="0" w:line="38" w:lineRule="exact"/>
        <w:rPr>
          <w:rFonts w:ascii="Arial" w:cs="Arial" w:eastAsia="Arial" w:hAnsi="Arial"/>
          <w:sz w:val="17"/>
          <w:szCs w:val="17"/>
          <w:color w:val="auto"/>
        </w:rPr>
      </w:pPr>
    </w:p>
    <w:p>
      <w:pPr>
        <w:ind w:left="300" w:right="20" w:firstLine="389"/>
        <w:spacing w:after="0" w:line="259" w:lineRule="auto"/>
        <w:tabs>
          <w:tab w:leader="none" w:pos="1127" w:val="left"/>
        </w:tabs>
        <w:numPr>
          <w:ilvl w:val="1"/>
          <w:numId w:val="104"/>
        </w:numPr>
        <w:rPr>
          <w:rFonts w:ascii="Arial" w:cs="Arial" w:eastAsia="Arial" w:hAnsi="Arial"/>
          <w:sz w:val="18"/>
          <w:szCs w:val="18"/>
          <w:color w:val="auto"/>
        </w:rPr>
      </w:pPr>
      <w:r>
        <w:rPr>
          <w:rFonts w:ascii="Arial" w:cs="Arial" w:eastAsia="Arial" w:hAnsi="Arial"/>
          <w:sz w:val="18"/>
          <w:szCs w:val="18"/>
          <w:color w:val="auto"/>
        </w:rPr>
        <w:t xml:space="preserve">certificates and instruments representing the Collateral consisting of Certificated Securities or Instruments (each such term as defined in the UCC) accompanied by undated stock powers, allonges or instruments of transfer executed in blank;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clause (A) shall be deemed satisfied by the delivery and possession or control of such Collateral to the collateral agent under the First Lien Credit Documents as bailee for the Secured Parties;</w:t>
      </w:r>
    </w:p>
    <w:p>
      <w:pPr>
        <w:spacing w:after="0" w:line="78" w:lineRule="exact"/>
        <w:rPr>
          <w:rFonts w:ascii="Arial" w:cs="Arial" w:eastAsia="Arial" w:hAnsi="Arial"/>
          <w:sz w:val="18"/>
          <w:szCs w:val="18"/>
          <w:color w:val="auto"/>
        </w:rPr>
      </w:pPr>
    </w:p>
    <w:p>
      <w:pPr>
        <w:jc w:val="both"/>
        <w:ind w:left="300" w:right="80" w:firstLine="389"/>
        <w:spacing w:after="0" w:line="264" w:lineRule="auto"/>
        <w:tabs>
          <w:tab w:leader="none" w:pos="1117" w:val="left"/>
        </w:tabs>
        <w:numPr>
          <w:ilvl w:val="1"/>
          <w:numId w:val="104"/>
        </w:numPr>
        <w:rPr>
          <w:rFonts w:ascii="Arial" w:cs="Arial" w:eastAsia="Arial" w:hAnsi="Arial"/>
          <w:sz w:val="18"/>
          <w:szCs w:val="18"/>
          <w:color w:val="auto"/>
        </w:rPr>
      </w:pPr>
      <w:r>
        <w:rPr>
          <w:rFonts w:ascii="Arial" w:cs="Arial" w:eastAsia="Arial" w:hAnsi="Arial"/>
          <w:sz w:val="18"/>
          <w:szCs w:val="18"/>
          <w:color w:val="auto"/>
        </w:rPr>
        <w:t>proper UCC financing statements in form appropriate for filing under the Uniform Commercial Code of all jurisdictions that the Administrative Agent may deem necessary or desirable in order to perfect the Liens created under the Security Agreement, covering the Collateral described in the Security Agreement;</w:t>
      </w:r>
    </w:p>
    <w:p>
      <w:pPr>
        <w:spacing w:after="0" w:line="73" w:lineRule="exact"/>
        <w:rPr>
          <w:rFonts w:ascii="Arial" w:cs="Arial" w:eastAsia="Arial" w:hAnsi="Arial"/>
          <w:sz w:val="18"/>
          <w:szCs w:val="18"/>
          <w:color w:val="auto"/>
        </w:rPr>
      </w:pPr>
    </w:p>
    <w:p>
      <w:pPr>
        <w:ind w:left="300" w:firstLine="389"/>
        <w:spacing w:after="0" w:line="273" w:lineRule="auto"/>
        <w:tabs>
          <w:tab w:leader="none" w:pos="1117" w:val="left"/>
        </w:tabs>
        <w:numPr>
          <w:ilvl w:val="1"/>
          <w:numId w:val="104"/>
        </w:numPr>
        <w:rPr>
          <w:rFonts w:ascii="Arial" w:cs="Arial" w:eastAsia="Arial" w:hAnsi="Arial"/>
          <w:sz w:val="17"/>
          <w:szCs w:val="17"/>
          <w:color w:val="auto"/>
        </w:rPr>
      </w:pPr>
      <w:r>
        <w:rPr>
          <w:rFonts w:ascii="Arial" w:cs="Arial" w:eastAsia="Arial" w:hAnsi="Arial"/>
          <w:sz w:val="17"/>
          <w:szCs w:val="17"/>
          <w:color w:val="auto"/>
        </w:rPr>
        <w:t xml:space="preserve">certified copies of UCC, United States Patent and Trademark Office and United States Copyright Office, tax and judgment lien searches, or equivalent reports or searches, each of a recent date listing all effective financing statements, lien notices or comparable documents (together with copies of such financing statements and documents) that name any Loan Party as debtor and that are filed in those state and county jurisdictions in which any Loan Party is organized or maintains its principal place of business and such other searches that the Administrative Agent deems necessary or appropriate, none of which encumber the Collateral covered or intended to be covered by the Collateral Documents (other than Liens permitted under </w:t>
      </w:r>
      <w:r>
        <w:rPr>
          <w:rFonts w:ascii="Arial" w:cs="Arial" w:eastAsia="Arial" w:hAnsi="Arial"/>
          <w:sz w:val="17"/>
          <w:szCs w:val="17"/>
          <w:u w:val="single" w:color="auto"/>
          <w:color w:val="auto"/>
        </w:rPr>
        <w:t>Section 7.01</w:t>
      </w:r>
      <w:r>
        <w:rPr>
          <w:rFonts w:ascii="Arial" w:cs="Arial" w:eastAsia="Arial" w:hAnsi="Arial"/>
          <w:sz w:val="17"/>
          <w:szCs w:val="17"/>
          <w:color w:val="auto"/>
        </w:rPr>
        <w:t>); and</w:t>
      </w:r>
    </w:p>
    <w:p>
      <w:pPr>
        <w:spacing w:after="0" w:line="70" w:lineRule="exact"/>
        <w:rPr>
          <w:rFonts w:ascii="Arial" w:cs="Arial" w:eastAsia="Arial" w:hAnsi="Arial"/>
          <w:sz w:val="17"/>
          <w:szCs w:val="17"/>
          <w:color w:val="auto"/>
        </w:rPr>
      </w:pPr>
    </w:p>
    <w:p>
      <w:pPr>
        <w:ind w:left="300" w:firstLine="389"/>
        <w:spacing w:after="0" w:line="259" w:lineRule="auto"/>
        <w:tabs>
          <w:tab w:leader="none" w:pos="1127" w:val="left"/>
        </w:tabs>
        <w:numPr>
          <w:ilvl w:val="1"/>
          <w:numId w:val="104"/>
        </w:numPr>
        <w:rPr>
          <w:rFonts w:ascii="Arial" w:cs="Arial" w:eastAsia="Arial" w:hAnsi="Arial"/>
          <w:sz w:val="18"/>
          <w:szCs w:val="18"/>
          <w:color w:val="auto"/>
        </w:rPr>
      </w:pPr>
      <w:r>
        <w:rPr>
          <w:rFonts w:ascii="Arial" w:cs="Arial" w:eastAsia="Arial" w:hAnsi="Arial"/>
          <w:sz w:val="18"/>
          <w:szCs w:val="18"/>
          <w:color w:val="auto"/>
        </w:rPr>
        <w:t>evidence that all other actions, recordings and filings that the Administrative Agent may deem necessary or desirable in order to perfect or protect the Liens created under the Security Agreement has been taken (including receipt of duly executed payoff letters, UCC-3 termination statements, evidence and endorsement of insurance policies and landlords’ and bailees’ waiver and consent agreements);</w:t>
      </w:r>
    </w:p>
    <w:p>
      <w:pPr>
        <w:spacing w:after="0" w:line="78" w:lineRule="exact"/>
        <w:rPr>
          <w:rFonts w:ascii="Arial" w:cs="Arial" w:eastAsia="Arial" w:hAnsi="Arial"/>
          <w:sz w:val="18"/>
          <w:szCs w:val="18"/>
          <w:color w:val="auto"/>
        </w:rPr>
      </w:pPr>
    </w:p>
    <w:p>
      <w:pPr>
        <w:ind w:left="-280" w:firstLine="421"/>
        <w:spacing w:after="0" w:line="276" w:lineRule="auto"/>
        <w:tabs>
          <w:tab w:leader="none" w:pos="59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 xml:space="preserve">a Second Lien Copyright Security Agreement, Second Lien Patent Security Agreement and Second Lien Trademark Security Agreement (collectively, and together with each other intellectual property security agreement delivered pursuant to </w:t>
      </w:r>
      <w:r>
        <w:rPr>
          <w:rFonts w:ascii="Arial" w:cs="Arial" w:eastAsia="Arial" w:hAnsi="Arial"/>
          <w:sz w:val="17"/>
          <w:szCs w:val="17"/>
          <w:u w:val="single" w:color="auto"/>
          <w:color w:val="auto"/>
        </w:rPr>
        <w:t>Section 6.12</w:t>
      </w:r>
      <w:r>
        <w:rPr>
          <w:rFonts w:ascii="Arial" w:cs="Arial" w:eastAsia="Arial" w:hAnsi="Arial"/>
          <w:sz w:val="17"/>
          <w:szCs w:val="17"/>
          <w:color w:val="auto"/>
        </w:rPr>
        <w:t>, in each case as amended, the “</w:t>
      </w:r>
      <w:r>
        <w:rPr>
          <w:rFonts w:ascii="Arial" w:cs="Arial" w:eastAsia="Arial" w:hAnsi="Arial"/>
          <w:sz w:val="17"/>
          <w:szCs w:val="17"/>
          <w:u w:val="single" w:color="auto"/>
          <w:color w:val="auto"/>
        </w:rPr>
        <w:t>Intellectual Property Security Agreements</w:t>
      </w:r>
      <w:r>
        <w:rPr>
          <w:rFonts w:ascii="Arial" w:cs="Arial" w:eastAsia="Arial" w:hAnsi="Arial"/>
          <w:sz w:val="17"/>
          <w:szCs w:val="17"/>
          <w:color w:val="auto"/>
        </w:rPr>
        <w:t>” and each, individually, an “</w:t>
      </w:r>
      <w:r>
        <w:rPr>
          <w:rFonts w:ascii="Arial" w:cs="Arial" w:eastAsia="Arial" w:hAnsi="Arial"/>
          <w:sz w:val="17"/>
          <w:szCs w:val="17"/>
          <w:u w:val="single" w:color="auto"/>
          <w:color w:val="auto"/>
        </w:rPr>
        <w:t>Intellectual Property Security Agreement</w:t>
      </w:r>
      <w:r>
        <w:rPr>
          <w:rFonts w:ascii="Arial" w:cs="Arial" w:eastAsia="Arial" w:hAnsi="Arial"/>
          <w:sz w:val="17"/>
          <w:szCs w:val="17"/>
          <w:color w:val="auto"/>
        </w:rPr>
        <w:t>”), duly executed by each Loan Party, together with evidence that all action that the Administrative Agent may deem necessary or desirable in order to perfect the Liens created under the Intellectual Property Security Agreement has been taken;</w:t>
      </w:r>
    </w:p>
    <w:p>
      <w:pPr>
        <w:spacing w:after="0" w:line="64" w:lineRule="exact"/>
        <w:rPr>
          <w:rFonts w:ascii="Arial" w:cs="Arial" w:eastAsia="Arial" w:hAnsi="Arial"/>
          <w:sz w:val="17"/>
          <w:szCs w:val="17"/>
          <w:color w:val="auto"/>
        </w:rPr>
      </w:pPr>
    </w:p>
    <w:p>
      <w:pPr>
        <w:ind w:left="-280" w:right="140" w:firstLine="421"/>
        <w:spacing w:after="0" w:line="312" w:lineRule="auto"/>
        <w:tabs>
          <w:tab w:leader="none" w:pos="5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such resolutions or other action, incumbency certificates and/or other certificates of Responsible Officers of each Loan Party as the Administrative Agent may require evidencing the identity, authority and capacity of each Responsible Officer thereof authorized to act as a Responsible Officer in connection with this Agreement and the other Loan Documents to which such Loan Party is a party or is to be a party;</w:t>
      </w:r>
    </w:p>
    <w:p>
      <w:pPr>
        <w:spacing w:after="0" w:line="38" w:lineRule="exact"/>
        <w:rPr>
          <w:rFonts w:ascii="Arial" w:cs="Arial" w:eastAsia="Arial" w:hAnsi="Arial"/>
          <w:sz w:val="16"/>
          <w:szCs w:val="16"/>
          <w:color w:val="auto"/>
        </w:rPr>
      </w:pPr>
    </w:p>
    <w:p>
      <w:pPr>
        <w:ind w:left="-280" w:firstLine="421"/>
        <w:spacing w:after="0" w:line="259" w:lineRule="auto"/>
        <w:tabs>
          <w:tab w:leader="none" w:pos="53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such documents and certifications as the Administrative Agent may reasonably require to evidence that each Loan Party is duly organized or formed, and that the Borrower and each other Loan Party is validly existing, in good standing and qualified to engage in business in each jurisdiction where its ownership, lease or operation of properties or the conduct of its business requires such qualification, except to the extent that failure to do so could not reasonably be expected to have a Material Adverse Effect;</w:t>
      </w:r>
    </w:p>
    <w:p>
      <w:pPr>
        <w:spacing w:after="0" w:line="78" w:lineRule="exact"/>
        <w:rPr>
          <w:rFonts w:ascii="Arial" w:cs="Arial" w:eastAsia="Arial" w:hAnsi="Arial"/>
          <w:sz w:val="18"/>
          <w:szCs w:val="18"/>
          <w:color w:val="auto"/>
        </w:rPr>
      </w:pPr>
    </w:p>
    <w:p>
      <w:pPr>
        <w:ind w:left="-280" w:right="320" w:firstLine="421"/>
        <w:spacing w:after="0" w:line="312" w:lineRule="auto"/>
        <w:tabs>
          <w:tab w:leader="none" w:pos="5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 favorable opinion of (A) Bass, Berry &amp; Sims PLC, counsel to the Loan Parties, and (B) appropriate local counsel to the Loan Parties (which counsel shall be reasonably satisfactory to the Administrative Agent), in each case addressed to the Administrative Agent and each Lender, as to such matters concerning the Loan Parties and the Loan Documents as the Administrative Agent may reasonably request;</w:t>
      </w:r>
    </w:p>
    <w:p>
      <w:pPr>
        <w:spacing w:after="0" w:line="7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160"/>
          </w:cols>
          <w:pgMar w:left="1440" w:top="274" w:right="299" w:bottom="1440" w:gutter="0" w:footer="0" w:header="0"/>
        </w:sectPr>
      </w:pPr>
    </w:p>
    <w:bookmarkStart w:id="75" w:name="page76"/>
    <w:bookmarkEnd w:id="75"/>
    <w:p>
      <w:pPr>
        <w:ind w:left="1380" w:hanging="499"/>
        <w:spacing w:after="0"/>
        <w:tabs>
          <w:tab w:leader="none" w:pos="1380" w:val="left"/>
        </w:tabs>
        <w:numPr>
          <w:ilvl w:val="1"/>
          <w:numId w:val="10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certificate signed by a Responsible Officer of the Borrower certifying that the conditions set forth in Sections 4.01(d) through</w:t>
      </w:r>
    </w:p>
    <w:p>
      <w:pPr>
        <w:spacing w:after="0" w:line="34" w:lineRule="exact"/>
        <w:rPr>
          <w:rFonts w:ascii="Arial" w:cs="Arial" w:eastAsia="Arial" w:hAnsi="Arial"/>
          <w:sz w:val="17"/>
          <w:szCs w:val="17"/>
          <w:color w:val="auto"/>
        </w:rPr>
      </w:pPr>
    </w:p>
    <w:p>
      <w:pPr>
        <w:ind w:left="680" w:hanging="219"/>
        <w:spacing w:after="0"/>
        <w:tabs>
          <w:tab w:leader="none" w:pos="6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have been satisfied or will be satisfied substantially concurrently with the Closing Date;</w:t>
      </w:r>
    </w:p>
    <w:p>
      <w:pPr>
        <w:spacing w:after="0" w:line="102" w:lineRule="exact"/>
        <w:rPr>
          <w:rFonts w:ascii="Arial" w:cs="Arial" w:eastAsia="Arial" w:hAnsi="Arial"/>
          <w:sz w:val="18"/>
          <w:szCs w:val="18"/>
          <w:color w:val="auto"/>
        </w:rPr>
      </w:pPr>
    </w:p>
    <w:p>
      <w:pPr>
        <w:ind w:left="1420" w:hanging="539"/>
        <w:spacing w:after="0"/>
        <w:tabs>
          <w:tab w:leader="none" w:pos="14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320" w:hanging="439"/>
        <w:spacing w:after="0"/>
        <w:tabs>
          <w:tab w:leader="none" w:pos="13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280" w:hanging="399"/>
        <w:spacing w:after="0"/>
        <w:tabs>
          <w:tab w:leader="none" w:pos="12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Audited Financial Statements;</w:t>
      </w:r>
    </w:p>
    <w:p>
      <w:pPr>
        <w:spacing w:after="0" w:line="117" w:lineRule="exact"/>
        <w:rPr>
          <w:sz w:val="20"/>
          <w:szCs w:val="20"/>
          <w:color w:val="auto"/>
        </w:rPr>
      </w:pPr>
    </w:p>
    <w:p>
      <w:pPr>
        <w:ind w:left="460" w:right="20" w:firstLine="421"/>
        <w:spacing w:after="0" w:line="297" w:lineRule="auto"/>
        <w:tabs>
          <w:tab w:leader="none" w:pos="13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consolidated balance sheet as of the last day of the most recent fiscal year ended December 31, 2017 and related </w:t>
      </w:r>
      <w:r>
        <w:rPr>
          <w:rFonts w:ascii="Arial" w:cs="Arial" w:eastAsia="Arial" w:hAnsi="Arial"/>
          <w:sz w:val="16"/>
          <w:szCs w:val="16"/>
          <w:i w:val="1"/>
          <w:iCs w:val="1"/>
          <w:color w:val="auto"/>
        </w:rPr>
        <w:t>pro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forma </w:t>
      </w:r>
      <w:r>
        <w:rPr>
          <w:rFonts w:ascii="Arial" w:cs="Arial" w:eastAsia="Arial" w:hAnsi="Arial"/>
          <w:sz w:val="16"/>
          <w:szCs w:val="16"/>
          <w:color w:val="auto"/>
        </w:rPr>
        <w:t>consolidated statements of income of the Borrower and its Subsidiaries as of and for the most recent fiscal year ended December 31, 2017,</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after giving effect to all elements of the Transactions to be effected on or before the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such financial statements need not comply with Regulation S-X under the Securities Act of 1933, as amended, or include adjustments for purchase accounting, in each case to the extent customary for senior secured bank financing transactions of this type (the “</w:t>
      </w:r>
      <w:r>
        <w:rPr>
          <w:rFonts w:ascii="Arial" w:cs="Arial" w:eastAsia="Arial" w:hAnsi="Arial"/>
          <w:sz w:val="16"/>
          <w:szCs w:val="16"/>
          <w:u w:val="single" w:color="auto"/>
          <w:color w:val="auto"/>
        </w:rPr>
        <w:t>Borrower Pro Forma Financial Statements</w:t>
      </w:r>
      <w:r>
        <w:rPr>
          <w:rFonts w:ascii="Arial" w:cs="Arial" w:eastAsia="Arial" w:hAnsi="Arial"/>
          <w:sz w:val="16"/>
          <w:szCs w:val="16"/>
          <w:color w:val="auto"/>
        </w:rPr>
        <w:t>”);</w:t>
      </w:r>
    </w:p>
    <w:p>
      <w:pPr>
        <w:spacing w:after="0" w:line="50" w:lineRule="exact"/>
        <w:rPr>
          <w:rFonts w:ascii="Arial" w:cs="Arial" w:eastAsia="Arial" w:hAnsi="Arial"/>
          <w:sz w:val="16"/>
          <w:szCs w:val="16"/>
          <w:color w:val="auto"/>
        </w:rPr>
      </w:pPr>
    </w:p>
    <w:p>
      <w:pPr>
        <w:ind w:left="460" w:right="280" w:firstLine="421"/>
        <w:spacing w:after="0" w:line="277" w:lineRule="auto"/>
        <w:tabs>
          <w:tab w:leader="none" w:pos="127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certificate of a Financial Officer of the Borrower attesting to the Solvency of the Borrower and its Subsidiaries on a consolidated basis (after giving effect to the Transactions and the incurrence and repayment of Indebtedness related thereto);</w:t>
      </w:r>
    </w:p>
    <w:p>
      <w:pPr>
        <w:spacing w:after="0" w:line="62" w:lineRule="exact"/>
        <w:rPr>
          <w:rFonts w:ascii="Arial" w:cs="Arial" w:eastAsia="Arial" w:hAnsi="Arial"/>
          <w:sz w:val="18"/>
          <w:szCs w:val="18"/>
          <w:color w:val="auto"/>
        </w:rPr>
      </w:pPr>
    </w:p>
    <w:p>
      <w:pPr>
        <w:ind w:left="460" w:right="140" w:firstLine="421"/>
        <w:spacing w:after="0" w:line="286" w:lineRule="auto"/>
        <w:tabs>
          <w:tab w:leader="none" w:pos="13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evidence (including customary payoff letters) that all Existing Indebtedness has been, or concurrently with the funding of the Loans will be, repaid in full, all commitments thereunder have been, or concurrently with the funding of the Loans will be, terminated, and all Liens securing obligations thereunder have been, or substantially concurrently with the funding of the Loans will be, released;</w:t>
      </w:r>
    </w:p>
    <w:p>
      <w:pPr>
        <w:spacing w:after="0" w:line="57" w:lineRule="exact"/>
        <w:rPr>
          <w:rFonts w:ascii="Arial" w:cs="Arial" w:eastAsia="Arial" w:hAnsi="Arial"/>
          <w:sz w:val="17"/>
          <w:szCs w:val="17"/>
          <w:color w:val="auto"/>
        </w:rPr>
      </w:pPr>
    </w:p>
    <w:p>
      <w:pPr>
        <w:ind w:left="1380" w:hanging="499"/>
        <w:spacing w:after="0"/>
        <w:tabs>
          <w:tab w:leader="none" w:pos="13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if the Borrower selects the Eurodollar Rate for the Borrowing on the Closing Date, a Funding Indemnity Letter;</w:t>
      </w:r>
    </w:p>
    <w:p>
      <w:pPr>
        <w:spacing w:after="0" w:line="117" w:lineRule="exact"/>
        <w:rPr>
          <w:rFonts w:ascii="Arial" w:cs="Arial" w:eastAsia="Arial" w:hAnsi="Arial"/>
          <w:sz w:val="18"/>
          <w:szCs w:val="18"/>
          <w:color w:val="auto"/>
        </w:rPr>
      </w:pPr>
    </w:p>
    <w:p>
      <w:pPr>
        <w:ind w:left="1420" w:hanging="539"/>
        <w:spacing w:after="0"/>
        <w:tabs>
          <w:tab w:leader="none" w:pos="14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Committed Loan Notice in accordance with the requirements hereof;</w:t>
      </w:r>
    </w:p>
    <w:p>
      <w:pPr>
        <w:spacing w:after="0" w:line="117" w:lineRule="exact"/>
        <w:rPr>
          <w:rFonts w:ascii="Arial" w:cs="Arial" w:eastAsia="Arial" w:hAnsi="Arial"/>
          <w:sz w:val="18"/>
          <w:szCs w:val="18"/>
          <w:color w:val="auto"/>
        </w:rPr>
      </w:pPr>
    </w:p>
    <w:p>
      <w:pPr>
        <w:ind w:left="460" w:right="160" w:firstLine="421"/>
        <w:spacing w:after="0" w:line="277" w:lineRule="auto"/>
        <w:tabs>
          <w:tab w:leader="none" w:pos="141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 executed funds flow statement with respect to all Loans to be advanced on the Closing Date and all other Transactions to occur on the Closing Date; and</w:t>
      </w:r>
    </w:p>
    <w:p>
      <w:pPr>
        <w:spacing w:after="0" w:line="62" w:lineRule="exact"/>
        <w:rPr>
          <w:rFonts w:ascii="Arial" w:cs="Arial" w:eastAsia="Arial" w:hAnsi="Arial"/>
          <w:sz w:val="18"/>
          <w:szCs w:val="18"/>
          <w:color w:val="auto"/>
        </w:rPr>
      </w:pPr>
    </w:p>
    <w:p>
      <w:pPr>
        <w:ind w:left="1360" w:hanging="479"/>
        <w:spacing w:after="0"/>
        <w:tabs>
          <w:tab w:leader="none" w:pos="13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Term Note executed by the Borrower in favor of each Term Lender requesting a Term Note.</w:t>
      </w:r>
    </w:p>
    <w:p>
      <w:pPr>
        <w:spacing w:after="0" w:line="117" w:lineRule="exact"/>
        <w:rPr>
          <w:sz w:val="20"/>
          <w:szCs w:val="20"/>
          <w:color w:val="auto"/>
        </w:rPr>
      </w:pPr>
    </w:p>
    <w:p>
      <w:pPr>
        <w:ind w:firstLine="438"/>
        <w:spacing w:after="0" w:line="288" w:lineRule="auto"/>
        <w:rPr>
          <w:sz w:val="20"/>
          <w:szCs w:val="20"/>
          <w:color w:val="auto"/>
        </w:rPr>
      </w:pPr>
      <w:r>
        <w:rPr>
          <w:rFonts w:ascii="Arial" w:cs="Arial" w:eastAsia="Arial" w:hAnsi="Arial"/>
          <w:sz w:val="16"/>
          <w:szCs w:val="16"/>
          <w:color w:val="auto"/>
        </w:rPr>
        <w:t xml:space="preserve">Notwithstanding anything to the contrary in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to the extent that any security interests in any Collateral or any deliverable related to the perfection of a security interest in any Collateral (other than (1) grants of security interests in Collateral subject to the Uniform Commercial Code (and the equivalent law or statute in the relevant foreign jurisdictions) that may be perfected by the filing of Uniform Commercial Code financing statements (and the equivalents thereof in any relevant foreign jurisdiction), (2) the delivery of stock certificates (or the equivalent thereof) evidencing certificated stock (or other Equity Interests) that is part of the Collateral (other than stock issued by Foreign Subsidiaries and any such certificated stock certificates of any Subsidiary of the Target solely to the extent such certificates are not received from the Target after your use of commercially reasonable efforts to obtain them on the Closing Date) and (3) the filing of Intellectual Property Security Agreements with the United States Patent and Trademark Office or the United States Copyright Office, as applicable) is not or cannot be perfected on the Closing Date after the Borrower’s use of commercially reasonable efforts to do so, the perfection of security interests therein shall not constitute a condition precedent to the availability of the Loans on the Closing Date, but shall be required to be completed after the Closing Date pursuant to </w:t>
      </w:r>
      <w:r>
        <w:rPr>
          <w:rFonts w:ascii="Arial" w:cs="Arial" w:eastAsia="Arial" w:hAnsi="Arial"/>
          <w:sz w:val="16"/>
          <w:szCs w:val="16"/>
          <w:u w:val="single" w:color="auto"/>
          <w:color w:val="auto"/>
        </w:rPr>
        <w:t>Section 6.17</w:t>
      </w:r>
      <w:r>
        <w:rPr>
          <w:rFonts w:ascii="Arial" w:cs="Arial" w:eastAsia="Arial" w:hAnsi="Arial"/>
          <w:sz w:val="16"/>
          <w:szCs w:val="16"/>
          <w:color w:val="auto"/>
        </w:rPr>
        <w:t>.</w:t>
      </w:r>
    </w:p>
    <w:p>
      <w:pPr>
        <w:spacing w:after="0" w:line="1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40"/>
          </w:cols>
          <w:pgMar w:left="700" w:top="274" w:right="259" w:bottom="1440" w:gutter="0" w:footer="0" w:header="0"/>
        </w:sectPr>
      </w:pPr>
    </w:p>
    <w:bookmarkStart w:id="76" w:name="page77"/>
    <w:bookmarkEnd w:id="76"/>
    <w:p>
      <w:pPr>
        <w:ind w:left="460" w:right="200" w:firstLine="443"/>
        <w:spacing w:after="0" w:line="312" w:lineRule="auto"/>
        <w:tabs>
          <w:tab w:leader="none" w:pos="1285" w:val="left"/>
        </w:tabs>
        <w:numPr>
          <w:ilvl w:val="0"/>
          <w:numId w:val="10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Borrower and each of the other Loan Parties shall have provided to the Administrative Agent and the Lenders the documentation and other information requested by the Administrative Agent or any Lender at least five (5) Business Days prior to the Closing Date in order to comply with requirements of the PATRIOT Act, applicable “know your customer” and anti-money laundering rules and regulations;</w:t>
      </w:r>
    </w:p>
    <w:p>
      <w:pPr>
        <w:spacing w:after="0" w:line="38" w:lineRule="exact"/>
        <w:rPr>
          <w:rFonts w:ascii="Arial" w:cs="Arial" w:eastAsia="Arial" w:hAnsi="Arial"/>
          <w:sz w:val="16"/>
          <w:szCs w:val="16"/>
          <w:color w:val="auto"/>
        </w:rPr>
      </w:pPr>
    </w:p>
    <w:p>
      <w:pPr>
        <w:ind w:left="460" w:firstLine="443"/>
        <w:spacing w:after="0" w:line="273" w:lineRule="auto"/>
        <w:tabs>
          <w:tab w:leader="none" w:pos="127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 xml:space="preserve">The Borrower shall have paid (i) all fees required to be paid to the Administrative Agent and the Arranger on or before the Closing Date (including, without limitation, all fees, charges and disbursements of counsel to the Administrative Agent to the extent invoiced two business days prior to the Closing Date (directly to such counsel if requested by the Administrative Agent)),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such additional amounts of such fees, charges and disbursements as shall constitute its reasonable estimate of such fees, charges and disbursements incurred or to be incurred by it through the closing proceedings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estimate shall not thereafter preclude a final settling of accounts between the Borrower and the Administrative Agent) and (ii) all fees required to be paid to the Lenders on or before the Closing Date;</w:t>
      </w:r>
    </w:p>
    <w:p>
      <w:pPr>
        <w:spacing w:after="0" w:line="70" w:lineRule="exact"/>
        <w:rPr>
          <w:rFonts w:ascii="Arial" w:cs="Arial" w:eastAsia="Arial" w:hAnsi="Arial"/>
          <w:sz w:val="17"/>
          <w:szCs w:val="17"/>
          <w:color w:val="auto"/>
        </w:rPr>
      </w:pPr>
    </w:p>
    <w:p>
      <w:pPr>
        <w:ind w:left="460" w:right="200" w:firstLine="443"/>
        <w:spacing w:after="0" w:line="259" w:lineRule="auto"/>
        <w:tabs>
          <w:tab w:leader="none" w:pos="128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Paragon Acquisition shall have been consummated in accordance with the terms of the Paragon Purchase Agreement (without giving effect to any amendment, modification, consent or waiver (including, without limitation, any updates to the exhibits, annexes and schedules thereto) that is materially adverse to the interests of the Lenders (in their capacity as such), either individually or in the aggregate, without the prior written consent of the Administrative Agent and the Lenders);</w:t>
      </w:r>
    </w:p>
    <w:p>
      <w:pPr>
        <w:spacing w:after="0" w:line="78" w:lineRule="exact"/>
        <w:rPr>
          <w:rFonts w:ascii="Arial" w:cs="Arial" w:eastAsia="Arial" w:hAnsi="Arial"/>
          <w:sz w:val="18"/>
          <w:szCs w:val="18"/>
          <w:color w:val="auto"/>
        </w:rPr>
      </w:pPr>
    </w:p>
    <w:p>
      <w:pPr>
        <w:ind w:left="1280" w:hanging="377"/>
        <w:spacing w:after="0"/>
        <w:tabs>
          <w:tab w:leader="none" w:pos="12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Each of the Specified Purchase Agreement Representations shall be true and correct;</w:t>
      </w:r>
    </w:p>
    <w:p>
      <w:pPr>
        <w:spacing w:after="0" w:line="117" w:lineRule="exact"/>
        <w:rPr>
          <w:rFonts w:ascii="Arial" w:cs="Arial" w:eastAsia="Arial" w:hAnsi="Arial"/>
          <w:sz w:val="18"/>
          <w:szCs w:val="18"/>
          <w:color w:val="auto"/>
        </w:rPr>
      </w:pPr>
    </w:p>
    <w:p>
      <w:pPr>
        <w:ind w:left="460" w:right="20" w:firstLine="443"/>
        <w:spacing w:after="0" w:line="286" w:lineRule="auto"/>
        <w:tabs>
          <w:tab w:leader="none" w:pos="125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Specified Representations shall be true and correct in all material respects (without duplication of any materiality qualifier therein) as of the Closing Date (or true and correct in all material respects (without duplication of any materiality qualifier therein) as of a specified date, if earlier) and no Event of Default under Section 8.01(a) or (j) of the First Lien Credit Agreement has occurred and is continuing;</w:t>
      </w:r>
    </w:p>
    <w:p>
      <w:pPr>
        <w:spacing w:after="0" w:line="57" w:lineRule="exact"/>
        <w:rPr>
          <w:rFonts w:ascii="Arial" w:cs="Arial" w:eastAsia="Arial" w:hAnsi="Arial"/>
          <w:sz w:val="17"/>
          <w:szCs w:val="17"/>
          <w:color w:val="auto"/>
        </w:rPr>
      </w:pPr>
    </w:p>
    <w:p>
      <w:pPr>
        <w:ind w:left="1280" w:hanging="377"/>
        <w:spacing w:after="0"/>
        <w:tabs>
          <w:tab w:leader="none" w:pos="12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There shall not have been any Target Material Adverse Effect since the date of the Paragon Purchase Agreement; and</w:t>
      </w:r>
    </w:p>
    <w:p>
      <w:pPr>
        <w:spacing w:after="0" w:line="117" w:lineRule="exact"/>
        <w:rPr>
          <w:rFonts w:ascii="Arial" w:cs="Arial" w:eastAsia="Arial" w:hAnsi="Arial"/>
          <w:sz w:val="18"/>
          <w:szCs w:val="18"/>
          <w:color w:val="auto"/>
        </w:rPr>
      </w:pPr>
    </w:p>
    <w:p>
      <w:pPr>
        <w:ind w:left="1280" w:hanging="377"/>
        <w:spacing w:after="0"/>
        <w:tabs>
          <w:tab w:leader="none" w:pos="12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Amendment No. 4 to the First Lien Credit Agreement shall have become effective; and</w:t>
      </w:r>
    </w:p>
    <w:p>
      <w:pPr>
        <w:spacing w:after="0" w:line="117" w:lineRule="exact"/>
        <w:rPr>
          <w:rFonts w:ascii="Arial" w:cs="Arial" w:eastAsia="Arial" w:hAnsi="Arial"/>
          <w:sz w:val="18"/>
          <w:szCs w:val="18"/>
          <w:color w:val="auto"/>
        </w:rPr>
      </w:pPr>
    </w:p>
    <w:p>
      <w:pPr>
        <w:jc w:val="both"/>
        <w:ind w:left="460" w:right="220" w:firstLine="443"/>
        <w:spacing w:after="0" w:line="259" w:lineRule="auto"/>
        <w:tabs>
          <w:tab w:leader="none" w:pos="124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On the Closing Date, after giving effect to the Transactions, the Borrower and its subsidiaries shall not have any outstanding indebtedness (other than indebtedness under the First Lien Credit Agreement and the Initial Term Facility, Indebtedness permitted to remain outstanding under the Paragon Purchase Agreement, other Indebtedness in an aggregate amount not to exceed $8,000,000, and other Indebtedness that does not constitute debt for borrowed money or capital lease obligations).</w:t>
      </w:r>
    </w:p>
    <w:p>
      <w:pPr>
        <w:spacing w:after="0" w:line="18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 xml:space="preserve">Without limiting the generality of the provisions of the last paragraph of </w:t>
      </w:r>
      <w:r>
        <w:rPr>
          <w:rFonts w:ascii="Arial" w:cs="Arial" w:eastAsia="Arial" w:hAnsi="Arial"/>
          <w:sz w:val="17"/>
          <w:szCs w:val="17"/>
          <w:u w:val="single" w:color="auto"/>
          <w:color w:val="auto"/>
        </w:rPr>
        <w:t>Section 9.03</w:t>
      </w:r>
      <w:r>
        <w:rPr>
          <w:rFonts w:ascii="Arial" w:cs="Arial" w:eastAsia="Arial" w:hAnsi="Arial"/>
          <w:sz w:val="17"/>
          <w:szCs w:val="17"/>
          <w:color w:val="auto"/>
        </w:rPr>
        <w:t xml:space="preserve">, for purposes of determining compliance with the conditions specified in this </w:t>
      </w:r>
      <w:r>
        <w:rPr>
          <w:rFonts w:ascii="Arial" w:cs="Arial" w:eastAsia="Arial" w:hAnsi="Arial"/>
          <w:sz w:val="17"/>
          <w:szCs w:val="17"/>
          <w:u w:val="single" w:color="auto"/>
          <w:color w:val="auto"/>
        </w:rPr>
        <w:t>Section 4.01</w:t>
      </w:r>
      <w:r>
        <w:rPr>
          <w:rFonts w:ascii="Arial" w:cs="Arial" w:eastAsia="Arial" w:hAnsi="Arial"/>
          <w:sz w:val="17"/>
          <w:szCs w:val="17"/>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71"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4.02.</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274" w:right="25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REPRESENTATIONS AND WARRANTIES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Borrower represents and warrants to the Administrative Agent and the Lenders that:</w:t>
      </w:r>
    </w:p>
    <w:p>
      <w:pPr>
        <w:spacing w:after="0" w:line="22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5.01. </w:t>
      </w:r>
      <w:r>
        <w:rPr>
          <w:rFonts w:ascii="Arial" w:cs="Arial" w:eastAsia="Arial" w:hAnsi="Arial"/>
          <w:sz w:val="17"/>
          <w:szCs w:val="17"/>
          <w:u w:val="single" w:color="auto"/>
          <w:color w:val="auto"/>
        </w:rPr>
        <w:t>Corporate Existence; Subsidiaries; Foreign Qualification</w:t>
      </w:r>
      <w:r>
        <w:rPr>
          <w:rFonts w:ascii="Arial" w:cs="Arial" w:eastAsia="Arial" w:hAnsi="Arial"/>
          <w:sz w:val="17"/>
          <w:szCs w:val="17"/>
          <w:color w:val="auto"/>
        </w:rPr>
        <w:t xml:space="preserve">. Each Loan Party and each of its Subsidiaries is duly incorporated or organized (as the case may be), validly existing and in good standing (or comparable concept in the applicable jurisdiction) under the laws of its state or jurisdiction of incorporation or organization, and is duly qualified and authorized to do business and is in good standing (or comparable concept in the applicable jurisdiction) as a foreign entity in the jurisdictions set forth opposite its name on </w:t>
      </w:r>
      <w:r>
        <w:rPr>
          <w:rFonts w:ascii="Arial" w:cs="Arial" w:eastAsia="Arial" w:hAnsi="Arial"/>
          <w:sz w:val="17"/>
          <w:szCs w:val="17"/>
          <w:u w:val="single" w:color="auto"/>
          <w:color w:val="auto"/>
        </w:rPr>
        <w:t>Schedule 5.01</w:t>
      </w:r>
      <w:r>
        <w:rPr>
          <w:rFonts w:ascii="Arial" w:cs="Arial" w:eastAsia="Arial" w:hAnsi="Arial"/>
          <w:sz w:val="17"/>
          <w:szCs w:val="17"/>
          <w:color w:val="auto"/>
        </w:rPr>
        <w:t xml:space="preserve"> hereto, which are all of the states or jurisdictions where the character of its property or its business activities makes such qualification necessary, except where a failure to so qualify, either individually or in the aggregate, would not reasonably be expected to have a Material Adverse Effect. Each Foreign Subsidiary is validly existing under the laws of its jurisdiction of organization. </w:t>
      </w:r>
      <w:r>
        <w:rPr>
          <w:rFonts w:ascii="Arial" w:cs="Arial" w:eastAsia="Arial" w:hAnsi="Arial"/>
          <w:sz w:val="17"/>
          <w:szCs w:val="17"/>
          <w:u w:val="single" w:color="auto"/>
          <w:color w:val="auto"/>
        </w:rPr>
        <w:t>Schedule 5.01</w:t>
      </w:r>
      <w:r>
        <w:rPr>
          <w:rFonts w:ascii="Arial" w:cs="Arial" w:eastAsia="Arial" w:hAnsi="Arial"/>
          <w:sz w:val="17"/>
          <w:szCs w:val="17"/>
          <w:color w:val="auto"/>
        </w:rPr>
        <w:t xml:space="preserve"> hereto sets forth, as of the Closing Date, each Subsidiary of each Loan Party (and whether such Subsidiary is an Inactive Subsidiary, Immaterial Subsidiary, Foreign Subsidiary or Loan Party), its state (or jurisdiction) of formation, its registered office or similar concept if a foreign organization, its relationship to such Loan Party, including the percentage of each class of stock or other Equity Interest owned, directly or indirectly, by a Loan Party, each Person that owns the stock or other Equity Interest of each Loan Party, the location of its chief executive office and its principal place of business. The Borrower, directly or indirectly, owns all of the Equity Interests of each of its Subsidiaries (excluding directors’ qualifying shares and, in the case of Foreign Subsidiaries, other nominal amounts of shares held by a Person other than a Loan Party).</w:t>
      </w:r>
    </w:p>
    <w:p>
      <w:pPr>
        <w:spacing w:after="0" w:line="18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5.02. </w:t>
      </w:r>
      <w:r>
        <w:rPr>
          <w:rFonts w:ascii="Arial" w:cs="Arial" w:eastAsia="Arial" w:hAnsi="Arial"/>
          <w:sz w:val="16"/>
          <w:szCs w:val="16"/>
          <w:u w:val="single" w:color="auto"/>
          <w:color w:val="auto"/>
        </w:rPr>
        <w:t>Corporate Authority</w:t>
      </w:r>
      <w:r>
        <w:rPr>
          <w:rFonts w:ascii="Arial" w:cs="Arial" w:eastAsia="Arial" w:hAnsi="Arial"/>
          <w:sz w:val="16"/>
          <w:szCs w:val="16"/>
          <w:color w:val="auto"/>
        </w:rPr>
        <w:t xml:space="preserve">. Each Loan Party has the right and power and is duly authorized and empowered to enter into, execute and deliver the Loan Documents to which it is a party and to perform and observe the provisions of the Loan Documents. Each Loan Party has duly executed and delivered the Loan Documents to which it is a party. The Loan Documents to which each Loan Party is a party have been duly authorized and approved by Loan Party’s board of directors or other governing body, as applicable, and are the valid and binding obligations of such Loan Party, enforceable against such Loan Party in accordance with their respective terms. The execution, delivery and performance of the Loan Documents do not conflict with, result in a breach in any of the provisions of, constitute a default under, or result in the creation of a Lien (other than Liens permitted under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hereof) upon any assets or property of any Loan Party under the provisions of, (a) such Loan Party’s Organization Documents, (b) the First Lien Credit Documents, (c) any material agreement to which any Loan Party is a party, (d) any order, injunction, writ or decree of any Governmental Authority or (e) any Law, except with respect to any conflict, breach, default or violation referred to in </w:t>
      </w:r>
      <w:r>
        <w:rPr>
          <w:rFonts w:ascii="Arial" w:cs="Arial" w:eastAsia="Arial" w:hAnsi="Arial"/>
          <w:sz w:val="16"/>
          <w:szCs w:val="16"/>
          <w:u w:val="single" w:color="auto"/>
          <w:color w:val="auto"/>
        </w:rPr>
        <w:t>clauses (d)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w:t>
      </w:r>
      <w:r>
        <w:rPr>
          <w:rFonts w:ascii="Arial" w:cs="Arial" w:eastAsia="Arial" w:hAnsi="Arial"/>
          <w:sz w:val="16"/>
          <w:szCs w:val="16"/>
          <w:color w:val="auto"/>
        </w:rPr>
        <w:t xml:space="preserve"> above, solely to the extent that such conflicts, breaches, defaults or violations, either individually or in the aggregate, would not reasonably be expected to have a Material Adverse Effect.</w:t>
      </w:r>
    </w:p>
    <w:p>
      <w:pPr>
        <w:spacing w:after="0" w:line="169"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5.03.</w:t>
      </w:r>
      <w:r>
        <w:rPr>
          <w:sz w:val="20"/>
          <w:szCs w:val="20"/>
          <w:color w:val="auto"/>
        </w:rPr>
        <w:tab/>
      </w:r>
      <w:r>
        <w:rPr>
          <w:rFonts w:ascii="Arial" w:cs="Arial" w:eastAsia="Arial" w:hAnsi="Arial"/>
          <w:sz w:val="16"/>
          <w:szCs w:val="16"/>
          <w:u w:val="single" w:color="auto"/>
          <w:color w:val="auto"/>
        </w:rPr>
        <w:t>Governmental Authorization; Other Consents</w:t>
      </w:r>
      <w:r>
        <w:rPr>
          <w:rFonts w:ascii="Arial" w:cs="Arial" w:eastAsia="Arial" w:hAnsi="Arial"/>
          <w:sz w:val="16"/>
          <w:szCs w:val="16"/>
          <w:color w:val="auto"/>
        </w:rPr>
        <w:t>. Each Loan Party and each of their Subsidiaries:</w:t>
      </w:r>
    </w:p>
    <w:p>
      <w:pPr>
        <w:spacing w:after="0" w:line="117" w:lineRule="exact"/>
        <w:rPr>
          <w:sz w:val="20"/>
          <w:szCs w:val="20"/>
          <w:color w:val="auto"/>
        </w:rPr>
      </w:pPr>
    </w:p>
    <w:p>
      <w:pPr>
        <w:ind w:left="460" w:right="140" w:firstLine="443"/>
        <w:spacing w:after="0" w:line="264" w:lineRule="auto"/>
        <w:tabs>
          <w:tab w:leader="none" w:pos="127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holds permits, certificates, licenses, orders, registrations, franchises, authorizations, and other approvals from any Governmental Authority necessary for the conduct of its business and is in compliance with all applicable laws relating thereto, except where the failure to do so, either individually or in the aggregate, would not have a Material Adverse Effect;</w:t>
      </w:r>
    </w:p>
    <w:p>
      <w:pPr>
        <w:spacing w:after="0" w:line="73" w:lineRule="exact"/>
        <w:rPr>
          <w:rFonts w:ascii="Arial" w:cs="Arial" w:eastAsia="Arial" w:hAnsi="Arial"/>
          <w:sz w:val="18"/>
          <w:szCs w:val="18"/>
          <w:color w:val="auto"/>
        </w:rPr>
      </w:pPr>
    </w:p>
    <w:p>
      <w:pPr>
        <w:ind w:left="460" w:right="20" w:firstLine="443"/>
        <w:spacing w:after="0" w:line="264" w:lineRule="auto"/>
        <w:tabs>
          <w:tab w:leader="none" w:pos="128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is in compliance with all federal, state, local, or foreign applicable statutes, rules, regulations, and orders including, without limitation, those relating to environmental protection, occupational safety and health, and equal employment practices, except where the failure to be in compliance, either individually or in the aggregate, would not have a Material Adverse Effect;</w:t>
      </w:r>
    </w:p>
    <w:p>
      <w:pPr>
        <w:spacing w:after="0" w:line="73" w:lineRule="exact"/>
        <w:rPr>
          <w:rFonts w:ascii="Arial" w:cs="Arial" w:eastAsia="Arial" w:hAnsi="Arial"/>
          <w:sz w:val="18"/>
          <w:szCs w:val="18"/>
          <w:color w:val="auto"/>
        </w:rPr>
      </w:pPr>
    </w:p>
    <w:p>
      <w:pPr>
        <w:ind w:left="460" w:right="100" w:firstLine="443"/>
        <w:spacing w:after="0" w:line="277" w:lineRule="auto"/>
        <w:tabs>
          <w:tab w:leader="none" w:pos="127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is not in violation of or in default under any agreement to which it is a party or by which its assets are subject or bound, except with respect to any violation or default that, either individually or in the aggregate, would not have a Material Adverse Effect; and</w:t>
      </w:r>
    </w:p>
    <w:p>
      <w:pPr>
        <w:spacing w:after="0" w:line="62" w:lineRule="exact"/>
        <w:rPr>
          <w:rFonts w:ascii="Arial" w:cs="Arial" w:eastAsia="Arial" w:hAnsi="Arial"/>
          <w:sz w:val="18"/>
          <w:szCs w:val="18"/>
          <w:color w:val="auto"/>
        </w:rPr>
      </w:pPr>
    </w:p>
    <w:p>
      <w:pPr>
        <w:ind w:left="1300" w:hanging="397"/>
        <w:spacing w:after="0"/>
        <w:tabs>
          <w:tab w:leader="none" w:pos="13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is in material compliance with all applicable Bank Secrecy Act (“</w:t>
      </w:r>
      <w:r>
        <w:rPr>
          <w:rFonts w:ascii="Arial" w:cs="Arial" w:eastAsia="Arial" w:hAnsi="Arial"/>
          <w:sz w:val="18"/>
          <w:szCs w:val="18"/>
          <w:u w:val="single" w:color="auto"/>
          <w:color w:val="auto"/>
        </w:rPr>
        <w:t>BSA</w:t>
      </w:r>
      <w:r>
        <w:rPr>
          <w:rFonts w:ascii="Arial" w:cs="Arial" w:eastAsia="Arial" w:hAnsi="Arial"/>
          <w:sz w:val="18"/>
          <w:szCs w:val="18"/>
          <w:color w:val="auto"/>
        </w:rPr>
        <w:t>”) and anti-money laundering laws and regulations.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4" w:right="239" w:bottom="1440" w:gutter="0" w:footer="0" w:header="0"/>
        </w:sectPr>
      </w:pPr>
    </w:p>
    <w:bookmarkStart w:id="78" w:name="page79"/>
    <w:bookmarkEnd w:id="78"/>
    <w:p>
      <w:pPr>
        <w:ind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5.04. </w:t>
      </w:r>
      <w:r>
        <w:rPr>
          <w:rFonts w:ascii="Arial" w:cs="Arial" w:eastAsia="Arial" w:hAnsi="Arial"/>
          <w:sz w:val="18"/>
          <w:szCs w:val="18"/>
          <w:u w:val="single" w:color="auto"/>
          <w:color w:val="auto"/>
        </w:rPr>
        <w:t>Litigation and Administrative Proceedings</w:t>
      </w:r>
      <w:r>
        <w:rPr>
          <w:rFonts w:ascii="Arial" w:cs="Arial" w:eastAsia="Arial" w:hAnsi="Arial"/>
          <w:sz w:val="18"/>
          <w:szCs w:val="18"/>
          <w:color w:val="auto"/>
        </w:rPr>
        <w:t xml:space="preserve">. Except as disclosed on </w:t>
      </w:r>
      <w:r>
        <w:rPr>
          <w:rFonts w:ascii="Arial" w:cs="Arial" w:eastAsia="Arial" w:hAnsi="Arial"/>
          <w:sz w:val="18"/>
          <w:szCs w:val="18"/>
          <w:u w:val="single" w:color="auto"/>
          <w:color w:val="auto"/>
        </w:rPr>
        <w:t>Schedule 5.04</w:t>
      </w:r>
      <w:r>
        <w:rPr>
          <w:rFonts w:ascii="Arial" w:cs="Arial" w:eastAsia="Arial" w:hAnsi="Arial"/>
          <w:sz w:val="18"/>
          <w:szCs w:val="18"/>
          <w:color w:val="auto"/>
        </w:rPr>
        <w:t xml:space="preserve"> hereto, there are (a) no lawsuits, actions, investigations, examinations or other proceedings pending or threatened in writing against any Loan Party or any of their Subsidiaries, or in respect of which any Loan Party or any of their Subsidiaries may have any liability, in any court or before or by any Governmental Authority, arbitration board or other tribunal, (b) no orders, writs, injunctions, judgments, or decrees of any court or Governmental Authority to which any Loan Party or any of their Subsidiaries is a party or by which the property or assets of any Loan Party or any of their Subsidiaries are bound, and (c) no grievances, disputes, or controversies outstanding with any union or other organization of the employees of any Loan Party or any of their Subsidiaries, or threats of work stoppage, strike, or pending demands for collective bargaining, that, as to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above, if violated or determined adversely, either individually or in the aggregate, would have a Material Adverse Effect.</w:t>
      </w:r>
    </w:p>
    <w:p>
      <w:pPr>
        <w:spacing w:after="0" w:line="192"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5.05. </w:t>
      </w:r>
      <w:r>
        <w:rPr>
          <w:rFonts w:ascii="Arial" w:cs="Arial" w:eastAsia="Arial" w:hAnsi="Arial"/>
          <w:sz w:val="18"/>
          <w:szCs w:val="18"/>
          <w:u w:val="single" w:color="auto"/>
          <w:color w:val="auto"/>
        </w:rPr>
        <w:t>Title to Assets</w:t>
      </w:r>
      <w:r>
        <w:rPr>
          <w:rFonts w:ascii="Arial" w:cs="Arial" w:eastAsia="Arial" w:hAnsi="Arial"/>
          <w:sz w:val="18"/>
          <w:szCs w:val="18"/>
          <w:color w:val="auto"/>
        </w:rPr>
        <w:t xml:space="preserve">. Each Loan Party and each of their Subsidiaries has good title to and ownership of all material property it purports to own, which property is free and clear of all Liens, except those permitted under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hereof. As of the Closing Date, the Loan Parties and their Subsidiaries own the real property listed on </w:t>
      </w:r>
      <w:r>
        <w:rPr>
          <w:rFonts w:ascii="Arial" w:cs="Arial" w:eastAsia="Arial" w:hAnsi="Arial"/>
          <w:sz w:val="18"/>
          <w:szCs w:val="18"/>
          <w:u w:val="single" w:color="auto"/>
          <w:color w:val="auto"/>
        </w:rPr>
        <w:t>Schedule 5.05</w:t>
      </w:r>
      <w:r>
        <w:rPr>
          <w:rFonts w:ascii="Arial" w:cs="Arial" w:eastAsia="Arial" w:hAnsi="Arial"/>
          <w:sz w:val="18"/>
          <w:szCs w:val="18"/>
          <w:color w:val="auto"/>
        </w:rPr>
        <w:t xml:space="preserve"> hereto.</w:t>
      </w:r>
    </w:p>
    <w:p>
      <w:pPr>
        <w:spacing w:after="0" w:line="18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5.06. </w:t>
      </w:r>
      <w:r>
        <w:rPr>
          <w:rFonts w:ascii="Arial" w:cs="Arial" w:eastAsia="Arial" w:hAnsi="Arial"/>
          <w:sz w:val="16"/>
          <w:szCs w:val="16"/>
          <w:u w:val="single" w:color="auto"/>
          <w:color w:val="auto"/>
        </w:rPr>
        <w:t>Liens and Security Interests</w:t>
      </w:r>
      <w:r>
        <w:rPr>
          <w:rFonts w:ascii="Arial" w:cs="Arial" w:eastAsia="Arial" w:hAnsi="Arial"/>
          <w:sz w:val="16"/>
          <w:szCs w:val="16"/>
          <w:color w:val="auto"/>
        </w:rPr>
        <w:t xml:space="preserve">. On and after the Closing Date, except for Liens permitted pursuant to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hereof, (a) there is and will be no financing statements or similar notice of Lien outstanding covering any personal property of any Loan Party or any Subsidiary thereof; (b) there is and will be no mortgage or deed or hypothec outstanding covering any real property of any Loan Party or any Subsidiary thereof; and (c) no real or personal property of any Loan Party or any Subsidiary thereof is subject to any Lien of any kind. The Administrative Agent has a valid and enforceable and, subject to the last paragraph of </w:t>
      </w:r>
      <w:r>
        <w:rPr>
          <w:rFonts w:ascii="Arial" w:cs="Arial" w:eastAsia="Arial" w:hAnsi="Arial"/>
          <w:sz w:val="16"/>
          <w:szCs w:val="16"/>
          <w:u w:val="single" w:color="auto"/>
          <w:color w:val="auto"/>
        </w:rPr>
        <w:t>Section 4.01(a)</w:t>
      </w:r>
      <w:r>
        <w:rPr>
          <w:rFonts w:ascii="Arial" w:cs="Arial" w:eastAsia="Arial" w:hAnsi="Arial"/>
          <w:sz w:val="16"/>
          <w:szCs w:val="16"/>
          <w:color w:val="auto"/>
        </w:rPr>
        <w:t xml:space="preserve">, perfected second-priority Lien on the Collateral (subject to the priority of any Liens permitted under </w:t>
      </w:r>
      <w:r>
        <w:rPr>
          <w:rFonts w:ascii="Arial" w:cs="Arial" w:eastAsia="Arial" w:hAnsi="Arial"/>
          <w:sz w:val="16"/>
          <w:szCs w:val="16"/>
          <w:u w:val="single" w:color="auto"/>
          <w:color w:val="auto"/>
        </w:rPr>
        <w:t>Section 7.01</w:t>
      </w:r>
      <w:r>
        <w:rPr>
          <w:rFonts w:ascii="Arial" w:cs="Arial" w:eastAsia="Arial" w:hAnsi="Arial"/>
          <w:sz w:val="16"/>
          <w:szCs w:val="16"/>
          <w:color w:val="auto"/>
        </w:rPr>
        <w:t>). No Loan Party or any Subsidiary thereof has entered into any contract or agreement (other than a contract or agreement entered into in connection with the purchase or lease of fixed assets that prohibits Liens on such fixed assets) that exists on or after the Closing Date that would prohibit the Administrative Agent or the Lenders from acquiring a Lien on, or a collateral assignment of, any of the property or assets of any Loan Party or any Subsidiary thereof.</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5.07. </w:t>
      </w:r>
      <w:r>
        <w:rPr>
          <w:rFonts w:ascii="Arial" w:cs="Arial" w:eastAsia="Arial" w:hAnsi="Arial"/>
          <w:sz w:val="18"/>
          <w:szCs w:val="18"/>
          <w:u w:val="single" w:color="auto"/>
          <w:color w:val="auto"/>
        </w:rPr>
        <w:t>Tax Returns</w:t>
      </w:r>
      <w:r>
        <w:rPr>
          <w:rFonts w:ascii="Arial" w:cs="Arial" w:eastAsia="Arial" w:hAnsi="Arial"/>
          <w:sz w:val="18"/>
          <w:szCs w:val="18"/>
          <w:color w:val="auto"/>
        </w:rPr>
        <w:t>. Except where non-compliance, individually or in the aggregate, would not reasonably be expected to have a Material Adverse Effect, all U.S. federal, state, and local and non-U.S. tax returns and other reports required by law to be filed in respect of the income, business, properties and employees of each Loan Party and each of their Subsidiaries have been timely filed and all taxes, assessments, fees and other governmental charges that are due and payable have been timely paid, except as otherwise permitted herein. The provision for taxes on the books of each Loan Party and each Subsidiary thereof is adequate in accordance with GAAP for all years not closed by applicable statutes and for the current fiscal year. There are no Tax audits, deficiencies, assessments or other claims with respect to any Loan Party or any of their Subsidiaries that would, either individually or in the aggregate, reasonably be expected to have a Material Adverse Effect.</w:t>
      </w:r>
    </w:p>
    <w:p>
      <w:pPr>
        <w:spacing w:after="0" w:line="189" w:lineRule="exact"/>
        <w:rPr>
          <w:sz w:val="20"/>
          <w:szCs w:val="20"/>
          <w:color w:val="auto"/>
        </w:rPr>
      </w:pPr>
    </w:p>
    <w:p>
      <w:pPr>
        <w:ind w:right="140" w:firstLine="456"/>
        <w:spacing w:after="0" w:line="287" w:lineRule="auto"/>
        <w:rPr>
          <w:sz w:val="20"/>
          <w:szCs w:val="20"/>
          <w:color w:val="auto"/>
        </w:rPr>
      </w:pPr>
      <w:r>
        <w:rPr>
          <w:rFonts w:ascii="Arial" w:cs="Arial" w:eastAsia="Arial" w:hAnsi="Arial"/>
          <w:sz w:val="16"/>
          <w:szCs w:val="16"/>
          <w:color w:val="auto"/>
        </w:rPr>
        <w:t xml:space="preserve">5.08. </w:t>
      </w:r>
      <w:r>
        <w:rPr>
          <w:rFonts w:ascii="Arial" w:cs="Arial" w:eastAsia="Arial" w:hAnsi="Arial"/>
          <w:sz w:val="16"/>
          <w:szCs w:val="16"/>
          <w:u w:val="single" w:color="auto"/>
          <w:color w:val="auto"/>
        </w:rPr>
        <w:t>Environmental Laws</w:t>
      </w:r>
      <w:r>
        <w:rPr>
          <w:rFonts w:ascii="Arial" w:cs="Arial" w:eastAsia="Arial" w:hAnsi="Arial"/>
          <w:sz w:val="16"/>
          <w:szCs w:val="16"/>
          <w:color w:val="auto"/>
        </w:rPr>
        <w:t xml:space="preserve">. Except where non-compliance, individually or in the aggregate, would not reasonably be expected to have a Material Adverse Effect, each Loan Party and each Subsidiary is in compliance with all applicable Environmental Laws, including, without limitation, all Environmental Laws in all jurisdictions in which any Loan Party or any Subsidiary thereof owns or operates, or has owned or operated, a facility or site, arranges or has arranged for disposal or treatment of hazardous substances, solid waste or other wastes, accepts or has accepted for transport any hazardous substances, solid waste or other wastes or holds or has held any interest in real property or otherwise. No material litigation or proceeding arising under, relating to or in connection with any Environmental Law or Environmental Permit is pending or, to the knowledge of each Loan Party and each Subsidiary thereof, threatened, against any Loan Party or any Subsidiary thereof, any real property in which any Loan Party or any Subsidiary thereof holds or has held an interest or any past or present operation of any Loan Party or any Subsidiary thereof. No release, threatened release or disposal of hazardous waste, solid waste or other wastes is occurring, or has occurred (other than those that are currently being remediated in accordance with Environmental Laws), on, under or to any real property in which any Loan Party or any Subsidiary thereof holds any interest or performs any of its operations, in material violation of or which result in material liability under any Environmental Law. As used in this </w:t>
      </w:r>
      <w:r>
        <w:rPr>
          <w:rFonts w:ascii="Arial" w:cs="Arial" w:eastAsia="Arial" w:hAnsi="Arial"/>
          <w:sz w:val="16"/>
          <w:szCs w:val="16"/>
          <w:u w:val="single" w:color="auto"/>
          <w:color w:val="auto"/>
        </w:rPr>
        <w:t>Section 5.08</w:t>
      </w:r>
      <w:r>
        <w:rPr>
          <w:rFonts w:ascii="Arial" w:cs="Arial" w:eastAsia="Arial" w:hAnsi="Arial"/>
          <w:sz w:val="16"/>
          <w:szCs w:val="16"/>
          <w:color w:val="auto"/>
        </w:rPr>
        <w:t>, “litigation or proceeding” means any demand, claim, notice, suit, suit in equity, action, administrative action, investigation or inquiry whether brought by any Governmental Authority or private Person, or otherwise.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74" w:right="259" w:bottom="1440" w:gutter="0" w:footer="0" w:header="0"/>
        </w:sectPr>
      </w:pPr>
    </w:p>
    <w:bookmarkStart w:id="79" w:name="page80"/>
    <w:bookmarkEnd w:id="79"/>
    <w:p>
      <w:pPr>
        <w:ind w:right="20" w:firstLine="456"/>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5.09. </w:t>
      </w:r>
      <w:r>
        <w:rPr>
          <w:rFonts w:ascii="Arial" w:cs="Arial" w:eastAsia="Arial" w:hAnsi="Arial"/>
          <w:sz w:val="16"/>
          <w:szCs w:val="16"/>
          <w:u w:val="single" w:color="auto"/>
          <w:color w:val="auto"/>
        </w:rPr>
        <w:t>Locations</w:t>
      </w:r>
      <w:r>
        <w:rPr>
          <w:rFonts w:ascii="Arial" w:cs="Arial" w:eastAsia="Arial" w:hAnsi="Arial"/>
          <w:sz w:val="16"/>
          <w:szCs w:val="16"/>
          <w:color w:val="auto"/>
        </w:rPr>
        <w:t xml:space="preserve">. As of the Closing Date, the Loan Parties have places of business or maintain their accounts, inventory and equipment at the locations (including third party locations) set forth on </w:t>
      </w:r>
      <w:r>
        <w:rPr>
          <w:rFonts w:ascii="Arial" w:cs="Arial" w:eastAsia="Arial" w:hAnsi="Arial"/>
          <w:sz w:val="16"/>
          <w:szCs w:val="16"/>
          <w:u w:val="single" w:color="auto"/>
          <w:color w:val="auto"/>
        </w:rPr>
        <w:t>Schedule 5.09</w:t>
      </w:r>
      <w:r>
        <w:rPr>
          <w:rFonts w:ascii="Arial" w:cs="Arial" w:eastAsia="Arial" w:hAnsi="Arial"/>
          <w:sz w:val="16"/>
          <w:szCs w:val="16"/>
          <w:color w:val="auto"/>
        </w:rPr>
        <w:t xml:space="preserve"> hereto, and each Loan Party’s chief executive office is set forth on </w:t>
      </w:r>
      <w:r>
        <w:rPr>
          <w:rFonts w:ascii="Arial" w:cs="Arial" w:eastAsia="Arial" w:hAnsi="Arial"/>
          <w:sz w:val="16"/>
          <w:szCs w:val="16"/>
          <w:u w:val="single" w:color="auto"/>
          <w:color w:val="auto"/>
        </w:rPr>
        <w:t>Schedule 5.09</w:t>
      </w:r>
      <w:r>
        <w:rPr>
          <w:rFonts w:ascii="Arial" w:cs="Arial" w:eastAsia="Arial" w:hAnsi="Arial"/>
          <w:sz w:val="16"/>
          <w:szCs w:val="16"/>
          <w:color w:val="auto"/>
        </w:rPr>
        <w:t xml:space="preserve"> hereto.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5.09</w:t>
      </w:r>
      <w:r>
        <w:rPr>
          <w:rFonts w:ascii="Arial" w:cs="Arial" w:eastAsia="Arial" w:hAnsi="Arial"/>
          <w:sz w:val="16"/>
          <w:szCs w:val="16"/>
          <w:color w:val="auto"/>
        </w:rPr>
        <w:t xml:space="preserve"> hereto further specifies whether each location, as of the Closing Date, (a) is owned by the Loan Parties, or (b) is leased by a Loan Party from a third party, and, if leased by a Loan Party from a third party, if a landlord’s waiver has been requested. As of the Closing Date, </w:t>
      </w:r>
      <w:r>
        <w:rPr>
          <w:rFonts w:ascii="Arial" w:cs="Arial" w:eastAsia="Arial" w:hAnsi="Arial"/>
          <w:sz w:val="16"/>
          <w:szCs w:val="16"/>
          <w:u w:val="single" w:color="auto"/>
          <w:color w:val="auto"/>
        </w:rPr>
        <w:t>Schedule 5.09</w:t>
      </w:r>
      <w:r>
        <w:rPr>
          <w:rFonts w:ascii="Arial" w:cs="Arial" w:eastAsia="Arial" w:hAnsi="Arial"/>
          <w:sz w:val="16"/>
          <w:szCs w:val="16"/>
          <w:color w:val="auto"/>
        </w:rPr>
        <w:t xml:space="preserve"> hereto correctly identifies the name and address of each third party location where a material portion of the assets of the Loan Parties are located.</w:t>
      </w:r>
    </w:p>
    <w:p>
      <w:pPr>
        <w:spacing w:after="0" w:line="158"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u w:val="single" w:color="auto"/>
          <w:color w:val="auto"/>
        </w:rPr>
        <w:t>Continued Business</w:t>
      </w:r>
      <w:r>
        <w:rPr>
          <w:rFonts w:ascii="Arial" w:cs="Arial" w:eastAsia="Arial" w:hAnsi="Arial"/>
          <w:sz w:val="16"/>
          <w:szCs w:val="16"/>
          <w:color w:val="auto"/>
        </w:rPr>
        <w:t>. There exists no actual, pending, or, to each Loan Party’s and each of their Subsidiaries’ knowledge, any threatened termination, cancellation or limitation of, or any modification or change in the business relationship of any Loan Party or any Subsidiary thereof and any customer or supplier, or any group of customers or suppliers, whose purchases or supplies, individually or in the aggregate, are material to the business of any Loan Party or any Subsidiary, and there exists no present condition or state of facts or circumstances that would prevent a Loan Party or a Subsidiary from conducting such business or the transactions contemplated by this Agreement in substantially the same manner in which it was previously conducted.</w:t>
      </w:r>
    </w:p>
    <w:p>
      <w:pPr>
        <w:spacing w:after="0" w:line="266"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u w:val="single" w:color="auto"/>
          <w:color w:val="auto"/>
        </w:rPr>
        <w:t>Employee Benefits Plans</w:t>
      </w:r>
      <w:r>
        <w:rPr>
          <w:rFonts w:ascii="Arial" w:cs="Arial" w:eastAsia="Arial" w:hAnsi="Arial"/>
          <w:sz w:val="16"/>
          <w:szCs w:val="16"/>
          <w:color w:val="auto"/>
        </w:rPr>
        <w:t>.</w:t>
      </w:r>
    </w:p>
    <w:p>
      <w:pPr>
        <w:spacing w:after="0" w:line="117" w:lineRule="exact"/>
        <w:rPr>
          <w:sz w:val="20"/>
          <w:szCs w:val="20"/>
          <w:color w:val="auto"/>
        </w:rPr>
      </w:pPr>
    </w:p>
    <w:p>
      <w:pPr>
        <w:ind w:firstLine="464"/>
        <w:spacing w:after="0" w:line="283" w:lineRule="auto"/>
        <w:tabs>
          <w:tab w:leader="none" w:pos="836" w:val="left"/>
        </w:tabs>
        <w:numPr>
          <w:ilvl w:val="1"/>
          <w:numId w:val="110"/>
        </w:numPr>
        <w:rPr>
          <w:rFonts w:ascii="Arial" w:cs="Arial" w:eastAsia="Arial" w:hAnsi="Arial"/>
          <w:sz w:val="16"/>
          <w:szCs w:val="16"/>
          <w:color w:val="auto"/>
        </w:rPr>
      </w:pPr>
      <w:r>
        <w:rPr>
          <w:rFonts w:ascii="Arial" w:cs="Arial" w:eastAsia="Arial" w:hAnsi="Arial"/>
          <w:sz w:val="16"/>
          <w:szCs w:val="16"/>
          <w:u w:val="single" w:color="auto"/>
          <w:color w:val="auto"/>
        </w:rPr>
        <w:t>US Employee Benefit Plans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5.11</w:t>
      </w:r>
      <w:r>
        <w:rPr>
          <w:rFonts w:ascii="Arial" w:cs="Arial" w:eastAsia="Arial" w:hAnsi="Arial"/>
          <w:sz w:val="16"/>
          <w:szCs w:val="16"/>
          <w:color w:val="auto"/>
        </w:rPr>
        <w:t xml:space="preserve"> hereto identifies each Plan as of the Closing Date. No ERISA Event has occurred or is expected to occur with respect to a Plan. Full payment has been made of all amounts that the Borrower and each ERISA Affiliate is required, under applicable Laws or under the governing documents, to have paid as a contribution to or a benefit under each Plan. The liability of the Borrower and each ERISA Affiliate with respect to each Plan has been fully funded based upon reasonable and proper actuarial assumptions, has been fully insured, or has been fully reserved for on its financial statements. No changes have occurred or are expected to occur that would cause a material increase in the cost of providing benefits under any Plan. With respect to each Plan that is intended to be qualified under Code Section 401(a), (a) the Plan and any associated trust operationally comply with the applicable requirements of Code Section 401(a); (b) the Plan and any associated trust have been amended to comply with all such requirements as currently in effect, other than those requirements for which a retroactive amendment can be made within the “remedial amendment period” available under Code Section 401(b) (as extended under Treasury Regulations and other Treasury pronouncements upon which taxpayers may rely); (c) the Plan and any associated trust have received a favorable determination letter or opinion letter from the IRS stating that the Plan qualifies under Code Section 401(a), that the associated trust qualifies under Code Section 501(a) and, if applicable, that any cash or deferred arrangement under the Plan qualifies under Code Section 401(k), unless the Plan was first adopted at a time for which the above-described “remedial amendment period” has not yet expired; (d) the Plan currently satisfies the requirements of Code Section 410(b), subject to any retroactive amendment that may be made within the above-described “remedial amendment period”; and</w:t>
      </w:r>
    </w:p>
    <w:p>
      <w:pPr>
        <w:spacing w:after="0" w:line="3" w:lineRule="exact"/>
        <w:rPr>
          <w:rFonts w:ascii="Arial" w:cs="Arial" w:eastAsia="Arial" w:hAnsi="Arial"/>
          <w:sz w:val="16"/>
          <w:szCs w:val="16"/>
          <w:color w:val="auto"/>
        </w:rPr>
      </w:pPr>
    </w:p>
    <w:p>
      <w:pPr>
        <w:ind w:left="260" w:hanging="252"/>
        <w:spacing w:after="0"/>
        <w:tabs>
          <w:tab w:leader="none" w:pos="2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no contribution made to the Plan is subject to an excise tax under Code Section 4972. With respect to any Pension Plan, the “accumulated benefit</w:t>
      </w:r>
    </w:p>
    <w:p>
      <w:pPr>
        <w:spacing w:after="0" w:line="20" w:lineRule="exact"/>
        <w:rPr>
          <w:rFonts w:ascii="Arial" w:cs="Arial" w:eastAsia="Arial" w:hAnsi="Arial"/>
          <w:sz w:val="17"/>
          <w:szCs w:val="17"/>
          <w:color w:val="auto"/>
        </w:rPr>
      </w:pPr>
    </w:p>
    <w:p>
      <w:pPr>
        <w:ind w:right="200"/>
        <w:spacing w:after="0" w:line="252" w:lineRule="auto"/>
        <w:rPr>
          <w:rFonts w:ascii="Arial" w:cs="Arial" w:eastAsia="Arial" w:hAnsi="Arial"/>
          <w:sz w:val="17"/>
          <w:szCs w:val="17"/>
          <w:color w:val="auto"/>
        </w:rPr>
      </w:pPr>
      <w:r>
        <w:rPr>
          <w:rFonts w:ascii="Arial" w:cs="Arial" w:eastAsia="Arial" w:hAnsi="Arial"/>
          <w:sz w:val="18"/>
          <w:szCs w:val="18"/>
          <w:color w:val="auto"/>
        </w:rPr>
        <w:t>obligation” of the Pension Plan (as determined in accordance with Accounting Standards Codification No. 715) does not exceed the fair market value of Pension Plan assets. Neither the Borrower nor any ERISA Affiliate has engaged in a transaction that could be subject to Section 4069 or Section 4212(c) of ERISA. Except as could not reasonably be expected to result in a Material Adverse Effect, (i) each Plan is in compliance with the applicable provisions of ERISA, the Code, and other applicable Laws, (ii) there are no pending or, to the best knowledge of the Borrower, threatened claims, actions or lawsuits, or action by any Governmental Authority, with respect to any Plan and (iii) there has been no prohibited transaction or violation of the fiduciary responsibility rules with respect to any Plan.</w:t>
      </w:r>
    </w:p>
    <w:p>
      <w:pPr>
        <w:spacing w:after="0" w:line="194" w:lineRule="exact"/>
        <w:rPr>
          <w:rFonts w:ascii="Arial" w:cs="Arial" w:eastAsia="Arial" w:hAnsi="Arial"/>
          <w:sz w:val="17"/>
          <w:szCs w:val="17"/>
          <w:color w:val="auto"/>
        </w:rPr>
      </w:pPr>
    </w:p>
    <w:p>
      <w:pPr>
        <w:ind w:firstLine="464"/>
        <w:spacing w:after="0" w:line="271" w:lineRule="auto"/>
        <w:tabs>
          <w:tab w:leader="none" w:pos="846" w:val="left"/>
        </w:tabs>
        <w:numPr>
          <w:ilvl w:val="1"/>
          <w:numId w:val="111"/>
        </w:numPr>
        <w:rPr>
          <w:rFonts w:ascii="Arial" w:cs="Arial" w:eastAsia="Arial" w:hAnsi="Arial"/>
          <w:sz w:val="17"/>
          <w:szCs w:val="17"/>
          <w:color w:val="auto"/>
        </w:rPr>
      </w:pPr>
      <w:r>
        <w:rPr>
          <w:rFonts w:ascii="Arial" w:cs="Arial" w:eastAsia="Arial" w:hAnsi="Arial"/>
          <w:sz w:val="17"/>
          <w:szCs w:val="17"/>
          <w:u w:val="single" w:color="auto"/>
          <w:color w:val="auto"/>
        </w:rPr>
        <w:t>Foreign Pension Plan and Benefit Plans</w:t>
      </w:r>
      <w:r>
        <w:rPr>
          <w:rFonts w:ascii="Arial" w:cs="Arial" w:eastAsia="Arial" w:hAnsi="Arial"/>
          <w:sz w:val="17"/>
          <w:szCs w:val="17"/>
          <w:color w:val="auto"/>
        </w:rPr>
        <w:t xml:space="preserve">. As of the Closing Date, </w:t>
      </w:r>
      <w:r>
        <w:rPr>
          <w:rFonts w:ascii="Arial" w:cs="Arial" w:eastAsia="Arial" w:hAnsi="Arial"/>
          <w:sz w:val="17"/>
          <w:szCs w:val="17"/>
          <w:u w:val="single" w:color="auto"/>
          <w:color w:val="auto"/>
        </w:rPr>
        <w:t>Schedule 5.11</w:t>
      </w:r>
      <w:r>
        <w:rPr>
          <w:rFonts w:ascii="Arial" w:cs="Arial" w:eastAsia="Arial" w:hAnsi="Arial"/>
          <w:sz w:val="17"/>
          <w:szCs w:val="17"/>
          <w:color w:val="auto"/>
        </w:rPr>
        <w:t xml:space="preserve"> hereto lists all Foreign Benefit Plans and Foreign Pension Plans currently maintained or contributed to by a Loan Party, any Subsidiary thereof or any Foreign Subsidiaries. The Foreign Pension Plans are duly registered under all applicable Laws which require registration and are approved for tax purposes by the relevant tax authorities in the jurisdiction in which such Foreign Pension Plans are registered. Each Loan Party, Subsidiary thereof and any appropriate Foreign Subsidiaries have complied with and performed all of its obligations under and in respect of the Foreign Pension Plans and Foreign Benefit Plans under the terms thereof, any funding agreements and all applicable laws (including any fiduciary, funding, investment and administration obligations) except to the extent as, either individually or in the aggregate, would not reasonably be expected to have a Material Adverse Effect. All employer and employee payments, contributions or premiums to be remitted, paid to or in respect of each Foreign Pension Plan or Foreign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274" w:right="259" w:bottom="1440" w:gutter="0" w:footer="0" w:header="0"/>
        </w:sectPr>
      </w:pPr>
    </w:p>
    <w:bookmarkStart w:id="80" w:name="page81"/>
    <w:bookmarkEnd w:id="80"/>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Benefit Plan have been paid in a timely fashion in accordance with the terms thereof, any funding agreement and all applicable laws except to the extent the failure to do so, either individually or in the aggregate, would not reasonably be expected to have a Material Adverse Effect. There are no outstanding actions or suits concerning the assets of the Foreign Pension Plans or the Foreign Benefit Plans. Each of the Foreign Pension Plans is fully funded on an ongoing basis (using actuarial methods and assumptions as of the date of the valuations last filed with the applicable Governmental Authorities and that are consistent with generally accepted actuarial principles).</w:t>
      </w:r>
    </w:p>
    <w:p>
      <w:pPr>
        <w:spacing w:after="0" w:line="188"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Consents or Approvals</w:t>
      </w:r>
      <w:r>
        <w:rPr>
          <w:rFonts w:ascii="Arial" w:cs="Arial" w:eastAsia="Arial" w:hAnsi="Arial"/>
          <w:sz w:val="18"/>
          <w:szCs w:val="18"/>
          <w:color w:val="auto"/>
        </w:rPr>
        <w:t>. No consent, approval or authorization of, or filing, registration or qualification with, any Governmental Authority or any other Person is required to be obtained or completed by any Loan Party in connection with the execution, delivery or performance of any of the Loan Documents, that has not already been obtained or completed.</w:t>
      </w:r>
    </w:p>
    <w:p>
      <w:pPr>
        <w:spacing w:after="0" w:line="18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Solvency</w:t>
      </w:r>
      <w:r>
        <w:rPr>
          <w:rFonts w:ascii="Arial" w:cs="Arial" w:eastAsia="Arial" w:hAnsi="Arial"/>
          <w:sz w:val="18"/>
          <w:szCs w:val="18"/>
          <w:color w:val="auto"/>
        </w:rPr>
        <w:t>. The Borrower has received consideration that is the reasonable equivalent value of the obligations and liabilities that the Borrower has incurred to Administrative Agent and the Lenders. As of the Closing Date, each Loan Party is, individually and collectively with its Subsidiaries on a consolidated basis, Solvent.</w:t>
      </w:r>
    </w:p>
    <w:p>
      <w:pPr>
        <w:spacing w:after="0" w:line="18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5.14. </w:t>
      </w:r>
      <w:r>
        <w:rPr>
          <w:rFonts w:ascii="Arial" w:cs="Arial" w:eastAsia="Arial" w:hAnsi="Arial"/>
          <w:sz w:val="17"/>
          <w:szCs w:val="17"/>
          <w:u w:val="single" w:color="auto"/>
          <w:color w:val="auto"/>
        </w:rPr>
        <w:t>Financial Statements; No Material Adverse Effect</w:t>
      </w:r>
      <w:r>
        <w:rPr>
          <w:rFonts w:ascii="Arial" w:cs="Arial" w:eastAsia="Arial" w:hAnsi="Arial"/>
          <w:sz w:val="17"/>
          <w:szCs w:val="17"/>
          <w:color w:val="auto"/>
        </w:rPr>
        <w:t>. The Audited Financial Statements, the Borrower Interim Financial Statements and the Target Interim Financial Statements, furnished to the Administrative Agent and the Lenders, are true and complete, have been prepared in accordance with GAAP, and fairly present the financial condition of the Borrower and its Subsidiaries and the Target and its Subsidiaries, as applicable, as of the dates of such financial statements and the results of their operations for the periods then ending. Since the dates of such Borrower Interim Financial Statements, there has been no material adverse change in the Borrower’s or any of its Subsidiary’s financial condition, properties or business or any change in any Borrower’s or any of its Subsidiary’s accounting procedures. Since the dates of such Target Interim Financial Statements, there has been no material adverse change in the Target’s or any of its Subsidiary’s financial condition, properties or business or any change in any Target’s or any of its Subsidiary’s accounting procedures. Since December 31, 2014, there has been no event or circumstance either individually or in the aggregate that has had or would reasonably be expected to have a Material Adverse Effect.</w:t>
      </w:r>
    </w:p>
    <w:p>
      <w:pPr>
        <w:spacing w:after="0" w:line="182"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5.15. </w:t>
      </w:r>
      <w:r>
        <w:rPr>
          <w:rFonts w:ascii="Arial" w:cs="Arial" w:eastAsia="Arial" w:hAnsi="Arial"/>
          <w:sz w:val="17"/>
          <w:szCs w:val="17"/>
          <w:u w:val="single" w:color="auto"/>
          <w:color w:val="auto"/>
        </w:rPr>
        <w:t>Regulations</w:t>
      </w:r>
      <w:r>
        <w:rPr>
          <w:rFonts w:ascii="Arial" w:cs="Arial" w:eastAsia="Arial" w:hAnsi="Arial"/>
          <w:sz w:val="17"/>
          <w:szCs w:val="17"/>
          <w:color w:val="auto"/>
        </w:rPr>
        <w:t xml:space="preserve">. No Loan Party or Subsidiary thereof is engaged principally or as one of its important activities, in the business of extending credit for the purpose of purchasing or carrying any “margin stock” (within the meaning of Regulation U of the Board of Governors of the Federal Reserve System of the United States). Neither the granting of the Loans (or any conversion thereof) nor the use of the proceeds of the Loans will violate, or be inconsistent with, the provisions of Regulation T, U or X or any other Regulation of such Board of Governors. Following the application of the proceeds of the Loans, not more than 25% of the value of the assets (either of the Borrower only or of the Borrower and its Subsidiaries on a consolidated basis) subject to the provisions of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7.05</w:t>
      </w:r>
      <w:r>
        <w:rPr>
          <w:rFonts w:ascii="Arial" w:cs="Arial" w:eastAsia="Arial" w:hAnsi="Arial"/>
          <w:sz w:val="17"/>
          <w:szCs w:val="17"/>
          <w:color w:val="auto"/>
        </w:rPr>
        <w:t xml:space="preserve"> or subject to any restriction contained in any agreement or instrument between the Borrower and any Lender or Affiliate of a Lender relating to Indebtedness within the scope of </w:t>
      </w:r>
      <w:r>
        <w:rPr>
          <w:rFonts w:ascii="Arial" w:cs="Arial" w:eastAsia="Arial" w:hAnsi="Arial"/>
          <w:sz w:val="17"/>
          <w:szCs w:val="17"/>
          <w:u w:val="single" w:color="auto"/>
          <w:color w:val="auto"/>
        </w:rPr>
        <w:t>Section 8.01(e)</w:t>
      </w:r>
      <w:r>
        <w:rPr>
          <w:rFonts w:ascii="Arial" w:cs="Arial" w:eastAsia="Arial" w:hAnsi="Arial"/>
          <w:sz w:val="17"/>
          <w:szCs w:val="17"/>
          <w:color w:val="auto"/>
        </w:rPr>
        <w:t xml:space="preserve"> will be margin stock.</w:t>
      </w:r>
    </w:p>
    <w:p>
      <w:pPr>
        <w:spacing w:after="0" w:line="178"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5.16.</w:t>
      </w:r>
      <w:r>
        <w:rPr>
          <w:sz w:val="20"/>
          <w:szCs w:val="20"/>
          <w:color w:val="auto"/>
        </w:rPr>
        <w:tab/>
      </w:r>
      <w:r>
        <w:rPr>
          <w:rFonts w:ascii="Arial" w:cs="Arial" w:eastAsia="Arial" w:hAnsi="Arial"/>
          <w:sz w:val="16"/>
          <w:szCs w:val="16"/>
          <w:u w:val="single" w:color="auto"/>
          <w:color w:val="auto"/>
        </w:rPr>
        <w:t>Material Agreements</w:t>
      </w:r>
      <w:r>
        <w:rPr>
          <w:rFonts w:ascii="Arial" w:cs="Arial" w:eastAsia="Arial" w:hAnsi="Arial"/>
          <w:sz w:val="16"/>
          <w:szCs w:val="16"/>
          <w:color w:val="auto"/>
        </w:rPr>
        <w:t>. Except as disclosed on</w:t>
      </w:r>
      <w:r>
        <w:rPr>
          <w:rFonts w:ascii="Arial" w:cs="Arial" w:eastAsia="Arial" w:hAnsi="Arial"/>
          <w:sz w:val="16"/>
          <w:szCs w:val="16"/>
          <w:u w:val="single" w:color="auto"/>
          <w:color w:val="auto"/>
        </w:rPr>
        <w:t xml:space="preserve"> Schedule 5.16 </w:t>
      </w:r>
      <w:r>
        <w:rPr>
          <w:rFonts w:ascii="Arial" w:cs="Arial" w:eastAsia="Arial" w:hAnsi="Arial"/>
          <w:sz w:val="16"/>
          <w:szCs w:val="16"/>
          <w:color w:val="auto"/>
        </w:rPr>
        <w:t>hereto, as of the Closing Date, no Loan Party or Subsidiary thereof is a party to any</w:t>
      </w:r>
    </w:p>
    <w:p>
      <w:pPr>
        <w:spacing w:after="0" w:line="23" w:lineRule="exact"/>
        <w:rPr>
          <w:sz w:val="20"/>
          <w:szCs w:val="20"/>
          <w:color w:val="auto"/>
        </w:rPr>
      </w:pPr>
    </w:p>
    <w:p>
      <w:pPr>
        <w:ind w:right="60" w:firstLine="8"/>
        <w:spacing w:after="0" w:line="288" w:lineRule="auto"/>
        <w:tabs>
          <w:tab w:leader="none" w:pos="245" w:val="left"/>
        </w:tabs>
        <w:numPr>
          <w:ilvl w:val="0"/>
          <w:numId w:val="112"/>
        </w:numPr>
        <w:rPr>
          <w:rFonts w:ascii="Arial" w:cs="Arial" w:eastAsia="Arial" w:hAnsi="Arial"/>
          <w:sz w:val="16"/>
          <w:szCs w:val="16"/>
          <w:color w:val="auto"/>
        </w:rPr>
      </w:pPr>
      <w:r>
        <w:rPr>
          <w:rFonts w:ascii="Arial" w:cs="Arial" w:eastAsia="Arial" w:hAnsi="Arial"/>
          <w:sz w:val="16"/>
          <w:szCs w:val="16"/>
          <w:color w:val="auto"/>
        </w:rPr>
        <w:t xml:space="preserve">debt instrument (excluding the Loan Documents and the First Lien Credit Documents); (b) lease (capital, operating or otherwise), whether as lessee or lessor thereunder; (c) contract, commitment, agreement, or other arrangement involving the purchase or sale of any inventory by it, or the license of any right to or by it; (d) contract, commitment, agreement, or other arrangement with any of its “Affiliates” (as such term is defined in the Securities Exchange Act of 1934, as amended) other than a Loan Party or a Subsidiary thereof; (e) management or employment contract or contract for personal services with any of its Affiliates that is not otherwise terminable at will or on less than ninety (90) days’ notice without liability; (f) collective bargaining agreement; or (g) other contract, agreement, understanding, or arrangement with a third party; that, as to </w:t>
      </w:r>
      <w:r>
        <w:rPr>
          <w:rFonts w:ascii="Arial" w:cs="Arial" w:eastAsia="Arial" w:hAnsi="Arial"/>
          <w:sz w:val="16"/>
          <w:szCs w:val="16"/>
          <w:u w:val="single" w:color="auto"/>
          <w:color w:val="auto"/>
        </w:rPr>
        <w:t>subsections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(g)</w:t>
      </w:r>
      <w:r>
        <w:rPr>
          <w:rFonts w:ascii="Arial" w:cs="Arial" w:eastAsia="Arial" w:hAnsi="Arial"/>
          <w:sz w:val="16"/>
          <w:szCs w:val="16"/>
          <w:color w:val="auto"/>
        </w:rPr>
        <w:t>, above, if violated, breached, or terminated for any reason, either individually or in the aggregate, would have or would be reasonably expected to have a Material Adverse Effect.</w:t>
      </w:r>
    </w:p>
    <w:p>
      <w:pPr>
        <w:spacing w:after="0" w:line="169" w:lineRule="exact"/>
        <w:rPr>
          <w:sz w:val="20"/>
          <w:szCs w:val="20"/>
          <w:color w:val="auto"/>
        </w:rPr>
      </w:pPr>
    </w:p>
    <w:p>
      <w:pPr>
        <w:jc w:val="both"/>
        <w:ind w:right="40" w:firstLine="456"/>
        <w:spacing w:after="0" w:line="302" w:lineRule="auto"/>
        <w:rPr>
          <w:sz w:val="20"/>
          <w:szCs w:val="20"/>
          <w:color w:val="auto"/>
        </w:rPr>
      </w:pPr>
      <w:r>
        <w:rPr>
          <w:rFonts w:ascii="Arial" w:cs="Arial" w:eastAsia="Arial" w:hAnsi="Arial"/>
          <w:sz w:val="16"/>
          <w:szCs w:val="16"/>
          <w:color w:val="auto"/>
        </w:rPr>
        <w:t xml:space="preserve">5.17.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xml:space="preserve">. Each Loan Party and each Subsidiary thereof owns, or has the right to use, all of the material patents, patent applications, industrial designs, designs, trademarks, service marks, copyrights, trade secrets, software and rights with respect to the foregoing necessary for the conduct of its business without any known conflict with the rights of others. </w:t>
      </w:r>
      <w:r>
        <w:rPr>
          <w:rFonts w:ascii="Arial" w:cs="Arial" w:eastAsia="Arial" w:hAnsi="Arial"/>
          <w:sz w:val="16"/>
          <w:szCs w:val="16"/>
          <w:u w:val="single" w:color="auto"/>
          <w:color w:val="auto"/>
        </w:rPr>
        <w:t>Schedule 5.17</w:t>
      </w:r>
      <w:r>
        <w:rPr>
          <w:rFonts w:ascii="Arial" w:cs="Arial" w:eastAsia="Arial" w:hAnsi="Arial"/>
          <w:sz w:val="16"/>
          <w:szCs w:val="16"/>
          <w:color w:val="auto"/>
        </w:rPr>
        <w:t xml:space="preserve"> hereto sets forth all patents, trademarks, registered copyrights, service marks, and material license agreements owned by each Loan Party or Subsidiary or to which a Loan Party or Subsidiary is a party as of the Closing Date.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274" w:right="259" w:bottom="1440" w:gutter="0" w:footer="0" w:header="0"/>
        </w:sectPr>
      </w:pPr>
    </w:p>
    <w:bookmarkStart w:id="81" w:name="page82"/>
    <w:bookmarkEnd w:id="81"/>
    <w:p>
      <w:pPr>
        <w:ind w:right="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5.18. </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Each Loan Party and each Subsidiary thereof maintains with financially sound and reputable insurers (or is self-insured) insurance with coverage and limits as required by Law and as is customary with Persons engaged in the same businesses as the Loan Parties and their Subsidiaries. </w:t>
      </w:r>
      <w:r>
        <w:rPr>
          <w:rFonts w:ascii="Arial" w:cs="Arial" w:eastAsia="Arial" w:hAnsi="Arial"/>
          <w:sz w:val="18"/>
          <w:szCs w:val="18"/>
          <w:u w:val="single" w:color="auto"/>
          <w:color w:val="auto"/>
        </w:rPr>
        <w:t>Schedule 5.18</w:t>
      </w:r>
      <w:r>
        <w:rPr>
          <w:rFonts w:ascii="Arial" w:cs="Arial" w:eastAsia="Arial" w:hAnsi="Arial"/>
          <w:sz w:val="18"/>
          <w:szCs w:val="18"/>
          <w:color w:val="auto"/>
        </w:rPr>
        <w:t xml:space="preserve"> hereto sets forth all insurance carried by the Loan Parties and their Subsidiaries on the Closing Date, setting forth in detail the amount and type of such insurance as of the Closing Date.</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5.19. </w:t>
      </w:r>
      <w:r>
        <w:rPr>
          <w:rFonts w:ascii="Arial" w:cs="Arial" w:eastAsia="Arial" w:hAnsi="Arial"/>
          <w:sz w:val="18"/>
          <w:szCs w:val="18"/>
          <w:u w:val="single" w:color="auto"/>
          <w:color w:val="auto"/>
        </w:rPr>
        <w:t>Casualty, Etc</w:t>
      </w:r>
      <w:r>
        <w:rPr>
          <w:rFonts w:ascii="Arial" w:cs="Arial" w:eastAsia="Arial" w:hAnsi="Arial"/>
          <w:sz w:val="18"/>
          <w:szCs w:val="18"/>
          <w:color w:val="auto"/>
        </w:rPr>
        <w:t>. Neither the businesses nor the properties of any Loan Party or any Subsidiary thereof are affected by any fire, explosion, accident, strike, lockout or other labor dispute, drought, storm, hail, earthquake, embargo, act of God or of the public enemy or other casualty (whether or not covered by insurance), condemnation or eminent domain proceeding that, either individually or in the aggregate, would reasonably be expected to have a Material Adverse Effect.</w:t>
      </w:r>
    </w:p>
    <w:p>
      <w:pPr>
        <w:spacing w:after="0" w:line="187"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 xml:space="preserve">5.20. </w:t>
      </w:r>
      <w:r>
        <w:rPr>
          <w:rFonts w:ascii="Arial" w:cs="Arial" w:eastAsia="Arial" w:hAnsi="Arial"/>
          <w:sz w:val="18"/>
          <w:szCs w:val="18"/>
          <w:u w:val="single" w:color="auto"/>
          <w:color w:val="auto"/>
        </w:rPr>
        <w:t>Labor Matters</w:t>
      </w:r>
      <w:r>
        <w:rPr>
          <w:rFonts w:ascii="Arial" w:cs="Arial" w:eastAsia="Arial" w:hAnsi="Arial"/>
          <w:sz w:val="18"/>
          <w:szCs w:val="18"/>
          <w:color w:val="auto"/>
        </w:rPr>
        <w:t>. There are no collective bargaining agreements or Multiemployer Plans covering the employees of the Borrower or any of its Subsidiaries as of the Closing Date and neither the Borrower nor any Subsidiary has suffered any strikes, walkouts, work stoppages or other material labor difficulty within the last five years.</w:t>
      </w:r>
    </w:p>
    <w:p>
      <w:pPr>
        <w:spacing w:after="0" w:line="289"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5.21.</w:t>
      </w:r>
      <w:r>
        <w:rPr>
          <w:sz w:val="20"/>
          <w:szCs w:val="20"/>
          <w:color w:val="auto"/>
        </w:rPr>
        <w:tab/>
      </w:r>
      <w:r>
        <w:rPr>
          <w:rFonts w:ascii="Arial" w:cs="Arial" w:eastAsia="Arial" w:hAnsi="Arial"/>
          <w:sz w:val="16"/>
          <w:szCs w:val="16"/>
          <w:u w:val="single" w:color="auto"/>
          <w:color w:val="auto"/>
        </w:rPr>
        <w:t>OFAC; Anti-Money Laundering; FCPA</w:t>
      </w:r>
      <w:r>
        <w:rPr>
          <w:rFonts w:ascii="Arial" w:cs="Arial" w:eastAsia="Arial" w:hAnsi="Arial"/>
          <w:sz w:val="16"/>
          <w:szCs w:val="16"/>
          <w:color w:val="auto"/>
        </w:rPr>
        <w:t>.</w:t>
      </w:r>
    </w:p>
    <w:p>
      <w:pPr>
        <w:spacing w:after="0" w:line="117" w:lineRule="exact"/>
        <w:rPr>
          <w:sz w:val="20"/>
          <w:szCs w:val="20"/>
          <w:color w:val="auto"/>
        </w:rPr>
      </w:pPr>
    </w:p>
    <w:p>
      <w:pPr>
        <w:ind w:right="20" w:firstLine="464"/>
        <w:spacing w:after="0" w:line="255" w:lineRule="auto"/>
        <w:tabs>
          <w:tab w:leader="none" w:pos="83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No Loan Party, nor any of their Subsidiaries, nor, to the knowledge of any Loan Party, any Related Party, (i) is currently the subject of any Sanctions, (ii) is located, organized or residing in any Designated Jurisdiction or (iii) is or has been (within the previous five (5) years) engaged in any transaction with any Person who is now or was then the subject of Sanctions or who is located, organized or residing in any Designated Jurisdiction. No Loan, nor the proceeds from any Loan, has been used, directly or indirectly, to lend, contribute, provide or has otherwise made available to fund any activity or business in any Designated Jurisdiction or to fund any activity or business of any Person located, organized or residing in any Designated Jurisdiction or who is the subject of any Sanctions, or in any other manner that will result in any violation by any Person (including any Lender, the Arrangers or the Administrative Agent) of Sanctions.</w:t>
      </w:r>
    </w:p>
    <w:p>
      <w:pPr>
        <w:spacing w:after="0" w:line="189" w:lineRule="exact"/>
        <w:rPr>
          <w:rFonts w:ascii="Arial" w:cs="Arial" w:eastAsia="Arial" w:hAnsi="Arial"/>
          <w:sz w:val="18"/>
          <w:szCs w:val="18"/>
          <w:color w:val="auto"/>
        </w:rPr>
      </w:pPr>
    </w:p>
    <w:p>
      <w:pPr>
        <w:ind w:right="40" w:firstLine="464"/>
        <w:spacing w:after="0" w:line="255" w:lineRule="auto"/>
        <w:tabs>
          <w:tab w:leader="none" w:pos="84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the Borrower’s knowledge after making due inquiry, no Loan Party or Subsidiary (i) is under investigation by any Governmental Authority for, or has been charged with, or convicted of, money laundering or terrorist-related activities under any applicable Laws, including, without limitation, the PATRIOT Act (collectively, “</w:t>
      </w:r>
      <w:r>
        <w:rPr>
          <w:rFonts w:ascii="Arial" w:cs="Arial" w:eastAsia="Arial" w:hAnsi="Arial"/>
          <w:sz w:val="18"/>
          <w:szCs w:val="18"/>
          <w:u w:val="single" w:color="auto"/>
          <w:color w:val="auto"/>
        </w:rPr>
        <w:t>AML / Terrorist Laws</w:t>
      </w:r>
      <w:r>
        <w:rPr>
          <w:rFonts w:ascii="Arial" w:cs="Arial" w:eastAsia="Arial" w:hAnsi="Arial"/>
          <w:sz w:val="18"/>
          <w:szCs w:val="18"/>
          <w:color w:val="auto"/>
        </w:rPr>
        <w:t>”), (ii) has been assessed civil penalties under any AML / Terrorist Laws or (iii) has had any of its funds seized or forfeited in an action under any AML / Terrorist Laws. Each Loan Party has taken reasonable measures appropriate to the circumstances (in any event as required by applicable Laws) to seek to ensure that such Loan Party and each of its Subsidiaries is in compliance with all AML / Terrorist Laws applicable to it.</w:t>
      </w:r>
    </w:p>
    <w:p>
      <w:pPr>
        <w:spacing w:after="0" w:line="193" w:lineRule="exact"/>
        <w:rPr>
          <w:rFonts w:ascii="Arial" w:cs="Arial" w:eastAsia="Arial" w:hAnsi="Arial"/>
          <w:sz w:val="18"/>
          <w:szCs w:val="18"/>
          <w:color w:val="auto"/>
        </w:rPr>
      </w:pPr>
    </w:p>
    <w:p>
      <w:pPr>
        <w:ind w:right="20" w:firstLine="464"/>
        <w:spacing w:after="0" w:line="257" w:lineRule="auto"/>
        <w:tabs>
          <w:tab w:leader="none" w:pos="83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None of the Borrower or any of its Subsidiaries (or, to the knowledge of the Borrower, any director, officer, agent, employee, Affiliate of, or other person associated with or acting on behalf of the Borrower or any of their respective Subsidiaries) has (i) used any corporate funds for any unlawful contribution, gift, entertainment or other unlawful expense relating to political activity; (ii) made any direct or indirect unlawful payment to any foreign or domestic government official or employee from corporate funds; (iii) violated or is in violation of any provision of the Foreign Corrupt Practices Act of 1977; or (iv) made any bribe, rebate, payoff, influence payment, kickback or other unlawful payment.</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5.22. </w:t>
      </w:r>
      <w:r>
        <w:rPr>
          <w:rFonts w:ascii="Arial" w:cs="Arial" w:eastAsia="Arial" w:hAnsi="Arial"/>
          <w:sz w:val="18"/>
          <w:szCs w:val="18"/>
          <w:u w:val="single" w:color="auto"/>
          <w:color w:val="auto"/>
        </w:rPr>
        <w:t>Certain Treasury Regulation Matters</w:t>
      </w:r>
      <w:r>
        <w:rPr>
          <w:rFonts w:ascii="Arial" w:cs="Arial" w:eastAsia="Arial" w:hAnsi="Arial"/>
          <w:sz w:val="18"/>
          <w:szCs w:val="18"/>
          <w:color w:val="auto"/>
        </w:rPr>
        <w:t>. The Borrower does not intend to treat the Loans and related transactions as being a “reportable” transaction (within the meaning of Treasury Regulation 1.6011-4). The Borrower acknowledges that the Administrative Agent and one or more of the Lenders may treat its Loans as part of a transaction that is subject to Treasury Regulation Section 301.6112-1 to the extent that the Borrower’s application of the proceeds of the Loans requires the same and the Administrative Agent and such Lender or Lenders, as applicable, may, in connection therewith, maintain such lists and other records as they may determine is required by such Treasury Regulation.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74" w:right="239" w:bottom="1440" w:gutter="0" w:footer="0" w:header="0"/>
        </w:sectPr>
      </w:pPr>
    </w:p>
    <w:bookmarkStart w:id="82" w:name="page83"/>
    <w:bookmarkEnd w:id="82"/>
    <w:p>
      <w:pPr>
        <w:ind w:right="180" w:firstLine="456"/>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5.23. </w:t>
      </w:r>
      <w:r>
        <w:rPr>
          <w:rFonts w:ascii="Arial" w:cs="Arial" w:eastAsia="Arial" w:hAnsi="Arial"/>
          <w:sz w:val="16"/>
          <w:szCs w:val="16"/>
          <w:u w:val="single" w:color="auto"/>
          <w:color w:val="auto"/>
        </w:rPr>
        <w:t>Deposit Accounts; Securities Accounts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5.23</w:t>
      </w:r>
      <w:r>
        <w:rPr>
          <w:rFonts w:ascii="Arial" w:cs="Arial" w:eastAsia="Arial" w:hAnsi="Arial"/>
          <w:sz w:val="16"/>
          <w:szCs w:val="16"/>
          <w:color w:val="auto"/>
        </w:rPr>
        <w:t xml:space="preserve"> hereto lists all banks and other financial institutions at which any Loan Party maintains deposit, securities or other accounts as of the Closing Date, and </w:t>
      </w:r>
      <w:r>
        <w:rPr>
          <w:rFonts w:ascii="Arial" w:cs="Arial" w:eastAsia="Arial" w:hAnsi="Arial"/>
          <w:sz w:val="16"/>
          <w:szCs w:val="16"/>
          <w:u w:val="single" w:color="auto"/>
          <w:color w:val="auto"/>
        </w:rPr>
        <w:t>Schedule 5.23</w:t>
      </w:r>
      <w:r>
        <w:rPr>
          <w:rFonts w:ascii="Arial" w:cs="Arial" w:eastAsia="Arial" w:hAnsi="Arial"/>
          <w:sz w:val="16"/>
          <w:szCs w:val="16"/>
          <w:color w:val="auto"/>
        </w:rPr>
        <w:t xml:space="preserve"> hereto correctly identifies the name, address and telephone number of each depository, the name in which the account is held, a description of the purpose of the account, and the complete account number therefor.</w:t>
      </w:r>
    </w:p>
    <w:p>
      <w:pPr>
        <w:spacing w:after="0" w:line="14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5.24. </w:t>
      </w:r>
      <w:r>
        <w:rPr>
          <w:rFonts w:ascii="Arial" w:cs="Arial" w:eastAsia="Arial" w:hAnsi="Arial"/>
          <w:sz w:val="17"/>
          <w:szCs w:val="17"/>
          <w:u w:val="single" w:color="auto"/>
          <w:color w:val="auto"/>
        </w:rPr>
        <w:t>Accurate and Complete Statements</w:t>
      </w:r>
      <w:r>
        <w:rPr>
          <w:rFonts w:ascii="Arial" w:cs="Arial" w:eastAsia="Arial" w:hAnsi="Arial"/>
          <w:sz w:val="17"/>
          <w:szCs w:val="17"/>
          <w:color w:val="auto"/>
        </w:rPr>
        <w:t xml:space="preserve">. No report, financial statement, certificate or other information furnished by or on behalf of any Loan Party or any Subsidiary to the Administrative Agent or any Lender in connection with the transactions contemplated hereby and the negotiation of this Agreement or delivered hereunder or any other Loan Document (as modified or supplemented by other information so furnished), when taken as a whole, contains any material misstatement of a material fact or omits to state any material fact necessary to make the statements therein (when taken as a whole), in the light of the circumstances under which they were made, not materially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no representation is made with respect to general economic or industry information and (b) with respect to projected and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financial information, the Borrower represents only that such information was prepared in good faith based upon assumptions reasonably believed by the Borrower to be reasonable at the time of preparation; it being understood that such projections may vary from actual results and that such variances may be material.</w:t>
      </w:r>
    </w:p>
    <w:p>
      <w:pPr>
        <w:spacing w:after="0" w:line="287"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5.25.</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117"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 xml:space="preserve">5.26. </w:t>
      </w:r>
      <w:r>
        <w:rPr>
          <w:rFonts w:ascii="Arial" w:cs="Arial" w:eastAsia="Arial" w:hAnsi="Arial"/>
          <w:sz w:val="18"/>
          <w:szCs w:val="18"/>
          <w:u w:val="single" w:color="auto"/>
          <w:color w:val="auto"/>
        </w:rPr>
        <w:t>Investment Company</w:t>
      </w:r>
      <w:r>
        <w:rPr>
          <w:rFonts w:ascii="Arial" w:cs="Arial" w:eastAsia="Arial" w:hAnsi="Arial"/>
          <w:sz w:val="18"/>
          <w:szCs w:val="18"/>
          <w:color w:val="auto"/>
        </w:rPr>
        <w:t>. No Loan Party or Subsidiary thereof is an “investment company” or a company “controlled” by an “investment company” within the meaning of the Investment Company Act of 1940, as amended.</w:t>
      </w:r>
    </w:p>
    <w:p>
      <w:pPr>
        <w:spacing w:after="0" w:line="170"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5.27.</w:t>
      </w:r>
      <w:r>
        <w:rPr>
          <w:sz w:val="20"/>
          <w:szCs w:val="20"/>
          <w:color w:val="auto"/>
        </w:rPr>
        <w:tab/>
      </w:r>
      <w:r>
        <w:rPr>
          <w:rFonts w:ascii="Arial" w:cs="Arial" w:eastAsia="Arial" w:hAnsi="Arial"/>
          <w:sz w:val="16"/>
          <w:szCs w:val="16"/>
          <w:u w:val="single" w:color="auto"/>
          <w:color w:val="auto"/>
        </w:rPr>
        <w:t>Defaults</w:t>
      </w:r>
      <w:r>
        <w:rPr>
          <w:rFonts w:ascii="Arial" w:cs="Arial" w:eastAsia="Arial" w:hAnsi="Arial"/>
          <w:sz w:val="16"/>
          <w:szCs w:val="16"/>
          <w:color w:val="auto"/>
        </w:rPr>
        <w:t>. No Default exists hereunder, nor will any begin to exist immediately after the execution and delivery hereof.</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5.28. </w:t>
      </w:r>
      <w:r>
        <w:rPr>
          <w:rFonts w:ascii="Arial" w:cs="Arial" w:eastAsia="Arial" w:hAnsi="Arial"/>
          <w:sz w:val="18"/>
          <w:szCs w:val="18"/>
          <w:u w:val="single" w:color="auto"/>
          <w:color w:val="auto"/>
        </w:rPr>
        <w:t>Senior Debt Status</w:t>
      </w:r>
      <w:r>
        <w:rPr>
          <w:rFonts w:ascii="Arial" w:cs="Arial" w:eastAsia="Arial" w:hAnsi="Arial"/>
          <w:sz w:val="18"/>
          <w:szCs w:val="18"/>
          <w:color w:val="auto"/>
        </w:rPr>
        <w:t xml:space="preserve">. The Obligations (a) rank at least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material senior Indebtedness of Borrower and its Subsidiaries and (b) are designated as “Senior Indebtedness,” “Designated Senior Debt” or such similar term under all instruments and documents relating to all Subordinated Indebtedness and all senior unsecured Indebtedness of such Person.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AFFIRMATIVE COVENANTS</w:t>
      </w:r>
    </w:p>
    <w:p>
      <w:pPr>
        <w:spacing w:after="0" w:line="211"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 xml:space="preserve">So long as any Lender shall have any Commitment hereunder, any Loan or other Obligation hereunder shall remain unpaid or unsatisfied (other than contingent indemnification obligations not then due), the Borrower shall, and shall (except in the case of the covenants set forth in </w:t>
      </w:r>
      <w:r>
        <w:rPr>
          <w:rFonts w:ascii="Arial" w:cs="Arial" w:eastAsia="Arial" w:hAnsi="Arial"/>
          <w:sz w:val="18"/>
          <w:szCs w:val="18"/>
          <w:u w:val="single" w:color="auto"/>
          <w:color w:val="auto"/>
        </w:rPr>
        <w:t>Sections 6.01</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w:t>
      </w:r>
      <w:r>
        <w:rPr>
          <w:rFonts w:ascii="Arial" w:cs="Arial" w:eastAsia="Arial" w:hAnsi="Arial"/>
          <w:sz w:val="18"/>
          <w:szCs w:val="18"/>
          <w:color w:val="auto"/>
        </w:rPr>
        <w:t xml:space="preserve">, </w:t>
      </w:r>
      <w:r>
        <w:rPr>
          <w:rFonts w:ascii="Arial" w:cs="Arial" w:eastAsia="Arial" w:hAnsi="Arial"/>
          <w:sz w:val="18"/>
          <w:szCs w:val="18"/>
          <w:u w:val="single" w:color="auto"/>
          <w:color w:val="auto"/>
        </w:rPr>
        <w:t>6.03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6.11</w:t>
      </w:r>
      <w:r>
        <w:rPr>
          <w:rFonts w:ascii="Arial" w:cs="Arial" w:eastAsia="Arial" w:hAnsi="Arial"/>
          <w:sz w:val="18"/>
          <w:szCs w:val="18"/>
          <w:color w:val="auto"/>
        </w:rPr>
        <w:t>) cause each Subsidiary to:</w:t>
      </w:r>
    </w:p>
    <w:p>
      <w:pPr>
        <w:spacing w:after="0" w:line="181"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6.01.</w:t>
      </w:r>
      <w:r>
        <w:rPr>
          <w:sz w:val="20"/>
          <w:szCs w:val="20"/>
          <w:color w:val="auto"/>
        </w:rPr>
        <w:tab/>
      </w:r>
      <w:r>
        <w:rPr>
          <w:rFonts w:ascii="Arial" w:cs="Arial" w:eastAsia="Arial" w:hAnsi="Arial"/>
          <w:sz w:val="16"/>
          <w:szCs w:val="16"/>
          <w:u w:val="single" w:color="auto"/>
          <w:color w:val="auto"/>
        </w:rPr>
        <w:t>Financial Statements</w:t>
      </w:r>
      <w:r>
        <w:rPr>
          <w:rFonts w:ascii="Arial" w:cs="Arial" w:eastAsia="Arial" w:hAnsi="Arial"/>
          <w:sz w:val="16"/>
          <w:szCs w:val="16"/>
          <w:color w:val="auto"/>
        </w:rPr>
        <w:t>. Deliver to the Administrative Agent and each Lender, in form and detail satisfactory to the Administrative Agent and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Required Lenders:</w:t>
      </w:r>
    </w:p>
    <w:p>
      <w:pPr>
        <w:spacing w:after="0" w:line="103" w:lineRule="exact"/>
        <w:rPr>
          <w:sz w:val="20"/>
          <w:szCs w:val="20"/>
          <w:color w:val="auto"/>
        </w:rPr>
      </w:pPr>
    </w:p>
    <w:p>
      <w:pPr>
        <w:jc w:val="both"/>
        <w:ind w:left="460" w:right="40" w:firstLine="443"/>
        <w:spacing w:after="0" w:line="259" w:lineRule="auto"/>
        <w:tabs>
          <w:tab w:leader="none" w:pos="127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within ninety-five (95) days after the end of each fiscal year of the Borrower (commencing with the fiscal year ending December 31, 2018), an annual audit report of the Borrower and its Subsidiaries for that year prepared on a consolidated basis, in accordance with GAAP, and certified by an unqualified opinion of an independent public accountant satisfactory to the Administrative Agent, which report shall include balance sheets and statements of income (loss), stockholders’ equity and cash-flow for that period;</w:t>
      </w:r>
    </w:p>
    <w:p>
      <w:pPr>
        <w:spacing w:after="0" w:line="78" w:lineRule="exact"/>
        <w:rPr>
          <w:rFonts w:ascii="Arial" w:cs="Arial" w:eastAsia="Arial" w:hAnsi="Arial"/>
          <w:sz w:val="18"/>
          <w:szCs w:val="18"/>
          <w:color w:val="auto"/>
        </w:rPr>
      </w:pPr>
    </w:p>
    <w:p>
      <w:pPr>
        <w:jc w:val="both"/>
        <w:ind w:left="460" w:right="60" w:firstLine="443"/>
        <w:spacing w:after="0" w:line="257" w:lineRule="auto"/>
        <w:tabs>
          <w:tab w:leader="none" w:pos="128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within fifty (50) days after the end of each of the first three fiscal quarter periods of each fiscal year of the Borrower (commencing with the fiscal quarter ending March 31, 2018), balance sheets of the Borrower and its Subsidiaries as of the end of such period and statements of income (loss), stockholders’ equity and cash flow for the quarter and fiscal year to date periods, setting forth in comparative form the figures for the corresponding fiscal quarter of the previous fiscal year and the corresponding portion of the previous fiscal year, all prepared on a consolidated basis, in accordance with GAAP, and certified by a Responsible Officer of the Borrower; and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74" w:right="239" w:bottom="1440" w:gutter="0" w:footer="0" w:header="0"/>
        </w:sectPr>
      </w:pPr>
    </w:p>
    <w:bookmarkStart w:id="83" w:name="page84"/>
    <w:bookmarkEnd w:id="83"/>
    <w:p>
      <w:pPr>
        <w:ind w:left="460" w:right="180" w:firstLine="443"/>
        <w:spacing w:after="0" w:line="259" w:lineRule="auto"/>
        <w:tabs>
          <w:tab w:leader="none" w:pos="1278" w:val="left"/>
        </w:tabs>
        <w:numPr>
          <w:ilvl w:val="0"/>
          <w:numId w:val="1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within forty-five (45) days after the end of each fiscal year of the Borrower, an annual business plan and budget of the Borrower and its Subsidiaries on a consolidated basis, including forecasts prepared by management of the Borrower, of consolidated balance sheets and statements of income or operations and cash flows of the Borrower and its Subsidiaries on a quarterly basis for the immediately following fiscal year (including the fiscal year in which the Maturity Date occurs).</w:t>
      </w:r>
    </w:p>
    <w:p>
      <w:pPr>
        <w:spacing w:after="0" w:line="18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 xml:space="preserve">As to any information contained in materials furnished pursuant to </w:t>
      </w:r>
      <w:r>
        <w:rPr>
          <w:rFonts w:ascii="Arial" w:cs="Arial" w:eastAsia="Arial" w:hAnsi="Arial"/>
          <w:sz w:val="18"/>
          <w:szCs w:val="18"/>
          <w:u w:val="single" w:color="auto"/>
          <w:color w:val="auto"/>
        </w:rPr>
        <w:t>Section 6.02(d)</w:t>
      </w:r>
      <w:r>
        <w:rPr>
          <w:rFonts w:ascii="Arial" w:cs="Arial" w:eastAsia="Arial" w:hAnsi="Arial"/>
          <w:sz w:val="18"/>
          <w:szCs w:val="18"/>
          <w:color w:val="auto"/>
        </w:rPr>
        <w:t xml:space="preserve">, the Borrower shall not be separately required to furnish such information under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but the foregoing shall not be in derogation of the obligation of the Borrower to furnish the information and materials described in </w:t>
      </w:r>
      <w:r>
        <w:rPr>
          <w:rFonts w:ascii="Arial" w:cs="Arial" w:eastAsia="Arial" w:hAnsi="Arial"/>
          <w:sz w:val="18"/>
          <w:szCs w:val="18"/>
          <w:u w:val="single" w:color="auto"/>
          <w:color w:val="auto"/>
        </w:rPr>
        <w:t>Sections 6.01(a)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at the times specified therein.</w:t>
      </w:r>
    </w:p>
    <w:p>
      <w:pPr>
        <w:spacing w:after="0" w:line="18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 xml:space="preserve">6.02. </w:t>
      </w:r>
      <w:r>
        <w:rPr>
          <w:rFonts w:ascii="Arial" w:cs="Arial" w:eastAsia="Arial" w:hAnsi="Arial"/>
          <w:sz w:val="18"/>
          <w:szCs w:val="18"/>
          <w:u w:val="single" w:color="auto"/>
          <w:color w:val="auto"/>
        </w:rPr>
        <w:t>Certificates; Other Information</w:t>
      </w:r>
      <w:r>
        <w:rPr>
          <w:rFonts w:ascii="Arial" w:cs="Arial" w:eastAsia="Arial" w:hAnsi="Arial"/>
          <w:sz w:val="18"/>
          <w:szCs w:val="18"/>
          <w:color w:val="auto"/>
        </w:rPr>
        <w:t>. Deliver to the Administrative Agent and each Lender, in form and detail satisfactory to the Administrative Agent and the Required Lenders:</w:t>
      </w:r>
    </w:p>
    <w:p>
      <w:pPr>
        <w:spacing w:after="0" w:line="62" w:lineRule="exact"/>
        <w:rPr>
          <w:sz w:val="20"/>
          <w:szCs w:val="20"/>
          <w:color w:val="auto"/>
        </w:rPr>
      </w:pPr>
    </w:p>
    <w:p>
      <w:pPr>
        <w:ind w:left="460" w:right="460" w:firstLine="443"/>
        <w:spacing w:after="0" w:line="264" w:lineRule="auto"/>
        <w:tabs>
          <w:tab w:leader="none" w:pos="1278" w:val="left"/>
        </w:tabs>
        <w:numPr>
          <w:ilvl w:val="1"/>
          <w:numId w:val="116"/>
        </w:numPr>
        <w:rPr>
          <w:rFonts w:ascii="Arial" w:cs="Arial" w:eastAsia="Arial" w:hAnsi="Arial"/>
          <w:sz w:val="18"/>
          <w:szCs w:val="18"/>
          <w:color w:val="auto"/>
        </w:rPr>
      </w:pPr>
      <w:r>
        <w:rPr>
          <w:rFonts w:ascii="Arial" w:cs="Arial" w:eastAsia="Arial" w:hAnsi="Arial"/>
          <w:sz w:val="18"/>
          <w:szCs w:val="18"/>
          <w:color w:val="auto"/>
        </w:rPr>
        <w:t xml:space="preserve">concurrently with the delivery of the financial statements referred to in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(commencing with the delivery of the financial statements for the fiscal year ended December 31, 2018), a certificate of its independent certified public accountants certifying such financial statements;</w:t>
      </w:r>
    </w:p>
    <w:p>
      <w:pPr>
        <w:spacing w:after="0" w:line="73" w:lineRule="exact"/>
        <w:rPr>
          <w:rFonts w:ascii="Arial" w:cs="Arial" w:eastAsia="Arial" w:hAnsi="Arial"/>
          <w:sz w:val="18"/>
          <w:szCs w:val="18"/>
          <w:color w:val="auto"/>
        </w:rPr>
      </w:pPr>
    </w:p>
    <w:p>
      <w:pPr>
        <w:ind w:left="460" w:right="20" w:firstLine="443"/>
        <w:spacing w:after="0" w:line="284" w:lineRule="auto"/>
        <w:tabs>
          <w:tab w:leader="none" w:pos="1288" w:val="left"/>
        </w:tabs>
        <w:numPr>
          <w:ilvl w:val="1"/>
          <w:numId w:val="116"/>
        </w:numPr>
        <w:rPr>
          <w:rFonts w:ascii="Arial" w:cs="Arial" w:eastAsia="Arial" w:hAnsi="Arial"/>
          <w:sz w:val="16"/>
          <w:szCs w:val="16"/>
          <w:color w:val="auto"/>
        </w:rPr>
      </w:pPr>
      <w:r>
        <w:rPr>
          <w:rFonts w:ascii="Arial" w:cs="Arial" w:eastAsia="Arial" w:hAnsi="Arial"/>
          <w:sz w:val="16"/>
          <w:szCs w:val="16"/>
          <w:color w:val="auto"/>
        </w:rPr>
        <w:t xml:space="preserve">concurrently with the delivery of the financial statements referred to in </w:t>
      </w:r>
      <w:r>
        <w:rPr>
          <w:rFonts w:ascii="Arial" w:cs="Arial" w:eastAsia="Arial" w:hAnsi="Arial"/>
          <w:sz w:val="16"/>
          <w:szCs w:val="16"/>
          <w:u w:val="single" w:color="auto"/>
          <w:color w:val="auto"/>
        </w:rPr>
        <w:t>Sections 6.01(a)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(commencing with the delivery of the financial statements for the fiscal quarter ended March 31, 2018), a duly completed Compliance Certificate signed by a Financial Officer of the Borrower (which delivery may, unless the Administrative Agent, or a Lender requests executed originals, be by electronic communication including fax or email and shall be deemed to be an original authentic counterpart thereof for all purposes), which Compliance Certificate shall (x) provide that no Default exists or, if a Default exists, specifying the nature and extent thereof; (y) set forth (i) any change in the identity of any of the Immaterial Subsidiaries or Inactive Subsidiaries during such period and (ii) a detailed calculation of the Consolidated Leverage Ratio, the Consolidated Net Leverage Ratio, the Consolidated Secured Leverage Ratio and the amount available for Investments and Restricted Payments under </w:t>
      </w:r>
      <w:r>
        <w:rPr>
          <w:rFonts w:ascii="Arial" w:cs="Arial" w:eastAsia="Arial" w:hAnsi="Arial"/>
          <w:sz w:val="16"/>
          <w:szCs w:val="16"/>
          <w:u w:val="single" w:color="auto"/>
          <w:color w:val="auto"/>
        </w:rPr>
        <w:t>Sections 7.03(a)</w:t>
      </w:r>
    </w:p>
    <w:p>
      <w:pPr>
        <w:spacing w:after="0" w:line="2" w:lineRule="exact"/>
        <w:rPr>
          <w:rFonts w:ascii="Arial" w:cs="Arial" w:eastAsia="Arial" w:hAnsi="Arial"/>
          <w:sz w:val="16"/>
          <w:szCs w:val="16"/>
          <w:color w:val="auto"/>
        </w:rPr>
      </w:pPr>
    </w:p>
    <w:p>
      <w:pPr>
        <w:ind w:left="460" w:right="100" w:firstLine="4"/>
        <w:spacing w:after="0" w:line="273" w:lineRule="auto"/>
        <w:tabs>
          <w:tab w:leader="none" w:pos="855" w:val="left"/>
        </w:tabs>
        <w:numPr>
          <w:ilvl w:val="0"/>
          <w:numId w:val="117"/>
        </w:numPr>
        <w:rPr>
          <w:rFonts w:ascii="Arial" w:cs="Arial" w:eastAsia="Arial" w:hAnsi="Arial"/>
          <w:sz w:val="17"/>
          <w:szCs w:val="17"/>
          <w:u w:val="single" w:color="auto"/>
          <w:color w:val="auto"/>
        </w:rPr>
      </w:pPr>
      <w:r>
        <w:rPr>
          <w:rFonts w:ascii="Arial" w:cs="Arial" w:eastAsia="Arial" w:hAnsi="Arial"/>
          <w:sz w:val="17"/>
          <w:szCs w:val="17"/>
          <w:color w:val="auto"/>
        </w:rPr>
        <w:t xml:space="preserve">and </w:t>
      </w:r>
      <w:r>
        <w:rPr>
          <w:rFonts w:ascii="Arial" w:cs="Arial" w:eastAsia="Arial" w:hAnsi="Arial"/>
          <w:sz w:val="17"/>
          <w:szCs w:val="17"/>
          <w:u w:val="single" w:color="auto"/>
          <w:color w:val="auto"/>
        </w:rPr>
        <w:t>7.06(d)</w:t>
      </w:r>
      <w:r>
        <w:rPr>
          <w:rFonts w:ascii="Arial" w:cs="Arial" w:eastAsia="Arial" w:hAnsi="Arial"/>
          <w:sz w:val="17"/>
          <w:szCs w:val="17"/>
          <w:color w:val="auto"/>
        </w:rPr>
        <w:t xml:space="preserve">, in each case as of the last day of such period, and solely with respect to the delivery concurrently with the financial statements referred to in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a calculation of Excess Cash Flow for such fiscal year); and (z) set forth all patents, trademarks, registered copyrights, service marks, and material license agreements owned by each Loan Party or Subsidiary or to which a Loan Party or Subsidiary is a party and which is not set forth on </w:t>
      </w:r>
      <w:r>
        <w:rPr>
          <w:rFonts w:ascii="Arial" w:cs="Arial" w:eastAsia="Arial" w:hAnsi="Arial"/>
          <w:sz w:val="17"/>
          <w:szCs w:val="17"/>
          <w:u w:val="single" w:color="auto"/>
          <w:color w:val="auto"/>
        </w:rPr>
        <w:t>Schedule 5.17</w:t>
      </w:r>
      <w:r>
        <w:rPr>
          <w:rFonts w:ascii="Arial" w:cs="Arial" w:eastAsia="Arial" w:hAnsi="Arial"/>
          <w:sz w:val="17"/>
          <w:szCs w:val="17"/>
          <w:color w:val="auto"/>
        </w:rPr>
        <w:t xml:space="preserve"> hereto or on any previously delivered Compliance Certificate;</w:t>
      </w:r>
    </w:p>
    <w:p>
      <w:pPr>
        <w:spacing w:after="0" w:line="68" w:lineRule="exact"/>
        <w:rPr>
          <w:rFonts w:ascii="Arial" w:cs="Arial" w:eastAsia="Arial" w:hAnsi="Arial"/>
          <w:sz w:val="17"/>
          <w:szCs w:val="17"/>
          <w:u w:val="single" w:color="auto"/>
          <w:color w:val="auto"/>
        </w:rPr>
      </w:pPr>
    </w:p>
    <w:p>
      <w:pPr>
        <w:ind w:left="460" w:right="60" w:firstLine="443"/>
        <w:spacing w:after="0" w:line="342" w:lineRule="auto"/>
        <w:tabs>
          <w:tab w:leader="none" w:pos="1278" w:val="left"/>
        </w:tabs>
        <w:numPr>
          <w:ilvl w:val="1"/>
          <w:numId w:val="117"/>
        </w:numPr>
        <w:rPr>
          <w:rFonts w:ascii="Arial" w:cs="Arial" w:eastAsia="Arial" w:hAnsi="Arial"/>
          <w:sz w:val="16"/>
          <w:szCs w:val="16"/>
          <w:color w:val="auto"/>
        </w:rPr>
      </w:pPr>
      <w:r>
        <w:rPr>
          <w:rFonts w:ascii="Arial" w:cs="Arial" w:eastAsia="Arial" w:hAnsi="Arial"/>
          <w:sz w:val="16"/>
          <w:szCs w:val="16"/>
          <w:color w:val="auto"/>
        </w:rPr>
        <w:t>promptly after the same are available, copies of any detailed audit reports or management letters submitted to the board of directors (or the audit committee of the board of directors) of the Borrower by independent accountants in connection with any audit of the Borrower or any Subsidiary;</w:t>
      </w:r>
    </w:p>
    <w:p>
      <w:pPr>
        <w:spacing w:after="0" w:line="15" w:lineRule="exact"/>
        <w:rPr>
          <w:rFonts w:ascii="Arial" w:cs="Arial" w:eastAsia="Arial" w:hAnsi="Arial"/>
          <w:sz w:val="16"/>
          <w:szCs w:val="16"/>
          <w:color w:val="auto"/>
        </w:rPr>
      </w:pPr>
    </w:p>
    <w:p>
      <w:pPr>
        <w:ind w:left="460" w:firstLine="443"/>
        <w:spacing w:after="0" w:line="255" w:lineRule="auto"/>
        <w:tabs>
          <w:tab w:leader="none" w:pos="1288" w:val="left"/>
        </w:tabs>
        <w:numPr>
          <w:ilvl w:val="1"/>
          <w:numId w:val="117"/>
        </w:numPr>
        <w:rPr>
          <w:rFonts w:ascii="Arial" w:cs="Arial" w:eastAsia="Arial" w:hAnsi="Arial"/>
          <w:sz w:val="18"/>
          <w:szCs w:val="18"/>
          <w:color w:val="auto"/>
        </w:rPr>
      </w:pPr>
      <w:r>
        <w:rPr>
          <w:rFonts w:ascii="Arial" w:cs="Arial" w:eastAsia="Arial" w:hAnsi="Arial"/>
          <w:sz w:val="18"/>
          <w:szCs w:val="18"/>
          <w:color w:val="auto"/>
        </w:rPr>
        <w:t>promptly after the same are available, copies of all notices, reports, definitive proxy or other statements and other documents (other than any routine ministerial notices, reports or other documents) sent by the Borrower to its shareholders, to the holders of any of its debentures or bonds or the trustee of any indenture securing the same or pursuant to which they are issued, or sent by the Borrower (in final form) to any securities exchange or over the counter authority or system, or to the SEC or any similar federal agency having regulatory jurisdiction over the issuance of the Borrower’s securities, including, without limitation, a transcript and summary (in form and substance satisfactory to the Administrative Agent) of any earnings calls or similar calls with respect to the Borrower;</w:t>
      </w:r>
    </w:p>
    <w:p>
      <w:pPr>
        <w:spacing w:after="0" w:line="85" w:lineRule="exact"/>
        <w:rPr>
          <w:rFonts w:ascii="Arial" w:cs="Arial" w:eastAsia="Arial" w:hAnsi="Arial"/>
          <w:sz w:val="18"/>
          <w:szCs w:val="18"/>
          <w:color w:val="auto"/>
        </w:rPr>
      </w:pPr>
    </w:p>
    <w:p>
      <w:pPr>
        <w:ind w:left="460" w:right="20" w:firstLine="443"/>
        <w:spacing w:after="0" w:line="259" w:lineRule="auto"/>
        <w:tabs>
          <w:tab w:leader="none" w:pos="1278" w:val="left"/>
        </w:tabs>
        <w:numPr>
          <w:ilvl w:val="1"/>
          <w:numId w:val="117"/>
        </w:numPr>
        <w:rPr>
          <w:rFonts w:ascii="Arial" w:cs="Arial" w:eastAsia="Arial" w:hAnsi="Arial"/>
          <w:sz w:val="18"/>
          <w:szCs w:val="18"/>
          <w:color w:val="auto"/>
        </w:rPr>
      </w:pPr>
      <w:r>
        <w:rPr>
          <w:rFonts w:ascii="Arial" w:cs="Arial" w:eastAsia="Arial" w:hAnsi="Arial"/>
          <w:sz w:val="18"/>
          <w:szCs w:val="18"/>
          <w:color w:val="auto"/>
        </w:rPr>
        <w:t xml:space="preserve">promptly after the furnishing thereof, copies of any statement or report (other than any routine ministerial statements or reports) furnished to any holder of debt securities, including, without limitation, any holders of Indebtedness governed by any Material Indebtedness Agreement, of any Loan Party or of any of its Subsidiaries pursuant to the terms of any indenture, loan or credit or similar agreement and not otherwise required to be furnished to the Lenders pursuant to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or any other clause of this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74" w:right="239" w:bottom="1440" w:gutter="0" w:footer="0" w:header="0"/>
        </w:sectPr>
      </w:pPr>
    </w:p>
    <w:bookmarkStart w:id="84" w:name="page85"/>
    <w:bookmarkEnd w:id="84"/>
    <w:p>
      <w:pPr>
        <w:jc w:val="both"/>
        <w:ind w:right="240" w:firstLine="443"/>
        <w:spacing w:after="0" w:line="264" w:lineRule="auto"/>
        <w:tabs>
          <w:tab w:leader="none" w:pos="798" w:val="left"/>
        </w:tabs>
        <w:numPr>
          <w:ilvl w:val="0"/>
          <w:numId w:val="1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within 30 days of the written request of the Administrative Agent, a report summarizing the insurance coverage (specifying type, amount and carrier) in effect for each Loan Party and its Subsidiaries and containing such additional information as the Administrative Agent, or any Lender through the Administrative Agent, may reasonably specify;</w:t>
      </w:r>
    </w:p>
    <w:p>
      <w:pPr>
        <w:spacing w:after="0" w:line="73" w:lineRule="exact"/>
        <w:rPr>
          <w:rFonts w:ascii="Arial" w:cs="Arial" w:eastAsia="Arial" w:hAnsi="Arial"/>
          <w:sz w:val="18"/>
          <w:szCs w:val="18"/>
          <w:color w:val="auto"/>
        </w:rPr>
      </w:pPr>
    </w:p>
    <w:p>
      <w:pPr>
        <w:ind w:right="120" w:firstLine="443"/>
        <w:spacing w:after="0" w:line="259" w:lineRule="auto"/>
        <w:tabs>
          <w:tab w:leader="none" w:pos="82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promptly, and in any event within five Business Days after receipt thereof by any Loan Party or any Subsidiary thereof, copies of each notice or other correspondence received from the SEC (or comparable agency in any applicable non-U.S. jurisdiction) concerning any investigation or possible investigation or other material inquiry by such agency regarding financial or other operational results of any Loan Party or any Subsidiary thereof;</w:t>
      </w:r>
    </w:p>
    <w:p>
      <w:pPr>
        <w:spacing w:after="0" w:line="78" w:lineRule="exact"/>
        <w:rPr>
          <w:rFonts w:ascii="Arial" w:cs="Arial" w:eastAsia="Arial" w:hAnsi="Arial"/>
          <w:sz w:val="18"/>
          <w:szCs w:val="18"/>
          <w:color w:val="auto"/>
        </w:rPr>
      </w:pPr>
    </w:p>
    <w:p>
      <w:pPr>
        <w:ind w:right="40" w:firstLine="443"/>
        <w:spacing w:after="0" w:line="257" w:lineRule="auto"/>
        <w:tabs>
          <w:tab w:leader="none" w:pos="82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not later than five Business Days after receipt thereof by any Loan Party or any Subsidiary thereof, copies of all material notices, requests and other documents (including amendments, waivers and other modifications) so received under or pursuant to the Paragon Purchase Agreement, the First Lien Credit Documents or any other Material Indebtedness Agreement and, from time to time upon request by the Administrative Agent, such information and reports regarding the Paragon Purchase Agreement, the First Lien Credit Documents or any other Material Indebtedness Agreement as the Administrative Agent may reasonably request;</w:t>
      </w:r>
    </w:p>
    <w:p>
      <w:pPr>
        <w:spacing w:after="0" w:line="80" w:lineRule="exact"/>
        <w:rPr>
          <w:rFonts w:ascii="Arial" w:cs="Arial" w:eastAsia="Arial" w:hAnsi="Arial"/>
          <w:sz w:val="18"/>
          <w:szCs w:val="18"/>
          <w:color w:val="auto"/>
        </w:rPr>
      </w:pPr>
    </w:p>
    <w:p>
      <w:pPr>
        <w:jc w:val="both"/>
        <w:ind w:right="60" w:firstLine="443"/>
        <w:spacing w:after="0" w:line="279" w:lineRule="auto"/>
        <w:tabs>
          <w:tab w:leader="none" w:pos="788" w:val="left"/>
        </w:tabs>
        <w:numPr>
          <w:ilvl w:val="0"/>
          <w:numId w:val="118"/>
        </w:numPr>
        <w:rPr>
          <w:rFonts w:ascii="Arial" w:cs="Arial" w:eastAsia="Arial" w:hAnsi="Arial"/>
          <w:sz w:val="17"/>
          <w:szCs w:val="17"/>
          <w:color w:val="auto"/>
        </w:rPr>
      </w:pPr>
      <w:r>
        <w:rPr>
          <w:rFonts w:ascii="Arial" w:cs="Arial" w:eastAsia="Arial" w:hAnsi="Arial"/>
          <w:sz w:val="17"/>
          <w:szCs w:val="17"/>
          <w:color w:val="auto"/>
        </w:rPr>
        <w:t xml:space="preserve">promptly after the assertion or occurrence thereof, notice of any action or proceeding against or of any noncompliance by any Loan Party or any of its Subsidiaries under or with any Environmental Law or Environmental Permit that would (i) either individually or in the aggregate, reasonably be expected to have a Material Adverse Effect or (ii) cause any property described in the Mortgages to be subject to any restrictions on ownership, occupancy, use or transferability under any Environmental Law (other than Liens permitted pursuant to </w:t>
      </w:r>
      <w:r>
        <w:rPr>
          <w:rFonts w:ascii="Arial" w:cs="Arial" w:eastAsia="Arial" w:hAnsi="Arial"/>
          <w:sz w:val="17"/>
          <w:szCs w:val="17"/>
          <w:u w:val="single" w:color="auto"/>
          <w:color w:val="auto"/>
        </w:rPr>
        <w:t>Section 7.01</w:t>
      </w:r>
      <w:r>
        <w:rPr>
          <w:rFonts w:ascii="Arial" w:cs="Arial" w:eastAsia="Arial" w:hAnsi="Arial"/>
          <w:sz w:val="17"/>
          <w:szCs w:val="17"/>
          <w:color w:val="auto"/>
        </w:rPr>
        <w:t>);</w:t>
      </w:r>
    </w:p>
    <w:p>
      <w:pPr>
        <w:spacing w:after="0" w:line="63" w:lineRule="exact"/>
        <w:rPr>
          <w:rFonts w:ascii="Arial" w:cs="Arial" w:eastAsia="Arial" w:hAnsi="Arial"/>
          <w:sz w:val="17"/>
          <w:szCs w:val="17"/>
          <w:color w:val="auto"/>
        </w:rPr>
      </w:pPr>
    </w:p>
    <w:p>
      <w:pPr>
        <w:ind w:firstLine="443"/>
        <w:spacing w:after="0" w:line="271" w:lineRule="auto"/>
        <w:tabs>
          <w:tab w:leader="none" w:pos="788" w:val="left"/>
        </w:tabs>
        <w:numPr>
          <w:ilvl w:val="0"/>
          <w:numId w:val="118"/>
        </w:numPr>
        <w:rPr>
          <w:rFonts w:ascii="Arial" w:cs="Arial" w:eastAsia="Arial" w:hAnsi="Arial"/>
          <w:sz w:val="17"/>
          <w:szCs w:val="17"/>
          <w:color w:val="auto"/>
        </w:rPr>
      </w:pPr>
      <w:r>
        <w:rPr>
          <w:rFonts w:ascii="Arial" w:cs="Arial" w:eastAsia="Arial" w:hAnsi="Arial"/>
          <w:sz w:val="17"/>
          <w:szCs w:val="17"/>
          <w:color w:val="auto"/>
        </w:rPr>
        <w:t xml:space="preserve">as soon as available, but in any event within 30 days after the end of each fiscal year of the Borrower, (i) a report supplementing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5.05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Schedule 5.09</w:t>
      </w:r>
      <w:r>
        <w:rPr>
          <w:rFonts w:ascii="Arial" w:cs="Arial" w:eastAsia="Arial" w:hAnsi="Arial"/>
          <w:sz w:val="17"/>
          <w:szCs w:val="17"/>
          <w:color w:val="auto"/>
        </w:rPr>
        <w:t xml:space="preserve">, including an identification of all owned and leased real property disposed of by any Loan Party or any Subsidiary thereof during such fiscal year, a list and description (including the street address, county or other relevant jurisdiction, state, record owner, book value thereof and, in the case of leases of property, lessor, lessee, expiration date and annual rental cost thereof) of all real property acquired or leased during such fiscal year and a description of such other changes in the information included in such Schedules as may be necessary for such Schedules to be accurate and complete and (ii) a report supplementing </w:t>
      </w:r>
      <w:r>
        <w:rPr>
          <w:rFonts w:ascii="Arial" w:cs="Arial" w:eastAsia="Arial" w:hAnsi="Arial"/>
          <w:sz w:val="17"/>
          <w:szCs w:val="17"/>
          <w:u w:val="single" w:color="auto"/>
          <w:color w:val="auto"/>
        </w:rPr>
        <w:t>Schedules 5.01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5.17</w:t>
      </w:r>
      <w:r>
        <w:rPr>
          <w:rFonts w:ascii="Arial" w:cs="Arial" w:eastAsia="Arial" w:hAnsi="Arial"/>
          <w:sz w:val="17"/>
          <w:szCs w:val="17"/>
          <w:color w:val="auto"/>
        </w:rPr>
        <w:t xml:space="preserve"> containing a description of all changes in the information included in such Schedules as may be necessary for such Schedules to be accurate and complete, each such report to be signed by a Responsible Officer of the Borrower and to be in a form reasonably satisfactory to the Administrative Agent;</w:t>
      </w:r>
    </w:p>
    <w:p>
      <w:pPr>
        <w:spacing w:after="0" w:line="70" w:lineRule="exact"/>
        <w:rPr>
          <w:rFonts w:ascii="Arial" w:cs="Arial" w:eastAsia="Arial" w:hAnsi="Arial"/>
          <w:sz w:val="17"/>
          <w:szCs w:val="17"/>
          <w:color w:val="auto"/>
        </w:rPr>
      </w:pPr>
    </w:p>
    <w:p>
      <w:pPr>
        <w:ind w:right="60" w:firstLine="443"/>
        <w:spacing w:after="0" w:line="297" w:lineRule="auto"/>
        <w:tabs>
          <w:tab w:leader="none" w:pos="828" w:val="left"/>
        </w:tabs>
        <w:numPr>
          <w:ilvl w:val="0"/>
          <w:numId w:val="118"/>
        </w:numPr>
        <w:rPr>
          <w:rFonts w:ascii="Arial" w:cs="Arial" w:eastAsia="Arial" w:hAnsi="Arial"/>
          <w:sz w:val="16"/>
          <w:szCs w:val="16"/>
          <w:color w:val="auto"/>
        </w:rPr>
      </w:pPr>
      <w:r>
        <w:rPr>
          <w:rFonts w:ascii="Arial" w:cs="Arial" w:eastAsia="Arial" w:hAnsi="Arial"/>
          <w:sz w:val="16"/>
          <w:szCs w:val="16"/>
          <w:color w:val="auto"/>
        </w:rPr>
        <w:t xml:space="preserve">promptly after any Loan Party or any Subsidiary thereof obtains knowledge that any Loan Party or any Subsidiary thereof or any Person which owns, directly or indirectly, any Equity Interest of any Loan Party or any Subsidiary thereof, or any other holder at any time of any direct or indirect equitable, legal or beneficial interest therein is in violation or breach of any of </w:t>
      </w:r>
      <w:r>
        <w:rPr>
          <w:rFonts w:ascii="Arial" w:cs="Arial" w:eastAsia="Arial" w:hAnsi="Arial"/>
          <w:sz w:val="16"/>
          <w:szCs w:val="16"/>
          <w:u w:val="single" w:color="auto"/>
          <w:color w:val="auto"/>
        </w:rPr>
        <w:t>Sections 6.08(b)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7.10</w:t>
      </w:r>
      <w:r>
        <w:rPr>
          <w:rFonts w:ascii="Arial" w:cs="Arial" w:eastAsia="Arial" w:hAnsi="Arial"/>
          <w:sz w:val="16"/>
          <w:szCs w:val="16"/>
          <w:color w:val="auto"/>
        </w:rPr>
        <w:t>, such Loan Party or Subsidiary will deliver reasonably prompt notice to the Administrative Agent and the Lenders of such violation. Upon the request of any Lender, such Loan Party or Subsidiary, as applicable, will provide any information such Lender believes is reasonably necessary to be delivered to comply with the PATRIOT Act;</w:t>
      </w:r>
    </w:p>
    <w:p>
      <w:pPr>
        <w:spacing w:after="0" w:line="50" w:lineRule="exact"/>
        <w:rPr>
          <w:rFonts w:ascii="Arial" w:cs="Arial" w:eastAsia="Arial" w:hAnsi="Arial"/>
          <w:sz w:val="16"/>
          <w:szCs w:val="16"/>
          <w:color w:val="auto"/>
        </w:rPr>
      </w:pPr>
    </w:p>
    <w:p>
      <w:pPr>
        <w:ind w:left="800" w:hanging="357"/>
        <w:spacing w:after="0"/>
        <w:tabs>
          <w:tab w:leader="none" w:pos="8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jc w:val="both"/>
        <w:ind w:right="220" w:firstLine="443"/>
        <w:spacing w:after="0" w:line="259" w:lineRule="auto"/>
        <w:tabs>
          <w:tab w:leader="none" w:pos="87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within ten days of the written request of the Administrative Agent or any Lender, such other information about the financial condition, properties and operations of the Borrower or any of its Subsidiaries as may from time to time be reasonably requested, which information shall be submitted in form and detail satisfactory to the Administrative Agent and the Lenders and certified by a Responsible Officer of the Borrower or such Subsidiary, as case may be, in question; and</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40"/>
          </w:cols>
          <w:pgMar w:left="700" w:top="274" w:right="259" w:bottom="1440" w:gutter="0" w:footer="0" w:header="0"/>
        </w:sectPr>
      </w:pPr>
    </w:p>
    <w:bookmarkStart w:id="85" w:name="page86"/>
    <w:bookmarkEnd w:id="85"/>
    <w:p>
      <w:pPr>
        <w:ind w:left="460" w:right="100" w:firstLine="443"/>
        <w:spacing w:after="0" w:line="293" w:lineRule="auto"/>
        <w:tabs>
          <w:tab w:leader="none" w:pos="1288" w:val="left"/>
        </w:tabs>
        <w:numPr>
          <w:ilvl w:val="0"/>
          <w:numId w:val="11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concurrently with the making of an Investment pursuant to </w:t>
      </w:r>
      <w:r>
        <w:rPr>
          <w:rFonts w:ascii="Arial" w:cs="Arial" w:eastAsia="Arial" w:hAnsi="Arial"/>
          <w:sz w:val="16"/>
          <w:szCs w:val="16"/>
          <w:u w:val="single" w:color="auto"/>
          <w:color w:val="auto"/>
        </w:rPr>
        <w:t>Section 7.03(a)(xiv)</w:t>
      </w:r>
      <w:r>
        <w:rPr>
          <w:rFonts w:ascii="Arial" w:cs="Arial" w:eastAsia="Arial" w:hAnsi="Arial"/>
          <w:sz w:val="16"/>
          <w:szCs w:val="16"/>
          <w:color w:val="auto"/>
        </w:rPr>
        <w:t xml:space="preserve"> or a Restricted Payment pursuant to </w:t>
      </w:r>
      <w:r>
        <w:rPr>
          <w:rFonts w:ascii="Arial" w:cs="Arial" w:eastAsia="Arial" w:hAnsi="Arial"/>
          <w:sz w:val="16"/>
          <w:szCs w:val="16"/>
          <w:u w:val="single" w:color="auto"/>
          <w:color w:val="auto"/>
        </w:rPr>
        <w:t>Section 7.06(d)</w:t>
      </w:r>
      <w:r>
        <w:rPr>
          <w:rFonts w:ascii="Arial" w:cs="Arial" w:eastAsia="Arial" w:hAnsi="Arial"/>
          <w:sz w:val="16"/>
          <w:szCs w:val="16"/>
          <w:color w:val="auto"/>
        </w:rPr>
        <w:t xml:space="preserve">, as the case may be, a certificate executed by a Financial Officer of the Borrower in form and substance reasonably satisfactory to the Administrative Agent setting forth (i) the Cumulative Retained Excess Cash Flow Amount, the cumulative initial amount of Investments made to date pursuant to </w:t>
      </w:r>
      <w:r>
        <w:rPr>
          <w:rFonts w:ascii="Arial" w:cs="Arial" w:eastAsia="Arial" w:hAnsi="Arial"/>
          <w:sz w:val="16"/>
          <w:szCs w:val="16"/>
          <w:u w:val="single" w:color="auto"/>
          <w:color w:val="auto"/>
        </w:rPr>
        <w:t>Section 7.03(a)(xiv)</w:t>
      </w:r>
      <w:r>
        <w:rPr>
          <w:rFonts w:ascii="Arial" w:cs="Arial" w:eastAsia="Arial" w:hAnsi="Arial"/>
          <w:sz w:val="16"/>
          <w:szCs w:val="16"/>
          <w:color w:val="auto"/>
        </w:rPr>
        <w:t xml:space="preserve">, the cumulative amount of Restricted Payments made to date pursuant to </w:t>
      </w:r>
      <w:r>
        <w:rPr>
          <w:rFonts w:ascii="Arial" w:cs="Arial" w:eastAsia="Arial" w:hAnsi="Arial"/>
          <w:sz w:val="16"/>
          <w:szCs w:val="16"/>
          <w:u w:val="single" w:color="auto"/>
          <w:color w:val="auto"/>
        </w:rPr>
        <w:t>Section 7.06(d)</w:t>
      </w:r>
      <w:r>
        <w:rPr>
          <w:rFonts w:ascii="Arial" w:cs="Arial" w:eastAsia="Arial" w:hAnsi="Arial"/>
          <w:sz w:val="16"/>
          <w:szCs w:val="16"/>
          <w:color w:val="auto"/>
        </w:rPr>
        <w:t xml:space="preserve"> and the remaining amount available for Investments and Restricted Payments under </w:t>
      </w:r>
      <w:r>
        <w:rPr>
          <w:rFonts w:ascii="Arial" w:cs="Arial" w:eastAsia="Arial" w:hAnsi="Arial"/>
          <w:sz w:val="16"/>
          <w:szCs w:val="16"/>
          <w:u w:val="single" w:color="auto"/>
          <w:color w:val="auto"/>
        </w:rPr>
        <w:t>Sections 7.03(a)(xiv)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7.06(d)</w:t>
      </w:r>
      <w:r>
        <w:rPr>
          <w:rFonts w:ascii="Arial" w:cs="Arial" w:eastAsia="Arial" w:hAnsi="Arial"/>
          <w:sz w:val="16"/>
          <w:szCs w:val="16"/>
          <w:color w:val="auto"/>
        </w:rPr>
        <w:t xml:space="preserve"> and (ii) the Consolidated Net Leverage Ratio (calculated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after giving effect to such Investment or Restricted Payment and any Indebtedness incurred or repaid in connection therewith).</w:t>
      </w:r>
    </w:p>
    <w:p>
      <w:pPr>
        <w:spacing w:after="0" w:line="165" w:lineRule="exact"/>
        <w:rPr>
          <w:sz w:val="20"/>
          <w:szCs w:val="20"/>
          <w:color w:val="auto"/>
        </w:rPr>
      </w:pPr>
    </w:p>
    <w:p>
      <w:pPr>
        <w:ind w:right="240" w:firstLine="456"/>
        <w:spacing w:after="0" w:line="288" w:lineRule="auto"/>
        <w:rPr>
          <w:sz w:val="20"/>
          <w:szCs w:val="20"/>
          <w:color w:val="auto"/>
        </w:rPr>
      </w:pPr>
      <w:r>
        <w:rPr>
          <w:rFonts w:ascii="Arial" w:cs="Arial" w:eastAsia="Arial" w:hAnsi="Arial"/>
          <w:sz w:val="16"/>
          <w:szCs w:val="16"/>
          <w:color w:val="auto"/>
        </w:rPr>
        <w:t xml:space="preserve">Documents required to be delivered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6.02(d)</w:t>
      </w:r>
      <w:r>
        <w:rPr>
          <w:rFonts w:ascii="Arial" w:cs="Arial" w:eastAsia="Arial" w:hAnsi="Arial"/>
          <w:sz w:val="16"/>
          <w:szCs w:val="16"/>
          <w:color w:val="auto"/>
        </w:rPr>
        <w:t xml:space="preserve"> (to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at the website address listed on </w:t>
      </w:r>
      <w:r>
        <w:rPr>
          <w:rFonts w:ascii="Arial" w:cs="Arial" w:eastAsia="Arial" w:hAnsi="Arial"/>
          <w:sz w:val="16"/>
          <w:szCs w:val="16"/>
          <w:u w:val="single" w:color="auto"/>
          <w:color w:val="auto"/>
        </w:rPr>
        <w:t>Schedule 10.02</w:t>
      </w:r>
      <w:r>
        <w:rPr>
          <w:rFonts w:ascii="Arial" w:cs="Arial" w:eastAsia="Arial" w:hAnsi="Arial"/>
          <w:sz w:val="16"/>
          <w:szCs w:val="16"/>
          <w:color w:val="auto"/>
        </w:rPr>
        <w:t>; or</w:t>
      </w:r>
    </w:p>
    <w:p>
      <w:pPr>
        <w:ind w:right="60" w:firstLine="8"/>
        <w:spacing w:after="0" w:line="252" w:lineRule="auto"/>
        <w:tabs>
          <w:tab w:leader="none" w:pos="26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deliver paper copies of such documents to the Administrative Agent or any Lender upon its request to the Borrower to deliver such paper copies until a written request to cease delivering paper copies is given by the Administrative Agent or such Lender.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requesting delivery to it or maintaining its copies of such documents.</w:t>
      </w:r>
    </w:p>
    <w:p>
      <w:pPr>
        <w:spacing w:after="0" w:line="19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Borrower hereby acknowledges that (a) the Administrative Agent and/or one or more of the Arrangers will make available to the Lenders materials and/or information provided by or on behalf of the Borrower hereunder (collectively, “</w:t>
      </w:r>
      <w:r>
        <w:rPr>
          <w:rFonts w:ascii="Arial" w:cs="Arial" w:eastAsia="Arial" w:hAnsi="Arial"/>
          <w:sz w:val="16"/>
          <w:szCs w:val="16"/>
          <w:u w:val="single" w:color="auto"/>
          <w:color w:val="auto"/>
        </w:rPr>
        <w:t>Borrower Materials</w:t>
      </w:r>
      <w:r>
        <w:rPr>
          <w:rFonts w:ascii="Arial" w:cs="Arial" w:eastAsia="Arial" w:hAnsi="Arial"/>
          <w:sz w:val="16"/>
          <w:szCs w:val="16"/>
          <w:color w:val="auto"/>
        </w:rPr>
        <w:t>”) by posting the Borrower Materials on IntraLinks, SyndTrak or another similar electronic system (the “</w:t>
      </w:r>
      <w:r>
        <w:rPr>
          <w:rFonts w:ascii="Arial" w:cs="Arial" w:eastAsia="Arial" w:hAnsi="Arial"/>
          <w:sz w:val="16"/>
          <w:szCs w:val="16"/>
          <w:u w:val="single" w:color="auto"/>
          <w:color w:val="auto"/>
        </w:rPr>
        <w:t>Platform</w:t>
      </w:r>
      <w:r>
        <w:rPr>
          <w:rFonts w:ascii="Arial" w:cs="Arial" w:eastAsia="Arial" w:hAnsi="Arial"/>
          <w:sz w:val="16"/>
          <w:szCs w:val="16"/>
          <w:color w:val="auto"/>
        </w:rPr>
        <w:t>”) and (b) certain of the Lenders (each, a “</w:t>
      </w:r>
      <w:r>
        <w:rPr>
          <w:rFonts w:ascii="Arial" w:cs="Arial" w:eastAsia="Arial" w:hAnsi="Arial"/>
          <w:sz w:val="16"/>
          <w:szCs w:val="16"/>
          <w:u w:val="single" w:color="auto"/>
          <w:color w:val="auto"/>
        </w:rPr>
        <w:t>Public Lender</w:t>
      </w:r>
      <w:r>
        <w:rPr>
          <w:rFonts w:ascii="Arial" w:cs="Arial" w:eastAsia="Arial" w:hAnsi="Arial"/>
          <w:sz w:val="16"/>
          <w:szCs w:val="16"/>
          <w:color w:val="auto"/>
        </w:rPr>
        <w:t>”) may have personnel who do not wish to receive material nonpublic information (for purposes of the United States Federal and state securities laws) with respect to the Borrower or its Affiliates, or the respective securities of any of the foregoing, and who may be engaged in investment and other market-related activities with respect to such Persons’ securities. The Borrower hereby agrees that it will use commercially reasonable efforts to identify that portion of the Borrower Materials that may be distributed to the Public Lenders and that (w) all such Borrower Materials that are to be made available to Public Lenders shall be clearly and conspicuously marked “PUBLIC” which, at a minimum, means that the word “PUBLIC” shall appear prominently on the first page thereof; (x) by marking Borrower Materials “PUBLIC,” the Borrower shall be deemed to have authorized the Administrative Agent, the Arrangers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to the extent such Borrower Materials constitute Information, they shall be treated as set forth in </w:t>
      </w:r>
      <w:r>
        <w:rPr>
          <w:rFonts w:ascii="Arial" w:cs="Arial" w:eastAsia="Arial" w:hAnsi="Arial"/>
          <w:sz w:val="16"/>
          <w:szCs w:val="16"/>
          <w:u w:val="single" w:color="auto"/>
          <w:color w:val="auto"/>
        </w:rPr>
        <w:t>Section 10.07</w:t>
      </w:r>
      <w:r>
        <w:rPr>
          <w:rFonts w:ascii="Arial" w:cs="Arial" w:eastAsia="Arial" w:hAnsi="Arial"/>
          <w:sz w:val="16"/>
          <w:szCs w:val="16"/>
          <w:color w:val="auto"/>
        </w:rPr>
        <w:t>); (y) 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 portion of the Platform not designated “Public Side Information.”</w:t>
      </w:r>
    </w:p>
    <w:p>
      <w:pPr>
        <w:spacing w:after="0" w:line="172"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 xml:space="preserve">6.03. </w:t>
      </w:r>
      <w:r>
        <w:rPr>
          <w:rFonts w:ascii="Arial" w:cs="Arial" w:eastAsia="Arial" w:hAnsi="Arial"/>
          <w:sz w:val="18"/>
          <w:szCs w:val="18"/>
          <w:u w:val="single" w:color="auto"/>
          <w:color w:val="auto"/>
        </w:rPr>
        <w:t>Notices</w:t>
      </w:r>
      <w:r>
        <w:rPr>
          <w:rFonts w:ascii="Arial" w:cs="Arial" w:eastAsia="Arial" w:hAnsi="Arial"/>
          <w:sz w:val="18"/>
          <w:szCs w:val="18"/>
          <w:color w:val="auto"/>
        </w:rPr>
        <w:t>. Promptly, after a Responsible Officer of the Borrower or any of its Subsidiaries has knowledge thereof, notify the Administrative Agent and each Lender:</w:t>
      </w:r>
    </w:p>
    <w:p>
      <w:pPr>
        <w:spacing w:after="0" w:line="62" w:lineRule="exact"/>
        <w:rPr>
          <w:sz w:val="20"/>
          <w:szCs w:val="20"/>
          <w:color w:val="auto"/>
        </w:rPr>
      </w:pPr>
    </w:p>
    <w:p>
      <w:pPr>
        <w:ind w:left="1280" w:hanging="377"/>
        <w:spacing w:after="0"/>
        <w:tabs>
          <w:tab w:leader="none" w:pos="12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whenever a Default may occur hereunder;</w:t>
      </w:r>
    </w:p>
    <w:p>
      <w:pPr>
        <w:spacing w:after="0" w:line="117" w:lineRule="exact"/>
        <w:rPr>
          <w:rFonts w:ascii="Arial" w:cs="Arial" w:eastAsia="Arial" w:hAnsi="Arial"/>
          <w:sz w:val="18"/>
          <w:szCs w:val="18"/>
          <w:color w:val="auto"/>
        </w:rPr>
      </w:pPr>
    </w:p>
    <w:p>
      <w:pPr>
        <w:ind w:left="1300" w:hanging="397"/>
        <w:spacing w:after="0"/>
        <w:tabs>
          <w:tab w:leader="none" w:pos="13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of any matter that has resulted, or, either individually or in the aggregate, would reasonably be expected to result, in a Material Adverse</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Effect;</w:t>
      </w:r>
    </w:p>
    <w:p>
      <w:pPr>
        <w:spacing w:after="0" w:line="102" w:lineRule="exact"/>
        <w:rPr>
          <w:rFonts w:ascii="Arial" w:cs="Arial" w:eastAsia="Arial" w:hAnsi="Arial"/>
          <w:sz w:val="16"/>
          <w:szCs w:val="16"/>
          <w:color w:val="auto"/>
        </w:rPr>
      </w:pPr>
    </w:p>
    <w:p>
      <w:pPr>
        <w:ind w:left="1280" w:hanging="377"/>
        <w:spacing w:after="0"/>
        <w:tabs>
          <w:tab w:leader="none" w:pos="12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of the occurrence of any ERISA Event;</w:t>
      </w:r>
    </w:p>
    <w:p>
      <w:pPr>
        <w:spacing w:after="0" w:line="117" w:lineRule="exact"/>
        <w:rPr>
          <w:rFonts w:ascii="Arial" w:cs="Arial" w:eastAsia="Arial" w:hAnsi="Arial"/>
          <w:sz w:val="18"/>
          <w:szCs w:val="18"/>
          <w:color w:val="auto"/>
        </w:rPr>
      </w:pPr>
    </w:p>
    <w:p>
      <w:pPr>
        <w:ind w:left="1300" w:hanging="397"/>
        <w:spacing w:after="0"/>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of any material change in accounting policies or financial reporting practices by any Loan Party or any Subsidiary thereof;</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274" w:right="259" w:bottom="1440" w:gutter="0" w:footer="0" w:header="0"/>
        </w:sectPr>
      </w:pPr>
    </w:p>
    <w:bookmarkStart w:id="86" w:name="page87"/>
    <w:bookmarkEnd w:id="86"/>
    <w:p>
      <w:pPr>
        <w:ind w:left="460" w:right="120" w:firstLine="443"/>
        <w:spacing w:after="0" w:line="257" w:lineRule="auto"/>
        <w:tabs>
          <w:tab w:leader="none" w:pos="1278" w:val="left"/>
        </w:tabs>
        <w:numPr>
          <w:ilvl w:val="0"/>
          <w:numId w:val="1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of the (i) occurrence of any Disposition of property or assets for which the Borrower is required to make a mandatory prepayment pursuant to </w:t>
      </w:r>
      <w:r>
        <w:rPr>
          <w:rFonts w:ascii="Arial" w:cs="Arial" w:eastAsia="Arial" w:hAnsi="Arial"/>
          <w:sz w:val="18"/>
          <w:szCs w:val="18"/>
          <w:u w:val="single" w:color="auto"/>
          <w:color w:val="auto"/>
        </w:rPr>
        <w:t>Section 2.05(b)(ii)</w:t>
      </w:r>
      <w:r>
        <w:rPr>
          <w:rFonts w:ascii="Arial" w:cs="Arial" w:eastAsia="Arial" w:hAnsi="Arial"/>
          <w:sz w:val="18"/>
          <w:szCs w:val="18"/>
          <w:color w:val="auto"/>
        </w:rPr>
        <w:t xml:space="preserve">, (ii) incurrence or issuance of any Indebtedness for which the Borrower is required to make a mandatory prepayment pursuant to </w:t>
      </w:r>
      <w:r>
        <w:rPr>
          <w:rFonts w:ascii="Arial" w:cs="Arial" w:eastAsia="Arial" w:hAnsi="Arial"/>
          <w:sz w:val="18"/>
          <w:szCs w:val="18"/>
          <w:u w:val="single" w:color="auto"/>
          <w:color w:val="auto"/>
        </w:rPr>
        <w:t>Section 2.05(b)(iii)</w:t>
      </w:r>
      <w:r>
        <w:rPr>
          <w:rFonts w:ascii="Arial" w:cs="Arial" w:eastAsia="Arial" w:hAnsi="Arial"/>
          <w:sz w:val="18"/>
          <w:szCs w:val="18"/>
          <w:color w:val="auto"/>
        </w:rPr>
        <w:t xml:space="preserve">, (iii) receipt of any Extraordinary Receipt for which the Borrower is required to make a mandatory prepayment pursuant to </w:t>
      </w:r>
      <w:r>
        <w:rPr>
          <w:rFonts w:ascii="Arial" w:cs="Arial" w:eastAsia="Arial" w:hAnsi="Arial"/>
          <w:sz w:val="18"/>
          <w:szCs w:val="18"/>
          <w:u w:val="single" w:color="auto"/>
          <w:color w:val="auto"/>
        </w:rPr>
        <w:t>Section 2.05(b)(iv)</w:t>
      </w:r>
      <w:r>
        <w:rPr>
          <w:rFonts w:ascii="Arial" w:cs="Arial" w:eastAsia="Arial" w:hAnsi="Arial"/>
          <w:sz w:val="18"/>
          <w:szCs w:val="18"/>
          <w:color w:val="auto"/>
        </w:rPr>
        <w:t xml:space="preserve">, and (iv) the issuance of any new common Equity Interests for which the Borrower is required to make a mandatory prepayment pursuant to </w:t>
      </w:r>
      <w:r>
        <w:rPr>
          <w:rFonts w:ascii="Arial" w:cs="Arial" w:eastAsia="Arial" w:hAnsi="Arial"/>
          <w:sz w:val="18"/>
          <w:szCs w:val="18"/>
          <w:u w:val="single" w:color="auto"/>
          <w:color w:val="auto"/>
        </w:rPr>
        <w:t>Section 2.05(b)(v)</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ind w:left="460" w:right="180" w:firstLine="443"/>
        <w:spacing w:after="0" w:line="264" w:lineRule="auto"/>
        <w:tabs>
          <w:tab w:leader="none" w:pos="125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of the occurrence of any default or event of default or any event of default that requires the Borrower to redeem or otherwise acquire, or to make any offer to purchase, any Loans (as defined in the First Lien Credit Agreement), in each case, under or with respect to the First Lien Credit Agreement or any other First Lien Credit Documents; and</w:t>
      </w:r>
    </w:p>
    <w:p>
      <w:pPr>
        <w:spacing w:after="0" w:line="73" w:lineRule="exact"/>
        <w:rPr>
          <w:rFonts w:ascii="Arial" w:cs="Arial" w:eastAsia="Arial" w:hAnsi="Arial"/>
          <w:sz w:val="18"/>
          <w:szCs w:val="18"/>
          <w:color w:val="auto"/>
        </w:rPr>
      </w:pPr>
    </w:p>
    <w:p>
      <w:pPr>
        <w:ind w:left="1300" w:hanging="397"/>
        <w:spacing w:after="0"/>
        <w:tabs>
          <w:tab w:leader="none" w:pos="13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of any announcement by Moody’s or S&amp;P of any change or possible change in any Debt Rating.</w:t>
      </w:r>
    </w:p>
    <w:p>
      <w:pPr>
        <w:spacing w:after="0" w:line="225"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 xml:space="preserve">Each notice pursuant to </w:t>
      </w:r>
      <w:r>
        <w:rPr>
          <w:rFonts w:ascii="Arial" w:cs="Arial" w:eastAsia="Arial" w:hAnsi="Arial"/>
          <w:sz w:val="16"/>
          <w:szCs w:val="16"/>
          <w:u w:val="single" w:color="auto"/>
          <w:color w:val="auto"/>
        </w:rPr>
        <w:t>Section 6.03</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6.03(g)</w:t>
      </w:r>
      <w:r>
        <w:rPr>
          <w:rFonts w:ascii="Arial" w:cs="Arial" w:eastAsia="Arial" w:hAnsi="Arial"/>
          <w:sz w:val="16"/>
          <w:szCs w:val="16"/>
          <w:color w:val="auto"/>
        </w:rPr>
        <w:t xml:space="preserve">) shall be accompanied by a statement of a Responsible Officer of the Borrower setting forth details of the occurrence referred to therein and stating what action the Borrower has taken and proposes to take with respect thereto. Each notice pursuant to </w:t>
      </w:r>
      <w:r>
        <w:rPr>
          <w:rFonts w:ascii="Arial" w:cs="Arial" w:eastAsia="Arial" w:hAnsi="Arial"/>
          <w:sz w:val="16"/>
          <w:szCs w:val="16"/>
          <w:u w:val="single" w:color="auto"/>
          <w:color w:val="auto"/>
        </w:rPr>
        <w:t>Section 6.03(a)</w:t>
      </w:r>
      <w:r>
        <w:rPr>
          <w:rFonts w:ascii="Arial" w:cs="Arial" w:eastAsia="Arial" w:hAnsi="Arial"/>
          <w:sz w:val="16"/>
          <w:szCs w:val="16"/>
          <w:color w:val="auto"/>
        </w:rPr>
        <w:t xml:space="preserve"> shall describe with particularity any and all provisions of this Agreement and any other Loan Document that have been breached. Each notice pursuant to </w:t>
      </w:r>
      <w:r>
        <w:rPr>
          <w:rFonts w:ascii="Arial" w:cs="Arial" w:eastAsia="Arial" w:hAnsi="Arial"/>
          <w:sz w:val="16"/>
          <w:szCs w:val="16"/>
          <w:u w:val="single" w:color="auto"/>
          <w:color w:val="auto"/>
        </w:rPr>
        <w:t>Section 6.03(f)</w:t>
      </w:r>
      <w:r>
        <w:rPr>
          <w:rFonts w:ascii="Arial" w:cs="Arial" w:eastAsia="Arial" w:hAnsi="Arial"/>
          <w:sz w:val="16"/>
          <w:szCs w:val="16"/>
          <w:color w:val="auto"/>
        </w:rPr>
        <w:t xml:space="preserve"> shall describe with particularity any and all provisions of the First Lien Credit Documents that have been breached.</w:t>
      </w:r>
    </w:p>
    <w:p>
      <w:pPr>
        <w:spacing w:after="0" w:line="154"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 xml:space="preserve">6.04. </w:t>
      </w:r>
      <w:r>
        <w:rPr>
          <w:rFonts w:ascii="Arial" w:cs="Arial" w:eastAsia="Arial" w:hAnsi="Arial"/>
          <w:sz w:val="16"/>
          <w:szCs w:val="16"/>
          <w:u w:val="single" w:color="auto"/>
          <w:color w:val="auto"/>
        </w:rPr>
        <w:t>Payment of Taxes and Other Obligations</w:t>
      </w:r>
      <w:r>
        <w:rPr>
          <w:rFonts w:ascii="Arial" w:cs="Arial" w:eastAsia="Arial" w:hAnsi="Arial"/>
          <w:sz w:val="16"/>
          <w:szCs w:val="16"/>
          <w:color w:val="auto"/>
        </w:rPr>
        <w:t>. Pay in full (a) prior in each case to the date when penalties would attach, all material Taxes, assessments and governmental charges and levies (except only those so long as and to the extent that the same shall be contested in good faith by appropriate and timely proceedings and for which adequate provisions have been established in accordance with GAAP) for which it may be or become liable or to which any or all of its properties may be or become subject; (b) in the case of the Borrower and Domestic Subsidiaries, all of its material wage obligations to its employees in compliance with the Fair Labor Standards Act (29 U.S.C. §§ 206-207) or any comparable provisions, and, in the case of the Foreign Subsidiaries, those obligations under foreign laws with respect to employee source deductions, obligations and employer obligations to its employees; and</w:t>
      </w:r>
    </w:p>
    <w:p>
      <w:pPr>
        <w:spacing w:after="0" w:line="5" w:lineRule="exact"/>
        <w:rPr>
          <w:sz w:val="20"/>
          <w:szCs w:val="20"/>
          <w:color w:val="auto"/>
        </w:rPr>
      </w:pPr>
    </w:p>
    <w:p>
      <w:pPr>
        <w:ind w:right="120" w:firstLine="8"/>
        <w:spacing w:after="0" w:line="254" w:lineRule="auto"/>
        <w:tabs>
          <w:tab w:leader="none" w:pos="24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except where failure to pay such obligations, either individually or in the aggregate, would not reasonably be expected to have a Material Adverse Effect, all of its other obligations calling for the payment of money (except only those so long as and to the extent that the same shall be contested in good faith by appropriate and timely proceedings and for which adequate provisions have been established in accordance with GAAP) before such payment becomes overdue.</w:t>
      </w:r>
    </w:p>
    <w:p>
      <w:pPr>
        <w:spacing w:after="0" w:line="1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6.05. </w:t>
      </w:r>
      <w:r>
        <w:rPr>
          <w:rFonts w:ascii="Arial" w:cs="Arial" w:eastAsia="Arial" w:hAnsi="Arial"/>
          <w:sz w:val="18"/>
          <w:szCs w:val="18"/>
          <w:u w:val="single" w:color="auto"/>
          <w:color w:val="auto"/>
        </w:rPr>
        <w:t>Preservation of Existence, Etc</w:t>
      </w:r>
      <w:r>
        <w:rPr>
          <w:rFonts w:ascii="Arial" w:cs="Arial" w:eastAsia="Arial" w:hAnsi="Arial"/>
          <w:sz w:val="18"/>
          <w:szCs w:val="18"/>
          <w:color w:val="auto"/>
        </w:rPr>
        <w:t xml:space="preserve">. Other than any Inactive Subsidiary or Immaterial Subsidiary (a) preserve, renew and maintain in full force and effect its legal existence and good standing under the Laws of the jurisdiction of its organization except in a transaction permitted by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7.05</w:t>
      </w:r>
      <w:r>
        <w:rPr>
          <w:rFonts w:ascii="Arial" w:cs="Arial" w:eastAsia="Arial" w:hAnsi="Arial"/>
          <w:sz w:val="18"/>
          <w:szCs w:val="18"/>
          <w:color w:val="auto"/>
        </w:rPr>
        <w:t>; (b) take all reasonable action to maintain all rights, privileges, permits, licenses and franchises necessary or desirable in the normal conduct of its business, except to the extent that failure to do so, either individually or in the aggregate, would not reasonably be expected to have a Material Adverse Effect; and (c) preserve or renew all of its registered patents, trademarks, trade names and service marks, the non-preservation of which, either individually or in the aggregate, would reasonably be expected to have a Material Adverse Effect.</w:t>
      </w:r>
    </w:p>
    <w:p>
      <w:pPr>
        <w:spacing w:after="0" w:line="1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6.06. </w:t>
      </w:r>
      <w:r>
        <w:rPr>
          <w:rFonts w:ascii="Arial" w:cs="Arial" w:eastAsia="Arial" w:hAnsi="Arial"/>
          <w:sz w:val="18"/>
          <w:szCs w:val="18"/>
          <w:u w:val="single" w:color="auto"/>
          <w:color w:val="auto"/>
        </w:rPr>
        <w:t>Maintenance of Properties</w:t>
      </w:r>
      <w:r>
        <w:rPr>
          <w:rFonts w:ascii="Arial" w:cs="Arial" w:eastAsia="Arial" w:hAnsi="Arial"/>
          <w:sz w:val="18"/>
          <w:szCs w:val="18"/>
          <w:color w:val="auto"/>
        </w:rPr>
        <w:t>. Except where the failure to do so, either individually or in the aggregate, would not reasonably be expected to have a Material Adverse Effect, (a) maintain, preserve and protect all of its material properties and equipment necessary in the operation of its business in good working order and condition, ordinary wear and tear excepted, (b) make all necessary repairs thereto and renewals and replacements thereof and (c) use the standard of care typical in the industry in the operation and maintenance of its facilities.</w:t>
      </w:r>
    </w:p>
    <w:p>
      <w:pPr>
        <w:spacing w:after="0" w:line="295"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6.07.</w:t>
      </w:r>
      <w:r>
        <w:rPr>
          <w:sz w:val="20"/>
          <w:szCs w:val="20"/>
          <w:color w:val="auto"/>
        </w:rPr>
        <w:tab/>
      </w:r>
      <w:r>
        <w:rPr>
          <w:rFonts w:ascii="Arial" w:cs="Arial" w:eastAsia="Arial" w:hAnsi="Arial"/>
          <w:sz w:val="16"/>
          <w:szCs w:val="16"/>
          <w:u w:val="single" w:color="auto"/>
          <w:color w:val="auto"/>
        </w:rPr>
        <w:t>Maintenance of Insurance</w:t>
      </w:r>
      <w:r>
        <w:rPr>
          <w:rFonts w:ascii="Arial" w:cs="Arial" w:eastAsia="Arial" w:hAnsi="Arial"/>
          <w:sz w:val="16"/>
          <w:szCs w:val="16"/>
          <w:color w:val="auto"/>
        </w:rPr>
        <w:t>.</w:t>
      </w:r>
    </w:p>
    <w:p>
      <w:pPr>
        <w:spacing w:after="0" w:line="117" w:lineRule="exact"/>
        <w:rPr>
          <w:sz w:val="20"/>
          <w:szCs w:val="20"/>
          <w:color w:val="auto"/>
        </w:rPr>
      </w:pPr>
    </w:p>
    <w:p>
      <w:pPr>
        <w:jc w:val="both"/>
        <w:ind w:right="40" w:firstLine="464"/>
        <w:spacing w:after="0" w:line="264" w:lineRule="auto"/>
        <w:tabs>
          <w:tab w:leader="none" w:pos="83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Maintain insurance upon its inventory, equipment and other personal and real property in such form, written by such companies, in such amounts, for such periods, and against such risks as customarily insured against by Persons engaged in the same or similar business and as required by applicable Laws and the Collateral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74" w:right="239" w:bottom="1440" w:gutter="0" w:footer="0" w:header="0"/>
        </w:sectPr>
      </w:pPr>
    </w:p>
    <w:bookmarkStart w:id="87" w:name="page88"/>
    <w:bookmarkEnd w:id="87"/>
    <w:p>
      <w:pPr>
        <w:ind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Documents, with provisions for, with respect to Loan Parties, payment of all losses thereunder to the Administrative Agent and such Loan Parties as their interests may appear (with lender’s loss payable, mortgagee, and additional insured endorsements, as appropriate, in favor of the Administrative Agent). Any such policies of insurance shall provide for no fewer than thirty (30) days’ prior written notice of cancellation to the Administrative Agent and the Lenders. The Administrative Agent is hereby authorized to act as attorney-in-fact for the Loan Parties in (after the occurrence and during the continuation of an Event of Default) obtaining, adjusting, settling and canceling such insurance and indorsing any drafts. Within ten (10) Business Days of the Administrative Agent’s written request, the Borrower shall furnish to the Administrative Agent such information about the insurance of the Loan Parties and the Subsidiaries thereof (including, without limitation, copies of insurance policies of the Loan Parties and the Subsidiaries) as the Administrative Agent may from time to time reasonably request, which information shall be prepared in form and detail satisfactory to the Administrative Agent and certified by a Responsible Officer.</w:t>
      </w:r>
    </w:p>
    <w:p>
      <w:pPr>
        <w:spacing w:after="0" w:line="166" w:lineRule="exact"/>
        <w:rPr>
          <w:sz w:val="20"/>
          <w:szCs w:val="20"/>
          <w:color w:val="auto"/>
        </w:rPr>
      </w:pPr>
    </w:p>
    <w:p>
      <w:pPr>
        <w:ind w:firstLine="464"/>
        <w:spacing w:after="0" w:line="255" w:lineRule="auto"/>
        <w:tabs>
          <w:tab w:leader="none" w:pos="84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If any portion of any Mortgaged Property is at any time located in an area identified by the Federal Emergency Management Agency (or any successor agency) as a Special Flood Hazard Area with respect to which flood insurance has been made available under the National Flood Insurance Act of 1968 (as now or hereafter in effect or successor act thereto), then the Borrower shall, or shall cause each Loan Party to (i) maintain, or cause to be maintained, with a financially sound and reputable insurer, flood insurance in an amount and otherwise sufficient to comply with all applicable rules and regulations promulgated pursuant to applicable flood insurance Laws and (ii) deliver to the Administrative Agent evidence of such compliance in form and substance reasonably acceptable to the Administrative Agent.</w:t>
      </w:r>
    </w:p>
    <w:p>
      <w:pPr>
        <w:spacing w:after="0" w:line="301"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6.08.</w:t>
      </w:r>
      <w:r>
        <w:rPr>
          <w:sz w:val="20"/>
          <w:szCs w:val="20"/>
          <w:color w:val="auto"/>
        </w:rPr>
        <w:tab/>
      </w:r>
      <w:r>
        <w:rPr>
          <w:rFonts w:ascii="Arial" w:cs="Arial" w:eastAsia="Arial" w:hAnsi="Arial"/>
          <w:sz w:val="16"/>
          <w:szCs w:val="16"/>
          <w:u w:val="single" w:color="auto"/>
          <w:color w:val="auto"/>
        </w:rPr>
        <w:t>Compliance with Laws</w:t>
      </w:r>
      <w:r>
        <w:rPr>
          <w:rFonts w:ascii="Arial" w:cs="Arial" w:eastAsia="Arial" w:hAnsi="Arial"/>
          <w:sz w:val="16"/>
          <w:szCs w:val="16"/>
          <w:color w:val="auto"/>
        </w:rPr>
        <w:t>.</w:t>
      </w:r>
    </w:p>
    <w:p>
      <w:pPr>
        <w:spacing w:after="0" w:line="117" w:lineRule="exact"/>
        <w:rPr>
          <w:sz w:val="20"/>
          <w:szCs w:val="20"/>
          <w:color w:val="auto"/>
        </w:rPr>
      </w:pPr>
    </w:p>
    <w:p>
      <w:pPr>
        <w:jc w:val="both"/>
        <w:ind w:right="160" w:firstLine="464"/>
        <w:spacing w:after="0" w:line="259" w:lineRule="auto"/>
        <w:tabs>
          <w:tab w:leader="none" w:pos="83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Comply in all material respects with the requirements of all Laws (including, without limitation, ERISA)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either individually or in the aggregate, would not reasonably be expected to have a Material Adverse Effect.</w:t>
      </w:r>
    </w:p>
    <w:p>
      <w:pPr>
        <w:spacing w:after="0" w:line="186" w:lineRule="exact"/>
        <w:rPr>
          <w:rFonts w:ascii="Arial" w:cs="Arial" w:eastAsia="Arial" w:hAnsi="Arial"/>
          <w:sz w:val="18"/>
          <w:szCs w:val="18"/>
          <w:color w:val="auto"/>
        </w:rPr>
      </w:pPr>
    </w:p>
    <w:p>
      <w:pPr>
        <w:ind w:right="520" w:firstLine="464"/>
        <w:spacing w:after="0" w:line="277" w:lineRule="auto"/>
        <w:tabs>
          <w:tab w:leader="none" w:pos="84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Conduct its businesses in compliance with applicable Anti-Corruption Laws and maintain policies and procedures designed to promote and achieve compliance with such laws.</w:t>
      </w:r>
    </w:p>
    <w:p>
      <w:pPr>
        <w:spacing w:after="0" w:line="279"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6.09.</w:t>
      </w:r>
      <w:r>
        <w:rPr>
          <w:sz w:val="20"/>
          <w:szCs w:val="20"/>
          <w:color w:val="auto"/>
        </w:rPr>
        <w:tab/>
      </w:r>
      <w:r>
        <w:rPr>
          <w:rFonts w:ascii="Arial" w:cs="Arial" w:eastAsia="Arial" w:hAnsi="Arial"/>
          <w:sz w:val="15"/>
          <w:szCs w:val="15"/>
          <w:u w:val="single" w:color="auto"/>
          <w:color w:val="auto"/>
        </w:rPr>
        <w:t>Books and Records</w:t>
      </w:r>
      <w:r>
        <w:rPr>
          <w:rFonts w:ascii="Arial" w:cs="Arial" w:eastAsia="Arial" w:hAnsi="Arial"/>
          <w:sz w:val="15"/>
          <w:szCs w:val="15"/>
          <w:color w:val="auto"/>
        </w:rPr>
        <w:t>.</w:t>
      </w:r>
    </w:p>
    <w:p>
      <w:pPr>
        <w:spacing w:after="0" w:line="117" w:lineRule="exact"/>
        <w:rPr>
          <w:sz w:val="20"/>
          <w:szCs w:val="20"/>
          <w:color w:val="auto"/>
        </w:rPr>
      </w:pPr>
    </w:p>
    <w:p>
      <w:pPr>
        <w:ind w:right="120" w:firstLine="464"/>
        <w:spacing w:after="0" w:line="308" w:lineRule="auto"/>
        <w:tabs>
          <w:tab w:leader="none" w:pos="836" w:val="left"/>
        </w:tabs>
        <w:numPr>
          <w:ilvl w:val="0"/>
          <w:numId w:val="127"/>
        </w:numPr>
        <w:rPr>
          <w:rFonts w:ascii="Arial" w:cs="Arial" w:eastAsia="Arial" w:hAnsi="Arial"/>
          <w:sz w:val="17"/>
          <w:szCs w:val="17"/>
          <w:color w:val="auto"/>
        </w:rPr>
      </w:pPr>
      <w:r>
        <w:rPr>
          <w:rFonts w:ascii="Arial" w:cs="Arial" w:eastAsia="Arial" w:hAnsi="Arial"/>
          <w:sz w:val="17"/>
          <w:szCs w:val="17"/>
          <w:color w:val="auto"/>
        </w:rPr>
        <w:t>Maintain proper books of record and account, in which full, true and correct entries in conformity with GAAP consistently applied shall be made of all financial transactions and matters involving the assets and business of the Borrower or such Subsidiary, as the case may be.</w:t>
      </w:r>
    </w:p>
    <w:p>
      <w:pPr>
        <w:spacing w:after="0" w:line="146" w:lineRule="exact"/>
        <w:rPr>
          <w:rFonts w:ascii="Arial" w:cs="Arial" w:eastAsia="Arial" w:hAnsi="Arial"/>
          <w:sz w:val="17"/>
          <w:szCs w:val="17"/>
          <w:color w:val="auto"/>
        </w:rPr>
      </w:pPr>
    </w:p>
    <w:p>
      <w:pPr>
        <w:ind w:right="560" w:firstLine="464"/>
        <w:spacing w:after="0" w:line="277" w:lineRule="auto"/>
        <w:tabs>
          <w:tab w:leader="none" w:pos="84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Maintain such books of record and account in material conformity with all applicable requirements of any Governmental Authority having regulatory jurisdiction over the Borrower or such Subsidiary, as the case may be.</w:t>
      </w:r>
    </w:p>
    <w:p>
      <w:pPr>
        <w:spacing w:after="0" w:line="170"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u w:val="single" w:color="auto"/>
          <w:color w:val="auto"/>
        </w:rPr>
        <w:t>Inspection Rights</w:t>
      </w:r>
      <w:r>
        <w:rPr>
          <w:rFonts w:ascii="Arial" w:cs="Arial" w:eastAsia="Arial" w:hAnsi="Arial"/>
          <w:sz w:val="17"/>
          <w:szCs w:val="17"/>
          <w:color w:val="auto"/>
        </w:rPr>
        <w:t xml:space="preserve">. At any time during normal business hours, allow the Administrative Agent and the Lenders by or through any of the Administrative Agent’s officers, agents, employees, attorneys or accountants to (a) examine, inspect and make extracts from any Loan Party’s or any Subsidiary’s books, corporate, financial and operating records and other records, including, without limitation, the tax returns of such Loan Party or such Subsidiary and make copies thereof or abstracts therefrom, and to discuss its affairs, finances and accounts with its directors, officers, and independent public accountants, (b) arrange for verification of any Loan Party’s or any Subsidiary’s accounts, under reasonable procedures, directly with account debtors or by other methods, and (c) examine and inspect any Loan Party’s or Subsidiary’s properties, inventory and equipment, wherever located, in each case, at the expense of the Borrower and upon reasonable advance notice to such Loan Party or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if an Event of Default does not exist, such examinations and inspections shall be limited to not more than two times per any calendar year and (ii) if an Event of Default exists, the Administrative Agent or any Lender (or any of their respective representatives or independent contractors) may do any of the foregoing at the expense of the Borrower at any time during normal business hours and without advance notice.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274" w:right="259" w:bottom="1440" w:gutter="0" w:footer="0" w:header="0"/>
        </w:sectPr>
      </w:pPr>
    </w:p>
    <w:bookmarkStart w:id="88" w:name="page89"/>
    <w:bookmarkEnd w:id="88"/>
    <w:p>
      <w:pPr>
        <w:ind w:right="160" w:firstLine="456"/>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6.11. </w:t>
      </w:r>
      <w:r>
        <w:rPr>
          <w:rFonts w:ascii="Arial" w:cs="Arial" w:eastAsia="Arial" w:hAnsi="Arial"/>
          <w:sz w:val="16"/>
          <w:szCs w:val="16"/>
          <w:u w:val="single" w:color="auto"/>
          <w:color w:val="auto"/>
        </w:rPr>
        <w:t>Use of Proceeds</w:t>
      </w:r>
      <w:r>
        <w:rPr>
          <w:rFonts w:ascii="Arial" w:cs="Arial" w:eastAsia="Arial" w:hAnsi="Arial"/>
          <w:sz w:val="16"/>
          <w:szCs w:val="16"/>
          <w:color w:val="auto"/>
        </w:rPr>
        <w:t xml:space="preserve">. Use the proceeds of (a) the Initial Term Loans solely for (i) the funding of the Paragon Acquisition, (ii) the refinancing of Existing Indebtedness and (iii) the payment of fees, commissions and expenses in connection with the Transactions (including the payment of make whole premiums in connection with the payment of the Existing Indebtedness), and (b) to the extent any portion of the Loans is remaining after giving effect to the items specified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6.11</w:t>
      </w:r>
      <w:r>
        <w:rPr>
          <w:rFonts w:ascii="Arial" w:cs="Arial" w:eastAsia="Arial" w:hAnsi="Arial"/>
          <w:sz w:val="16"/>
          <w:szCs w:val="16"/>
          <w:color w:val="auto"/>
        </w:rPr>
        <w:t>, for working capital and other general corporate purposes of the Borrower and its Subsidiaries.</w:t>
      </w:r>
    </w:p>
    <w:p>
      <w:pPr>
        <w:spacing w:after="0" w:line="262"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6"/>
          <w:szCs w:val="16"/>
          <w:u w:val="single" w:color="auto"/>
          <w:color w:val="auto"/>
        </w:rPr>
        <w:t>Covenant to Guarantee Obligations and Give Security</w:t>
      </w:r>
      <w:r>
        <w:rPr>
          <w:rFonts w:ascii="Arial" w:cs="Arial" w:eastAsia="Arial" w:hAnsi="Arial"/>
          <w:sz w:val="16"/>
          <w:szCs w:val="16"/>
          <w:color w:val="auto"/>
        </w:rPr>
        <w:t>.</w:t>
      </w:r>
    </w:p>
    <w:p>
      <w:pPr>
        <w:spacing w:after="0" w:line="117" w:lineRule="exact"/>
        <w:rPr>
          <w:sz w:val="20"/>
          <w:szCs w:val="20"/>
          <w:color w:val="auto"/>
        </w:rPr>
      </w:pPr>
    </w:p>
    <w:p>
      <w:pPr>
        <w:ind w:firstLine="464"/>
        <w:spacing w:after="0" w:line="272" w:lineRule="auto"/>
        <w:tabs>
          <w:tab w:leader="none" w:pos="836" w:val="left"/>
        </w:tabs>
        <w:numPr>
          <w:ilvl w:val="0"/>
          <w:numId w:val="128"/>
        </w:numPr>
        <w:rPr>
          <w:rFonts w:ascii="Arial" w:cs="Arial" w:eastAsia="Arial" w:hAnsi="Arial"/>
          <w:sz w:val="17"/>
          <w:szCs w:val="17"/>
          <w:color w:val="auto"/>
        </w:rPr>
      </w:pPr>
      <w:r>
        <w:rPr>
          <w:rFonts w:ascii="Arial" w:cs="Arial" w:eastAsia="Arial" w:hAnsi="Arial"/>
          <w:sz w:val="17"/>
          <w:szCs w:val="17"/>
          <w:u w:val="single" w:color="auto"/>
          <w:color w:val="auto"/>
        </w:rPr>
        <w:t>Guaranties and Security Documents</w:t>
      </w:r>
      <w:r>
        <w:rPr>
          <w:rFonts w:ascii="Arial" w:cs="Arial" w:eastAsia="Arial" w:hAnsi="Arial"/>
          <w:sz w:val="17"/>
          <w:szCs w:val="17"/>
          <w:color w:val="auto"/>
        </w:rPr>
        <w:t xml:space="preserve">. Each Domestic Subsidiary (other than any Inactive Subsidiary or an Immaterial Subsidiary) created, acquired or held subsequent to the Closing Date, and each Domestic Subsidiary that at any time ceases to be an Inactive Subsidiary or an Immaterial Subsidiary (including by virtue of </w:t>
      </w:r>
      <w:r>
        <w:rPr>
          <w:rFonts w:ascii="Arial" w:cs="Arial" w:eastAsia="Arial" w:hAnsi="Arial"/>
          <w:sz w:val="17"/>
          <w:szCs w:val="17"/>
          <w:u w:val="single" w:color="auto"/>
          <w:color w:val="auto"/>
        </w:rPr>
        <w:t>clause (g)</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6.12</w:t>
      </w:r>
      <w:r>
        <w:rPr>
          <w:rFonts w:ascii="Arial" w:cs="Arial" w:eastAsia="Arial" w:hAnsi="Arial"/>
          <w:sz w:val="17"/>
          <w:szCs w:val="17"/>
          <w:color w:val="auto"/>
        </w:rPr>
        <w:t>), shall within thirty (30) days (or such longer period as the Administrative Agent shall approve in its sole discretion) after such creation, acquisition, holding or cessation execute and deliver to the Administrative Agent, for the benefit of the Lenders, a Guaranty (or guaranty supplement) and the appropriate Collateral Documents, such agreements to be in form and substance acceptable to the Administrative Agent, along with any such other supporting documentation, corporate governance and authorization documents, and an opinion of counsel as may be deemed necessary or advisable by the Administrative Agent.</w:t>
      </w:r>
    </w:p>
    <w:p>
      <w:pPr>
        <w:spacing w:after="0" w:line="177" w:lineRule="exact"/>
        <w:rPr>
          <w:rFonts w:ascii="Arial" w:cs="Arial" w:eastAsia="Arial" w:hAnsi="Arial"/>
          <w:sz w:val="17"/>
          <w:szCs w:val="17"/>
          <w:color w:val="auto"/>
        </w:rPr>
      </w:pPr>
    </w:p>
    <w:p>
      <w:pPr>
        <w:ind w:right="80" w:firstLine="464"/>
        <w:spacing w:after="0" w:line="271" w:lineRule="auto"/>
        <w:tabs>
          <w:tab w:leader="none" w:pos="846" w:val="left"/>
        </w:tabs>
        <w:numPr>
          <w:ilvl w:val="0"/>
          <w:numId w:val="128"/>
        </w:numPr>
        <w:rPr>
          <w:rFonts w:ascii="Arial" w:cs="Arial" w:eastAsia="Arial" w:hAnsi="Arial"/>
          <w:sz w:val="17"/>
          <w:szCs w:val="17"/>
          <w:color w:val="auto"/>
        </w:rPr>
      </w:pPr>
      <w:r>
        <w:rPr>
          <w:rFonts w:ascii="Arial" w:cs="Arial" w:eastAsia="Arial" w:hAnsi="Arial"/>
          <w:sz w:val="17"/>
          <w:szCs w:val="17"/>
          <w:u w:val="single" w:color="auto"/>
          <w:color w:val="auto"/>
        </w:rPr>
        <w:t>Pledge of Equity Interests</w:t>
      </w:r>
      <w:r>
        <w:rPr>
          <w:rFonts w:ascii="Arial" w:cs="Arial" w:eastAsia="Arial" w:hAnsi="Arial"/>
          <w:sz w:val="17"/>
          <w:szCs w:val="17"/>
          <w:color w:val="auto"/>
        </w:rPr>
        <w:t xml:space="preserve">. With respect to the creation or acquisition of a Subsidiary, the appropriate Loan Party shall within thirty (30) days (or such longer period as the Administrative Agent shall approve in its sole discretion) after such creation or acquisition execute a Security Agreement (or a Security Joinder Agreement) and, in connection therewith, pledge all of its Equity Interests in such Subsidiary to the Administrative Agent as security for the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no Foreign Subsidiary shall be required to pledge any of its Equity Interests in any other Foreign Subsidiary, (ii) the Borrower or any Domestic Subsidiary shall not be required to pledge more than sixty-five percent (65%) of the voting Equity Interests of any first-tier Foreign Subsidiary, and (iii) such pledge shall be legally available and shall not result in materially adverse tax consequences on such Loan Party. The Borrower shall deliver to the Administrative Agent the share certificates (or other evidence of equity) evidencing any of the Equity Interests pledged pursuant to this </w:t>
      </w:r>
      <w:r>
        <w:rPr>
          <w:rFonts w:ascii="Arial" w:cs="Arial" w:eastAsia="Arial" w:hAnsi="Arial"/>
          <w:sz w:val="17"/>
          <w:szCs w:val="17"/>
          <w:u w:val="single" w:color="auto"/>
          <w:color w:val="auto"/>
        </w:rPr>
        <w:t>Section 6.12(b)</w:t>
      </w:r>
      <w:r>
        <w:rPr>
          <w:rFonts w:ascii="Arial" w:cs="Arial" w:eastAsia="Arial" w:hAnsi="Arial"/>
          <w:sz w:val="17"/>
          <w:szCs w:val="17"/>
          <w:color w:val="auto"/>
        </w:rPr>
        <w:t xml:space="preserve"> if such Equity Interests are certificated or so evidenced.</w:t>
      </w:r>
    </w:p>
    <w:p>
      <w:pPr>
        <w:spacing w:after="0" w:line="178" w:lineRule="exact"/>
        <w:rPr>
          <w:rFonts w:ascii="Arial" w:cs="Arial" w:eastAsia="Arial" w:hAnsi="Arial"/>
          <w:sz w:val="17"/>
          <w:szCs w:val="17"/>
          <w:color w:val="auto"/>
        </w:rPr>
      </w:pPr>
    </w:p>
    <w:p>
      <w:pPr>
        <w:ind w:right="60" w:firstLine="464"/>
        <w:spacing w:after="0" w:line="257" w:lineRule="auto"/>
        <w:tabs>
          <w:tab w:leader="none" w:pos="836"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Perfection or Registration of Interest in Foreign Equity Interests</w:t>
      </w:r>
      <w:r>
        <w:rPr>
          <w:rFonts w:ascii="Arial" w:cs="Arial" w:eastAsia="Arial" w:hAnsi="Arial"/>
          <w:sz w:val="18"/>
          <w:szCs w:val="18"/>
          <w:color w:val="auto"/>
        </w:rPr>
        <w:t>. With respect to any foreign Equity Interests pledged to the Administrative Agent by the Borrower or any Domestic Subsidiary, on or after the Closing Date, the Administrative Agent shall at all times, in the reasonable discretion of the Administrative Agent or the Required Lenders, have the right to require the perfection, at Borrowers’ cost, payable upon request therefor (including, without limitation, any foreign counsel, or foreign notary, filing, registration or similar, fees, costs or expenses), of the security interest in such Equity Interests in the respective foreign jurisdiction.</w:t>
      </w:r>
    </w:p>
    <w:p>
      <w:pPr>
        <w:spacing w:after="0" w:line="188" w:lineRule="exact"/>
        <w:rPr>
          <w:rFonts w:ascii="Arial" w:cs="Arial" w:eastAsia="Arial" w:hAnsi="Arial"/>
          <w:sz w:val="18"/>
          <w:szCs w:val="18"/>
          <w:color w:val="auto"/>
        </w:rPr>
      </w:pPr>
    </w:p>
    <w:p>
      <w:pPr>
        <w:jc w:val="both"/>
        <w:ind w:right="200" w:firstLine="464"/>
        <w:spacing w:after="0" w:line="259" w:lineRule="auto"/>
        <w:tabs>
          <w:tab w:leader="none" w:pos="846"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Pledged Intercompany Notes</w:t>
      </w:r>
      <w:r>
        <w:rPr>
          <w:rFonts w:ascii="Arial" w:cs="Arial" w:eastAsia="Arial" w:hAnsi="Arial"/>
          <w:sz w:val="18"/>
          <w:szCs w:val="18"/>
          <w:color w:val="auto"/>
        </w:rPr>
        <w:t>. With respect to the creation or acquisition by a Loan Party of a Pledged Intercompany Note, the appropriate Loan Party shall pledge to the Administrative Agent, as security for the Obligations, such Pledged Intercompany Note. Such Loan Party shall promptly deliver to the Administrative Agent (or the collateral agent under the First Lien Credit Documents as bailee for the Secured Parties) such Pledged Intercompany Note and an accompanying allonge.</w:t>
      </w:r>
    </w:p>
    <w:p>
      <w:pPr>
        <w:spacing w:after="0" w:line="294" w:lineRule="exact"/>
        <w:rPr>
          <w:rFonts w:ascii="Arial" w:cs="Arial" w:eastAsia="Arial" w:hAnsi="Arial"/>
          <w:sz w:val="18"/>
          <w:szCs w:val="18"/>
          <w:color w:val="auto"/>
        </w:rPr>
      </w:pPr>
    </w:p>
    <w:p>
      <w:pPr>
        <w:ind w:left="840" w:hanging="376"/>
        <w:spacing w:after="0"/>
        <w:tabs>
          <w:tab w:leader="none" w:pos="84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Collateral Generally</w:t>
      </w:r>
      <w:r>
        <w:rPr>
          <w:rFonts w:ascii="Arial" w:cs="Arial" w:eastAsia="Arial" w:hAnsi="Arial"/>
          <w:sz w:val="18"/>
          <w:szCs w:val="18"/>
          <w:color w:val="auto"/>
        </w:rPr>
        <w:t>. The Borrower shall:</w:t>
      </w:r>
    </w:p>
    <w:p>
      <w:pPr>
        <w:spacing w:after="0" w:line="117" w:lineRule="exact"/>
        <w:rPr>
          <w:rFonts w:ascii="Arial" w:cs="Arial" w:eastAsia="Arial" w:hAnsi="Arial"/>
          <w:sz w:val="18"/>
          <w:szCs w:val="18"/>
          <w:color w:val="auto"/>
        </w:rPr>
      </w:pPr>
    </w:p>
    <w:p>
      <w:pPr>
        <w:ind w:left="460" w:right="60" w:firstLine="443"/>
        <w:spacing w:after="0" w:line="259" w:lineRule="auto"/>
        <w:tabs>
          <w:tab w:leader="none" w:pos="1248" w:val="left"/>
        </w:tabs>
        <w:numPr>
          <w:ilvl w:val="1"/>
          <w:numId w:val="128"/>
        </w:numPr>
        <w:rPr>
          <w:rFonts w:ascii="Arial" w:cs="Arial" w:eastAsia="Arial" w:hAnsi="Arial"/>
          <w:sz w:val="18"/>
          <w:szCs w:val="18"/>
          <w:color w:val="auto"/>
        </w:rPr>
      </w:pPr>
      <w:r>
        <w:rPr>
          <w:rFonts w:ascii="Arial" w:cs="Arial" w:eastAsia="Arial" w:hAnsi="Arial"/>
          <w:sz w:val="18"/>
          <w:szCs w:val="18"/>
          <w:color w:val="auto"/>
        </w:rPr>
        <w:t>promptly furnish to the Administrative Agent or any Lender upon request (x) additional statements and information with respect to the Collateral, and all writings and information relating to or evidencing any of the Borrower’s or any Subsidiary’s accounts (including, without limitation, computer printouts or typewritten reports listing the mailing addresses of all present account debtors), and (y) any other writings and information as the Administrative Agent or such Lender may reasonably request;</w:t>
      </w:r>
    </w:p>
    <w:p>
      <w:pPr>
        <w:spacing w:after="0" w:line="78" w:lineRule="exact"/>
        <w:rPr>
          <w:rFonts w:ascii="Arial" w:cs="Arial" w:eastAsia="Arial" w:hAnsi="Arial"/>
          <w:sz w:val="18"/>
          <w:szCs w:val="18"/>
          <w:color w:val="auto"/>
        </w:rPr>
      </w:pPr>
    </w:p>
    <w:p>
      <w:pPr>
        <w:ind w:left="460" w:right="500" w:firstLine="443"/>
        <w:spacing w:after="0" w:line="277" w:lineRule="auto"/>
        <w:tabs>
          <w:tab w:leader="none" w:pos="1298" w:val="left"/>
        </w:tabs>
        <w:numPr>
          <w:ilvl w:val="1"/>
          <w:numId w:val="128"/>
        </w:numPr>
        <w:rPr>
          <w:rFonts w:ascii="Arial" w:cs="Arial" w:eastAsia="Arial" w:hAnsi="Arial"/>
          <w:sz w:val="18"/>
          <w:szCs w:val="18"/>
          <w:color w:val="auto"/>
        </w:rPr>
      </w:pPr>
      <w:r>
        <w:rPr>
          <w:rFonts w:ascii="Arial" w:cs="Arial" w:eastAsia="Arial" w:hAnsi="Arial"/>
          <w:sz w:val="18"/>
          <w:szCs w:val="18"/>
          <w:color w:val="auto"/>
        </w:rPr>
        <w:t>promptly notify the Administrative Agent in writing upon the creation of any accounts with respect to which the account debtor is the United States or any other Governmental Authority, or any business that is located in a foreign country;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74" w:right="239" w:bottom="1440" w:gutter="0" w:footer="0" w:header="0"/>
        </w:sectPr>
      </w:pPr>
    </w:p>
    <w:bookmarkStart w:id="89" w:name="page90"/>
    <w:bookmarkEnd w:id="89"/>
    <w:p>
      <w:pPr>
        <w:ind w:left="460" w:right="80" w:firstLine="443"/>
        <w:spacing w:after="0" w:line="259" w:lineRule="auto"/>
        <w:tabs>
          <w:tab w:leader="none" w:pos="1348" w:val="left"/>
        </w:tabs>
        <w:numPr>
          <w:ilvl w:val="0"/>
          <w:numId w:val="1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promptly notify the Administrative Agent in writing upon the creation by any Loan Party of a deposit account or securities account not listed on </w:t>
      </w:r>
      <w:r>
        <w:rPr>
          <w:rFonts w:ascii="Arial" w:cs="Arial" w:eastAsia="Arial" w:hAnsi="Arial"/>
          <w:sz w:val="18"/>
          <w:szCs w:val="18"/>
          <w:u w:val="single" w:color="auto"/>
          <w:color w:val="auto"/>
        </w:rPr>
        <w:t>Schedule 5.23</w:t>
      </w:r>
      <w:r>
        <w:rPr>
          <w:rFonts w:ascii="Arial" w:cs="Arial" w:eastAsia="Arial" w:hAnsi="Arial"/>
          <w:sz w:val="18"/>
          <w:szCs w:val="18"/>
          <w:color w:val="auto"/>
        </w:rPr>
        <w:t xml:space="preserve"> hereto and, if such deposit account is owned by the Borrower or another Loan Party and is not an Excluded Account, promptly provide for the execution of a Deposit Account Control Agreement or Securities Account Control Agreement, as applicable, with respect thereto, if required by the Administrative Agent or the Required Lenders;</w:t>
      </w:r>
    </w:p>
    <w:p>
      <w:pPr>
        <w:spacing w:after="0" w:line="78" w:lineRule="exact"/>
        <w:rPr>
          <w:rFonts w:ascii="Arial" w:cs="Arial" w:eastAsia="Arial" w:hAnsi="Arial"/>
          <w:sz w:val="18"/>
          <w:szCs w:val="18"/>
          <w:color w:val="auto"/>
        </w:rPr>
      </w:pPr>
    </w:p>
    <w:p>
      <w:pPr>
        <w:ind w:left="460" w:firstLine="443"/>
        <w:spacing w:after="0" w:line="259" w:lineRule="auto"/>
        <w:tabs>
          <w:tab w:leader="none" w:pos="133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promptly notify the Administrative Agent in writing whenever a material amount of assets of a Loan Party is located at a location of a third party (other than another Loan Party) that is not listed on </w:t>
      </w:r>
      <w:r>
        <w:rPr>
          <w:rFonts w:ascii="Arial" w:cs="Arial" w:eastAsia="Arial" w:hAnsi="Arial"/>
          <w:sz w:val="18"/>
          <w:szCs w:val="18"/>
          <w:u w:val="single" w:color="auto"/>
          <w:color w:val="auto"/>
        </w:rPr>
        <w:t>Schedule 5.09</w:t>
      </w:r>
      <w:r>
        <w:rPr>
          <w:rFonts w:ascii="Arial" w:cs="Arial" w:eastAsia="Arial" w:hAnsi="Arial"/>
          <w:sz w:val="18"/>
          <w:szCs w:val="18"/>
          <w:color w:val="auto"/>
        </w:rPr>
        <w:t xml:space="preserve"> hereto and use commercially reasonable efforts to cause to be executed any bailee’s waiver, processor’s waiver, consignee’s waiver or similar document or notice that may be required by the Administrative Agent or the Required Lenders;</w:t>
      </w:r>
    </w:p>
    <w:p>
      <w:pPr>
        <w:spacing w:after="0" w:line="78" w:lineRule="exact"/>
        <w:rPr>
          <w:rFonts w:ascii="Arial" w:cs="Arial" w:eastAsia="Arial" w:hAnsi="Arial"/>
          <w:sz w:val="18"/>
          <w:szCs w:val="18"/>
          <w:color w:val="auto"/>
        </w:rPr>
      </w:pPr>
    </w:p>
    <w:p>
      <w:pPr>
        <w:ind w:left="460" w:right="120" w:firstLine="443"/>
        <w:spacing w:after="0" w:line="264" w:lineRule="auto"/>
        <w:tabs>
          <w:tab w:leader="none" w:pos="128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promptly notify the Administrative Agent and the Lenders in writing of any information that the Borrower or any of its Subsidiaries has or may receive with respect to the Collateral that would reasonably be expected to materially and adversely affect the value thereof or the rights of the Administrative Agent and the Lenders with respect thereto;</w:t>
      </w:r>
    </w:p>
    <w:p>
      <w:pPr>
        <w:spacing w:after="0" w:line="73" w:lineRule="exact"/>
        <w:rPr>
          <w:rFonts w:ascii="Arial" w:cs="Arial" w:eastAsia="Arial" w:hAnsi="Arial"/>
          <w:sz w:val="18"/>
          <w:szCs w:val="18"/>
          <w:color w:val="auto"/>
        </w:rPr>
      </w:pPr>
    </w:p>
    <w:p>
      <w:pPr>
        <w:ind w:left="460" w:right="40" w:firstLine="443"/>
        <w:spacing w:after="0" w:line="255" w:lineRule="auto"/>
        <w:tabs>
          <w:tab w:leader="none" w:pos="133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promptly deliver to the Administrative Agent, to hold as security for the Obligations, within ten Business Days after the written request of the Administrative Agent, all certificated investment property owned by a Loan Party, in suitable form for transfer by delivery, or accompanied by duly executed instruments of transfer or assignment in blank, all in form and substance satisfactory to the Administrative Agent, or in the event such investment property is in the possession of a securities intermediary or credited to a securities account (other than an Excluded Account), execute with the related securities intermediary an investment property control agreement over such securities account in favor of the Administrative Agent in form and substance satisfactory to the Administrative Agent;</w:t>
      </w:r>
    </w:p>
    <w:p>
      <w:pPr>
        <w:spacing w:after="0" w:line="85" w:lineRule="exact"/>
        <w:rPr>
          <w:rFonts w:ascii="Arial" w:cs="Arial" w:eastAsia="Arial" w:hAnsi="Arial"/>
          <w:sz w:val="18"/>
          <w:szCs w:val="18"/>
          <w:color w:val="auto"/>
        </w:rPr>
      </w:pPr>
    </w:p>
    <w:p>
      <w:pPr>
        <w:ind w:left="460" w:right="340" w:firstLine="443"/>
        <w:spacing w:after="0" w:line="264" w:lineRule="auto"/>
        <w:tabs>
          <w:tab w:leader="none" w:pos="138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promptly provide to the Administrative Agent a list of any patents, trademarks or copyrights that have been federally registered by the Borrower or any other Loan Party since the last list so delivered, and provide for the execution of an appropriate Intellectual Property Security Agreement; and</w:t>
      </w:r>
    </w:p>
    <w:p>
      <w:pPr>
        <w:spacing w:after="0" w:line="73" w:lineRule="exact"/>
        <w:rPr>
          <w:rFonts w:ascii="Arial" w:cs="Arial" w:eastAsia="Arial" w:hAnsi="Arial"/>
          <w:sz w:val="18"/>
          <w:szCs w:val="18"/>
          <w:color w:val="auto"/>
        </w:rPr>
      </w:pPr>
    </w:p>
    <w:p>
      <w:pPr>
        <w:ind w:left="460" w:right="40" w:firstLine="443"/>
        <w:spacing w:after="0" w:line="279" w:lineRule="auto"/>
        <w:tabs>
          <w:tab w:leader="none" w:pos="1438" w:val="left"/>
        </w:tabs>
        <w:numPr>
          <w:ilvl w:val="0"/>
          <w:numId w:val="129"/>
        </w:numPr>
        <w:rPr>
          <w:rFonts w:ascii="Arial" w:cs="Arial" w:eastAsia="Arial" w:hAnsi="Arial"/>
          <w:sz w:val="17"/>
          <w:szCs w:val="17"/>
          <w:color w:val="auto"/>
        </w:rPr>
      </w:pPr>
      <w:r>
        <w:rPr>
          <w:rFonts w:ascii="Arial" w:cs="Arial" w:eastAsia="Arial" w:hAnsi="Arial"/>
          <w:sz w:val="17"/>
          <w:szCs w:val="17"/>
          <w:color w:val="auto"/>
        </w:rPr>
        <w:t>upon the reasonable request of the Administrative Agent, promptly take such action and promptly make, execute, and deliver all such additional and further items, deeds, assurances, instruments and any other writings as the Administrative Agent may from time to time deem necessary or appropriate, including, without limitation, chattel paper, to carry into effect the intention of this Agreement, or so as to completely vest in and ensure to the Administrative Agent and the Lenders their respective rights hereunder and in or to the Collateral.</w:t>
      </w:r>
    </w:p>
    <w:p>
      <w:pPr>
        <w:spacing w:after="0" w:line="17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Borrower hereby authorizes the Administrative Agent to file UCC financing statements (or similar notice filings applicable in foreign jurisdictions) with respect to the Collateral. If certificates of title or applications for title are issued or outstanding with respect to any of the inventory or equipment of any Loan Party, the Borrower shall (or cause such applicable Loan Party to), upon request of the Administrative Agent, (i) execute and deliver to the Administrative Agent a short form security agreement, in form and substance satisfactory to the Administrative Agent, and (ii) deliver such certificate or application to the Administrative Agent and cause the interest of the Administrative Agent to be properly noted thereon. The Borrower hereby authorizes the Administrative Agent or its respective designated agent (but without obligation by the Administrative Agent to do so) to incur expenses with respect to the foregoing (whether prior to, upon, or subsequent to any Default), and the Borrower shall promptly repay, reimburse, and indemnify the Administrative Agent and the Lenders for any and all such expenses.</w:t>
      </w:r>
    </w:p>
    <w:p>
      <w:pPr>
        <w:spacing w:after="0" w:line="179" w:lineRule="exact"/>
        <w:rPr>
          <w:sz w:val="20"/>
          <w:szCs w:val="20"/>
          <w:color w:val="auto"/>
        </w:rPr>
      </w:pPr>
    </w:p>
    <w:p>
      <w:pPr>
        <w:ind w:right="80" w:firstLine="464"/>
        <w:spacing w:after="0" w:line="293" w:lineRule="auto"/>
        <w:tabs>
          <w:tab w:leader="none" w:pos="816"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Property Acquired Subsequent to the Closing Date and Right to Take Additional Collateral</w:t>
      </w:r>
      <w:r>
        <w:rPr>
          <w:rFonts w:ascii="Arial" w:cs="Arial" w:eastAsia="Arial" w:hAnsi="Arial"/>
          <w:sz w:val="16"/>
          <w:szCs w:val="16"/>
          <w:color w:val="auto"/>
        </w:rPr>
        <w:t>. The Borrower shall provide the Administrative Agent with prompt written notice with respect to any Material Real Property or material personal property (other than accounts, inventory, equipment and general intangibles and other property acquired in the ordinary course of business) acquired (including, in the case of Material Real Property, leased) by any Loan Party subsequent to the Closing Date. In addition to any other right that the Administrative Agent and the Lenders may have pursuant to this Agreement or otherwise, upon written request of the Administrative Agent, whenever made, the Borrower shall, and shall cause each Loan Party to, grant to the Administrative Agent, for the benefit of the Lenders, as additional security for the Obligations, a perfected second-priority Lien on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274" w:right="259" w:bottom="1440" w:gutter="0" w:footer="0" w:header="0"/>
        </w:sectPr>
      </w:pPr>
    </w:p>
    <w:bookmarkStart w:id="90" w:name="page91"/>
    <w:bookmarkEnd w:id="90"/>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Material Real Property or personal property of each Loan Party (other than for leased equipment or equipment subject to a purchase money security interest in which the lessor or purchase money lender of such equipment holds a first priority security interest, in which case, the Administrative Agent shall have the right to obtain a security interest junior only to such lessor or purchase money lender), including, without limitation, such property acquired subsequent to the Closing Date, in which the Administrative Agent does not have a perfected first priority Lien. The Borrower agrees, (i) in the case of Material Real Property, to provide all Real Estate Requirements with respect to such Material Real Property within 60 days (or such later time as may be specified by the Administrative Agent in its sole discretion), and (ii) in all other cases, within ten days after the date of a written request by the Administrative Agent, to secure all of the Obligations by delivering to the Administrative Agent security agreements, intellectual property security agreements, pledge agreements, mortgages (or deeds of trust, if applicable) or other documents, instruments or agreements or such thereof as the Administrative Agent may require. The Borrower shall pay all recordation, legal and other expenses in connection therewith.</w:t>
      </w:r>
    </w:p>
    <w:p>
      <w:pPr>
        <w:spacing w:after="0" w:line="182" w:lineRule="exact"/>
        <w:rPr>
          <w:sz w:val="20"/>
          <w:szCs w:val="20"/>
          <w:color w:val="auto"/>
        </w:rPr>
      </w:pPr>
    </w:p>
    <w:p>
      <w:pPr>
        <w:ind w:left="860" w:hanging="396"/>
        <w:spacing w:after="0"/>
        <w:tabs>
          <w:tab w:leader="none" w:pos="860" w:val="left"/>
        </w:tabs>
        <w:numPr>
          <w:ilvl w:val="1"/>
          <w:numId w:val="131"/>
        </w:numPr>
        <w:rPr>
          <w:rFonts w:ascii="Arial" w:cs="Arial" w:eastAsia="Arial" w:hAnsi="Arial"/>
          <w:sz w:val="17"/>
          <w:szCs w:val="17"/>
          <w:color w:val="auto"/>
        </w:rPr>
      </w:pPr>
      <w:r>
        <w:rPr>
          <w:rFonts w:ascii="Arial" w:cs="Arial" w:eastAsia="Arial" w:hAnsi="Arial"/>
          <w:sz w:val="17"/>
          <w:szCs w:val="17"/>
          <w:u w:val="single" w:color="auto"/>
          <w:color w:val="auto"/>
        </w:rPr>
        <w:t>Designation of Immaterial Subsidiaries</w:t>
      </w:r>
      <w:r>
        <w:rPr>
          <w:rFonts w:ascii="Arial" w:cs="Arial" w:eastAsia="Arial" w:hAnsi="Arial"/>
          <w:sz w:val="17"/>
          <w:szCs w:val="17"/>
          <w:color w:val="auto"/>
        </w:rPr>
        <w:t>. In the event that the Immaterial Subsidiaries and Inactive Subsidiaries, when taken as a whole,</w:t>
      </w:r>
    </w:p>
    <w:p>
      <w:pPr>
        <w:spacing w:after="0" w:line="34" w:lineRule="exact"/>
        <w:rPr>
          <w:rFonts w:ascii="Arial" w:cs="Arial" w:eastAsia="Arial" w:hAnsi="Arial"/>
          <w:sz w:val="17"/>
          <w:szCs w:val="17"/>
          <w:color w:val="auto"/>
        </w:rPr>
      </w:pPr>
    </w:p>
    <w:p>
      <w:pPr>
        <w:ind w:right="40" w:firstLine="8"/>
        <w:spacing w:after="0" w:line="287" w:lineRule="auto"/>
        <w:tabs>
          <w:tab w:leader="none" w:pos="215" w:val="left"/>
        </w:tabs>
        <w:numPr>
          <w:ilvl w:val="0"/>
          <w:numId w:val="132"/>
        </w:numPr>
        <w:rPr>
          <w:rFonts w:ascii="Arial" w:cs="Arial" w:eastAsia="Arial" w:hAnsi="Arial"/>
          <w:sz w:val="16"/>
          <w:szCs w:val="16"/>
          <w:color w:val="auto"/>
        </w:rPr>
      </w:pPr>
      <w:r>
        <w:rPr>
          <w:rFonts w:ascii="Arial" w:cs="Arial" w:eastAsia="Arial" w:hAnsi="Arial"/>
          <w:sz w:val="16"/>
          <w:szCs w:val="16"/>
          <w:color w:val="auto"/>
        </w:rPr>
        <w:t xml:space="preserve">contribute more than 5% of the Consolidated EBITDA of the Borrower and its Subsidiaries, taken as a whole, during the most recently-ended four fiscal quarter period (taken as a single period) or (ii) as of any applicable date of determination have assets that in the aggregate constitute more than 5% aggregate net book value of the assets of the Borrower and its Subsidiaries, taken as a whole, the Borrower shall promptly designate one or more Immaterial Subsidiaries or Inactive Subsidiaries to be Loan Parties hereunder (at which time such Subsidiaries shall cease to be Immaterial Subsidiaries or Inactive Subsidiaries, as applicable) such that the resulting EBITDA attributable to, and net book value of the assets held by, the remaining Immaterial Subsidiaries and Inactive Subsidiaries, when taken as a whole, shall be less than the required percentages set forth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clause (g)</w:t>
      </w:r>
      <w:r>
        <w:rPr>
          <w:rFonts w:ascii="Arial" w:cs="Arial" w:eastAsia="Arial" w:hAnsi="Arial"/>
          <w:sz w:val="16"/>
          <w:szCs w:val="16"/>
          <w:color w:val="auto"/>
        </w:rPr>
        <w:t>. Notwithstanding anything contained herein to the contrary and for the avoidance of doubt, no Subsidiary shall constitute either an Immaterial Subsidiary or Inactive Subsidiary if such Subsidiary guarantees or provides a Lien on its assets or otherwise provide credit support with respect to any other Indebtedness of any Loan Party.</w:t>
      </w:r>
    </w:p>
    <w:p>
      <w:pPr>
        <w:spacing w:after="0" w:line="170" w:lineRule="exact"/>
        <w:rPr>
          <w:rFonts w:ascii="Arial" w:cs="Arial" w:eastAsia="Arial" w:hAnsi="Arial"/>
          <w:sz w:val="16"/>
          <w:szCs w:val="16"/>
          <w:color w:val="auto"/>
        </w:rPr>
      </w:pPr>
    </w:p>
    <w:p>
      <w:pPr>
        <w:ind w:right="20" w:firstLine="464"/>
        <w:spacing w:after="0" w:line="276" w:lineRule="auto"/>
        <w:tabs>
          <w:tab w:leader="none" w:pos="846" w:val="left"/>
        </w:tabs>
        <w:numPr>
          <w:ilvl w:val="1"/>
          <w:numId w:val="132"/>
        </w:numPr>
        <w:rPr>
          <w:rFonts w:ascii="Arial" w:cs="Arial" w:eastAsia="Arial" w:hAnsi="Arial"/>
          <w:sz w:val="17"/>
          <w:szCs w:val="17"/>
          <w:color w:val="auto"/>
        </w:rPr>
      </w:pPr>
      <w:r>
        <w:rPr>
          <w:rFonts w:ascii="Arial" w:cs="Arial" w:eastAsia="Arial" w:hAnsi="Arial"/>
          <w:sz w:val="17"/>
          <w:szCs w:val="17"/>
          <w:u w:val="single" w:color="auto"/>
          <w:color w:val="auto"/>
        </w:rPr>
        <w:t>Designation of Material Real Property</w:t>
      </w:r>
      <w:r>
        <w:rPr>
          <w:rFonts w:ascii="Arial" w:cs="Arial" w:eastAsia="Arial" w:hAnsi="Arial"/>
          <w:sz w:val="17"/>
          <w:szCs w:val="17"/>
          <w:color w:val="auto"/>
        </w:rPr>
        <w:t>. In the event that the aggregate fair market value of (i) the real property owned in fee simple by the Loan Parties that is not subject to a Mortgage and (ii) the leasehold real property of the Loan Parties that is not subject to a Mortgage exceeds $30,000,000, the Borrower shall promptly designate one or more of such owned or leased real property locations to be Material Real Property (at which time such real property shall constitute Material Real Property for all purposes hereunder and under the other Loan Documents). Notwithstanding the foregoing, in no event shall real property with a fair market value of less than $4,000,000 be required to be subject to a Mortgage.</w:t>
      </w:r>
    </w:p>
    <w:p>
      <w:pPr>
        <w:spacing w:after="0" w:line="173" w:lineRule="exact"/>
        <w:rPr>
          <w:sz w:val="20"/>
          <w:szCs w:val="20"/>
          <w:color w:val="auto"/>
        </w:rPr>
      </w:pPr>
    </w:p>
    <w:p>
      <w:pPr>
        <w:ind w:right="860" w:firstLine="456"/>
        <w:spacing w:after="0" w:line="277" w:lineRule="auto"/>
        <w:rPr>
          <w:sz w:val="20"/>
          <w:szCs w:val="20"/>
          <w:color w:val="auto"/>
        </w:rPr>
      </w:pPr>
      <w:r>
        <w:rPr>
          <w:rFonts w:ascii="Arial" w:cs="Arial" w:eastAsia="Arial" w:hAnsi="Arial"/>
          <w:sz w:val="18"/>
          <w:szCs w:val="18"/>
          <w:color w:val="auto"/>
        </w:rPr>
        <w:t>Notwithstanding the foregoing, no Loan Party shall be required to pledge or grant a Lien on any Excluded Assets (as defined in the Security Agreement).</w:t>
      </w:r>
    </w:p>
    <w:p>
      <w:pPr>
        <w:spacing w:after="0" w:line="17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6.13. </w:t>
      </w:r>
      <w:r>
        <w:rPr>
          <w:rFonts w:ascii="Arial" w:cs="Arial" w:eastAsia="Arial" w:hAnsi="Arial"/>
          <w:sz w:val="16"/>
          <w:szCs w:val="16"/>
          <w:u w:val="single" w:color="auto"/>
          <w:color w:val="auto"/>
        </w:rPr>
        <w:t>Compliance with Environmental Laws</w:t>
      </w:r>
      <w:r>
        <w:rPr>
          <w:rFonts w:ascii="Arial" w:cs="Arial" w:eastAsia="Arial" w:hAnsi="Arial"/>
          <w:sz w:val="16"/>
          <w:szCs w:val="16"/>
          <w:color w:val="auto"/>
        </w:rPr>
        <w:t xml:space="preserve">. Except where non-compliance, either individually or in the aggregate, would not reasonably be expected to have a Material Adverse Effect, comply in all respects with any and all applicable Environmental Laws and Environmental Permits including, without limitation, all Environmental Laws in jurisdictions in which such Person owns or operates a facility or site, arranges for disposal or treatment of hazardous substances, solid waste or other wastes, accepts for transport any hazardous substances, solid waste or other wastes or holds any interest in real property or otherwise. The Borrower and its Subsidiaries shall furnish to the Administrative Agent and the Lenders, promptly after receipt thereof, a copy of any notice the Borrower or such Subsidiary may receive from any Governmental Authority or private Person, or otherwise, that any material litigation or proceeding pertaining to any environmental, health or safety matter has been filed or is threatened against the Borrower or such Subsidiary, any real property in which the Borrower or such Subsidiary holds any interest or any past or present operation of the Borrower or such Subsidiary. Neither the Borrower nor any of its Subsidiaries shall allow the material release or material disposal of hazardous waste, solid waste or other wastes on, under or to any real property in which the Borrower or any of its Subsidiaries holds any ownership interest or performs any of its operations, in violation of or which result in material liability under any Environmental Law. As used in this </w:t>
      </w:r>
      <w:r>
        <w:rPr>
          <w:rFonts w:ascii="Arial" w:cs="Arial" w:eastAsia="Arial" w:hAnsi="Arial"/>
          <w:sz w:val="16"/>
          <w:szCs w:val="16"/>
          <w:u w:val="single" w:color="auto"/>
          <w:color w:val="auto"/>
        </w:rPr>
        <w:t>Section 6.13</w:t>
      </w:r>
      <w:r>
        <w:rPr>
          <w:rFonts w:ascii="Arial" w:cs="Arial" w:eastAsia="Arial" w:hAnsi="Arial"/>
          <w:sz w:val="16"/>
          <w:szCs w:val="16"/>
          <w:color w:val="auto"/>
        </w:rPr>
        <w:t>, “</w:t>
      </w:r>
      <w:r>
        <w:rPr>
          <w:rFonts w:ascii="Arial" w:cs="Arial" w:eastAsia="Arial" w:hAnsi="Arial"/>
          <w:sz w:val="16"/>
          <w:szCs w:val="16"/>
          <w:u w:val="single" w:color="auto"/>
          <w:color w:val="auto"/>
        </w:rPr>
        <w:t>litigation or proceeding</w:t>
      </w:r>
      <w:r>
        <w:rPr>
          <w:rFonts w:ascii="Arial" w:cs="Arial" w:eastAsia="Arial" w:hAnsi="Arial"/>
          <w:sz w:val="16"/>
          <w:szCs w:val="16"/>
          <w:color w:val="auto"/>
        </w:rPr>
        <w:t>” means any demand, claim, notice, suit, suit in equity action, administrative action, investigation or inquiry whether brought by any Governmental Authority or private Person, or otherwise.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74" w:right="239" w:bottom="1440" w:gutter="0" w:footer="0" w:header="0"/>
        </w:sectPr>
      </w:pPr>
    </w:p>
    <w:bookmarkStart w:id="91" w:name="page92"/>
    <w:bookmarkEnd w:id="91"/>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6.14. </w:t>
      </w:r>
      <w:r>
        <w:rPr>
          <w:rFonts w:ascii="Arial" w:cs="Arial" w:eastAsia="Arial" w:hAnsi="Arial"/>
          <w:sz w:val="16"/>
          <w:szCs w:val="16"/>
          <w:u w:val="single" w:color="auto"/>
          <w:color w:val="auto"/>
        </w:rPr>
        <w:t>Regarding Collateral</w:t>
      </w:r>
      <w:r>
        <w:rPr>
          <w:rFonts w:ascii="Arial" w:cs="Arial" w:eastAsia="Arial" w:hAnsi="Arial"/>
          <w:sz w:val="16"/>
          <w:szCs w:val="16"/>
          <w:color w:val="auto"/>
        </w:rPr>
        <w:t>. Provide the Administrative Agent and the Lenders with at least thirty (30) days’ prior written notice before any change in its legal name, organizational structure or its state, province or other jurisdiction of organization. The Borrower shall promptly notify the Administrative Agent of (a) any change in any location where a material portion of any Loan Party’s assets are maintained, and any new locations where any material portion of any Loan Party’s assets are to be maintained; (b) any change in the location of the office where any Loan Party’s records pertaining to its accounts are kept;</w:t>
      </w:r>
    </w:p>
    <w:p>
      <w:pPr>
        <w:spacing w:after="0" w:line="2" w:lineRule="exact"/>
        <w:rPr>
          <w:sz w:val="20"/>
          <w:szCs w:val="20"/>
          <w:color w:val="auto"/>
        </w:rPr>
      </w:pPr>
    </w:p>
    <w:p>
      <w:pPr>
        <w:ind w:right="160" w:firstLine="8"/>
        <w:spacing w:after="0" w:line="261" w:lineRule="auto"/>
        <w:tabs>
          <w:tab w:leader="none" w:pos="24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location of any new places of business and the changing or closing of any of its existing places of business; and (d) any change in the location of any Loan Party’s chief executive office.</w:t>
      </w:r>
    </w:p>
    <w:p>
      <w:pPr>
        <w:spacing w:after="0" w:line="184"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6.15.</w:t>
      </w:r>
      <w:r>
        <w:rPr>
          <w:sz w:val="20"/>
          <w:szCs w:val="20"/>
          <w:color w:val="auto"/>
        </w:rPr>
        <w:tab/>
      </w:r>
      <w:r>
        <w:rPr>
          <w:rFonts w:ascii="Arial" w:cs="Arial" w:eastAsia="Arial" w:hAnsi="Arial"/>
          <w:sz w:val="16"/>
          <w:szCs w:val="16"/>
          <w:u w:val="single" w:color="auto"/>
          <w:color w:val="auto"/>
        </w:rPr>
        <w:t>Maintenance of Debt Ratings</w:t>
      </w:r>
      <w:r>
        <w:rPr>
          <w:rFonts w:ascii="Arial" w:cs="Arial" w:eastAsia="Arial" w:hAnsi="Arial"/>
          <w:sz w:val="16"/>
          <w:szCs w:val="16"/>
          <w:color w:val="auto"/>
        </w:rPr>
        <w:t>. Use commercially reasonable efforts to maintain Debt Ratings from both Moody’s and S&amp;P.</w:t>
      </w:r>
    </w:p>
    <w:p>
      <w:pPr>
        <w:spacing w:after="0" w:line="333"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6.16.</w:t>
      </w:r>
      <w:r>
        <w:rPr>
          <w:sz w:val="20"/>
          <w:szCs w:val="20"/>
          <w:color w:val="auto"/>
        </w:rPr>
        <w:tab/>
      </w:r>
      <w:r>
        <w:rPr>
          <w:rFonts w:ascii="Arial" w:cs="Arial" w:eastAsia="Arial" w:hAnsi="Arial"/>
          <w:sz w:val="15"/>
          <w:szCs w:val="15"/>
          <w:u w:val="single" w:color="auto"/>
          <w:color w:val="auto"/>
        </w:rPr>
        <w:t>Further Assurances</w:t>
      </w:r>
      <w:r>
        <w:rPr>
          <w:rFonts w:ascii="Arial" w:cs="Arial" w:eastAsia="Arial" w:hAnsi="Arial"/>
          <w:sz w:val="15"/>
          <w:szCs w:val="15"/>
          <w:color w:val="auto"/>
        </w:rPr>
        <w:t>.</w:t>
      </w:r>
    </w:p>
    <w:p>
      <w:pPr>
        <w:spacing w:after="0" w:line="117" w:lineRule="exact"/>
        <w:rPr>
          <w:sz w:val="20"/>
          <w:szCs w:val="20"/>
          <w:color w:val="auto"/>
        </w:rPr>
      </w:pPr>
    </w:p>
    <w:p>
      <w:pPr>
        <w:ind w:right="140" w:firstLine="464"/>
        <w:spacing w:after="0" w:line="257" w:lineRule="auto"/>
        <w:tabs>
          <w:tab w:leader="none" w:pos="83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Promptly upon request by the Administrative Agent or the Required Lenders through the Administrative Agent, (i) correct any material defect or error that may be discovered in any Loan Document or in the execution, acknowledgment, filing or recordation thereof, and (ii) do, execute, acknowledge, deliver, record, re-record, file, re-file, register and re-register any and all such further acts, deeds, certificates, assurances and other instruments as the Administrative Agent, or the Required Lenders through the Administrative Agent, may reasonably require from time to time in order to carry out more effectively the purposes of the Loan Documents.</w:t>
      </w:r>
    </w:p>
    <w:p>
      <w:pPr>
        <w:spacing w:after="0" w:line="188" w:lineRule="exact"/>
        <w:rPr>
          <w:rFonts w:ascii="Arial" w:cs="Arial" w:eastAsia="Arial" w:hAnsi="Arial"/>
          <w:sz w:val="18"/>
          <w:szCs w:val="18"/>
          <w:color w:val="auto"/>
        </w:rPr>
      </w:pPr>
    </w:p>
    <w:p>
      <w:pPr>
        <w:ind w:right="60" w:firstLine="464"/>
        <w:spacing w:after="0" w:line="255" w:lineRule="auto"/>
        <w:tabs>
          <w:tab w:leader="none" w:pos="84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If deemed appropriate by the Administrative Agent, the Administrative Agent is hereby authorized to file new UCC financing statements (or similar notice filings applicable in foreign jurisdictions) describing the Collateral and otherwise in form and substance sufficient for recordation wherever necessary or appropriate, as determined in the Administrative Agent’s sole discretion, to perfect or continue perfected the security interest of the Administrative Agent in the Collateral. The Borrower shall pay all filing and recording fees and taxes in connection with the filing or recordation of such UCC financing statements (or similar notice filings applicable in foreign jurisdictions) and security interests and shall promptly reimburse the Administrative Agent therefor if the Administrative Agent pays the same.</w:t>
      </w:r>
    </w:p>
    <w:p>
      <w:pPr>
        <w:spacing w:after="0" w:line="19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 xml:space="preserve">6.17. </w:t>
      </w:r>
      <w:r>
        <w:rPr>
          <w:rFonts w:ascii="Arial" w:cs="Arial" w:eastAsia="Arial" w:hAnsi="Arial"/>
          <w:sz w:val="18"/>
          <w:szCs w:val="18"/>
          <w:u w:val="single" w:color="auto"/>
          <w:color w:val="auto"/>
        </w:rPr>
        <w:t>Post-Closing Matters</w:t>
      </w:r>
      <w:r>
        <w:rPr>
          <w:rFonts w:ascii="Arial" w:cs="Arial" w:eastAsia="Arial" w:hAnsi="Arial"/>
          <w:sz w:val="18"/>
          <w:szCs w:val="18"/>
          <w:color w:val="auto"/>
        </w:rPr>
        <w:t xml:space="preserve">. Execute and deliver the documents and complete the tasks set forth on </w:t>
      </w:r>
      <w:r>
        <w:rPr>
          <w:rFonts w:ascii="Arial" w:cs="Arial" w:eastAsia="Arial" w:hAnsi="Arial"/>
          <w:sz w:val="18"/>
          <w:szCs w:val="18"/>
          <w:u w:val="single" w:color="auto"/>
          <w:color w:val="auto"/>
        </w:rPr>
        <w:t>Schedule 6.17</w:t>
      </w:r>
      <w:r>
        <w:rPr>
          <w:rFonts w:ascii="Arial" w:cs="Arial" w:eastAsia="Arial" w:hAnsi="Arial"/>
          <w:sz w:val="18"/>
          <w:szCs w:val="18"/>
          <w:color w:val="auto"/>
        </w:rPr>
        <w:t>, in each case within the time limits specified on such schedule.</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6.18. </w:t>
      </w:r>
      <w:r>
        <w:rPr>
          <w:rFonts w:ascii="Arial" w:cs="Arial" w:eastAsia="Arial" w:hAnsi="Arial"/>
          <w:sz w:val="18"/>
          <w:szCs w:val="18"/>
          <w:u w:val="single" w:color="auto"/>
          <w:color w:val="auto"/>
        </w:rPr>
        <w:t>Lender Meeting</w:t>
      </w:r>
      <w:r>
        <w:rPr>
          <w:rFonts w:ascii="Arial" w:cs="Arial" w:eastAsia="Arial" w:hAnsi="Arial"/>
          <w:sz w:val="18"/>
          <w:szCs w:val="18"/>
          <w:color w:val="auto"/>
        </w:rPr>
        <w:t>. Within 95 days after the close of each fiscal year of the Borrower, at the request of the Administrative Agent or the Required Lenders, hold a meeting (at a mutually agreeable location and time) with all Lenders who choose to attend such meeting or conference call at which meeting or conference call shall be reviewed the financial results of the previous fiscal year and the financial condition of the Borrower and its Subsidiaries and the budgets presented for the current fiscal year of the Borrower and its Subsidiaries.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NEGATIVE COVENANTS</w:t>
      </w:r>
    </w:p>
    <w:p>
      <w:pPr>
        <w:spacing w:after="0" w:line="21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So long as any Lender shall have any Commitment hereunder, any Loan or other Obligation hereunder shall remain unpaid or unsatisfied (other than contingent indemnification obligations not then due), the Borrower shall not, nor shall it permit any Subsidiary to:</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 xml:space="preserve">7.01. </w:t>
      </w:r>
      <w:r>
        <w:rPr>
          <w:rFonts w:ascii="Arial" w:cs="Arial" w:eastAsia="Arial" w:hAnsi="Arial"/>
          <w:sz w:val="18"/>
          <w:szCs w:val="18"/>
          <w:u w:val="single" w:color="auto"/>
          <w:color w:val="auto"/>
        </w:rPr>
        <w:t>Liens</w:t>
      </w:r>
      <w:r>
        <w:rPr>
          <w:rFonts w:ascii="Arial" w:cs="Arial" w:eastAsia="Arial" w:hAnsi="Arial"/>
          <w:sz w:val="18"/>
          <w:szCs w:val="18"/>
          <w:color w:val="auto"/>
        </w:rPr>
        <w:t xml:space="preserve">. Create, incur, assume or suffer to exist (upon the happening of a contingency or otherwise) any Lien upon any of its property or assets, whether now owned or hereafter acquired;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shall not apply to the following:</w:t>
      </w:r>
    </w:p>
    <w:p>
      <w:pPr>
        <w:spacing w:after="0" w:line="62" w:lineRule="exact"/>
        <w:rPr>
          <w:sz w:val="20"/>
          <w:szCs w:val="20"/>
          <w:color w:val="auto"/>
        </w:rPr>
      </w:pPr>
    </w:p>
    <w:p>
      <w:pPr>
        <w:ind w:left="460" w:right="80" w:firstLine="443"/>
        <w:spacing w:after="0" w:line="277" w:lineRule="auto"/>
        <w:tabs>
          <w:tab w:leader="none" w:pos="1278" w:val="left"/>
        </w:tabs>
        <w:numPr>
          <w:ilvl w:val="0"/>
          <w:numId w:val="135"/>
        </w:numPr>
        <w:rPr>
          <w:rFonts w:ascii="Arial" w:cs="Arial" w:eastAsia="Arial" w:hAnsi="Arial"/>
          <w:sz w:val="18"/>
          <w:szCs w:val="18"/>
          <w:color w:val="auto"/>
        </w:rPr>
      </w:pPr>
      <w:r>
        <w:rPr>
          <w:rFonts w:ascii="Arial" w:cs="Arial" w:eastAsia="Arial" w:hAnsi="Arial"/>
          <w:sz w:val="18"/>
          <w:szCs w:val="18"/>
          <w:color w:val="auto"/>
        </w:rPr>
        <w:t>Liens for Taxes not yet due or that are being actively contested in good faith by appropriate and timely proceedings and for which adequate reserves shall have been established in accordance with GAAP;</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274" w:right="259" w:bottom="1440" w:gutter="0" w:footer="0" w:header="0"/>
        </w:sectPr>
      </w:pPr>
    </w:p>
    <w:bookmarkStart w:id="92" w:name="page93"/>
    <w:bookmarkEnd w:id="92"/>
    <w:p>
      <w:pPr>
        <w:ind w:right="140" w:firstLine="443"/>
        <w:spacing w:after="0" w:line="264" w:lineRule="auto"/>
        <w:tabs>
          <w:tab w:leader="none" w:pos="828" w:val="left"/>
        </w:tabs>
        <w:numPr>
          <w:ilvl w:val="1"/>
          <w:numId w:val="1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statutory Liens incidental to the conduct of its business or the ownership of its property and assets that (i) were not incurred in connection with the borrowing of money or the obtaining of advances or credit, and (ii) do not in the aggregate materially detract from the value of its property or assets or materially impair the use thereof in the operation of its business;</w:t>
      </w:r>
    </w:p>
    <w:p>
      <w:pPr>
        <w:spacing w:after="0" w:line="73" w:lineRule="exact"/>
        <w:rPr>
          <w:rFonts w:ascii="Arial" w:cs="Arial" w:eastAsia="Arial" w:hAnsi="Arial"/>
          <w:sz w:val="18"/>
          <w:szCs w:val="18"/>
          <w:color w:val="auto"/>
        </w:rPr>
      </w:pPr>
    </w:p>
    <w:p>
      <w:pPr>
        <w:ind w:left="820" w:hanging="377"/>
        <w:spacing w:after="0"/>
        <w:tabs>
          <w:tab w:leader="none" w:pos="82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Liens on property or assets of a Subsidiary to secure obligations of such Subsidiary to a Loan Party;</w:t>
      </w:r>
    </w:p>
    <w:p>
      <w:pPr>
        <w:spacing w:after="0" w:line="117" w:lineRule="exact"/>
        <w:rPr>
          <w:rFonts w:ascii="Arial" w:cs="Arial" w:eastAsia="Arial" w:hAnsi="Arial"/>
          <w:sz w:val="18"/>
          <w:szCs w:val="18"/>
          <w:color w:val="auto"/>
        </w:rPr>
      </w:pPr>
    </w:p>
    <w:p>
      <w:pPr>
        <w:ind w:right="340" w:firstLine="443"/>
        <w:spacing w:after="0" w:line="342" w:lineRule="auto"/>
        <w:tabs>
          <w:tab w:leader="none" w:pos="828" w:val="left"/>
        </w:tabs>
        <w:numPr>
          <w:ilvl w:val="1"/>
          <w:numId w:val="136"/>
        </w:numPr>
        <w:rPr>
          <w:rFonts w:ascii="Arial" w:cs="Arial" w:eastAsia="Arial" w:hAnsi="Arial"/>
          <w:sz w:val="16"/>
          <w:szCs w:val="16"/>
          <w:color w:val="auto"/>
        </w:rPr>
      </w:pPr>
      <w:r>
        <w:rPr>
          <w:rFonts w:ascii="Arial" w:cs="Arial" w:eastAsia="Arial" w:hAnsi="Arial"/>
          <w:sz w:val="16"/>
          <w:szCs w:val="16"/>
          <w:color w:val="auto"/>
        </w:rPr>
        <w:t xml:space="preserve">purchase money Liens on fixed assets securing the loans and Indebtedness under Capitalized Leases pursuant to </w:t>
      </w:r>
      <w:r>
        <w:rPr>
          <w:rFonts w:ascii="Arial" w:cs="Arial" w:eastAsia="Arial" w:hAnsi="Arial"/>
          <w:sz w:val="16"/>
          <w:szCs w:val="16"/>
          <w:u w:val="single" w:color="auto"/>
          <w:color w:val="auto"/>
        </w:rPr>
        <w:t>Section 7.02(b)</w:t>
      </w:r>
      <w:r>
        <w:rPr>
          <w:rFonts w:ascii="Arial" w:cs="Arial" w:eastAsia="Arial" w:hAnsi="Arial"/>
          <w:sz w:val="16"/>
          <w:szCs w:val="16"/>
          <w:color w:val="auto"/>
        </w:rPr>
        <w:t xml:space="preserve">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Lien is limited to the purchase price and only attaches to the property being acquired or financed thereby;</w:t>
      </w:r>
    </w:p>
    <w:p>
      <w:pPr>
        <w:spacing w:after="0" w:line="15" w:lineRule="exact"/>
        <w:rPr>
          <w:rFonts w:ascii="Arial" w:cs="Arial" w:eastAsia="Arial" w:hAnsi="Arial"/>
          <w:sz w:val="16"/>
          <w:szCs w:val="16"/>
          <w:color w:val="auto"/>
        </w:rPr>
      </w:pPr>
    </w:p>
    <w:p>
      <w:pPr>
        <w:ind w:left="820" w:hanging="377"/>
        <w:spacing w:after="0"/>
        <w:tabs>
          <w:tab w:leader="none" w:pos="82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any Lien of the Administrative Agent, for the benefit of the Secured Parties;</w:t>
      </w:r>
    </w:p>
    <w:p>
      <w:pPr>
        <w:spacing w:after="0" w:line="117" w:lineRule="exact"/>
        <w:rPr>
          <w:rFonts w:ascii="Arial" w:cs="Arial" w:eastAsia="Arial" w:hAnsi="Arial"/>
          <w:sz w:val="18"/>
          <w:szCs w:val="18"/>
          <w:color w:val="auto"/>
        </w:rPr>
      </w:pPr>
    </w:p>
    <w:p>
      <w:pPr>
        <w:ind w:right="120" w:firstLine="443"/>
        <w:spacing w:after="0" w:line="257" w:lineRule="auto"/>
        <w:tabs>
          <w:tab w:leader="none" w:pos="798" w:val="left"/>
        </w:tabs>
        <w:numPr>
          <w:ilvl w:val="1"/>
          <w:numId w:val="136"/>
        </w:numPr>
        <w:rPr>
          <w:rFonts w:ascii="Arial" w:cs="Arial" w:eastAsia="Arial" w:hAnsi="Arial"/>
          <w:sz w:val="18"/>
          <w:szCs w:val="18"/>
          <w:color w:val="auto"/>
        </w:rPr>
      </w:pPr>
      <w:r>
        <w:rPr>
          <w:rFonts w:ascii="Arial" w:cs="Arial" w:eastAsia="Arial" w:hAnsi="Arial"/>
          <w:sz w:val="18"/>
          <w:szCs w:val="18"/>
          <w:color w:val="auto"/>
        </w:rPr>
        <w:t xml:space="preserve">the Liens existing on the Closing Date as set forth in </w:t>
      </w:r>
      <w:r>
        <w:rPr>
          <w:rFonts w:ascii="Arial" w:cs="Arial" w:eastAsia="Arial" w:hAnsi="Arial"/>
          <w:sz w:val="18"/>
          <w:szCs w:val="18"/>
          <w:u w:val="single" w:color="auto"/>
          <w:color w:val="auto"/>
        </w:rPr>
        <w:t>Schedule 7.01</w:t>
      </w:r>
      <w:r>
        <w:rPr>
          <w:rFonts w:ascii="Arial" w:cs="Arial" w:eastAsia="Arial" w:hAnsi="Arial"/>
          <w:sz w:val="18"/>
          <w:szCs w:val="18"/>
          <w:color w:val="auto"/>
        </w:rPr>
        <w:t xml:space="preserve"> hereto and replacements, extensions, renewals, refundings or refinancings thereof, but only to the extent that the amount of Indebtedness secured thereby shall not be increased (except by an amount equal to a reasonable premium or other reasonable amount paid, and fees and expenses reasonably incurred, in connection with such replacement, extension, renewal, refunding or refinancing and by an amount equal to any existing commitments unutilized thereunder) and the property covered thereby is not changed;</w:t>
      </w:r>
    </w:p>
    <w:p>
      <w:pPr>
        <w:spacing w:after="0" w:line="80" w:lineRule="exact"/>
        <w:rPr>
          <w:rFonts w:ascii="Arial" w:cs="Arial" w:eastAsia="Arial" w:hAnsi="Arial"/>
          <w:sz w:val="18"/>
          <w:szCs w:val="18"/>
          <w:color w:val="auto"/>
        </w:rPr>
      </w:pPr>
    </w:p>
    <w:p>
      <w:pPr>
        <w:ind w:firstLine="443"/>
        <w:spacing w:after="0" w:line="277" w:lineRule="auto"/>
        <w:tabs>
          <w:tab w:leader="none" w:pos="828" w:val="left"/>
        </w:tabs>
        <w:numPr>
          <w:ilvl w:val="1"/>
          <w:numId w:val="136"/>
        </w:numPr>
        <w:rPr>
          <w:rFonts w:ascii="Arial" w:cs="Arial" w:eastAsia="Arial" w:hAnsi="Arial"/>
          <w:sz w:val="18"/>
          <w:szCs w:val="18"/>
          <w:color w:val="auto"/>
        </w:rPr>
      </w:pPr>
      <w:r>
        <w:rPr>
          <w:rFonts w:ascii="Arial" w:cs="Arial" w:eastAsia="Arial" w:hAnsi="Arial"/>
          <w:sz w:val="18"/>
          <w:szCs w:val="18"/>
          <w:color w:val="auto"/>
        </w:rPr>
        <w:t>easements or other minor defects or irregularities in title of real property not interfering in any material respect with the use of such property in the business of the Borrower or any of its Subsidiaries;</w:t>
      </w:r>
    </w:p>
    <w:p>
      <w:pPr>
        <w:spacing w:after="0" w:line="62" w:lineRule="exact"/>
        <w:rPr>
          <w:rFonts w:ascii="Arial" w:cs="Arial" w:eastAsia="Arial" w:hAnsi="Arial"/>
          <w:sz w:val="18"/>
          <w:szCs w:val="18"/>
          <w:color w:val="auto"/>
        </w:rPr>
      </w:pPr>
    </w:p>
    <w:p>
      <w:pPr>
        <w:ind w:left="840" w:hanging="397"/>
        <w:spacing w:after="0"/>
        <w:tabs>
          <w:tab w:leader="none" w:pos="84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pledges or deposits in connection with workers’ compensation insurance, unemployment insurance and like matters;</w:t>
      </w:r>
    </w:p>
    <w:p>
      <w:pPr>
        <w:spacing w:after="0" w:line="117" w:lineRule="exact"/>
        <w:rPr>
          <w:rFonts w:ascii="Arial" w:cs="Arial" w:eastAsia="Arial" w:hAnsi="Arial"/>
          <w:sz w:val="18"/>
          <w:szCs w:val="18"/>
          <w:color w:val="auto"/>
        </w:rPr>
      </w:pPr>
    </w:p>
    <w:p>
      <w:pPr>
        <w:ind w:right="80" w:firstLine="443"/>
        <w:spacing w:after="0" w:line="277" w:lineRule="auto"/>
        <w:tabs>
          <w:tab w:leader="none" w:pos="788" w:val="left"/>
        </w:tabs>
        <w:numPr>
          <w:ilvl w:val="1"/>
          <w:numId w:val="136"/>
        </w:numPr>
        <w:rPr>
          <w:rFonts w:ascii="Arial" w:cs="Arial" w:eastAsia="Arial" w:hAnsi="Arial"/>
          <w:sz w:val="18"/>
          <w:szCs w:val="18"/>
          <w:color w:val="auto"/>
        </w:rPr>
      </w:pPr>
      <w:r>
        <w:rPr>
          <w:rFonts w:ascii="Arial" w:cs="Arial" w:eastAsia="Arial" w:hAnsi="Arial"/>
          <w:sz w:val="18"/>
          <w:szCs w:val="18"/>
          <w:color w:val="auto"/>
        </w:rPr>
        <w:t xml:space="preserve">Liens in respect of any writ of execution, attachment, garnishment, judgment or judicial award solely to the extent not constituting an Event of Default under </w:t>
      </w:r>
      <w:r>
        <w:rPr>
          <w:rFonts w:ascii="Arial" w:cs="Arial" w:eastAsia="Arial" w:hAnsi="Arial"/>
          <w:sz w:val="18"/>
          <w:szCs w:val="18"/>
          <w:u w:val="single" w:color="auto"/>
          <w:color w:val="auto"/>
        </w:rPr>
        <w:t>Section 8.01(h)(i)</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700" w:firstLine="443"/>
        <w:spacing w:after="0" w:line="277" w:lineRule="auto"/>
        <w:tabs>
          <w:tab w:leader="none" w:pos="788" w:val="left"/>
        </w:tabs>
        <w:numPr>
          <w:ilvl w:val="1"/>
          <w:numId w:val="136"/>
        </w:numPr>
        <w:rPr>
          <w:rFonts w:ascii="Arial" w:cs="Arial" w:eastAsia="Arial" w:hAnsi="Arial"/>
          <w:sz w:val="18"/>
          <w:szCs w:val="18"/>
          <w:color w:val="auto"/>
        </w:rPr>
      </w:pPr>
      <w:r>
        <w:rPr>
          <w:rFonts w:ascii="Arial" w:cs="Arial" w:eastAsia="Arial" w:hAnsi="Arial"/>
          <w:sz w:val="18"/>
          <w:szCs w:val="18"/>
          <w:color w:val="auto"/>
        </w:rPr>
        <w:t>Liens arising solely from precautionary UCC financing statements filed with respect to any consignment agreement entered into by Borrower or any Subsidiary in the ordinary course of business;</w:t>
      </w:r>
    </w:p>
    <w:p>
      <w:pPr>
        <w:spacing w:after="0" w:line="62" w:lineRule="exact"/>
        <w:rPr>
          <w:rFonts w:ascii="Arial" w:cs="Arial" w:eastAsia="Arial" w:hAnsi="Arial"/>
          <w:sz w:val="18"/>
          <w:szCs w:val="18"/>
          <w:color w:val="auto"/>
        </w:rPr>
      </w:pPr>
    </w:p>
    <w:p>
      <w:pPr>
        <w:ind w:right="200" w:firstLine="443"/>
        <w:spacing w:after="0" w:line="277" w:lineRule="auto"/>
        <w:tabs>
          <w:tab w:leader="none" w:pos="828"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any statutory or civil law Lien arising in the Netherlands under Netherland’s General Banking Conditions (other than arising under article 26 thereof) so long as such Lien does not secure Indebtedness;</w:t>
      </w:r>
    </w:p>
    <w:p>
      <w:pPr>
        <w:spacing w:after="0" w:line="62" w:lineRule="exact"/>
        <w:rPr>
          <w:rFonts w:ascii="Arial" w:cs="Arial" w:eastAsia="Arial" w:hAnsi="Arial"/>
          <w:sz w:val="18"/>
          <w:szCs w:val="18"/>
          <w:color w:val="auto"/>
        </w:rPr>
      </w:pPr>
    </w:p>
    <w:p>
      <w:pPr>
        <w:ind w:right="120" w:firstLine="443"/>
        <w:spacing w:after="0" w:line="259" w:lineRule="auto"/>
        <w:tabs>
          <w:tab w:leader="none" w:pos="788" w:val="left"/>
        </w:tabs>
        <w:numPr>
          <w:ilvl w:val="1"/>
          <w:numId w:val="136"/>
        </w:numPr>
        <w:rPr>
          <w:rFonts w:ascii="Arial" w:cs="Arial" w:eastAsia="Arial" w:hAnsi="Arial"/>
          <w:sz w:val="18"/>
          <w:szCs w:val="18"/>
          <w:color w:val="auto"/>
        </w:rPr>
      </w:pPr>
      <w:r>
        <w:rPr>
          <w:rFonts w:ascii="Arial" w:cs="Arial" w:eastAsia="Arial" w:hAnsi="Arial"/>
          <w:sz w:val="18"/>
          <w:szCs w:val="18"/>
          <w:color w:val="auto"/>
        </w:rPr>
        <w:t xml:space="preserve">Liens on tangible property of a Person existing at the time such Person is acquired by the Borrower or a Subsidiary pursuant to an Acquisition permitted under </w:t>
      </w:r>
      <w:r>
        <w:rPr>
          <w:rFonts w:ascii="Arial" w:cs="Arial" w:eastAsia="Arial" w:hAnsi="Arial"/>
          <w:sz w:val="18"/>
          <w:szCs w:val="18"/>
          <w:u w:val="single" w:color="auto"/>
          <w:color w:val="auto"/>
        </w:rPr>
        <w:t>Section 7.03(b)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were not created in contemplation of such Acquisition and do not extend to any assets other than those of the Person acquired by the Borrower or such Subsidiary, and the applicable Indebtedness secured by such Lien is permitted under </w:t>
      </w:r>
      <w:r>
        <w:rPr>
          <w:rFonts w:ascii="Arial" w:cs="Arial" w:eastAsia="Arial" w:hAnsi="Arial"/>
          <w:sz w:val="18"/>
          <w:szCs w:val="18"/>
          <w:u w:val="single" w:color="auto"/>
          <w:color w:val="auto"/>
        </w:rPr>
        <w:t>Section 7.02(l)</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880" w:hanging="437"/>
        <w:spacing w:after="0"/>
        <w:tabs>
          <w:tab w:leader="none" w:pos="880" w:val="left"/>
        </w:tabs>
        <w:numPr>
          <w:ilvl w:val="1"/>
          <w:numId w:val="136"/>
        </w:numPr>
        <w:rPr>
          <w:rFonts w:ascii="Arial" w:cs="Arial" w:eastAsia="Arial" w:hAnsi="Arial"/>
          <w:sz w:val="17"/>
          <w:szCs w:val="17"/>
          <w:color w:val="auto"/>
        </w:rPr>
      </w:pPr>
      <w:r>
        <w:rPr>
          <w:rFonts w:ascii="Arial" w:cs="Arial" w:eastAsia="Arial" w:hAnsi="Arial"/>
          <w:sz w:val="17"/>
          <w:szCs w:val="17"/>
          <w:color w:val="auto"/>
        </w:rPr>
        <w:t xml:space="preserve">other Liens securing Indebtedness permitted by </w:t>
      </w:r>
      <w:r>
        <w:rPr>
          <w:rFonts w:ascii="Arial" w:cs="Arial" w:eastAsia="Arial" w:hAnsi="Arial"/>
          <w:sz w:val="17"/>
          <w:szCs w:val="17"/>
          <w:u w:val="single" w:color="auto"/>
          <w:color w:val="auto"/>
        </w:rPr>
        <w:t>Section 7.02(m)</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Lien shall extend to, or cover, any Collateral;</w:t>
      </w:r>
    </w:p>
    <w:p>
      <w:pPr>
        <w:spacing w:after="0" w:line="128" w:lineRule="exact"/>
        <w:rPr>
          <w:rFonts w:ascii="Arial" w:cs="Arial" w:eastAsia="Arial" w:hAnsi="Arial"/>
          <w:sz w:val="17"/>
          <w:szCs w:val="17"/>
          <w:color w:val="auto"/>
        </w:rPr>
      </w:pPr>
    </w:p>
    <w:p>
      <w:pPr>
        <w:jc w:val="both"/>
        <w:ind w:right="300" w:firstLine="443"/>
        <w:spacing w:after="0" w:line="291" w:lineRule="auto"/>
        <w:tabs>
          <w:tab w:leader="none" w:pos="828" w:val="left"/>
        </w:tabs>
        <w:numPr>
          <w:ilvl w:val="1"/>
          <w:numId w:val="136"/>
        </w:numPr>
        <w:rPr>
          <w:rFonts w:ascii="Arial" w:cs="Arial" w:eastAsia="Arial" w:hAnsi="Arial"/>
          <w:sz w:val="16"/>
          <w:szCs w:val="16"/>
          <w:color w:val="auto"/>
        </w:rPr>
      </w:pPr>
      <w:r>
        <w:rPr>
          <w:rFonts w:ascii="Arial" w:cs="Arial" w:eastAsia="Arial" w:hAnsi="Arial"/>
          <w:sz w:val="16"/>
          <w:szCs w:val="16"/>
          <w:color w:val="auto"/>
        </w:rPr>
        <w:t xml:space="preserve">other non-consensual Liens not securing Indebtedness, (i) the amount of which does not exceed $9,000,000 in the aggregate, and (ii) the existence of which, either individually or in the aggregate, will not have a Material Adverse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Lien permitted by this </w:t>
      </w:r>
      <w:r>
        <w:rPr>
          <w:rFonts w:ascii="Arial" w:cs="Arial" w:eastAsia="Arial" w:hAnsi="Arial"/>
          <w:sz w:val="16"/>
          <w:szCs w:val="16"/>
          <w:u w:val="single" w:color="auto"/>
          <w:color w:val="auto"/>
        </w:rPr>
        <w:t>clause</w:t>
      </w:r>
    </w:p>
    <w:p>
      <w:pPr>
        <w:ind w:right="60" w:firstLine="4"/>
        <w:spacing w:after="0" w:line="253" w:lineRule="auto"/>
        <w:tabs>
          <w:tab w:leader="none" w:pos="255" w:val="left"/>
        </w:tabs>
        <w:numPr>
          <w:ilvl w:val="0"/>
          <w:numId w:val="137"/>
        </w:numPr>
        <w:rPr>
          <w:rFonts w:ascii="Arial" w:cs="Arial" w:eastAsia="Arial" w:hAnsi="Arial"/>
          <w:sz w:val="18"/>
          <w:szCs w:val="18"/>
          <w:u w:val="single" w:color="auto"/>
          <w:color w:val="auto"/>
        </w:rPr>
      </w:pPr>
      <w:r>
        <w:rPr>
          <w:rFonts w:ascii="Arial" w:cs="Arial" w:eastAsia="Arial" w:hAnsi="Arial"/>
          <w:sz w:val="18"/>
          <w:szCs w:val="18"/>
          <w:color w:val="auto"/>
        </w:rPr>
        <w:t xml:space="preserve">is permitted only for so long as is reasonably necessary for the affected Loan Party or the affected Subsidiary, using its best efforts, to remove or eliminate such Lien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any Lien not otherwise permitted by this </w:t>
      </w:r>
      <w:r>
        <w:rPr>
          <w:rFonts w:ascii="Arial" w:cs="Arial" w:eastAsia="Arial" w:hAnsi="Arial"/>
          <w:sz w:val="18"/>
          <w:szCs w:val="18"/>
          <w:u w:val="single" w:color="auto"/>
          <w:color w:val="auto"/>
        </w:rPr>
        <w:t>clause (n)</w:t>
      </w:r>
      <w:r>
        <w:rPr>
          <w:rFonts w:ascii="Arial" w:cs="Arial" w:eastAsia="Arial" w:hAnsi="Arial"/>
          <w:sz w:val="18"/>
          <w:szCs w:val="18"/>
          <w:color w:val="auto"/>
        </w:rPr>
        <w:t xml:space="preserve"> shall be permitted so long as such Loan Party or the affected Subsidiary shall within thirty (30) days after the filing thereof either (A) cause such Lien to be discharged, or (B) post with the Administrative Agent a bond or other security in form and amount satisfactory to the Administrative Agent in all respects and shall thereafter diligently pursue its discharge;</w:t>
      </w:r>
    </w:p>
    <w:p>
      <w:pPr>
        <w:spacing w:after="0" w:line="12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40"/>
          </w:cols>
          <w:pgMar w:left="700" w:top="274" w:right="259" w:bottom="1440" w:gutter="0" w:footer="0" w:header="0"/>
        </w:sectPr>
      </w:pPr>
    </w:p>
    <w:bookmarkStart w:id="93" w:name="page94"/>
    <w:bookmarkEnd w:id="93"/>
    <w:p>
      <w:pPr>
        <w:ind w:left="1300" w:hanging="397"/>
        <w:spacing w:after="0"/>
        <w:tabs>
          <w:tab w:leader="none" w:pos="13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the avoidance of doubt, any Lien on a Sold Account;</w:t>
      </w:r>
    </w:p>
    <w:p>
      <w:pPr>
        <w:spacing w:after="0" w:line="117" w:lineRule="exact"/>
        <w:rPr>
          <w:rFonts w:ascii="Arial" w:cs="Arial" w:eastAsia="Arial" w:hAnsi="Arial"/>
          <w:sz w:val="18"/>
          <w:szCs w:val="18"/>
          <w:color w:val="auto"/>
        </w:rPr>
      </w:pPr>
    </w:p>
    <w:p>
      <w:pPr>
        <w:ind w:left="1300" w:hanging="397"/>
        <w:spacing w:after="0"/>
        <w:tabs>
          <w:tab w:leader="none" w:pos="13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Liens granted pursuant to the Precious Metal Consignment Agreements so long as such Lien does not secure Indebtedness;</w:t>
      </w:r>
    </w:p>
    <w:p>
      <w:pPr>
        <w:spacing w:after="0" w:line="117" w:lineRule="exact"/>
        <w:rPr>
          <w:rFonts w:ascii="Arial" w:cs="Arial" w:eastAsia="Arial" w:hAnsi="Arial"/>
          <w:sz w:val="18"/>
          <w:szCs w:val="18"/>
          <w:color w:val="auto"/>
        </w:rPr>
      </w:pPr>
    </w:p>
    <w:p>
      <w:pPr>
        <w:ind w:left="460" w:right="420" w:firstLine="443"/>
        <w:spacing w:after="0" w:line="264" w:lineRule="auto"/>
        <w:tabs>
          <w:tab w:leader="none" w:pos="133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Liens on the Collateral securing Indebtedness permitted by </w:t>
      </w:r>
      <w:r>
        <w:rPr>
          <w:rFonts w:ascii="Arial" w:cs="Arial" w:eastAsia="Arial" w:hAnsi="Arial"/>
          <w:sz w:val="18"/>
          <w:szCs w:val="18"/>
          <w:u w:val="single" w:color="auto"/>
          <w:color w:val="auto"/>
        </w:rPr>
        <w:t>Section 7.02(k)</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such Indebtedness is secured by the Collateral on a senior priority basis relative to the Liens securing the Obligations, such Indebtedness shall be subject to the First Lien/Second Lien Intercreditor Agreement; and</w:t>
      </w:r>
    </w:p>
    <w:p>
      <w:pPr>
        <w:spacing w:after="0" w:line="73" w:lineRule="exact"/>
        <w:rPr>
          <w:rFonts w:ascii="Arial" w:cs="Arial" w:eastAsia="Arial" w:hAnsi="Arial"/>
          <w:sz w:val="18"/>
          <w:szCs w:val="18"/>
          <w:color w:val="auto"/>
        </w:rPr>
      </w:pPr>
    </w:p>
    <w:p>
      <w:pPr>
        <w:ind w:left="460" w:right="140" w:firstLine="443"/>
        <w:spacing w:after="0" w:line="312" w:lineRule="auto"/>
        <w:tabs>
          <w:tab w:leader="none" w:pos="1258" w:val="left"/>
        </w:tabs>
        <w:numPr>
          <w:ilvl w:val="0"/>
          <w:numId w:val="138"/>
        </w:numPr>
        <w:rPr>
          <w:rFonts w:ascii="Arial" w:cs="Arial" w:eastAsia="Arial" w:hAnsi="Arial"/>
          <w:sz w:val="16"/>
          <w:szCs w:val="16"/>
          <w:color w:val="auto"/>
        </w:rPr>
      </w:pPr>
      <w:r>
        <w:rPr>
          <w:rFonts w:ascii="Arial" w:cs="Arial" w:eastAsia="Arial" w:hAnsi="Arial"/>
          <w:sz w:val="16"/>
          <w:szCs w:val="16"/>
          <w:color w:val="auto"/>
        </w:rPr>
        <w:t xml:space="preserve">Liens existing on the Closing Date securing Indebtedness that has been repaid;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Lien permitted by this </w:t>
      </w:r>
      <w:r>
        <w:rPr>
          <w:rFonts w:ascii="Arial" w:cs="Arial" w:eastAsia="Arial" w:hAnsi="Arial"/>
          <w:sz w:val="16"/>
          <w:szCs w:val="16"/>
          <w:u w:val="single" w:color="auto"/>
          <w:color w:val="auto"/>
        </w:rPr>
        <w:t>clause (r)</w:t>
      </w:r>
      <w:r>
        <w:rPr>
          <w:rFonts w:ascii="Arial" w:cs="Arial" w:eastAsia="Arial" w:hAnsi="Arial"/>
          <w:sz w:val="16"/>
          <w:szCs w:val="16"/>
          <w:color w:val="auto"/>
        </w:rPr>
        <w:t xml:space="preserve"> is permitted only for so long as is reasonably necessary for the affected Loan Party or the affected Subsidiary, using its best efforts, to remove, discharge or otherwise eliminate such Lien;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in no event shall any Lien permitted by this </w:t>
      </w:r>
      <w:r>
        <w:rPr>
          <w:rFonts w:ascii="Arial" w:cs="Arial" w:eastAsia="Arial" w:hAnsi="Arial"/>
          <w:sz w:val="16"/>
          <w:szCs w:val="16"/>
          <w:u w:val="single" w:color="auto"/>
          <w:color w:val="auto"/>
        </w:rPr>
        <w:t>clause (r)</w:t>
      </w:r>
      <w:r>
        <w:rPr>
          <w:rFonts w:ascii="Arial" w:cs="Arial" w:eastAsia="Arial" w:hAnsi="Arial"/>
          <w:sz w:val="16"/>
          <w:szCs w:val="16"/>
          <w:color w:val="auto"/>
        </w:rPr>
        <w:t xml:space="preserve"> be permitted for more than 90 days.</w:t>
      </w:r>
    </w:p>
    <w:p>
      <w:pPr>
        <w:spacing w:after="0" w:line="147"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Neither the Borrower nor any of its Subsidiaries shall enter into any contract or agreement (other than a contract or agreement entered into in connection with the purchase or lease of fixed assets that prohibits Liens on such fixed assets) that would prohibit the Administrative Agent or the Lenders from acquiring a security interest, mortgage or other Lien on, or a collateral assignment of, any of the property or assets of the Borrower or such Subsidiary.</w:t>
      </w:r>
    </w:p>
    <w:p>
      <w:pPr>
        <w:spacing w:after="0" w:line="14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 xml:space="preserve">7.02. </w:t>
      </w:r>
      <w:r>
        <w:rPr>
          <w:rFonts w:ascii="Arial" w:cs="Arial" w:eastAsia="Arial" w:hAnsi="Arial"/>
          <w:sz w:val="18"/>
          <w:szCs w:val="18"/>
          <w:u w:val="single" w:color="auto"/>
          <w:color w:val="auto"/>
        </w:rPr>
        <w:t>Indebtedness</w:t>
      </w:r>
      <w:r>
        <w:rPr>
          <w:rFonts w:ascii="Arial" w:cs="Arial" w:eastAsia="Arial" w:hAnsi="Arial"/>
          <w:sz w:val="18"/>
          <w:szCs w:val="18"/>
          <w:color w:val="auto"/>
        </w:rPr>
        <w:t xml:space="preserve">. Create, incur, assume or have outstanding any Indebtedness of any kind;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shall not apply to the following:</w:t>
      </w:r>
    </w:p>
    <w:p>
      <w:pPr>
        <w:spacing w:after="0" w:line="62" w:lineRule="exact"/>
        <w:rPr>
          <w:sz w:val="20"/>
          <w:szCs w:val="20"/>
          <w:color w:val="auto"/>
        </w:rPr>
      </w:pPr>
    </w:p>
    <w:p>
      <w:pPr>
        <w:ind w:left="1280" w:hanging="377"/>
        <w:spacing w:after="0"/>
        <w:tabs>
          <w:tab w:leader="none" w:pos="12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Loans and any other Obligation under this Agreement or under any other Loan Document;</w:t>
      </w:r>
    </w:p>
    <w:p>
      <w:pPr>
        <w:spacing w:after="0" w:line="117" w:lineRule="exact"/>
        <w:rPr>
          <w:rFonts w:ascii="Arial" w:cs="Arial" w:eastAsia="Arial" w:hAnsi="Arial"/>
          <w:sz w:val="18"/>
          <w:szCs w:val="18"/>
          <w:color w:val="auto"/>
        </w:rPr>
      </w:pPr>
    </w:p>
    <w:p>
      <w:pPr>
        <w:ind w:left="460" w:right="20" w:firstLine="443"/>
        <w:spacing w:after="0" w:line="279" w:lineRule="auto"/>
        <w:tabs>
          <w:tab w:leader="none" w:pos="1288"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any loans granted to or Indebtedness under Capitalized Leases entered into by the Borrower or any of its Subsidiaries for the purchase or lease of fixed assets and any Refinancing Indebtedness in respect thereof, which loans and Indebtedness under Capitalized Leases shall only be secured by the fixed assets being purchased or leased, so long as the aggregate principal amount of all such loans and Indebtedness under Capitalized Leases for the Borrower and all of its Subsidiaries shall not exceed $48,000,000 at any time outstanding;</w:t>
      </w:r>
    </w:p>
    <w:p>
      <w:pPr>
        <w:spacing w:after="0" w:line="63" w:lineRule="exact"/>
        <w:rPr>
          <w:rFonts w:ascii="Arial" w:cs="Arial" w:eastAsia="Arial" w:hAnsi="Arial"/>
          <w:sz w:val="17"/>
          <w:szCs w:val="17"/>
          <w:color w:val="auto"/>
        </w:rPr>
      </w:pPr>
    </w:p>
    <w:p>
      <w:pPr>
        <w:ind w:left="460" w:firstLine="443"/>
        <w:spacing w:after="0" w:line="277" w:lineRule="auto"/>
        <w:tabs>
          <w:tab w:leader="none" w:pos="127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the Indebtedness existing on the Closing Date, in addition to the other Indebtedness permitted to be incurred pursuant to this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Schedule 7.02</w:t>
      </w:r>
      <w:r>
        <w:rPr>
          <w:rFonts w:ascii="Arial" w:cs="Arial" w:eastAsia="Arial" w:hAnsi="Arial"/>
          <w:sz w:val="18"/>
          <w:szCs w:val="18"/>
          <w:color w:val="auto"/>
        </w:rPr>
        <w:t xml:space="preserve"> hereto and any Refinancing Indebtedness in respect thereof;</w:t>
      </w:r>
    </w:p>
    <w:p>
      <w:pPr>
        <w:spacing w:after="0" w:line="62" w:lineRule="exact"/>
        <w:rPr>
          <w:rFonts w:ascii="Arial" w:cs="Arial" w:eastAsia="Arial" w:hAnsi="Arial"/>
          <w:sz w:val="18"/>
          <w:szCs w:val="18"/>
          <w:color w:val="auto"/>
        </w:rPr>
      </w:pPr>
    </w:p>
    <w:p>
      <w:pPr>
        <w:ind w:left="1300" w:hanging="397"/>
        <w:spacing w:after="0"/>
        <w:tabs>
          <w:tab w:leader="none" w:pos="1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loans to a Loan Party from another Loan Party;</w:t>
      </w:r>
    </w:p>
    <w:p>
      <w:pPr>
        <w:spacing w:after="0" w:line="117" w:lineRule="exact"/>
        <w:rPr>
          <w:rFonts w:ascii="Arial" w:cs="Arial" w:eastAsia="Arial" w:hAnsi="Arial"/>
          <w:sz w:val="18"/>
          <w:szCs w:val="18"/>
          <w:color w:val="auto"/>
        </w:rPr>
      </w:pPr>
    </w:p>
    <w:p>
      <w:pPr>
        <w:ind w:left="1280" w:hanging="377"/>
        <w:spacing w:after="0"/>
        <w:tabs>
          <w:tab w:leader="none" w:pos="12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loans to a Foreign Subsidiary from another Foreign Subsidiary;</w:t>
      </w:r>
    </w:p>
    <w:p>
      <w:pPr>
        <w:spacing w:after="0" w:line="117" w:lineRule="exact"/>
        <w:rPr>
          <w:rFonts w:ascii="Arial" w:cs="Arial" w:eastAsia="Arial" w:hAnsi="Arial"/>
          <w:sz w:val="18"/>
          <w:szCs w:val="18"/>
          <w:color w:val="auto"/>
        </w:rPr>
      </w:pPr>
    </w:p>
    <w:p>
      <w:pPr>
        <w:ind w:left="460" w:right="220" w:firstLine="443"/>
        <w:spacing w:after="0" w:line="277" w:lineRule="auto"/>
        <w:tabs>
          <w:tab w:leader="none" w:pos="125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Indebtedness under any Swap Contract, so long as such Swap Contract shall have been entered into in the ordinary course of business and not for speculative purposes;</w:t>
      </w:r>
    </w:p>
    <w:p>
      <w:pPr>
        <w:spacing w:after="0" w:line="62" w:lineRule="exact"/>
        <w:rPr>
          <w:rFonts w:ascii="Arial" w:cs="Arial" w:eastAsia="Arial" w:hAnsi="Arial"/>
          <w:sz w:val="18"/>
          <w:szCs w:val="18"/>
          <w:color w:val="auto"/>
        </w:rPr>
      </w:pPr>
    </w:p>
    <w:p>
      <w:pPr>
        <w:ind w:left="460" w:right="60" w:firstLine="443"/>
        <w:spacing w:after="0" w:line="264" w:lineRule="auto"/>
        <w:tabs>
          <w:tab w:leader="none" w:pos="128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Permitted Foreign Subsidiary and other Loans and Investments, so long as (i) no Default shall exist immediately prior to or immediately after giving effect thereto and (ii)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thereto (and to any Indebtedness incurred in connection therewith), the Borrower and its Subsidiaries shall be in compliance with the Pro Forma Leverage Test;</w:t>
      </w:r>
    </w:p>
    <w:p>
      <w:pPr>
        <w:spacing w:after="0" w:line="73" w:lineRule="exact"/>
        <w:rPr>
          <w:rFonts w:ascii="Arial" w:cs="Arial" w:eastAsia="Arial" w:hAnsi="Arial"/>
          <w:sz w:val="18"/>
          <w:szCs w:val="18"/>
          <w:color w:val="auto"/>
        </w:rPr>
      </w:pPr>
    </w:p>
    <w:p>
      <w:pPr>
        <w:ind w:left="460" w:right="360" w:firstLine="443"/>
        <w:spacing w:after="0" w:line="277" w:lineRule="auto"/>
        <w:tabs>
          <w:tab w:leader="none" w:pos="128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Indebtedness incurred in connection with the financing of insurance premiums, in an aggregate amount not to exceed $6,000,000 at any time outstanding;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74" w:right="239" w:bottom="1440" w:gutter="0" w:footer="0" w:header="0"/>
        </w:sectPr>
      </w:pPr>
    </w:p>
    <w:bookmarkStart w:id="94" w:name="page95"/>
    <w:bookmarkEnd w:id="94"/>
    <w:p>
      <w:pPr>
        <w:ind w:right="360" w:firstLine="443"/>
        <w:spacing w:after="0" w:line="342" w:lineRule="auto"/>
        <w:tabs>
          <w:tab w:leader="none" w:pos="788" w:val="left"/>
        </w:tabs>
        <w:numPr>
          <w:ilvl w:val="1"/>
          <w:numId w:val="1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contingent obligations consisting of Guarantees executed by (i) any Loan Party with respect to Indebtedness otherwise permitted by this Agreement and (ii) any Foreign Subsidiary with respect to any Indebtedness of a Foreign Subsidiary otherwise permitted by this Agreement;</w:t>
      </w:r>
    </w:p>
    <w:p>
      <w:pPr>
        <w:spacing w:after="0" w:line="15" w:lineRule="exact"/>
        <w:rPr>
          <w:rFonts w:ascii="Arial" w:cs="Arial" w:eastAsia="Arial" w:hAnsi="Arial"/>
          <w:sz w:val="16"/>
          <w:szCs w:val="16"/>
          <w:color w:val="auto"/>
        </w:rPr>
      </w:pPr>
    </w:p>
    <w:p>
      <w:pPr>
        <w:ind w:right="80" w:firstLine="443"/>
        <w:spacing w:after="0" w:line="257" w:lineRule="auto"/>
        <w:tabs>
          <w:tab w:leader="none" w:pos="788" w:val="left"/>
        </w:tabs>
        <w:numPr>
          <w:ilvl w:val="1"/>
          <w:numId w:val="140"/>
        </w:numPr>
        <w:rPr>
          <w:rFonts w:ascii="Arial" w:cs="Arial" w:eastAsia="Arial" w:hAnsi="Arial"/>
          <w:sz w:val="18"/>
          <w:szCs w:val="18"/>
          <w:color w:val="auto"/>
        </w:rPr>
      </w:pPr>
      <w:r>
        <w:rPr>
          <w:rFonts w:ascii="Arial" w:cs="Arial" w:eastAsia="Arial" w:hAnsi="Arial"/>
          <w:sz w:val="18"/>
          <w:szCs w:val="18"/>
          <w:color w:val="auto"/>
        </w:rPr>
        <w:t xml:space="preserve">(i) other unsecured Indebtedness (including unsecured Subordinated Indebtedness), in addition to the Indebtedness listed above, in an aggregate principal amount for the Borrower and all of its Subsidiaries not to exceed $30,000,000 at any time outstanding, and (ii) any other unsecured Indebtedness (including unsecured Subordinated Indebtedness), in addition to the Indebtedness listed above, constituting Refinancing Indebtedness in respect of the Loans, so long as such Indebtedness satisfies the Applicable Requirements and the proceeds thereof are applied in accordance with </w:t>
      </w:r>
      <w:r>
        <w:rPr>
          <w:rFonts w:ascii="Arial" w:cs="Arial" w:eastAsia="Arial" w:hAnsi="Arial"/>
          <w:sz w:val="18"/>
          <w:szCs w:val="18"/>
          <w:u w:val="single" w:color="auto"/>
          <w:color w:val="auto"/>
        </w:rPr>
        <w:t>Section 2.05(b)(iii)</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ind w:left="840" w:hanging="397"/>
        <w:spacing w:after="0"/>
        <w:tabs>
          <w:tab w:leader="none" w:pos="840" w:val="left"/>
        </w:tabs>
        <w:numPr>
          <w:ilvl w:val="1"/>
          <w:numId w:val="140"/>
        </w:numPr>
        <w:rPr>
          <w:rFonts w:ascii="Arial" w:cs="Arial" w:eastAsia="Arial" w:hAnsi="Arial"/>
          <w:sz w:val="16"/>
          <w:szCs w:val="16"/>
          <w:color w:val="auto"/>
        </w:rPr>
      </w:pPr>
      <w:r>
        <w:rPr>
          <w:rFonts w:ascii="Arial" w:cs="Arial" w:eastAsia="Arial" w:hAnsi="Arial"/>
          <w:sz w:val="16"/>
          <w:szCs w:val="16"/>
          <w:color w:val="auto"/>
        </w:rPr>
        <w:t xml:space="preserve">Indebtedness outstanding under the First Lien Credit Documents in an aggregate principal amount not to exceed (i) $1,065,250,000 </w:t>
      </w:r>
      <w:r>
        <w:rPr>
          <w:rFonts w:ascii="Arial" w:cs="Arial" w:eastAsia="Arial" w:hAnsi="Arial"/>
          <w:sz w:val="16"/>
          <w:szCs w:val="16"/>
          <w:u w:val="single" w:color="auto"/>
          <w:color w:val="auto"/>
        </w:rPr>
        <w:t>minus</w:t>
      </w:r>
    </w:p>
    <w:p>
      <w:pPr>
        <w:spacing w:after="0" w:line="46" w:lineRule="exact"/>
        <w:rPr>
          <w:rFonts w:ascii="Arial" w:cs="Arial" w:eastAsia="Arial" w:hAnsi="Arial"/>
          <w:sz w:val="16"/>
          <w:szCs w:val="16"/>
          <w:color w:val="auto"/>
        </w:rPr>
      </w:pPr>
    </w:p>
    <w:p>
      <w:pPr>
        <w:ind w:left="260" w:hanging="256"/>
        <w:spacing w:after="0"/>
        <w:tabs>
          <w:tab w:leader="none" w:pos="2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amount of Incremental Term Loans incurred pursuant to Section 2.14(a);</w:t>
      </w:r>
    </w:p>
    <w:p>
      <w:pPr>
        <w:spacing w:after="0" w:line="102" w:lineRule="exact"/>
        <w:rPr>
          <w:rFonts w:ascii="Arial" w:cs="Arial" w:eastAsia="Arial" w:hAnsi="Arial"/>
          <w:sz w:val="18"/>
          <w:szCs w:val="18"/>
          <w:color w:val="auto"/>
        </w:rPr>
      </w:pPr>
    </w:p>
    <w:p>
      <w:pPr>
        <w:ind w:firstLine="443"/>
        <w:spacing w:after="0" w:line="272" w:lineRule="auto"/>
        <w:tabs>
          <w:tab w:leader="none" w:pos="788" w:val="left"/>
        </w:tabs>
        <w:numPr>
          <w:ilvl w:val="1"/>
          <w:numId w:val="141"/>
        </w:numPr>
        <w:rPr>
          <w:rFonts w:ascii="Arial" w:cs="Arial" w:eastAsia="Arial" w:hAnsi="Arial"/>
          <w:sz w:val="17"/>
          <w:szCs w:val="17"/>
          <w:color w:val="auto"/>
        </w:rPr>
      </w:pPr>
      <w:r>
        <w:rPr>
          <w:rFonts w:ascii="Arial" w:cs="Arial" w:eastAsia="Arial" w:hAnsi="Arial"/>
          <w:sz w:val="17"/>
          <w:szCs w:val="17"/>
          <w:color w:val="auto"/>
        </w:rPr>
        <w:t xml:space="preserve">Indebtedness of any Person that becomes a Subsidiary of the Borrower after the date hereof pursuant to an Acquisition permitted under </w:t>
      </w:r>
      <w:r>
        <w:rPr>
          <w:rFonts w:ascii="Arial" w:cs="Arial" w:eastAsia="Arial" w:hAnsi="Arial"/>
          <w:sz w:val="17"/>
          <w:szCs w:val="17"/>
          <w:u w:val="single" w:color="auto"/>
          <w:color w:val="auto"/>
        </w:rPr>
        <w:t>Section 7.03(b)</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Indebtedness is existing at the time such Person becomes a Subsidiary of the Borrower (and is not incurred in contemplation of such Person’s becoming a Subsidiary of the Borrower), (ii) after giving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thereto and to the application of the proceeds thereof (but disregarding any costs constituting proceeds thereof for the purposes of netting), the Borrower and its Subsidiaries shall be in compliance with the Pro Forma Leverage Test (and, if such Indebtedness is secured, the Consolidated Secured Leverage Ratio shall be not greater than 4.00 to 1.00) and (iii) the aggregate principal amount of Indebtedness outstanding in reliance on this </w:t>
      </w:r>
      <w:r>
        <w:rPr>
          <w:rFonts w:ascii="Arial" w:cs="Arial" w:eastAsia="Arial" w:hAnsi="Arial"/>
          <w:sz w:val="17"/>
          <w:szCs w:val="17"/>
          <w:u w:val="single" w:color="auto"/>
          <w:color w:val="auto"/>
        </w:rPr>
        <w:t>clause (l)</w:t>
      </w:r>
      <w:r>
        <w:rPr>
          <w:rFonts w:ascii="Arial" w:cs="Arial" w:eastAsia="Arial" w:hAnsi="Arial"/>
          <w:sz w:val="17"/>
          <w:szCs w:val="17"/>
          <w:color w:val="auto"/>
        </w:rPr>
        <w:t xml:space="preserve"> for which any Subsidiary that is not a Loan Party is a borrower or guarantor shall not exceed $30,000,000 at any time;</w:t>
      </w:r>
    </w:p>
    <w:p>
      <w:pPr>
        <w:spacing w:after="0" w:line="69" w:lineRule="exact"/>
        <w:rPr>
          <w:rFonts w:ascii="Arial" w:cs="Arial" w:eastAsia="Arial" w:hAnsi="Arial"/>
          <w:sz w:val="17"/>
          <w:szCs w:val="17"/>
          <w:color w:val="auto"/>
        </w:rPr>
      </w:pPr>
    </w:p>
    <w:p>
      <w:pPr>
        <w:ind w:right="160" w:firstLine="443"/>
        <w:spacing w:after="0" w:line="312" w:lineRule="auto"/>
        <w:tabs>
          <w:tab w:leader="none" w:pos="878" w:val="left"/>
        </w:tabs>
        <w:numPr>
          <w:ilvl w:val="1"/>
          <w:numId w:val="141"/>
        </w:numPr>
        <w:rPr>
          <w:rFonts w:ascii="Arial" w:cs="Arial" w:eastAsia="Arial" w:hAnsi="Arial"/>
          <w:sz w:val="16"/>
          <w:szCs w:val="16"/>
          <w:color w:val="auto"/>
        </w:rPr>
      </w:pPr>
      <w:r>
        <w:rPr>
          <w:rFonts w:ascii="Arial" w:cs="Arial" w:eastAsia="Arial" w:hAnsi="Arial"/>
          <w:sz w:val="16"/>
          <w:szCs w:val="16"/>
          <w:color w:val="auto"/>
        </w:rPr>
        <w:t xml:space="preserve">other secured Indebtedness in an aggregate principal amount for the Borrower and all of its Subsidiaries not to exceed $30,000,000 at any time outstanding, so long as (i) no Default shall exist prior to or after giving effect thereto and (ii) after giving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thereto (and to any Indebtedness incurred in connection therewith), the Borrower and its Subsidiaries shall be in compliance with the Pro Forma Leverage Test;</w:t>
      </w:r>
    </w:p>
    <w:p>
      <w:pPr>
        <w:spacing w:after="0" w:line="38" w:lineRule="exact"/>
        <w:rPr>
          <w:rFonts w:ascii="Arial" w:cs="Arial" w:eastAsia="Arial" w:hAnsi="Arial"/>
          <w:sz w:val="16"/>
          <w:szCs w:val="16"/>
          <w:color w:val="auto"/>
        </w:rPr>
      </w:pPr>
    </w:p>
    <w:p>
      <w:pPr>
        <w:ind w:right="20" w:firstLine="443"/>
        <w:spacing w:after="0" w:line="290" w:lineRule="auto"/>
        <w:tabs>
          <w:tab w:leader="none" w:pos="828" w:val="left"/>
        </w:tabs>
        <w:numPr>
          <w:ilvl w:val="1"/>
          <w:numId w:val="141"/>
        </w:numPr>
        <w:rPr>
          <w:rFonts w:ascii="Arial" w:cs="Arial" w:eastAsia="Arial" w:hAnsi="Arial"/>
          <w:sz w:val="16"/>
          <w:szCs w:val="16"/>
          <w:color w:val="auto"/>
        </w:rPr>
      </w:pPr>
      <w:r>
        <w:rPr>
          <w:rFonts w:ascii="Arial" w:cs="Arial" w:eastAsia="Arial" w:hAnsi="Arial"/>
          <w:sz w:val="16"/>
          <w:szCs w:val="16"/>
          <w:color w:val="auto"/>
        </w:rPr>
        <w:t xml:space="preserve">the following that do not constitute Indebtedness, but that are listed for purposes of clarification, contingent obligations consisting of the indemnification by the Borrower or any of its Subsidiaries of (i) the officers, directors, employees and agents of the Borrower or any of its Subsidiaries, to the extent permissible under the corporation law of the jurisdiction in which such Person is organized, (ii) commercial banks, investment bankers and other independent consultants or professional advisors pursuant to agreements relating to the underwriting of the Borrower’s or any of its Subsidiaries’ securities or the rendering of banking or professional services to the Borrower or any of its Subsidiaries, (iii) landlords, licensors, licensees and other parties pursuant to agreements entered into in the ordinary course of business by the Borrower or any of its Subsidiaries, and (iv) other Persons under agreements relating to Acquisitions permitted under </w:t>
      </w:r>
      <w:r>
        <w:rPr>
          <w:rFonts w:ascii="Arial" w:cs="Arial" w:eastAsia="Arial" w:hAnsi="Arial"/>
          <w:sz w:val="16"/>
          <w:szCs w:val="16"/>
          <w:u w:val="single" w:color="auto"/>
          <w:color w:val="auto"/>
        </w:rPr>
        <w:t>Section 7.03(b)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of the foregoing is only permitted to the extent that such indemnity obligation is not incurred in connection with the borrowing of money or the extension of credit; and</w:t>
      </w:r>
    </w:p>
    <w:p>
      <w:pPr>
        <w:spacing w:after="0" w:line="58" w:lineRule="exact"/>
        <w:rPr>
          <w:rFonts w:ascii="Arial" w:cs="Arial" w:eastAsia="Arial" w:hAnsi="Arial"/>
          <w:sz w:val="16"/>
          <w:szCs w:val="16"/>
          <w:color w:val="auto"/>
        </w:rPr>
      </w:pPr>
    </w:p>
    <w:p>
      <w:pPr>
        <w:ind w:left="840" w:hanging="397"/>
        <w:spacing w:after="0"/>
        <w:tabs>
          <w:tab w:leader="none" w:pos="84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for the avoidance of doubt, any Indebtedness under any Qualified Receivables Transaction.</w:t>
      </w:r>
    </w:p>
    <w:p>
      <w:pPr>
        <w:spacing w:after="0" w:line="33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7.03.</w:t>
      </w:r>
      <w:r>
        <w:rPr>
          <w:sz w:val="20"/>
          <w:szCs w:val="20"/>
          <w:color w:val="auto"/>
        </w:rPr>
        <w:tab/>
      </w:r>
      <w:r>
        <w:rPr>
          <w:rFonts w:ascii="Arial" w:cs="Arial" w:eastAsia="Arial" w:hAnsi="Arial"/>
          <w:sz w:val="16"/>
          <w:szCs w:val="16"/>
          <w:u w:val="single" w:color="auto"/>
          <w:color w:val="auto"/>
        </w:rPr>
        <w:t>Investments and Acquisitions</w:t>
      </w:r>
      <w:r>
        <w:rPr>
          <w:rFonts w:ascii="Arial" w:cs="Arial" w:eastAsia="Arial" w:hAnsi="Arial"/>
          <w:sz w:val="16"/>
          <w:szCs w:val="16"/>
          <w:color w:val="auto"/>
        </w:rPr>
        <w:t>.</w:t>
      </w:r>
    </w:p>
    <w:p>
      <w:pPr>
        <w:spacing w:after="0" w:line="117" w:lineRule="exact"/>
        <w:rPr>
          <w:sz w:val="20"/>
          <w:szCs w:val="20"/>
          <w:color w:val="auto"/>
        </w:rPr>
      </w:pPr>
    </w:p>
    <w:p>
      <w:pPr>
        <w:ind w:left="380" w:hanging="376"/>
        <w:spacing w:after="0"/>
        <w:tabs>
          <w:tab w:leader="none" w:pos="3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Make or hold any Investments, except:</w:t>
      </w:r>
    </w:p>
    <w:p>
      <w:pPr>
        <w:spacing w:after="0" w:line="117" w:lineRule="exact"/>
        <w:rPr>
          <w:rFonts w:ascii="Arial" w:cs="Arial" w:eastAsia="Arial" w:hAnsi="Arial"/>
          <w:sz w:val="18"/>
          <w:szCs w:val="18"/>
          <w:color w:val="auto"/>
        </w:rPr>
      </w:pPr>
    </w:p>
    <w:p>
      <w:pPr>
        <w:ind w:right="60" w:firstLine="443"/>
        <w:spacing w:after="0" w:line="277" w:lineRule="auto"/>
        <w:tabs>
          <w:tab w:leader="none" w:pos="788"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any endorsement of a check or other medium of payment for deposit or collection through normal banking channels or similar transaction in the normal course of business;</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960"/>
          </w:cols>
          <w:pgMar w:left="700" w:top="274" w:right="239" w:bottom="1440" w:gutter="0" w:footer="0" w:header="0"/>
        </w:sectPr>
      </w:pPr>
    </w:p>
    <w:bookmarkStart w:id="95" w:name="page96"/>
    <w:bookmarkEnd w:id="95"/>
    <w:p>
      <w:pPr>
        <w:ind w:right="80" w:firstLine="443"/>
        <w:spacing w:after="0" w:line="264" w:lineRule="auto"/>
        <w:tabs>
          <w:tab w:leader="none" w:pos="838" w:val="left"/>
        </w:tabs>
        <w:numPr>
          <w:ilvl w:val="0"/>
          <w:numId w:val="1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investment in (A) direct obligations of the United States or in certificates of deposit issued by a member bank (having capital resources in excess of $100,000,000) of the Federal Reserve System or (B) commercial paper or securities that at the time of such investment is assigned the highest quality rating in accordance with the rating systems employed by either Moody’s or S&amp;P;</w:t>
      </w:r>
    </w:p>
    <w:p>
      <w:pPr>
        <w:spacing w:after="0" w:line="73" w:lineRule="exact"/>
        <w:rPr>
          <w:rFonts w:ascii="Arial" w:cs="Arial" w:eastAsia="Arial" w:hAnsi="Arial"/>
          <w:sz w:val="18"/>
          <w:szCs w:val="18"/>
          <w:color w:val="auto"/>
        </w:rPr>
      </w:pPr>
    </w:p>
    <w:p>
      <w:pPr>
        <w:ind w:right="140" w:firstLine="443"/>
        <w:spacing w:after="0" w:line="312" w:lineRule="auto"/>
        <w:tabs>
          <w:tab w:leader="none" w:pos="888" w:val="left"/>
        </w:tabs>
        <w:numPr>
          <w:ilvl w:val="0"/>
          <w:numId w:val="143"/>
        </w:numPr>
        <w:rPr>
          <w:rFonts w:ascii="Arial" w:cs="Arial" w:eastAsia="Arial" w:hAnsi="Arial"/>
          <w:sz w:val="16"/>
          <w:szCs w:val="16"/>
          <w:color w:val="auto"/>
        </w:rPr>
      </w:pPr>
      <w:r>
        <w:rPr>
          <w:rFonts w:ascii="Arial" w:cs="Arial" w:eastAsia="Arial" w:hAnsi="Arial"/>
          <w:sz w:val="16"/>
          <w:szCs w:val="16"/>
          <w:color w:val="auto"/>
        </w:rPr>
        <w:t xml:space="preserve">the holding of each of the Subsidiaries listed on </w:t>
      </w:r>
      <w:r>
        <w:rPr>
          <w:rFonts w:ascii="Arial" w:cs="Arial" w:eastAsia="Arial" w:hAnsi="Arial"/>
          <w:sz w:val="16"/>
          <w:szCs w:val="16"/>
          <w:u w:val="single" w:color="auto"/>
          <w:color w:val="auto"/>
        </w:rPr>
        <w:t>Schedule 5.01</w:t>
      </w:r>
      <w:r>
        <w:rPr>
          <w:rFonts w:ascii="Arial" w:cs="Arial" w:eastAsia="Arial" w:hAnsi="Arial"/>
          <w:sz w:val="16"/>
          <w:szCs w:val="16"/>
          <w:color w:val="auto"/>
        </w:rPr>
        <w:t xml:space="preserve"> hereto, and the creation, acquisition and holding of, and any investment in, any new Subsidiary after the Closing Date so long as such new Subsidiary shall have been created, acquired or held, and investments made, in accordance with the terms and conditions of this Agreement and pursuant to transactions otherwise permitted under this </w:t>
      </w:r>
      <w:r>
        <w:rPr>
          <w:rFonts w:ascii="Arial" w:cs="Arial" w:eastAsia="Arial" w:hAnsi="Arial"/>
          <w:sz w:val="16"/>
          <w:szCs w:val="16"/>
          <w:u w:val="single" w:color="auto"/>
          <w:color w:val="auto"/>
        </w:rPr>
        <w:t>Section 7.03</w:t>
      </w:r>
      <w:r>
        <w:rPr>
          <w:rFonts w:ascii="Arial" w:cs="Arial" w:eastAsia="Arial" w:hAnsi="Arial"/>
          <w:sz w:val="16"/>
          <w:szCs w:val="16"/>
          <w:color w:val="auto"/>
        </w:rPr>
        <w:t>;</w:t>
      </w:r>
    </w:p>
    <w:p>
      <w:pPr>
        <w:spacing w:after="0" w:line="38" w:lineRule="exact"/>
        <w:rPr>
          <w:rFonts w:ascii="Arial" w:cs="Arial" w:eastAsia="Arial" w:hAnsi="Arial"/>
          <w:sz w:val="16"/>
          <w:szCs w:val="16"/>
          <w:color w:val="auto"/>
        </w:rPr>
      </w:pPr>
    </w:p>
    <w:p>
      <w:pPr>
        <w:ind w:right="40" w:firstLine="443"/>
        <w:spacing w:after="0" w:line="264" w:lineRule="auto"/>
        <w:tabs>
          <w:tab w:leader="none" w:pos="87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any Permitted Foreign Subsidiary and other Loans and Investments, so long as (A) no Default shall exist prior to or after giving effect thereto and (B)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to such investments or loans (and to any Indebtedness incurred in connection therewith), the Borrower and its Subsidiaries shall be in compliance with the Pro Forma Leverage Test;</w:t>
      </w:r>
    </w:p>
    <w:p>
      <w:pPr>
        <w:spacing w:after="0" w:line="73" w:lineRule="exact"/>
        <w:rPr>
          <w:rFonts w:ascii="Arial" w:cs="Arial" w:eastAsia="Arial" w:hAnsi="Arial"/>
          <w:sz w:val="18"/>
          <w:szCs w:val="18"/>
          <w:color w:val="auto"/>
        </w:rPr>
      </w:pPr>
    </w:p>
    <w:p>
      <w:pPr>
        <w:ind w:left="840" w:hanging="397"/>
        <w:spacing w:after="0"/>
        <w:tabs>
          <w:tab w:leader="none" w:pos="84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loans to, investments in, and Guarantees of Indebtedness of, the Borrower or any other Loan Party from or by another Loan Party;</w:t>
      </w:r>
    </w:p>
    <w:p>
      <w:pPr>
        <w:spacing w:after="0" w:line="128" w:lineRule="exact"/>
        <w:rPr>
          <w:rFonts w:ascii="Arial" w:cs="Arial" w:eastAsia="Arial" w:hAnsi="Arial"/>
          <w:sz w:val="17"/>
          <w:szCs w:val="17"/>
          <w:color w:val="auto"/>
        </w:rPr>
      </w:pPr>
    </w:p>
    <w:p>
      <w:pPr>
        <w:ind w:left="880" w:hanging="437"/>
        <w:spacing w:after="0"/>
        <w:tabs>
          <w:tab w:leader="none" w:pos="8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loans to, investments in, and Guarantees of Indebtedness of, a Foreign Subsidiary from or by a another Foreign Subsidiary;</w:t>
      </w:r>
    </w:p>
    <w:p>
      <w:pPr>
        <w:spacing w:after="0" w:line="117" w:lineRule="exact"/>
        <w:rPr>
          <w:rFonts w:ascii="Arial" w:cs="Arial" w:eastAsia="Arial" w:hAnsi="Arial"/>
          <w:sz w:val="18"/>
          <w:szCs w:val="18"/>
          <w:color w:val="auto"/>
        </w:rPr>
      </w:pPr>
    </w:p>
    <w:p>
      <w:pPr>
        <w:ind w:firstLine="443"/>
        <w:spacing w:after="0" w:line="264" w:lineRule="auto"/>
        <w:tabs>
          <w:tab w:leader="none" w:pos="92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advance or loan to an officer or employee of the Borrower or any Subsidiary as an advance on commissions, travel, relocation and other similar items in the ordinary course of business, so long as all such advances and loans from the Borrower and all Subsidiaries aggregate not more than the maximum principal sum of $1,200,000 at any time outstanding;</w:t>
      </w:r>
    </w:p>
    <w:p>
      <w:pPr>
        <w:spacing w:after="0" w:line="73" w:lineRule="exact"/>
        <w:rPr>
          <w:rFonts w:ascii="Arial" w:cs="Arial" w:eastAsia="Arial" w:hAnsi="Arial"/>
          <w:sz w:val="18"/>
          <w:szCs w:val="18"/>
          <w:color w:val="auto"/>
        </w:rPr>
      </w:pPr>
    </w:p>
    <w:p>
      <w:pPr>
        <w:ind w:left="980" w:hanging="537"/>
        <w:spacing w:after="0"/>
        <w:tabs>
          <w:tab w:leader="none" w:pos="9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the holding of any Equity Interests that has been acquired pursuant to an Acquisition permitted by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hereof;</w:t>
      </w:r>
    </w:p>
    <w:p>
      <w:pPr>
        <w:spacing w:after="0" w:line="117" w:lineRule="exact"/>
        <w:rPr>
          <w:rFonts w:ascii="Arial" w:cs="Arial" w:eastAsia="Arial" w:hAnsi="Arial"/>
          <w:sz w:val="18"/>
          <w:szCs w:val="18"/>
          <w:color w:val="auto"/>
        </w:rPr>
      </w:pPr>
    </w:p>
    <w:p>
      <w:pPr>
        <w:jc w:val="both"/>
        <w:ind w:right="120" w:firstLine="443"/>
        <w:spacing w:after="0" w:line="264" w:lineRule="auto"/>
        <w:tabs>
          <w:tab w:leader="none" w:pos="87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the creation of a Subsidiary for the purpose of making an Acquisition permitted by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hereof or the holding of any Subsidiary as a result of an Acquisition made pursuant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hereof, so long as, in each case, if required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hereof, such Subsidiary becomes a Guarantor promptly following such Acquisition;</w:t>
      </w:r>
    </w:p>
    <w:p>
      <w:pPr>
        <w:spacing w:after="0" w:line="73" w:lineRule="exact"/>
        <w:rPr>
          <w:rFonts w:ascii="Arial" w:cs="Arial" w:eastAsia="Arial" w:hAnsi="Arial"/>
          <w:sz w:val="18"/>
          <w:szCs w:val="18"/>
          <w:color w:val="auto"/>
        </w:rPr>
      </w:pPr>
    </w:p>
    <w:p>
      <w:pPr>
        <w:ind w:right="140" w:firstLine="443"/>
        <w:spacing w:after="0" w:line="277" w:lineRule="auto"/>
        <w:tabs>
          <w:tab w:leader="none" w:pos="82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the Investments existing on the Closing Date, in addition to the other Investments permitted to be incurred pursuant to this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Schedule 7.03</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120" w:firstLine="443"/>
        <w:spacing w:after="0" w:line="264" w:lineRule="auto"/>
        <w:tabs>
          <w:tab w:leader="none" w:pos="87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73" w:lineRule="exact"/>
        <w:rPr>
          <w:rFonts w:ascii="Arial" w:cs="Arial" w:eastAsia="Arial" w:hAnsi="Arial"/>
          <w:sz w:val="18"/>
          <w:szCs w:val="18"/>
          <w:color w:val="auto"/>
        </w:rPr>
      </w:pPr>
    </w:p>
    <w:p>
      <w:pPr>
        <w:ind w:left="940" w:hanging="497"/>
        <w:spacing w:after="0"/>
        <w:tabs>
          <w:tab w:leader="none" w:pos="9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Guarantees permitted pursuant to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700" w:firstLine="443"/>
        <w:spacing w:after="0" w:line="342" w:lineRule="auto"/>
        <w:tabs>
          <w:tab w:leader="none" w:pos="978" w:val="left"/>
        </w:tabs>
        <w:numPr>
          <w:ilvl w:val="0"/>
          <w:numId w:val="143"/>
        </w:numPr>
        <w:rPr>
          <w:rFonts w:ascii="Arial" w:cs="Arial" w:eastAsia="Arial" w:hAnsi="Arial"/>
          <w:sz w:val="16"/>
          <w:szCs w:val="16"/>
          <w:color w:val="auto"/>
        </w:rPr>
      </w:pPr>
      <w:r>
        <w:rPr>
          <w:rFonts w:ascii="Arial" w:cs="Arial" w:eastAsia="Arial" w:hAnsi="Arial"/>
          <w:sz w:val="16"/>
          <w:szCs w:val="16"/>
          <w:color w:val="auto"/>
        </w:rPr>
        <w:t>Investments in Wuxi Weitu Autocam Precision Machinery Components Co., Ltd., so long as (A) no Default has occurred and is continuing or would result therefrom and (B) the aggregate amount of such Investments outstanding at any time shall not exceed $12,000,000;</w:t>
      </w:r>
    </w:p>
    <w:p>
      <w:pPr>
        <w:spacing w:after="0" w:line="15" w:lineRule="exact"/>
        <w:rPr>
          <w:rFonts w:ascii="Arial" w:cs="Arial" w:eastAsia="Arial" w:hAnsi="Arial"/>
          <w:sz w:val="16"/>
          <w:szCs w:val="16"/>
          <w:color w:val="auto"/>
        </w:rPr>
      </w:pPr>
    </w:p>
    <w:p>
      <w:pPr>
        <w:ind w:right="80" w:firstLine="443"/>
        <w:spacing w:after="0" w:line="255" w:lineRule="auto"/>
        <w:tabs>
          <w:tab w:leader="none" w:pos="96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the Borrower and its Subsidiaries may make Investments not otherwise permitted by this </w:t>
      </w:r>
      <w:r>
        <w:rPr>
          <w:rFonts w:ascii="Arial" w:cs="Arial" w:eastAsia="Arial" w:hAnsi="Arial"/>
          <w:sz w:val="18"/>
          <w:szCs w:val="18"/>
          <w:u w:val="single" w:color="auto"/>
          <w:color w:val="auto"/>
        </w:rPr>
        <w:t>Section 7.03(a)</w:t>
      </w:r>
      <w:r>
        <w:rPr>
          <w:rFonts w:ascii="Arial" w:cs="Arial" w:eastAsia="Arial" w:hAnsi="Arial"/>
          <w:sz w:val="18"/>
          <w:szCs w:val="18"/>
          <w:color w:val="auto"/>
        </w:rPr>
        <w:t xml:space="preserve">, so long as (A) no Default has occurred and is continuing or would result therefrom, (B) after giving effect thereto the aggregate amount of all Investments made pursuant to this </w:t>
      </w:r>
      <w:r>
        <w:rPr>
          <w:rFonts w:ascii="Arial" w:cs="Arial" w:eastAsia="Arial" w:hAnsi="Arial"/>
          <w:sz w:val="18"/>
          <w:szCs w:val="18"/>
          <w:u w:val="single" w:color="auto"/>
          <w:color w:val="auto"/>
        </w:rPr>
        <w:t>clause (a)(xiv)</w:t>
      </w:r>
      <w:r>
        <w:rPr>
          <w:rFonts w:ascii="Arial" w:cs="Arial" w:eastAsia="Arial" w:hAnsi="Arial"/>
          <w:sz w:val="18"/>
          <w:szCs w:val="18"/>
          <w:color w:val="auto"/>
        </w:rPr>
        <w:t xml:space="preserve"> and Restricted Payments made pursuant to </w:t>
      </w:r>
      <w:r>
        <w:rPr>
          <w:rFonts w:ascii="Arial" w:cs="Arial" w:eastAsia="Arial" w:hAnsi="Arial"/>
          <w:sz w:val="18"/>
          <w:szCs w:val="18"/>
          <w:u w:val="single" w:color="auto"/>
          <w:color w:val="auto"/>
        </w:rPr>
        <w:t>Section 7.06(d)</w:t>
      </w:r>
      <w:r>
        <w:rPr>
          <w:rFonts w:ascii="Arial" w:cs="Arial" w:eastAsia="Arial" w:hAnsi="Arial"/>
          <w:sz w:val="18"/>
          <w:szCs w:val="18"/>
          <w:color w:val="auto"/>
        </w:rPr>
        <w:t xml:space="preserve">, shall not exceed sum of (1) $30,000,000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the Cumulative Retained Excess Cash Flow Amount, (C) the Administrative Agent shall have received the certificate required by </w:t>
      </w:r>
      <w:r>
        <w:rPr>
          <w:rFonts w:ascii="Arial" w:cs="Arial" w:eastAsia="Arial" w:hAnsi="Arial"/>
          <w:sz w:val="18"/>
          <w:szCs w:val="18"/>
          <w:u w:val="single" w:color="auto"/>
          <w:color w:val="auto"/>
        </w:rPr>
        <w:t>Section 6.02(n)</w:t>
      </w:r>
      <w:r>
        <w:rPr>
          <w:rFonts w:ascii="Arial" w:cs="Arial" w:eastAsia="Arial" w:hAnsi="Arial"/>
          <w:sz w:val="18"/>
          <w:szCs w:val="18"/>
          <w:color w:val="auto"/>
        </w:rPr>
        <w:t xml:space="preserve"> and (D)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to such Investment (and to any Indebtedness incurred in connection therewith), the Borrower and its Subsidiaries shall be in compliance with the Pro Forma Leverage Test;</w:t>
      </w:r>
    </w:p>
    <w:p>
      <w:pPr>
        <w:spacing w:after="0" w:line="12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60"/>
          </w:cols>
          <w:pgMar w:left="700" w:top="274" w:right="239" w:bottom="1440" w:gutter="0" w:footer="0" w:header="0"/>
        </w:sectPr>
      </w:pPr>
    </w:p>
    <w:bookmarkStart w:id="96" w:name="page97"/>
    <w:bookmarkEnd w:id="96"/>
    <w:p>
      <w:pPr>
        <w:ind w:left="460" w:firstLine="443"/>
        <w:spacing w:after="0" w:line="259" w:lineRule="auto"/>
        <w:tabs>
          <w:tab w:leader="none" w:pos="1378" w:val="left"/>
        </w:tabs>
        <w:numPr>
          <w:ilvl w:val="0"/>
          <w:numId w:val="1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non-cash Investments made by Borrower or any Loan Party in any Foreign Subsidiary consisting of obligations of such Foreign Subsidiary to pay Capital Distributions to the Borrower or any other Loan Party that have been declared but the payment of which has been deferred (whether or not such obligation to pay such Capital Distributions is represented by a promissory note that has been pledged to the Administrative Agent in accordance with the Collateral Documents);</w:t>
      </w:r>
    </w:p>
    <w:p>
      <w:pPr>
        <w:spacing w:after="0" w:line="78" w:lineRule="exact"/>
        <w:rPr>
          <w:rFonts w:ascii="Arial" w:cs="Arial" w:eastAsia="Arial" w:hAnsi="Arial"/>
          <w:sz w:val="18"/>
          <w:szCs w:val="18"/>
          <w:color w:val="auto"/>
        </w:rPr>
      </w:pPr>
    </w:p>
    <w:p>
      <w:pPr>
        <w:ind w:left="460" w:right="20" w:firstLine="443"/>
        <w:spacing w:after="0" w:line="273" w:lineRule="auto"/>
        <w:tabs>
          <w:tab w:leader="none" w:pos="1428" w:val="left"/>
        </w:tabs>
        <w:numPr>
          <w:ilvl w:val="0"/>
          <w:numId w:val="144"/>
        </w:numPr>
        <w:rPr>
          <w:rFonts w:ascii="Arial" w:cs="Arial" w:eastAsia="Arial" w:hAnsi="Arial"/>
          <w:sz w:val="17"/>
          <w:szCs w:val="17"/>
          <w:color w:val="auto"/>
        </w:rPr>
      </w:pPr>
      <w:r>
        <w:rPr>
          <w:rFonts w:ascii="Arial" w:cs="Arial" w:eastAsia="Arial" w:hAnsi="Arial"/>
          <w:sz w:val="17"/>
          <w:szCs w:val="17"/>
          <w:color w:val="auto"/>
        </w:rPr>
        <w:t xml:space="preserve">other Investments, in addition to the Investments permitted above, in an aggregate amount for all Investments made on or after the Closing Date in reliance on this clause (xvi) not to exceed, when taken together with the amount of Acquisitions made on or after the Closing Date in reliance on </w:t>
      </w:r>
      <w:r>
        <w:rPr>
          <w:rFonts w:ascii="Arial" w:cs="Arial" w:eastAsia="Arial" w:hAnsi="Arial"/>
          <w:sz w:val="17"/>
          <w:szCs w:val="17"/>
          <w:u w:val="single" w:color="auto"/>
          <w:color w:val="auto"/>
        </w:rPr>
        <w:t>Section 7.03(b)(ii)</w:t>
      </w:r>
      <w:r>
        <w:rPr>
          <w:rFonts w:ascii="Arial" w:cs="Arial" w:eastAsia="Arial" w:hAnsi="Arial"/>
          <w:sz w:val="17"/>
          <w:szCs w:val="17"/>
          <w:color w:val="auto"/>
        </w:rPr>
        <w:t xml:space="preserve">, $60,000,000,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no Default has occurred and is continuing at the time of any such Investment or would result therefrom and (B) in the case of any Investment (or series of related Investments) made in reliance on this clause (xvi) in an aggregate amount of $18,000,000 or more, after giving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to such Investment (or series of related Investments) and to any Indebtedness incurred in connection therewith, the Borrower and its Subsidiaries are in compliance with the Pro Forma Leverage Test; and</w:t>
      </w:r>
    </w:p>
    <w:p>
      <w:pPr>
        <w:spacing w:after="0" w:line="70" w:lineRule="exact"/>
        <w:rPr>
          <w:rFonts w:ascii="Arial" w:cs="Arial" w:eastAsia="Arial" w:hAnsi="Arial"/>
          <w:sz w:val="17"/>
          <w:szCs w:val="17"/>
          <w:color w:val="auto"/>
        </w:rPr>
      </w:pPr>
    </w:p>
    <w:p>
      <w:pPr>
        <w:ind w:left="1480" w:hanging="577"/>
        <w:spacing w:after="0"/>
        <w:tabs>
          <w:tab w:leader="none" w:pos="14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other Investments constituting Acquisitions permitted by subsection (b) of this </w:t>
      </w:r>
      <w:r>
        <w:rPr>
          <w:rFonts w:ascii="Arial" w:cs="Arial" w:eastAsia="Arial" w:hAnsi="Arial"/>
          <w:sz w:val="18"/>
          <w:szCs w:val="18"/>
          <w:u w:val="single" w:color="auto"/>
          <w:color w:val="auto"/>
        </w:rPr>
        <w:t>Section 7.03</w:t>
      </w:r>
      <w:r>
        <w:rPr>
          <w:rFonts w:ascii="Arial" w:cs="Arial" w:eastAsia="Arial" w:hAnsi="Arial"/>
          <w:sz w:val="18"/>
          <w:szCs w:val="18"/>
          <w:color w:val="auto"/>
        </w:rPr>
        <w:t>.</w:t>
      </w:r>
    </w:p>
    <w:p>
      <w:pPr>
        <w:spacing w:after="0" w:line="225"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7.03(a)</w:t>
      </w:r>
      <w:r>
        <w:rPr>
          <w:rFonts w:ascii="Arial" w:cs="Arial" w:eastAsia="Arial" w:hAnsi="Arial"/>
          <w:sz w:val="18"/>
          <w:szCs w:val="18"/>
          <w:color w:val="auto"/>
        </w:rPr>
        <w:t>, the amount of any Investment in Equity Interests shall be based upon the initial amount invested and shall not include any appreciation in value or return on such investment.</w:t>
      </w:r>
    </w:p>
    <w:p>
      <w:pPr>
        <w:spacing w:after="0" w:line="170" w:lineRule="exact"/>
        <w:rPr>
          <w:sz w:val="20"/>
          <w:szCs w:val="20"/>
          <w:color w:val="auto"/>
        </w:rPr>
      </w:pPr>
    </w:p>
    <w:p>
      <w:pPr>
        <w:ind w:right="120" w:firstLine="464"/>
        <w:spacing w:after="0" w:line="342" w:lineRule="auto"/>
        <w:tabs>
          <w:tab w:leader="none" w:pos="846" w:val="left"/>
        </w:tabs>
        <w:numPr>
          <w:ilvl w:val="0"/>
          <w:numId w:val="145"/>
        </w:numPr>
        <w:rPr>
          <w:rFonts w:ascii="Arial" w:cs="Arial" w:eastAsia="Arial" w:hAnsi="Arial"/>
          <w:sz w:val="16"/>
          <w:szCs w:val="16"/>
          <w:color w:val="auto"/>
        </w:rPr>
      </w:pPr>
      <w:r>
        <w:rPr>
          <w:rFonts w:ascii="Arial" w:cs="Arial" w:eastAsia="Arial" w:hAnsi="Arial"/>
          <w:sz w:val="16"/>
          <w:szCs w:val="16"/>
          <w:color w:val="auto"/>
        </w:rPr>
        <w:t xml:space="preserve">Effect an Acquisition (other than any Acquisition permitted under </w:t>
      </w:r>
      <w:r>
        <w:rPr>
          <w:rFonts w:ascii="Arial" w:cs="Arial" w:eastAsia="Arial" w:hAnsi="Arial"/>
          <w:sz w:val="16"/>
          <w:szCs w:val="16"/>
          <w:u w:val="single" w:color="auto"/>
          <w:color w:val="auto"/>
        </w:rPr>
        <w:t>Section 7.04(a)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so long as no Default shall exist prior to or after giving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thereto (and any Indebtedness incurred in connection therewith), the Borrower and its Subsidiaries may make:</w:t>
      </w:r>
    </w:p>
    <w:p>
      <w:pPr>
        <w:spacing w:after="0" w:line="16" w:lineRule="exact"/>
        <w:rPr>
          <w:sz w:val="20"/>
          <w:szCs w:val="20"/>
          <w:color w:val="auto"/>
        </w:rPr>
      </w:pPr>
    </w:p>
    <w:p>
      <w:pPr>
        <w:ind w:left="900"/>
        <w:spacing w:after="0"/>
        <w:tabs>
          <w:tab w:leader="none" w:pos="124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an Acquisition so long as:</w:t>
      </w:r>
    </w:p>
    <w:p>
      <w:pPr>
        <w:spacing w:after="0" w:line="117" w:lineRule="exact"/>
        <w:rPr>
          <w:sz w:val="20"/>
          <w:szCs w:val="20"/>
          <w:color w:val="auto"/>
        </w:rPr>
      </w:pPr>
    </w:p>
    <w:p>
      <w:pPr>
        <w:ind w:left="1340" w:hanging="437"/>
        <w:spacing w:after="0"/>
        <w:tabs>
          <w:tab w:leader="none" w:pos="13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 the case of a merger, amalgamation or other combination including the Borrower, the Borrower shall be the surviving entity;</w:t>
      </w:r>
    </w:p>
    <w:p>
      <w:pPr>
        <w:spacing w:after="0" w:line="117" w:lineRule="exact"/>
        <w:rPr>
          <w:rFonts w:ascii="Arial" w:cs="Arial" w:eastAsia="Arial" w:hAnsi="Arial"/>
          <w:sz w:val="18"/>
          <w:szCs w:val="18"/>
          <w:color w:val="auto"/>
        </w:rPr>
      </w:pPr>
    </w:p>
    <w:p>
      <w:pPr>
        <w:ind w:left="460" w:right="340" w:firstLine="443"/>
        <w:spacing w:after="0" w:line="277" w:lineRule="auto"/>
        <w:tabs>
          <w:tab w:leader="none" w:pos="131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 the case of a merger, amalgamation or other combination including a Loan Party (other than the Borrower), a Loan Party shall be the surviving entity;</w:t>
      </w:r>
    </w:p>
    <w:p>
      <w:pPr>
        <w:spacing w:after="0" w:line="62" w:lineRule="exact"/>
        <w:rPr>
          <w:rFonts w:ascii="Arial" w:cs="Arial" w:eastAsia="Arial" w:hAnsi="Arial"/>
          <w:sz w:val="18"/>
          <w:szCs w:val="18"/>
          <w:color w:val="auto"/>
        </w:rPr>
      </w:pPr>
    </w:p>
    <w:p>
      <w:pPr>
        <w:ind w:left="460" w:right="600" w:firstLine="443"/>
        <w:spacing w:after="0" w:line="277" w:lineRule="auto"/>
        <w:tabs>
          <w:tab w:leader="none" w:pos="131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business to be acquired shall be similar to the lines of business of the Borrower and its Subsidiaries or reasonably related and/or complementary or ancillary to such lines of business and reasonable extensions and expansions thereof;</w:t>
      </w:r>
    </w:p>
    <w:p>
      <w:pPr>
        <w:spacing w:after="0" w:line="62" w:lineRule="exact"/>
        <w:rPr>
          <w:rFonts w:ascii="Arial" w:cs="Arial" w:eastAsia="Arial" w:hAnsi="Arial"/>
          <w:sz w:val="18"/>
          <w:szCs w:val="18"/>
          <w:color w:val="auto"/>
        </w:rPr>
      </w:pPr>
    </w:p>
    <w:p>
      <w:pPr>
        <w:ind w:left="1340" w:hanging="437"/>
        <w:spacing w:after="0"/>
        <w:tabs>
          <w:tab w:leader="none" w:pos="134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Borrower and its Subsidiaries shall be in full compliance with the Loan Documents both prior to and subsequent to the transaction;</w:t>
      </w:r>
    </w:p>
    <w:p>
      <w:pPr>
        <w:spacing w:after="0" w:line="128" w:lineRule="exact"/>
        <w:rPr>
          <w:rFonts w:ascii="Arial" w:cs="Arial" w:eastAsia="Arial" w:hAnsi="Arial"/>
          <w:sz w:val="17"/>
          <w:szCs w:val="17"/>
          <w:color w:val="auto"/>
        </w:rPr>
      </w:pPr>
    </w:p>
    <w:p>
      <w:pPr>
        <w:ind w:left="460" w:right="220" w:firstLine="443"/>
        <w:spacing w:after="0" w:line="277" w:lineRule="auto"/>
        <w:tabs>
          <w:tab w:leader="none" w:pos="130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such Acquisition shall not be actively opposed by the board of directors (or similar governing body) of the selling Persons or the Persons whose equity interests are to be acquired;</w:t>
      </w:r>
    </w:p>
    <w:p>
      <w:pPr>
        <w:spacing w:after="0" w:line="62" w:lineRule="exact"/>
        <w:rPr>
          <w:rFonts w:ascii="Arial" w:cs="Arial" w:eastAsia="Arial" w:hAnsi="Arial"/>
          <w:sz w:val="18"/>
          <w:szCs w:val="18"/>
          <w:color w:val="auto"/>
        </w:rPr>
      </w:pPr>
    </w:p>
    <w:p>
      <w:pPr>
        <w:ind w:left="460" w:right="80" w:firstLine="443"/>
        <w:spacing w:after="0" w:line="276" w:lineRule="auto"/>
        <w:tabs>
          <w:tab w:leader="none" w:pos="1298" w:val="left"/>
        </w:tabs>
        <w:numPr>
          <w:ilvl w:val="0"/>
          <w:numId w:val="146"/>
        </w:numPr>
        <w:rPr>
          <w:rFonts w:ascii="Arial" w:cs="Arial" w:eastAsia="Arial" w:hAnsi="Arial"/>
          <w:sz w:val="17"/>
          <w:szCs w:val="17"/>
          <w:color w:val="auto"/>
        </w:rPr>
      </w:pPr>
      <w:r>
        <w:rPr>
          <w:rFonts w:ascii="Arial" w:cs="Arial" w:eastAsia="Arial" w:hAnsi="Arial"/>
          <w:sz w:val="17"/>
          <w:szCs w:val="17"/>
          <w:color w:val="auto"/>
        </w:rPr>
        <w:t xml:space="preserve">the aggregate Consideration for all Acquisitions by Foreign Subsidiaries, Acquisitions of Persons or Equity Interests of Persons that do not become Loan Parties (including by way of merger into a Loan Party) and Acquisitions of assets that are not included in the Collateral, shall not exceed $120,000,000 during the term of this Agreement and Borrower shall have delivered evidence demonstrating that after giving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to each such Acquisition described in this </w:t>
      </w:r>
      <w:r>
        <w:rPr>
          <w:rFonts w:ascii="Arial" w:cs="Arial" w:eastAsia="Arial" w:hAnsi="Arial"/>
          <w:sz w:val="17"/>
          <w:szCs w:val="17"/>
          <w:u w:val="single" w:color="auto"/>
          <w:color w:val="auto"/>
        </w:rPr>
        <w:t>clause (vi)</w:t>
      </w:r>
      <w:r>
        <w:rPr>
          <w:rFonts w:ascii="Arial" w:cs="Arial" w:eastAsia="Arial" w:hAnsi="Arial"/>
          <w:sz w:val="17"/>
          <w:szCs w:val="17"/>
          <w:color w:val="auto"/>
        </w:rPr>
        <w:t xml:space="preserve"> (and to any Indebtedness incurred, assumed or acquired in connection therewith), the Borrower and its Subsidiaries shall be in compliance with the Pro Forma Leverage Test; and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274" w:right="259" w:bottom="1440" w:gutter="0" w:footer="0" w:header="0"/>
        </w:sectPr>
      </w:pPr>
    </w:p>
    <w:bookmarkStart w:id="97" w:name="page98"/>
    <w:bookmarkEnd w:id="97"/>
    <w:p>
      <w:pPr>
        <w:ind w:left="460" w:right="120" w:firstLine="443"/>
        <w:spacing w:after="0" w:line="297" w:lineRule="auto"/>
        <w:tabs>
          <w:tab w:leader="none" w:pos="1328" w:val="left"/>
        </w:tabs>
        <w:numPr>
          <w:ilvl w:val="0"/>
          <w:numId w:val="1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than in connection with the Paragon Acquisition, the Borrower and its Subsidiaries shall be in compliance with the Pro Forma Leverage Test, and if the aggregate Consideration for any Acquisition permitted under this clause (b) is greater than or equal to $18,000,000, the Borrower shall have provided to the Administrative Agent and the Lenders, at least five (5) days prior to such Acquisition, a certificate of a Financial Officer of the Borrower showing that, both before and after giving pro forma effect to such Acquisition (and to any Indebtedness incurred, assumed or acquired in connection therewith), the Borrower and its Subsidiaries shall be in compliance with the Pro Forma Leverage Test;</w:t>
      </w:r>
    </w:p>
    <w:p>
      <w:pPr>
        <w:spacing w:after="0" w:line="50" w:lineRule="exact"/>
        <w:rPr>
          <w:sz w:val="20"/>
          <w:szCs w:val="20"/>
          <w:color w:val="auto"/>
        </w:rPr>
      </w:pPr>
    </w:p>
    <w:p>
      <w:pPr>
        <w:ind w:left="460" w:right="140" w:firstLine="443"/>
        <w:spacing w:after="0" w:line="273" w:lineRule="auto"/>
        <w:tabs>
          <w:tab w:leader="none" w:pos="1288" w:val="left"/>
        </w:tabs>
        <w:numPr>
          <w:ilvl w:val="0"/>
          <w:numId w:val="148"/>
        </w:numPr>
        <w:rPr>
          <w:rFonts w:ascii="Arial" w:cs="Arial" w:eastAsia="Arial" w:hAnsi="Arial"/>
          <w:sz w:val="17"/>
          <w:szCs w:val="17"/>
          <w:color w:val="auto"/>
        </w:rPr>
      </w:pPr>
      <w:r>
        <w:rPr>
          <w:rFonts w:ascii="Arial" w:cs="Arial" w:eastAsia="Arial" w:hAnsi="Arial"/>
          <w:sz w:val="17"/>
          <w:szCs w:val="17"/>
          <w:color w:val="auto"/>
        </w:rPr>
        <w:t xml:space="preserve">Acquisitions, in addition to the Acquisitions permitted by Section 7.03(b) above, in an aggregate amount for all Acquisitions made on or after the Closing Date in reliance on this clause (ii) not to exceed, when taken together with Investments made on or after the Closing Date in reliance on </w:t>
      </w:r>
      <w:r>
        <w:rPr>
          <w:rFonts w:ascii="Arial" w:cs="Arial" w:eastAsia="Arial" w:hAnsi="Arial"/>
          <w:sz w:val="17"/>
          <w:szCs w:val="17"/>
          <w:u w:val="single" w:color="auto"/>
          <w:color w:val="auto"/>
        </w:rPr>
        <w:t>Section 7.03(a)(xvi)</w:t>
      </w:r>
      <w:r>
        <w:rPr>
          <w:rFonts w:ascii="Arial" w:cs="Arial" w:eastAsia="Arial" w:hAnsi="Arial"/>
          <w:sz w:val="17"/>
          <w:szCs w:val="17"/>
          <w:color w:val="auto"/>
        </w:rPr>
        <w:t xml:space="preserve">, $60,000,000,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no Default has occurred and is continuing at the time of any such Acquisition or would result therefrom and (B) in the case of any Acquisition (or series of related Acquisitions) made in reliance on this clause (ii) in an aggregate amount of $18,000,000 or more, after giving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to such Acquisition (or series of related Acquisitions) and to any Indebtedness incurred in connection therewith, the Borrower and its Subsidiaries are in compliance with the Pro Forma Leverage Test;</w:t>
      </w:r>
    </w:p>
    <w:p>
      <w:pPr>
        <w:spacing w:after="0" w:line="70" w:lineRule="exact"/>
        <w:rPr>
          <w:rFonts w:ascii="Arial" w:cs="Arial" w:eastAsia="Arial" w:hAnsi="Arial"/>
          <w:sz w:val="17"/>
          <w:szCs w:val="17"/>
          <w:color w:val="auto"/>
        </w:rPr>
      </w:pPr>
    </w:p>
    <w:p>
      <w:pPr>
        <w:ind w:left="1360" w:hanging="457"/>
        <w:spacing w:after="0"/>
        <w:tabs>
          <w:tab w:leader="none" w:pos="13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Paragon Acquisition; and</w:t>
      </w:r>
    </w:p>
    <w:p>
      <w:pPr>
        <w:spacing w:after="0" w:line="117" w:lineRule="exact"/>
        <w:rPr>
          <w:rFonts w:ascii="Arial" w:cs="Arial" w:eastAsia="Arial" w:hAnsi="Arial"/>
          <w:sz w:val="18"/>
          <w:szCs w:val="18"/>
          <w:color w:val="auto"/>
        </w:rPr>
      </w:pPr>
    </w:p>
    <w:p>
      <w:pPr>
        <w:ind w:left="1340" w:hanging="437"/>
        <w:spacing w:after="0"/>
        <w:tabs>
          <w:tab w:leader="none" w:pos="13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other Acquisitions constituting Investments permitted by subsection (a) of this </w:t>
      </w:r>
      <w:r>
        <w:rPr>
          <w:rFonts w:ascii="Arial" w:cs="Arial" w:eastAsia="Arial" w:hAnsi="Arial"/>
          <w:sz w:val="18"/>
          <w:szCs w:val="18"/>
          <w:u w:val="single" w:color="auto"/>
          <w:color w:val="auto"/>
        </w:rPr>
        <w:t>Section 7.03</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 xml:space="preserve">7.04. </w:t>
      </w:r>
      <w:r>
        <w:rPr>
          <w:rFonts w:ascii="Arial" w:cs="Arial" w:eastAsia="Arial" w:hAnsi="Arial"/>
          <w:sz w:val="18"/>
          <w:szCs w:val="18"/>
          <w:u w:val="single" w:color="auto"/>
          <w:color w:val="auto"/>
        </w:rPr>
        <w:t>Fundamental Changes</w:t>
      </w:r>
      <w:r>
        <w:rPr>
          <w:rFonts w:ascii="Arial" w:cs="Arial" w:eastAsia="Arial" w:hAnsi="Arial"/>
          <w:sz w:val="18"/>
          <w:szCs w:val="18"/>
          <w:color w:val="auto"/>
        </w:rPr>
        <w:t>. Dissolve, liquidate, merge, amalgamate or consolidate with or into any other Person, except that, if no Default shall then exist or immediately thereafter shall begin to exist:</w:t>
      </w:r>
    </w:p>
    <w:p>
      <w:pPr>
        <w:spacing w:after="0" w:line="62" w:lineRule="exact"/>
        <w:rPr>
          <w:sz w:val="20"/>
          <w:szCs w:val="20"/>
          <w:color w:val="auto"/>
        </w:rPr>
      </w:pPr>
    </w:p>
    <w:p>
      <w:pPr>
        <w:ind w:left="460" w:right="600" w:firstLine="443"/>
        <w:spacing w:after="0" w:line="342" w:lineRule="auto"/>
        <w:tabs>
          <w:tab w:leader="none" w:pos="1278" w:val="left"/>
        </w:tabs>
        <w:numPr>
          <w:ilvl w:val="0"/>
          <w:numId w:val="149"/>
        </w:numPr>
        <w:rPr>
          <w:rFonts w:ascii="Arial" w:cs="Arial" w:eastAsia="Arial" w:hAnsi="Arial"/>
          <w:sz w:val="16"/>
          <w:szCs w:val="16"/>
          <w:color w:val="auto"/>
        </w:rPr>
      </w:pPr>
      <w:r>
        <w:rPr>
          <w:rFonts w:ascii="Arial" w:cs="Arial" w:eastAsia="Arial" w:hAnsi="Arial"/>
          <w:sz w:val="16"/>
          <w:szCs w:val="16"/>
          <w:color w:val="auto"/>
        </w:rPr>
        <w:t>a Domestic Subsidiary may merge, amalgamate or consolidate with or into (i)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be the continuing or surviving Person), or (ii) any one or more Guarantors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Guarantor shall be the continuing or surviving Person);</w:t>
      </w:r>
    </w:p>
    <w:p>
      <w:pPr>
        <w:spacing w:after="0" w:line="15" w:lineRule="exact"/>
        <w:rPr>
          <w:rFonts w:ascii="Arial" w:cs="Arial" w:eastAsia="Arial" w:hAnsi="Arial"/>
          <w:sz w:val="16"/>
          <w:szCs w:val="16"/>
          <w:color w:val="auto"/>
        </w:rPr>
      </w:pPr>
    </w:p>
    <w:p>
      <w:pPr>
        <w:ind w:left="460" w:right="120" w:firstLine="443"/>
        <w:spacing w:after="0" w:line="277" w:lineRule="auto"/>
        <w:tabs>
          <w:tab w:leader="none" w:pos="128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 Domestic Subsidiary (other than a Loan Party) may merge, amalgamate or consolidate with or into any other Domestic Subsidiary (other than a Loan Party);</w:t>
      </w:r>
    </w:p>
    <w:p>
      <w:pPr>
        <w:spacing w:after="0" w:line="62" w:lineRule="exact"/>
        <w:rPr>
          <w:rFonts w:ascii="Arial" w:cs="Arial" w:eastAsia="Arial" w:hAnsi="Arial"/>
          <w:sz w:val="18"/>
          <w:szCs w:val="18"/>
          <w:color w:val="auto"/>
        </w:rPr>
      </w:pPr>
    </w:p>
    <w:p>
      <w:pPr>
        <w:ind w:left="1280" w:hanging="377"/>
        <w:spacing w:after="0"/>
        <w:tabs>
          <w:tab w:leader="none" w:pos="128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a Foreign Subsidiary may merge, amalgamate or consolidate with or into another Foreign Subsidiary or the Borrower or a Guarantor</w:t>
      </w:r>
    </w:p>
    <w:p>
      <w:pPr>
        <w:spacing w:after="0" w:line="35" w:lineRule="exact"/>
        <w:rPr>
          <w:sz w:val="20"/>
          <w:szCs w:val="20"/>
          <w:color w:val="auto"/>
        </w:rPr>
      </w:pPr>
    </w:p>
    <w:p>
      <w:pPr>
        <w:ind w:left="4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any merger, amalgamation or consolidation involving the Borrower or a Guarantor, the Borrower or Guarantor shall be the continuing or surviving Person);</w:t>
      </w:r>
    </w:p>
    <w:p>
      <w:pPr>
        <w:spacing w:after="0" w:line="76" w:lineRule="exact"/>
        <w:rPr>
          <w:sz w:val="20"/>
          <w:szCs w:val="20"/>
          <w:color w:val="auto"/>
        </w:rPr>
      </w:pPr>
    </w:p>
    <w:p>
      <w:pPr>
        <w:ind w:left="460" w:right="120" w:firstLine="443"/>
        <w:spacing w:after="0" w:line="264" w:lineRule="auto"/>
        <w:tabs>
          <w:tab w:leader="none" w:pos="128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any Wholly-Owned Subsidiary may be dissolved or liquidated so long as such Subsidiary is not, at the time, a Loan Party or, if it is a Loan Party at such time, all assets and interests of such Subsidiary, are transferred to another Loan Party on or before the time of its dissolution or liquidation; and</w:t>
      </w:r>
    </w:p>
    <w:p>
      <w:pPr>
        <w:spacing w:after="0" w:line="73" w:lineRule="exact"/>
        <w:rPr>
          <w:rFonts w:ascii="Arial" w:cs="Arial" w:eastAsia="Arial" w:hAnsi="Arial"/>
          <w:sz w:val="18"/>
          <w:szCs w:val="18"/>
          <w:color w:val="auto"/>
        </w:rPr>
      </w:pPr>
    </w:p>
    <w:p>
      <w:pPr>
        <w:ind w:left="1280" w:hanging="377"/>
        <w:spacing w:after="0"/>
        <w:tabs>
          <w:tab w:leader="none" w:pos="12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Acquisitions may be effected in accordance with the provisions of </w:t>
      </w:r>
      <w:r>
        <w:rPr>
          <w:rFonts w:ascii="Arial" w:cs="Arial" w:eastAsia="Arial" w:hAnsi="Arial"/>
          <w:sz w:val="18"/>
          <w:szCs w:val="18"/>
          <w:u w:val="single" w:color="auto"/>
          <w:color w:val="auto"/>
        </w:rPr>
        <w:t>Section 7.03(b)</w:t>
      </w:r>
      <w:r>
        <w:rPr>
          <w:rFonts w:ascii="Arial" w:cs="Arial" w:eastAsia="Arial" w:hAnsi="Arial"/>
          <w:sz w:val="18"/>
          <w:szCs w:val="18"/>
          <w:color w:val="auto"/>
        </w:rPr>
        <w:t xml:space="preserve"> hereof.</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 xml:space="preserve">7.05. </w:t>
      </w:r>
      <w:r>
        <w:rPr>
          <w:rFonts w:ascii="Arial" w:cs="Arial" w:eastAsia="Arial" w:hAnsi="Arial"/>
          <w:sz w:val="18"/>
          <w:szCs w:val="18"/>
          <w:u w:val="single" w:color="auto"/>
          <w:color w:val="auto"/>
        </w:rPr>
        <w:t>Dispositions</w:t>
      </w:r>
      <w:r>
        <w:rPr>
          <w:rFonts w:ascii="Arial" w:cs="Arial" w:eastAsia="Arial" w:hAnsi="Arial"/>
          <w:sz w:val="18"/>
          <w:szCs w:val="18"/>
          <w:color w:val="auto"/>
        </w:rPr>
        <w:t>. Make any Disposition or enter into any agreement to make any Disposition, other than in the ordinary course of business, except that, if no Default shall then exist or immediately thereafter shall begin to exist:</w:t>
      </w:r>
    </w:p>
    <w:p>
      <w:pPr>
        <w:spacing w:after="0" w:line="62" w:lineRule="exact"/>
        <w:rPr>
          <w:sz w:val="20"/>
          <w:szCs w:val="20"/>
          <w:color w:val="auto"/>
        </w:rPr>
      </w:pPr>
    </w:p>
    <w:p>
      <w:pPr>
        <w:ind w:left="1280" w:hanging="377"/>
        <w:spacing w:after="0"/>
        <w:tabs>
          <w:tab w:leader="none" w:pos="12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 Loan Party may sell, lease, transfer or otherwise dispose of any of its assets to any other Loan Party;</w:t>
      </w:r>
    </w:p>
    <w:p>
      <w:pPr>
        <w:spacing w:after="0" w:line="117" w:lineRule="exact"/>
        <w:rPr>
          <w:rFonts w:ascii="Arial" w:cs="Arial" w:eastAsia="Arial" w:hAnsi="Arial"/>
          <w:sz w:val="18"/>
          <w:szCs w:val="18"/>
          <w:color w:val="auto"/>
        </w:rPr>
      </w:pPr>
    </w:p>
    <w:p>
      <w:pPr>
        <w:ind w:left="460" w:right="20" w:firstLine="443"/>
        <w:spacing w:after="0" w:line="277" w:lineRule="auto"/>
        <w:tabs>
          <w:tab w:leader="none" w:pos="128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Borrower and its Subsidiaries may Dispose of any assets, so long as the aggregate amount of all such Dispositions, for the Borrower and its Subsidiaries, shall not exceed $18,000,000 per fiscal year of the Borrower;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274" w:right="259" w:bottom="1440" w:gutter="0" w:footer="0" w:header="0"/>
        </w:sectPr>
      </w:pPr>
    </w:p>
    <w:bookmarkStart w:id="98" w:name="page99"/>
    <w:bookmarkEnd w:id="98"/>
    <w:p>
      <w:pPr>
        <w:ind w:right="20" w:firstLine="443"/>
        <w:spacing w:after="0" w:line="264" w:lineRule="auto"/>
        <w:tabs>
          <w:tab w:leader="none" w:pos="818" w:val="left"/>
        </w:tabs>
        <w:numPr>
          <w:ilvl w:val="0"/>
          <w:numId w:val="1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 Domestic Subsidiary (other than a Loan Party) may Dispose of any of its assets to the Borrower or any other Domestic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any Disposition to a Loan Party such Disposition shall not be for more than the fair market value of the assets which are the subject of such Disposition;</w:t>
      </w:r>
    </w:p>
    <w:p>
      <w:pPr>
        <w:spacing w:after="0" w:line="73" w:lineRule="exact"/>
        <w:rPr>
          <w:rFonts w:ascii="Arial" w:cs="Arial" w:eastAsia="Arial" w:hAnsi="Arial"/>
          <w:sz w:val="18"/>
          <w:szCs w:val="18"/>
          <w:color w:val="auto"/>
        </w:rPr>
      </w:pPr>
    </w:p>
    <w:p>
      <w:pPr>
        <w:ind w:right="160" w:firstLine="443"/>
        <w:spacing w:after="0" w:line="277" w:lineRule="auto"/>
        <w:tabs>
          <w:tab w:leader="none" w:pos="828"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a Foreign Subsidiary may Dispose of any of its assets to any Loan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Disposition shall not be for more than the fair market value of the assets which are the subject of such Disposition;</w:t>
      </w:r>
    </w:p>
    <w:p>
      <w:pPr>
        <w:spacing w:after="0" w:line="62" w:lineRule="exact"/>
        <w:rPr>
          <w:rFonts w:ascii="Arial" w:cs="Arial" w:eastAsia="Arial" w:hAnsi="Arial"/>
          <w:sz w:val="18"/>
          <w:szCs w:val="18"/>
          <w:color w:val="auto"/>
        </w:rPr>
      </w:pPr>
    </w:p>
    <w:p>
      <w:pPr>
        <w:ind w:left="820" w:hanging="377"/>
        <w:spacing w:after="0"/>
        <w:tabs>
          <w:tab w:leader="none" w:pos="8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Dispositions permitted by </w:t>
      </w:r>
      <w:r>
        <w:rPr>
          <w:rFonts w:ascii="Arial" w:cs="Arial" w:eastAsia="Arial" w:hAnsi="Arial"/>
          <w:sz w:val="18"/>
          <w:szCs w:val="18"/>
          <w:u w:val="single" w:color="auto"/>
          <w:color w:val="auto"/>
        </w:rPr>
        <w:t>Section 7.04</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right="20" w:firstLine="443"/>
        <w:spacing w:after="0" w:line="312" w:lineRule="auto"/>
        <w:tabs>
          <w:tab w:leader="none" w:pos="798" w:val="left"/>
        </w:tabs>
        <w:numPr>
          <w:ilvl w:val="0"/>
          <w:numId w:val="152"/>
        </w:numPr>
        <w:rPr>
          <w:rFonts w:ascii="Arial" w:cs="Arial" w:eastAsia="Arial" w:hAnsi="Arial"/>
          <w:sz w:val="16"/>
          <w:szCs w:val="16"/>
          <w:color w:val="auto"/>
        </w:rPr>
      </w:pPr>
      <w:r>
        <w:rPr>
          <w:rFonts w:ascii="Arial" w:cs="Arial" w:eastAsia="Arial" w:hAnsi="Arial"/>
          <w:sz w:val="16"/>
          <w:szCs w:val="16"/>
          <w:color w:val="auto"/>
        </w:rPr>
        <w:t xml:space="preserve">the Borrower and its Subsidiaries may sell, transfer or otherwise dispose of fixed assets in the ordinary course of business for the purpose of replacing such fixed assets;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fixed assets are replaced within one hundred eighty (180) days of such sale or other disposition with other fixed assets which have a fair market value not materially less than the fair market value of the fixed assets sold or otherwise disposed;</w:t>
      </w:r>
    </w:p>
    <w:p>
      <w:pPr>
        <w:spacing w:after="0" w:line="38" w:lineRule="exact"/>
        <w:rPr>
          <w:rFonts w:ascii="Arial" w:cs="Arial" w:eastAsia="Arial" w:hAnsi="Arial"/>
          <w:sz w:val="16"/>
          <w:szCs w:val="16"/>
          <w:color w:val="auto"/>
        </w:rPr>
      </w:pPr>
    </w:p>
    <w:p>
      <w:pPr>
        <w:ind w:left="840" w:hanging="397"/>
        <w:spacing w:after="0"/>
        <w:tabs>
          <w:tab w:leader="none" w:pos="8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 Foreign Subsidiary may Dispose of any of its assets to any other Foreign Subsidiary;</w:t>
      </w:r>
    </w:p>
    <w:p>
      <w:pPr>
        <w:spacing w:after="0" w:line="117" w:lineRule="exact"/>
        <w:rPr>
          <w:rFonts w:ascii="Arial" w:cs="Arial" w:eastAsia="Arial" w:hAnsi="Arial"/>
          <w:sz w:val="18"/>
          <w:szCs w:val="18"/>
          <w:color w:val="auto"/>
        </w:rPr>
      </w:pPr>
    </w:p>
    <w:p>
      <w:pPr>
        <w:ind w:right="40" w:firstLine="443"/>
        <w:spacing w:after="0" w:line="342" w:lineRule="auto"/>
        <w:tabs>
          <w:tab w:leader="none" w:pos="828"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Disposition of owned real property (and related furniture, fixtures and equipment) in connection with a sale leaseback transaction with a Governmental Authority with respect to such owned real property, so long as the amount of such Disposition does not exceed $12,000,000;</w:t>
      </w:r>
    </w:p>
    <w:p>
      <w:pPr>
        <w:spacing w:after="0" w:line="15" w:lineRule="exact"/>
        <w:rPr>
          <w:rFonts w:ascii="Arial" w:cs="Arial" w:eastAsia="Arial" w:hAnsi="Arial"/>
          <w:sz w:val="16"/>
          <w:szCs w:val="16"/>
          <w:color w:val="auto"/>
        </w:rPr>
      </w:pPr>
    </w:p>
    <w:p>
      <w:pPr>
        <w:ind w:right="40" w:firstLine="443"/>
        <w:spacing w:after="0" w:line="276" w:lineRule="auto"/>
        <w:tabs>
          <w:tab w:leader="none" w:pos="788" w:val="left"/>
        </w:tabs>
        <w:numPr>
          <w:ilvl w:val="0"/>
          <w:numId w:val="152"/>
        </w:numPr>
        <w:rPr>
          <w:rFonts w:ascii="Arial" w:cs="Arial" w:eastAsia="Arial" w:hAnsi="Arial"/>
          <w:sz w:val="17"/>
          <w:szCs w:val="17"/>
          <w:color w:val="auto"/>
        </w:rPr>
      </w:pPr>
      <w:r>
        <w:rPr>
          <w:rFonts w:ascii="Arial" w:cs="Arial" w:eastAsia="Arial" w:hAnsi="Arial"/>
          <w:sz w:val="17"/>
          <w:szCs w:val="17"/>
          <w:color w:val="auto"/>
        </w:rPr>
        <w:t xml:space="preserve">Dispositions not otherwise permitted under this </w:t>
      </w:r>
      <w:r>
        <w:rPr>
          <w:rFonts w:ascii="Arial" w:cs="Arial" w:eastAsia="Arial" w:hAnsi="Arial"/>
          <w:sz w:val="17"/>
          <w:szCs w:val="17"/>
          <w:u w:val="single" w:color="auto"/>
          <w:color w:val="auto"/>
        </w:rPr>
        <w:t>Section 7.05</w:t>
      </w:r>
      <w:r>
        <w:rPr>
          <w:rFonts w:ascii="Arial" w:cs="Arial" w:eastAsia="Arial" w:hAnsi="Arial"/>
          <w:sz w:val="17"/>
          <w:szCs w:val="17"/>
          <w:color w:val="auto"/>
        </w:rPr>
        <w:t xml:space="preserve"> so long as (i) the consideration received for the assets to be so disposed is at least equal to the fair market value of such assets, as reasonably determined by the Board of Directors of the Borrower, and at least 75% of the consideration so received constitutes cash, (ii) the proceeds of such Disposition are applied in accordance with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(iii) after giving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to such Disposition, the Borrower and its Subsidiaries shall be in compliance with the Pro Forma Leverage Test and (iv) no Default or Event of Default is occurring and continuing at the time of such Disposition or results therefrom;</w:t>
      </w:r>
    </w:p>
    <w:p>
      <w:pPr>
        <w:spacing w:after="0" w:line="64" w:lineRule="exact"/>
        <w:rPr>
          <w:rFonts w:ascii="Arial" w:cs="Arial" w:eastAsia="Arial" w:hAnsi="Arial"/>
          <w:sz w:val="17"/>
          <w:szCs w:val="17"/>
          <w:color w:val="auto"/>
        </w:rPr>
      </w:pPr>
    </w:p>
    <w:p>
      <w:pPr>
        <w:ind w:left="800" w:hanging="357"/>
        <w:spacing w:after="0"/>
        <w:tabs>
          <w:tab w:leader="none" w:pos="8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Dispositions of Receivables in connection with any Qualified Receivables Transaction; and</w:t>
      </w:r>
    </w:p>
    <w:p>
      <w:pPr>
        <w:spacing w:after="0" w:line="117" w:lineRule="exact"/>
        <w:rPr>
          <w:rFonts w:ascii="Arial" w:cs="Arial" w:eastAsia="Arial" w:hAnsi="Arial"/>
          <w:sz w:val="18"/>
          <w:szCs w:val="18"/>
          <w:color w:val="auto"/>
        </w:rPr>
      </w:pPr>
    </w:p>
    <w:p>
      <w:pPr>
        <w:ind w:left="840" w:hanging="397"/>
        <w:spacing w:after="0"/>
        <w:tabs>
          <w:tab w:leader="none" w:pos="8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a Loan Party may enter into any agreement to make a Disposition otherwise permitted under this </w:t>
      </w:r>
      <w:r>
        <w:rPr>
          <w:rFonts w:ascii="Arial" w:cs="Arial" w:eastAsia="Arial" w:hAnsi="Arial"/>
          <w:sz w:val="18"/>
          <w:szCs w:val="18"/>
          <w:u w:val="single" w:color="auto"/>
          <w:color w:val="auto"/>
        </w:rPr>
        <w:t>Section 7.05</w:t>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7.06.</w:t>
      </w:r>
      <w:r>
        <w:rPr>
          <w:sz w:val="20"/>
          <w:szCs w:val="20"/>
          <w:color w:val="auto"/>
        </w:rPr>
        <w:tab/>
      </w:r>
      <w:r>
        <w:rPr>
          <w:rFonts w:ascii="Arial" w:cs="Arial" w:eastAsia="Arial" w:hAnsi="Arial"/>
          <w:sz w:val="16"/>
          <w:szCs w:val="16"/>
          <w:u w:val="single" w:color="auto"/>
          <w:color w:val="auto"/>
        </w:rPr>
        <w:t>Restricted Payments</w:t>
      </w:r>
      <w:r>
        <w:rPr>
          <w:rFonts w:ascii="Arial" w:cs="Arial" w:eastAsia="Arial" w:hAnsi="Arial"/>
          <w:sz w:val="16"/>
          <w:szCs w:val="16"/>
          <w:color w:val="auto"/>
        </w:rPr>
        <w:t>. Make or commit itself to make or declare any Restricted Payment at any time, provided that:</w:t>
      </w:r>
    </w:p>
    <w:p>
      <w:pPr>
        <w:spacing w:after="0" w:line="117" w:lineRule="exact"/>
        <w:rPr>
          <w:sz w:val="20"/>
          <w:szCs w:val="20"/>
          <w:color w:val="auto"/>
        </w:rPr>
      </w:pPr>
    </w:p>
    <w:p>
      <w:pPr>
        <w:ind w:firstLine="443"/>
        <w:spacing w:after="0" w:line="264" w:lineRule="auto"/>
        <w:tabs>
          <w:tab w:leader="none" w:pos="81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each Subsidiary may make Capital Distributions to the Borrower, any Subsidiaries of the Borrower that are Guarantors and any other Person that owns a direct Equity Interest in such Subsidiary, ratably according to their respective holdings of the type of Equity Interest in respect of which such Capital Distribution is being made;</w:t>
      </w:r>
    </w:p>
    <w:p>
      <w:pPr>
        <w:spacing w:after="0" w:line="73" w:lineRule="exact"/>
        <w:rPr>
          <w:rFonts w:ascii="Arial" w:cs="Arial" w:eastAsia="Arial" w:hAnsi="Arial"/>
          <w:sz w:val="18"/>
          <w:szCs w:val="18"/>
          <w:color w:val="auto"/>
        </w:rPr>
      </w:pPr>
    </w:p>
    <w:p>
      <w:pPr>
        <w:ind w:right="300" w:firstLine="443"/>
        <w:spacing w:after="0" w:line="264" w:lineRule="auto"/>
        <w:tabs>
          <w:tab w:leader="none" w:pos="82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so long as no Default has occurred and is continuing or would result therefrom, the Borrower and its Subsidiaries may make payment of current interest, expenses and indemnities in respect of Subordinated Indebtedness (other than any such payments prohibited by the intercreditor agreement or subordination provisions applicable thereto);</w:t>
      </w:r>
    </w:p>
    <w:p>
      <w:pPr>
        <w:spacing w:after="0" w:line="73" w:lineRule="exact"/>
        <w:rPr>
          <w:rFonts w:ascii="Arial" w:cs="Arial" w:eastAsia="Arial" w:hAnsi="Arial"/>
          <w:sz w:val="18"/>
          <w:szCs w:val="18"/>
          <w:color w:val="auto"/>
        </w:rPr>
      </w:pPr>
    </w:p>
    <w:p>
      <w:pPr>
        <w:ind w:right="20" w:firstLine="443"/>
        <w:spacing w:after="0" w:line="277" w:lineRule="auto"/>
        <w:tabs>
          <w:tab w:leader="none" w:pos="81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Borrower and each Subsidiary may make Restricted Payments with the proceeds received from the substantially concurrent issue of new common Equity Interests;</w:t>
      </w:r>
    </w:p>
    <w:p>
      <w:pPr>
        <w:spacing w:after="0" w:line="62" w:lineRule="exact"/>
        <w:rPr>
          <w:rFonts w:ascii="Arial" w:cs="Arial" w:eastAsia="Arial" w:hAnsi="Arial"/>
          <w:sz w:val="18"/>
          <w:szCs w:val="18"/>
          <w:color w:val="auto"/>
        </w:rPr>
      </w:pPr>
    </w:p>
    <w:p>
      <w:pPr>
        <w:ind w:right="400" w:firstLine="443"/>
        <w:spacing w:after="0" w:line="277" w:lineRule="auto"/>
        <w:tabs>
          <w:tab w:leader="none" w:pos="82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Borrower and its Subsidiaries may make Restricted Payments not otherwise permitted by this Section, so long as (i) no Default has occurred and is continuing or would result therefrom, (ii) after</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940"/>
          </w:cols>
          <w:pgMar w:left="700" w:top="274" w:right="259" w:bottom="1440" w:gutter="0" w:footer="0" w:header="0"/>
        </w:sectPr>
      </w:pPr>
    </w:p>
    <w:bookmarkStart w:id="99" w:name="page100"/>
    <w:bookmarkEnd w:id="99"/>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giving effect thereto the aggregate amount of all Restricted Payments made pursuant to this </w:t>
      </w:r>
      <w:r>
        <w:rPr>
          <w:rFonts w:ascii="Arial" w:cs="Arial" w:eastAsia="Arial" w:hAnsi="Arial"/>
          <w:sz w:val="17"/>
          <w:szCs w:val="17"/>
          <w:u w:val="single" w:color="auto"/>
          <w:color w:val="auto"/>
        </w:rPr>
        <w:t>clause (d)</w:t>
      </w:r>
      <w:r>
        <w:rPr>
          <w:rFonts w:ascii="Arial" w:cs="Arial" w:eastAsia="Arial" w:hAnsi="Arial"/>
          <w:sz w:val="17"/>
          <w:szCs w:val="17"/>
          <w:color w:val="auto"/>
        </w:rPr>
        <w:t xml:space="preserve"> and Investments made pursuant to</w:t>
      </w:r>
    </w:p>
    <w:p>
      <w:pPr>
        <w:spacing w:after="0" w:line="35" w:lineRule="exact"/>
        <w:rPr>
          <w:sz w:val="20"/>
          <w:szCs w:val="20"/>
          <w:color w:val="auto"/>
        </w:rPr>
      </w:pPr>
    </w:p>
    <w:p>
      <w:pPr>
        <w:ind w:left="460" w:right="320"/>
        <w:spacing w:after="0" w:line="302" w:lineRule="auto"/>
        <w:rPr>
          <w:sz w:val="20"/>
          <w:szCs w:val="20"/>
          <w:color w:val="auto"/>
        </w:rPr>
      </w:pPr>
      <w:r>
        <w:rPr>
          <w:rFonts w:ascii="Arial" w:cs="Arial" w:eastAsia="Arial" w:hAnsi="Arial"/>
          <w:sz w:val="16"/>
          <w:szCs w:val="16"/>
          <w:u w:val="single" w:color="auto"/>
          <w:color w:val="auto"/>
        </w:rPr>
        <w:t>Section 7.03(a)(xiv)</w:t>
      </w:r>
      <w:r>
        <w:rPr>
          <w:rFonts w:ascii="Arial" w:cs="Arial" w:eastAsia="Arial" w:hAnsi="Arial"/>
          <w:sz w:val="16"/>
          <w:szCs w:val="16"/>
          <w:color w:val="auto"/>
        </w:rPr>
        <w:t xml:space="preserve">, shall not exceed sum of (1) $30,000,000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(2) the Cumulative Retained Excess Cash Flow Amount, (iii) the Administrative Agent shall have received the certificate required by </w:t>
      </w:r>
      <w:r>
        <w:rPr>
          <w:rFonts w:ascii="Arial" w:cs="Arial" w:eastAsia="Arial" w:hAnsi="Arial"/>
          <w:sz w:val="16"/>
          <w:szCs w:val="16"/>
          <w:u w:val="single" w:color="auto"/>
          <w:color w:val="auto"/>
        </w:rPr>
        <w:t>Section 6.02(n)</w:t>
      </w:r>
      <w:r>
        <w:rPr>
          <w:rFonts w:ascii="Arial" w:cs="Arial" w:eastAsia="Arial" w:hAnsi="Arial"/>
          <w:sz w:val="16"/>
          <w:szCs w:val="16"/>
          <w:color w:val="auto"/>
        </w:rPr>
        <w:t xml:space="preserve"> and (iv) after giving pro forma effect to such Restricted Payment (and to any Indebtedness incurred in connection therewith), the Borrower and its Subsidiaries shall be in compliance with the Pro Forma Leverage Test;</w:t>
      </w:r>
    </w:p>
    <w:p>
      <w:pPr>
        <w:spacing w:after="0" w:line="47" w:lineRule="exact"/>
        <w:rPr>
          <w:sz w:val="20"/>
          <w:szCs w:val="20"/>
          <w:color w:val="auto"/>
        </w:rPr>
      </w:pPr>
    </w:p>
    <w:p>
      <w:pPr>
        <w:ind w:left="460" w:right="20" w:firstLine="443"/>
        <w:spacing w:after="0" w:line="286" w:lineRule="auto"/>
        <w:tabs>
          <w:tab w:leader="none" w:pos="1278" w:val="left"/>
        </w:tabs>
        <w:numPr>
          <w:ilvl w:val="0"/>
          <w:numId w:val="154"/>
        </w:numPr>
        <w:rPr>
          <w:rFonts w:ascii="Arial" w:cs="Arial" w:eastAsia="Arial" w:hAnsi="Arial"/>
          <w:sz w:val="17"/>
          <w:szCs w:val="17"/>
          <w:color w:val="auto"/>
        </w:rPr>
      </w:pPr>
      <w:r>
        <w:rPr>
          <w:rFonts w:ascii="Arial" w:cs="Arial" w:eastAsia="Arial" w:hAnsi="Arial"/>
          <w:sz w:val="17"/>
          <w:szCs w:val="17"/>
          <w:color w:val="auto"/>
        </w:rPr>
        <w:t xml:space="preserve">the Borrower may make Capital Distributions, consistent with its past practice, in the form of dividends to shareholders of Equity Interests in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aggregate amount of all such Capital Distributions shall not exceed $3,000,000 per fiscal quarter of the Borrower; and (ii) no Default shall have occurred and be continuing or would result from any such Capital Distribution;</w:t>
      </w:r>
    </w:p>
    <w:p>
      <w:pPr>
        <w:spacing w:after="0" w:line="57" w:lineRule="exact"/>
        <w:rPr>
          <w:rFonts w:ascii="Arial" w:cs="Arial" w:eastAsia="Arial" w:hAnsi="Arial"/>
          <w:sz w:val="17"/>
          <w:szCs w:val="17"/>
          <w:color w:val="auto"/>
        </w:rPr>
      </w:pPr>
    </w:p>
    <w:p>
      <w:pPr>
        <w:ind w:left="460" w:right="680" w:firstLine="443"/>
        <w:spacing w:after="0" w:line="277" w:lineRule="auto"/>
        <w:tabs>
          <w:tab w:leader="none" w:pos="125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Borrower and its Subsidiaries may make Restricted Payments constituting a prepayment of Indebtedness in connection with the Refinancing of such Indebtedness; and</w:t>
      </w:r>
    </w:p>
    <w:p>
      <w:pPr>
        <w:spacing w:after="0" w:line="62" w:lineRule="exact"/>
        <w:rPr>
          <w:rFonts w:ascii="Arial" w:cs="Arial" w:eastAsia="Arial" w:hAnsi="Arial"/>
          <w:sz w:val="18"/>
          <w:szCs w:val="18"/>
          <w:color w:val="auto"/>
        </w:rPr>
      </w:pPr>
    </w:p>
    <w:p>
      <w:pPr>
        <w:ind w:left="460" w:right="340" w:firstLine="443"/>
        <w:spacing w:after="0" w:line="308" w:lineRule="auto"/>
        <w:tabs>
          <w:tab w:leader="none" w:pos="1288" w:val="left"/>
        </w:tabs>
        <w:numPr>
          <w:ilvl w:val="0"/>
          <w:numId w:val="154"/>
        </w:numPr>
        <w:rPr>
          <w:rFonts w:ascii="Arial" w:cs="Arial" w:eastAsia="Arial" w:hAnsi="Arial"/>
          <w:sz w:val="17"/>
          <w:szCs w:val="17"/>
          <w:color w:val="auto"/>
        </w:rPr>
      </w:pPr>
      <w:r>
        <w:rPr>
          <w:rFonts w:ascii="Arial" w:cs="Arial" w:eastAsia="Arial" w:hAnsi="Arial"/>
          <w:sz w:val="17"/>
          <w:szCs w:val="17"/>
          <w:color w:val="auto"/>
        </w:rPr>
        <w:t xml:space="preserve">so long as no Default has occurred and is continuing or would result therefrom, each of Autocam do Brasil Usinagem, LTDA, Bouverat Industries S.A.S., and Autocam France, SARL may at any time repay its respective Indebtedness set forth on </w:t>
      </w:r>
      <w:r>
        <w:rPr>
          <w:rFonts w:ascii="Arial" w:cs="Arial" w:eastAsia="Arial" w:hAnsi="Arial"/>
          <w:sz w:val="17"/>
          <w:szCs w:val="17"/>
          <w:u w:val="single" w:color="auto"/>
          <w:color w:val="auto"/>
        </w:rPr>
        <w:t>Schedule 7.02</w:t>
      </w:r>
      <w:r>
        <w:rPr>
          <w:rFonts w:ascii="Arial" w:cs="Arial" w:eastAsia="Arial" w:hAnsi="Arial"/>
          <w:sz w:val="17"/>
          <w:szCs w:val="17"/>
          <w:color w:val="auto"/>
        </w:rPr>
        <w:t>.</w:t>
      </w:r>
    </w:p>
    <w:p>
      <w:pPr>
        <w:spacing w:after="0" w:line="14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 xml:space="preserve">7.07. </w:t>
      </w:r>
      <w:r>
        <w:rPr>
          <w:rFonts w:ascii="Arial" w:cs="Arial" w:eastAsia="Arial" w:hAnsi="Arial"/>
          <w:sz w:val="18"/>
          <w:szCs w:val="18"/>
          <w:u w:val="single" w:color="auto"/>
          <w:color w:val="auto"/>
        </w:rPr>
        <w:t>Change in Nature of Business</w:t>
      </w:r>
      <w:r>
        <w:rPr>
          <w:rFonts w:ascii="Arial" w:cs="Arial" w:eastAsia="Arial" w:hAnsi="Arial"/>
          <w:sz w:val="18"/>
          <w:szCs w:val="18"/>
          <w:color w:val="auto"/>
        </w:rPr>
        <w:t>. Engage in any business if, as a result thereof, the general nature of the business of the Borrower and its Subsidiaries taken as a whole would be substantially changed from the general nature of the business the Borrower and its Subsidiaries are engaged in on the Closing Date.</w:t>
      </w:r>
    </w:p>
    <w:p>
      <w:pPr>
        <w:spacing w:after="0" w:line="18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 xml:space="preserve">7.08.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Directly or indirectly, enter into or permit to exist any transaction (including, without limitation, the purchase, sale, lease or exchange of any property or the rendering of any service) with any Affiliate (other than a Loan Party) on terms that shall be less favorable to the Borrower or such Subsidiary than those that might be obtained at the time in a transaction with a non-Affiliate; provided that the foregoing shall not prohibit the payment of customary and reasonable directors’ fees to directors who are not employees of the Borrower or any Subsidiary or an Affiliate.</w:t>
      </w:r>
    </w:p>
    <w:p>
      <w:pPr>
        <w:spacing w:after="0" w:line="154"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7.09. </w:t>
      </w:r>
      <w:r>
        <w:rPr>
          <w:rFonts w:ascii="Arial" w:cs="Arial" w:eastAsia="Arial" w:hAnsi="Arial"/>
          <w:sz w:val="17"/>
          <w:szCs w:val="17"/>
          <w:u w:val="single" w:color="auto"/>
          <w:color w:val="auto"/>
        </w:rPr>
        <w:t>Burdensome Agreements</w:t>
      </w:r>
      <w:r>
        <w:rPr>
          <w:rFonts w:ascii="Arial" w:cs="Arial" w:eastAsia="Arial" w:hAnsi="Arial"/>
          <w:sz w:val="17"/>
          <w:szCs w:val="17"/>
          <w:color w:val="auto"/>
        </w:rPr>
        <w:t>. Except as set forth in this Agreement and the other Loan Documents directly or indirectly, create or otherwise cause or suffer to exist or become effective any encumbrance or restriction on the ability of any Subsidiary to (a) make, directly or indirectly, any Capital Distribution to the Borrower, (b) make, directly or indirectly, loans or advances or capital contributions to the Borrower or (c) transfer, directly or indirectly, any of the properties or assets of such Subsidiary to the Borrower; except for such encumbrances or restrictions existing under or by reason of (i) applicable Law, (ii) customary non-assignment provisions in leases or other agreements entered in the ordinary course of business and consistent with past practices, (iii) [reserved] or (iv) customary restrictions in agreements in connection with Qualified Receivables Transactions, consignment agreements, security agreements or mortgages permitted hereunder securing Indebtedness or Capitalized Leases permitted hereunder, of a Subsidiary to the extent such restrictions shall only restrict the transfer of the property subject to such security agreement, mortgage or lease.</w:t>
      </w:r>
    </w:p>
    <w:p>
      <w:pPr>
        <w:spacing w:after="0" w:line="179"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7.10.</w:t>
      </w:r>
      <w:r>
        <w:rPr>
          <w:sz w:val="20"/>
          <w:szCs w:val="20"/>
          <w:color w:val="auto"/>
        </w:rPr>
        <w:tab/>
      </w:r>
      <w:r>
        <w:rPr>
          <w:rFonts w:ascii="Arial" w:cs="Arial" w:eastAsia="Arial" w:hAnsi="Arial"/>
          <w:sz w:val="16"/>
          <w:szCs w:val="16"/>
          <w:u w:val="single" w:color="auto"/>
          <w:color w:val="auto"/>
        </w:rPr>
        <w:t>Use of Proceeds</w:t>
      </w:r>
      <w:r>
        <w:rPr>
          <w:rFonts w:ascii="Arial" w:cs="Arial" w:eastAsia="Arial" w:hAnsi="Arial"/>
          <w:sz w:val="16"/>
          <w:szCs w:val="16"/>
          <w:color w:val="auto"/>
        </w:rPr>
        <w:t>. Directly or indirectly, and whether immediately, incidentally or ultimately:</w:t>
      </w:r>
    </w:p>
    <w:p>
      <w:pPr>
        <w:spacing w:after="0" w:line="117" w:lineRule="exact"/>
        <w:rPr>
          <w:sz w:val="20"/>
          <w:szCs w:val="20"/>
          <w:color w:val="auto"/>
        </w:rPr>
      </w:pPr>
    </w:p>
    <w:p>
      <w:pPr>
        <w:ind w:left="460" w:right="140" w:firstLine="443"/>
        <w:spacing w:after="0" w:line="308" w:lineRule="auto"/>
        <w:tabs>
          <w:tab w:leader="none" w:pos="1278" w:val="left"/>
        </w:tabs>
        <w:numPr>
          <w:ilvl w:val="0"/>
          <w:numId w:val="155"/>
        </w:numPr>
        <w:rPr>
          <w:rFonts w:ascii="Arial" w:cs="Arial" w:eastAsia="Arial" w:hAnsi="Arial"/>
          <w:sz w:val="17"/>
          <w:szCs w:val="17"/>
          <w:color w:val="auto"/>
        </w:rPr>
      </w:pPr>
      <w:r>
        <w:rPr>
          <w:rFonts w:ascii="Arial" w:cs="Arial" w:eastAsia="Arial" w:hAnsi="Arial"/>
          <w:sz w:val="17"/>
          <w:szCs w:val="17"/>
          <w:color w:val="auto"/>
        </w:rPr>
        <w:t>use the proceeds of any Borrowing, to purchase or carry margin stock (within the meaning of Regulation U of the FRB) or to extend credit to others for the purpose of purchasing or carrying margin stock or to refund indebtedness originally incurred for such purpose;</w:t>
      </w:r>
    </w:p>
    <w:p>
      <w:pPr>
        <w:spacing w:after="0" w:line="38" w:lineRule="exact"/>
        <w:rPr>
          <w:rFonts w:ascii="Arial" w:cs="Arial" w:eastAsia="Arial" w:hAnsi="Arial"/>
          <w:sz w:val="17"/>
          <w:szCs w:val="17"/>
          <w:color w:val="auto"/>
        </w:rPr>
      </w:pPr>
    </w:p>
    <w:p>
      <w:pPr>
        <w:ind w:left="460" w:firstLine="443"/>
        <w:spacing w:after="0" w:line="279" w:lineRule="auto"/>
        <w:tabs>
          <w:tab w:leader="none" w:pos="1288" w:val="left"/>
        </w:tabs>
        <w:numPr>
          <w:ilvl w:val="0"/>
          <w:numId w:val="155"/>
        </w:numPr>
        <w:rPr>
          <w:rFonts w:ascii="Arial" w:cs="Arial" w:eastAsia="Arial" w:hAnsi="Arial"/>
          <w:sz w:val="17"/>
          <w:szCs w:val="17"/>
          <w:color w:val="auto"/>
        </w:rPr>
      </w:pPr>
      <w:r>
        <w:rPr>
          <w:rFonts w:ascii="Arial" w:cs="Arial" w:eastAsia="Arial" w:hAnsi="Arial"/>
          <w:sz w:val="17"/>
          <w:szCs w:val="17"/>
          <w:color w:val="auto"/>
        </w:rPr>
        <w:t>use the proceeds of any Borrowing, or lend, contribute or otherwise make available such proceeds to any Subsidiary, joint venture partner or other individual or entity, to fund any activities of or business with any individual or entity, or in any Designated Jurisdiction, that, at the time of such funding, is the subject of Sanctions, or in any other manner that will result in a violation by any individual or entity (including any individual or entity participating in the transaction, whether as Lender, Arranger, Administrative Agent or otherwise) of Sanctions; or</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274" w:right="259" w:bottom="1440" w:gutter="0" w:footer="0" w:header="0"/>
        </w:sectPr>
      </w:pPr>
    </w:p>
    <w:bookmarkStart w:id="100" w:name="page101"/>
    <w:bookmarkEnd w:id="100"/>
    <w:p>
      <w:pPr>
        <w:ind w:left="900"/>
        <w:spacing w:after="0"/>
        <w:tabs>
          <w:tab w:leader="none" w:pos="12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w:t>
      </w:r>
      <w:r>
        <w:rPr>
          <w:sz w:val="20"/>
          <w:szCs w:val="20"/>
          <w:color w:val="auto"/>
        </w:rPr>
        <w:tab/>
      </w:r>
      <w:r>
        <w:rPr>
          <w:rFonts w:ascii="Arial" w:cs="Arial" w:eastAsia="Arial" w:hAnsi="Arial"/>
          <w:sz w:val="16"/>
          <w:szCs w:val="16"/>
          <w:color w:val="auto"/>
        </w:rPr>
        <w:t>use the proceeds of any Borrowing for any purpose which would breach any Anti-Corruption Laws.</w:t>
      </w:r>
    </w:p>
    <w:p>
      <w:pPr>
        <w:spacing w:after="0" w:line="225"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Amendments of Organization Documents</w:t>
      </w:r>
      <w:r>
        <w:rPr>
          <w:rFonts w:ascii="Arial" w:cs="Arial" w:eastAsia="Arial" w:hAnsi="Arial"/>
          <w:sz w:val="18"/>
          <w:szCs w:val="18"/>
          <w:color w:val="auto"/>
        </w:rPr>
        <w:t>. Amend its Organization Documents to change its name or state, province or other jurisdiction of organization, or otherwise amend its Organization Documents in a manner adverse to the Lenders, without the prior written consent of the Administrative Agent which consent shall not be unreasonably withheld.</w:t>
      </w:r>
    </w:p>
    <w:p>
      <w:pPr>
        <w:spacing w:after="0" w:line="181"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6"/>
          <w:szCs w:val="16"/>
          <w:u w:val="single" w:color="auto"/>
          <w:color w:val="auto"/>
        </w:rPr>
        <w:t>Accounting Changes</w:t>
      </w:r>
      <w:r>
        <w:rPr>
          <w:rFonts w:ascii="Arial" w:cs="Arial" w:eastAsia="Arial" w:hAnsi="Arial"/>
          <w:sz w:val="16"/>
          <w:szCs w:val="16"/>
          <w:color w:val="auto"/>
        </w:rPr>
        <w:t>. Make any change in (a) accounting policies or reporting practices, except as required by GAAP, or (b) fiscal year</w:t>
      </w:r>
    </w:p>
    <w:p>
      <w:pPr>
        <w:spacing w:after="0" w:line="225"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 xml:space="preserve">7.13. </w:t>
      </w:r>
      <w:r>
        <w:rPr>
          <w:rFonts w:ascii="Arial" w:cs="Arial" w:eastAsia="Arial" w:hAnsi="Arial"/>
          <w:sz w:val="18"/>
          <w:szCs w:val="18"/>
          <w:u w:val="single" w:color="auto"/>
          <w:color w:val="auto"/>
        </w:rPr>
        <w:t>Sanctions; FCPA</w:t>
      </w:r>
      <w:r>
        <w:rPr>
          <w:rFonts w:ascii="Arial" w:cs="Arial" w:eastAsia="Arial" w:hAnsi="Arial"/>
          <w:sz w:val="18"/>
          <w:szCs w:val="18"/>
          <w:color w:val="auto"/>
        </w:rPr>
        <w:t>. Directly or indirectly, use the proceeds of any Credit Extension, or lend, contribute or otherwise make available such proceeds:</w:t>
      </w:r>
    </w:p>
    <w:p>
      <w:pPr>
        <w:spacing w:after="0" w:line="62" w:lineRule="exact"/>
        <w:rPr>
          <w:sz w:val="20"/>
          <w:szCs w:val="20"/>
          <w:color w:val="auto"/>
        </w:rPr>
      </w:pPr>
    </w:p>
    <w:p>
      <w:pPr>
        <w:ind w:left="460" w:firstLine="443"/>
        <w:spacing w:after="0" w:line="259" w:lineRule="auto"/>
        <w:tabs>
          <w:tab w:leader="none" w:pos="127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to any Subsidiary, joint venture partner or other individual or entity, to fund any activities of or business with any individual or entity, or in any Designated Jurisdiction, that, at the time of such funding, is the subject of Sanctions, or in any other manner that will result in a violation by any individual or entity (including any individual or entity participating in the transaction, whether as Lender, Arranger, Administrative Agent or otherwise) of Sanctions; or</w:t>
      </w:r>
    </w:p>
    <w:p>
      <w:pPr>
        <w:spacing w:after="0" w:line="78" w:lineRule="exact"/>
        <w:rPr>
          <w:rFonts w:ascii="Arial" w:cs="Arial" w:eastAsia="Arial" w:hAnsi="Arial"/>
          <w:sz w:val="18"/>
          <w:szCs w:val="18"/>
          <w:color w:val="auto"/>
        </w:rPr>
      </w:pPr>
    </w:p>
    <w:p>
      <w:pPr>
        <w:jc w:val="both"/>
        <w:ind w:left="460" w:right="140" w:firstLine="443"/>
        <w:spacing w:after="0" w:line="264" w:lineRule="auto"/>
        <w:tabs>
          <w:tab w:leader="none" w:pos="128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7.14. </w:t>
      </w:r>
      <w:r>
        <w:rPr>
          <w:rFonts w:ascii="Arial" w:cs="Arial" w:eastAsia="Arial" w:hAnsi="Arial"/>
          <w:sz w:val="18"/>
          <w:szCs w:val="18"/>
          <w:u w:val="single" w:color="auto"/>
          <w:color w:val="auto"/>
        </w:rPr>
        <w:t>Restrictions Pertaining to Certain Indebtedness</w:t>
      </w:r>
      <w:r>
        <w:rPr>
          <w:rFonts w:ascii="Arial" w:cs="Arial" w:eastAsia="Arial" w:hAnsi="Arial"/>
          <w:sz w:val="18"/>
          <w:szCs w:val="18"/>
          <w:color w:val="auto"/>
        </w:rPr>
        <w:t xml:space="preserve">. Permit any supplement, modification or amendment in any manner of any term or condition of any Material Indebtedness Agreement, any Indebtedness set forth in </w:t>
      </w:r>
      <w:r>
        <w:rPr>
          <w:rFonts w:ascii="Arial" w:cs="Arial" w:eastAsia="Arial" w:hAnsi="Arial"/>
          <w:sz w:val="18"/>
          <w:szCs w:val="18"/>
          <w:u w:val="single" w:color="auto"/>
          <w:color w:val="auto"/>
        </w:rPr>
        <w:t>Schedule 7.02</w:t>
      </w:r>
      <w:r>
        <w:rPr>
          <w:rFonts w:ascii="Arial" w:cs="Arial" w:eastAsia="Arial" w:hAnsi="Arial"/>
          <w:sz w:val="18"/>
          <w:szCs w:val="18"/>
          <w:color w:val="auto"/>
        </w:rPr>
        <w:t xml:space="preserve"> or any Indebtedness that is expressly subordinated in payment to the Obligations, except for (i) any permitted Refinancing Indebtedness thereof or (ii) amendments, modifications or changes that would not reasonably be expected to be materially adverse to the interests of the Lenders.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EVENTS OF DEFAULT AND REMEDIES</w:t>
      </w:r>
    </w:p>
    <w:p>
      <w:pPr>
        <w:spacing w:after="0" w:line="211"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8.01.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 Any of the following shall constitute an Event of Default:</w:t>
      </w:r>
    </w:p>
    <w:p>
      <w:pPr>
        <w:spacing w:after="0" w:line="117" w:lineRule="exact"/>
        <w:rPr>
          <w:sz w:val="20"/>
          <w:szCs w:val="20"/>
          <w:color w:val="auto"/>
        </w:rPr>
      </w:pPr>
    </w:p>
    <w:p>
      <w:pPr>
        <w:ind w:left="460" w:right="100" w:firstLine="443"/>
        <w:spacing w:after="0" w:line="264" w:lineRule="auto"/>
        <w:tabs>
          <w:tab w:leader="none" w:pos="1278"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If (a) the interest on any Loan or any Commitment or any other fee or other amount (other than the principal of any Loan) shall not be paid in full when due and payable or within five (5) Business Days thereafter, or (b) the principal of any Loan shall not be paid in full when due and payable;</w:t>
      </w:r>
    </w:p>
    <w:p>
      <w:pPr>
        <w:spacing w:after="0" w:line="289" w:lineRule="exact"/>
        <w:rPr>
          <w:rFonts w:ascii="Arial" w:cs="Arial" w:eastAsia="Arial" w:hAnsi="Arial"/>
          <w:sz w:val="18"/>
          <w:szCs w:val="18"/>
          <w:color w:val="auto"/>
        </w:rPr>
      </w:pPr>
    </w:p>
    <w:p>
      <w:pPr>
        <w:ind w:left="1300" w:hanging="397"/>
        <w:spacing w:after="0"/>
        <w:tabs>
          <w:tab w:leader="none" w:pos="1300"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Special Covenants</w:t>
      </w:r>
      <w:r>
        <w:rPr>
          <w:rFonts w:ascii="Arial" w:cs="Arial" w:eastAsia="Arial" w:hAnsi="Arial"/>
          <w:sz w:val="18"/>
          <w:szCs w:val="18"/>
          <w:color w:val="auto"/>
        </w:rPr>
        <w:t>.</w:t>
      </w:r>
    </w:p>
    <w:p>
      <w:pPr>
        <w:spacing w:after="0" w:line="117" w:lineRule="exact"/>
        <w:rPr>
          <w:sz w:val="20"/>
          <w:szCs w:val="20"/>
          <w:color w:val="auto"/>
        </w:rPr>
      </w:pPr>
    </w:p>
    <w:p>
      <w:pPr>
        <w:ind w:left="460" w:right="100" w:firstLine="443"/>
        <w:spacing w:after="0" w:line="277" w:lineRule="auto"/>
        <w:tabs>
          <w:tab w:leader="none" w:pos="1248"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If any Loan Party or Subsidiary thereof shall fail or omit to perform and observe </w:t>
      </w:r>
      <w:r>
        <w:rPr>
          <w:rFonts w:ascii="Arial" w:cs="Arial" w:eastAsia="Arial" w:hAnsi="Arial"/>
          <w:sz w:val="18"/>
          <w:szCs w:val="18"/>
          <w:u w:val="single" w:color="auto"/>
          <w:color w:val="auto"/>
        </w:rPr>
        <w:t>Sections 6.01</w:t>
      </w:r>
      <w:r>
        <w:rPr>
          <w:rFonts w:ascii="Arial" w:cs="Arial" w:eastAsia="Arial" w:hAnsi="Arial"/>
          <w:sz w:val="18"/>
          <w:szCs w:val="18"/>
          <w:color w:val="auto"/>
        </w:rPr>
        <w:t xml:space="preserve">, </w:t>
      </w:r>
      <w:r>
        <w:rPr>
          <w:rFonts w:ascii="Arial" w:cs="Arial" w:eastAsia="Arial" w:hAnsi="Arial"/>
          <w:sz w:val="18"/>
          <w:szCs w:val="18"/>
          <w:u w:val="single" w:color="auto"/>
          <w:color w:val="auto"/>
        </w:rPr>
        <w:t>6.03(a)</w:t>
      </w:r>
      <w:r>
        <w:rPr>
          <w:rFonts w:ascii="Arial" w:cs="Arial" w:eastAsia="Arial" w:hAnsi="Arial"/>
          <w:sz w:val="18"/>
          <w:szCs w:val="18"/>
          <w:color w:val="auto"/>
        </w:rPr>
        <w:t xml:space="preserve">, </w:t>
      </w:r>
      <w:r>
        <w:rPr>
          <w:rFonts w:ascii="Arial" w:cs="Arial" w:eastAsia="Arial" w:hAnsi="Arial"/>
          <w:sz w:val="18"/>
          <w:szCs w:val="18"/>
          <w:u w:val="single" w:color="auto"/>
          <w:color w:val="auto"/>
        </w:rPr>
        <w:t>6.12</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thereof), </w:t>
      </w:r>
      <w:r>
        <w:rPr>
          <w:rFonts w:ascii="Arial" w:cs="Arial" w:eastAsia="Arial" w:hAnsi="Arial"/>
          <w:sz w:val="18"/>
          <w:szCs w:val="18"/>
          <w:u w:val="single" w:color="auto"/>
          <w:color w:val="auto"/>
        </w:rPr>
        <w:t>6.15</w:t>
      </w:r>
      <w:r>
        <w:rPr>
          <w:rFonts w:ascii="Arial" w:cs="Arial" w:eastAsia="Arial" w:hAnsi="Arial"/>
          <w:sz w:val="18"/>
          <w:szCs w:val="18"/>
          <w:color w:val="auto"/>
        </w:rPr>
        <w:t xml:space="preserve">, </w:t>
      </w:r>
      <w:r>
        <w:rPr>
          <w:rFonts w:ascii="Arial" w:cs="Arial" w:eastAsia="Arial" w:hAnsi="Arial"/>
          <w:sz w:val="18"/>
          <w:szCs w:val="18"/>
          <w:u w:val="single" w:color="auto"/>
          <w:color w:val="auto"/>
        </w:rPr>
        <w:t>6.16</w:t>
      </w:r>
      <w:r>
        <w:rPr>
          <w:rFonts w:ascii="Arial" w:cs="Arial" w:eastAsia="Arial" w:hAnsi="Arial"/>
          <w:sz w:val="18"/>
          <w:szCs w:val="18"/>
          <w:color w:val="auto"/>
        </w:rPr>
        <w:t xml:space="preserve">, </w:t>
      </w:r>
      <w:r>
        <w:rPr>
          <w:rFonts w:ascii="Arial" w:cs="Arial" w:eastAsia="Arial" w:hAnsi="Arial"/>
          <w:sz w:val="18"/>
          <w:szCs w:val="18"/>
          <w:u w:val="single" w:color="auto"/>
          <w:color w:val="auto"/>
        </w:rPr>
        <w:t>6.17</w:t>
      </w:r>
      <w:r>
        <w:rPr>
          <w:rFonts w:ascii="Arial" w:cs="Arial" w:eastAsia="Arial" w:hAnsi="Arial"/>
          <w:sz w:val="18"/>
          <w:szCs w:val="18"/>
          <w:color w:val="auto"/>
        </w:rPr>
        <w:t xml:space="preserve">, </w:t>
      </w:r>
      <w:r>
        <w:rPr>
          <w:rFonts w:ascii="Arial" w:cs="Arial" w:eastAsia="Arial" w:hAnsi="Arial"/>
          <w:sz w:val="18"/>
          <w:szCs w:val="18"/>
          <w:u w:val="single" w:color="auto"/>
          <w:color w:val="auto"/>
        </w:rPr>
        <w:t>6.18</w:t>
      </w:r>
      <w:r>
        <w:rPr>
          <w:rFonts w:ascii="Arial" w:cs="Arial" w:eastAsia="Arial" w:hAnsi="Arial"/>
          <w:sz w:val="18"/>
          <w:szCs w:val="18"/>
          <w:color w:val="auto"/>
        </w:rPr>
        <w:t xml:space="preserve"> or any Section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hereof;</w:t>
      </w:r>
    </w:p>
    <w:p>
      <w:pPr>
        <w:spacing w:after="0" w:line="62" w:lineRule="exact"/>
        <w:rPr>
          <w:rFonts w:ascii="Arial" w:cs="Arial" w:eastAsia="Arial" w:hAnsi="Arial"/>
          <w:sz w:val="18"/>
          <w:szCs w:val="18"/>
          <w:color w:val="auto"/>
        </w:rPr>
      </w:pPr>
    </w:p>
    <w:p>
      <w:pPr>
        <w:ind w:left="1300" w:hanging="397"/>
        <w:spacing w:after="0"/>
        <w:tabs>
          <w:tab w:leader="none" w:pos="13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sz w:val="20"/>
          <w:szCs w:val="20"/>
          <w:color w:val="auto"/>
        </w:rPr>
      </w:pPr>
    </w:p>
    <w:p>
      <w:pPr>
        <w:ind w:left="460" w:right="280" w:firstLine="443"/>
        <w:spacing w:after="0" w:line="288" w:lineRule="auto"/>
        <w:tabs>
          <w:tab w:leader="none" w:pos="1278" w:val="left"/>
        </w:tabs>
        <w:numPr>
          <w:ilvl w:val="1"/>
          <w:numId w:val="159"/>
        </w:numPr>
        <w:rPr>
          <w:rFonts w:ascii="Arial" w:cs="Arial" w:eastAsia="Arial" w:hAnsi="Arial"/>
          <w:sz w:val="16"/>
          <w:szCs w:val="16"/>
          <w:color w:val="auto"/>
        </w:rPr>
      </w:pPr>
      <w:r>
        <w:rPr>
          <w:rFonts w:ascii="Arial" w:cs="Arial" w:eastAsia="Arial" w:hAnsi="Arial"/>
          <w:sz w:val="16"/>
          <w:szCs w:val="16"/>
          <w:u w:val="single" w:color="auto"/>
          <w:color w:val="auto"/>
        </w:rPr>
        <w:t>Other Covenants</w:t>
      </w:r>
      <w:r>
        <w:rPr>
          <w:rFonts w:ascii="Arial" w:cs="Arial" w:eastAsia="Arial" w:hAnsi="Arial"/>
          <w:sz w:val="16"/>
          <w:szCs w:val="16"/>
          <w:color w:val="auto"/>
        </w:rPr>
        <w:t xml:space="preserve">. If any Loan Party or Subsidiary thereof shall fail or omit to perform and observe any covenant, agreement or other provision (other than those referred to in </w:t>
      </w:r>
      <w:r>
        <w:rPr>
          <w:rFonts w:ascii="Arial" w:cs="Arial" w:eastAsia="Arial" w:hAnsi="Arial"/>
          <w:sz w:val="16"/>
          <w:szCs w:val="16"/>
          <w:u w:val="single" w:color="auto"/>
          <w:color w:val="auto"/>
        </w:rPr>
        <w:t>Sections 8.01(a)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8.01(b)</w:t>
      </w:r>
      <w:r>
        <w:rPr>
          <w:rFonts w:ascii="Arial" w:cs="Arial" w:eastAsia="Arial" w:hAnsi="Arial"/>
          <w:sz w:val="16"/>
          <w:szCs w:val="16"/>
          <w:color w:val="auto"/>
        </w:rPr>
        <w:t xml:space="preserve"> hereof) contained or referred to in this Agreement or any other Loan Document that is on such Loan Party’s or Subsidiary’s part to be complied with, and that failure or omission shall not have been fully corrected within thirty</w:t>
      </w:r>
    </w:p>
    <w:p>
      <w:pPr>
        <w:ind w:left="800" w:hanging="336"/>
        <w:spacing w:after="0"/>
        <w:tabs>
          <w:tab w:leader="none" w:pos="80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days after the earlier of (i) any Financial Officer of such Loan Party or Subsidiary, as applicable, becomes aware of the occurrence thereof, or</w:t>
      </w:r>
    </w:p>
    <w:p>
      <w:pPr>
        <w:spacing w:after="0" w:line="32" w:lineRule="exact"/>
        <w:rPr>
          <w:sz w:val="20"/>
          <w:szCs w:val="20"/>
          <w:color w:val="auto"/>
        </w:rPr>
      </w:pPr>
    </w:p>
    <w:p>
      <w:pPr>
        <w:ind w:left="460" w:right="60" w:firstLine="4"/>
        <w:spacing w:after="0" w:line="261" w:lineRule="auto"/>
        <w:tabs>
          <w:tab w:leader="none" w:pos="72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giving of written notice thereof to the Borrower by the Administrative Agent or the Required Lenders that the specified failure or omission is to be remedied;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274" w:right="259" w:bottom="1440" w:gutter="0" w:footer="0" w:header="0"/>
        </w:sectPr>
      </w:pPr>
    </w:p>
    <w:bookmarkStart w:id="101" w:name="page102"/>
    <w:bookmarkEnd w:id="101"/>
    <w:p>
      <w:pPr>
        <w:jc w:val="both"/>
        <w:ind w:right="180" w:firstLine="443"/>
        <w:spacing w:after="0" w:line="302" w:lineRule="auto"/>
        <w:tabs>
          <w:tab w:leader="none" w:pos="828"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Representations and Warranties</w:t>
      </w:r>
      <w:r>
        <w:rPr>
          <w:rFonts w:ascii="Arial" w:cs="Arial" w:eastAsia="Arial" w:hAnsi="Arial"/>
          <w:sz w:val="16"/>
          <w:szCs w:val="16"/>
          <w:color w:val="auto"/>
        </w:rPr>
        <w:t>. If any representation, warranty or statement made in or pursuant to this Agreement or any other Loan Document or any other material information furnished by any Loan Party or Subsidiary thereof to the Administrative Agent or the Lenders, or any thereof, or any other holder of any Note, shall be false or erroneous in any material respect (or, if any such representation, warranty or statement is by its terms qualified by concepts of materiality or reference to Material Adverse Effect, such representation, warranty or statement in any respect);</w:t>
      </w:r>
    </w:p>
    <w:p>
      <w:pPr>
        <w:spacing w:after="0" w:line="46" w:lineRule="exact"/>
        <w:rPr>
          <w:rFonts w:ascii="Arial" w:cs="Arial" w:eastAsia="Arial" w:hAnsi="Arial"/>
          <w:sz w:val="16"/>
          <w:szCs w:val="16"/>
          <w:color w:val="auto"/>
        </w:rPr>
      </w:pPr>
    </w:p>
    <w:p>
      <w:pPr>
        <w:ind w:firstLine="443"/>
        <w:spacing w:after="0" w:line="270" w:lineRule="auto"/>
        <w:tabs>
          <w:tab w:leader="none" w:pos="818" w:val="left"/>
        </w:tabs>
        <w:numPr>
          <w:ilvl w:val="0"/>
          <w:numId w:val="162"/>
        </w:numPr>
        <w:rPr>
          <w:rFonts w:ascii="Arial" w:cs="Arial" w:eastAsia="Arial" w:hAnsi="Arial"/>
          <w:sz w:val="17"/>
          <w:szCs w:val="17"/>
          <w:color w:val="auto"/>
        </w:rPr>
      </w:pPr>
      <w:r>
        <w:rPr>
          <w:rFonts w:ascii="Arial" w:cs="Arial" w:eastAsia="Arial" w:hAnsi="Arial"/>
          <w:sz w:val="17"/>
          <w:szCs w:val="17"/>
          <w:u w:val="single" w:color="auto"/>
          <w:color w:val="auto"/>
        </w:rPr>
        <w:t>Cross Default</w:t>
      </w:r>
      <w:r>
        <w:rPr>
          <w:rFonts w:ascii="Arial" w:cs="Arial" w:eastAsia="Arial" w:hAnsi="Arial"/>
          <w:sz w:val="17"/>
          <w:szCs w:val="17"/>
          <w:color w:val="auto"/>
        </w:rPr>
        <w:t xml:space="preserve">. If any Loan Party or any Subsidiary shall default in (i) the payment of any amount due and owing with respect to any Material Indebtedness Agreement beyond any period of grace provided with respect thereto or (ii) the performance or observance of any other agreement, term or condition contained in any agreement under which such obligation is created, if the effect of such default is to allow the acceleration of the maturity of any Indebtedness under any Material Indebtedness Agreement or to permit the holder thereof to cause such Indebtedness to become due prior to its stated maturity;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with respect to the occurrence of any such event or condition under the First Lien Credit Documents, such event or condition shall only constitute a Default and an Event of Default under this Agreement if (I) such failure results from the failure to pay interest, fees or principal under Material Indebtedness under the First Lien Credit Documents and such Indebtedness has become due and payable in accordance with its terms after giving effect to any applicable grace period provided in the First Lien Credit Documents (and subject to an additional 10 day grace period) or (II) the holders of such Indebtedness under the First Lien Credit Documents have caused the same to become due and payable prior to the scheduled maturity thereof;</w:t>
      </w:r>
    </w:p>
    <w:p>
      <w:pPr>
        <w:spacing w:after="0" w:line="69" w:lineRule="exact"/>
        <w:rPr>
          <w:rFonts w:ascii="Arial" w:cs="Arial" w:eastAsia="Arial" w:hAnsi="Arial"/>
          <w:sz w:val="17"/>
          <w:szCs w:val="17"/>
          <w:color w:val="auto"/>
        </w:rPr>
      </w:pPr>
    </w:p>
    <w:p>
      <w:pPr>
        <w:ind w:right="40" w:firstLine="443"/>
        <w:spacing w:after="0" w:line="259" w:lineRule="auto"/>
        <w:tabs>
          <w:tab w:leader="none" w:pos="798"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ERISA Default</w:t>
      </w:r>
      <w:r>
        <w:rPr>
          <w:rFonts w:ascii="Arial" w:cs="Arial" w:eastAsia="Arial" w:hAnsi="Arial"/>
          <w:sz w:val="18"/>
          <w:szCs w:val="18"/>
          <w:color w:val="auto"/>
        </w:rPr>
        <w:t xml:space="preserve">. The occurrence of one or more ERISA Events that (a) the Required Lenders determine, either individually or in the aggregate, has or would reasonably be expected to have a Material Adverse Effect, or (b) results in a Lien on any of the assets of any Loan Party or any Subsidiary thereof and such Lien is not released within thirty (30) days;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adequate reserves have been established in accordance with GAAP with respect to such Lien;</w:t>
      </w:r>
    </w:p>
    <w:p>
      <w:pPr>
        <w:spacing w:after="0" w:line="78" w:lineRule="exact"/>
        <w:rPr>
          <w:rFonts w:ascii="Arial" w:cs="Arial" w:eastAsia="Arial" w:hAnsi="Arial"/>
          <w:sz w:val="18"/>
          <w:szCs w:val="18"/>
          <w:color w:val="auto"/>
        </w:rPr>
      </w:pPr>
    </w:p>
    <w:p>
      <w:pPr>
        <w:ind w:left="840" w:hanging="397"/>
        <w:spacing w:after="0"/>
        <w:tabs>
          <w:tab w:leader="none" w:pos="840"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If any Change in Control shall occur;</w:t>
      </w:r>
    </w:p>
    <w:p>
      <w:pPr>
        <w:spacing w:after="0" w:line="117" w:lineRule="exact"/>
        <w:rPr>
          <w:rFonts w:ascii="Arial" w:cs="Arial" w:eastAsia="Arial" w:hAnsi="Arial"/>
          <w:sz w:val="18"/>
          <w:szCs w:val="18"/>
          <w:color w:val="auto"/>
        </w:rPr>
      </w:pPr>
    </w:p>
    <w:p>
      <w:pPr>
        <w:ind w:right="20" w:firstLine="443"/>
        <w:spacing w:after="0" w:line="270" w:lineRule="auto"/>
        <w:tabs>
          <w:tab w:leader="none" w:pos="828" w:val="left"/>
        </w:tabs>
        <w:numPr>
          <w:ilvl w:val="0"/>
          <w:numId w:val="162"/>
        </w:numPr>
        <w:rPr>
          <w:rFonts w:ascii="Arial" w:cs="Arial" w:eastAsia="Arial" w:hAnsi="Arial"/>
          <w:sz w:val="17"/>
          <w:szCs w:val="17"/>
          <w:color w:val="auto"/>
        </w:rPr>
      </w:pPr>
      <w:r>
        <w:rPr>
          <w:rFonts w:ascii="Arial" w:cs="Arial" w:eastAsia="Arial" w:hAnsi="Arial"/>
          <w:sz w:val="17"/>
          <w:szCs w:val="17"/>
          <w:u w:val="single" w:color="auto"/>
          <w:color w:val="auto"/>
        </w:rPr>
        <w:t>Judgments</w:t>
      </w:r>
      <w:r>
        <w:rPr>
          <w:rFonts w:ascii="Arial" w:cs="Arial" w:eastAsia="Arial" w:hAnsi="Arial"/>
          <w:sz w:val="17"/>
          <w:szCs w:val="17"/>
          <w:color w:val="auto"/>
        </w:rPr>
        <w:t>. (i) A final judgment or order for the payment of money shall be rendered against any Loan Party or any Subsidiary thereof by a court of competent jurisdiction, that remains unpaid or unstayed and undischarged for a period (during which execution shall not be effectively stayed) of thirty (30) days after the date on which the right to appeal has expired and the aggregate of all such judgments, for all such Loan Parties or Subsidiaries, shall exceed $36,000,000 (to the extent not covered by independent third-party insurance as to which the insurer is rated at least “A” by A.M. Best Company, has been notified of the potential claim and does not dispute coverage) or (ii) any one or more non-monetary final judgments or orders shall be rendered against any Loan Party or any Subsidiary thereof by a court of competent jurisdiction that have, or would reasonably be expected to have, individually or in the aggregate, a Material Adverse Effect and, in either case, (1) enforcement proceedings are commenced by any creditor upon such judgment or order, or (2) there is a period of 10 consecutive days during which a stay of enforcement of such judgment, by reason of a pending appeal or otherwise, is not in effect;</w:t>
      </w:r>
    </w:p>
    <w:p>
      <w:pPr>
        <w:spacing w:after="0" w:line="289" w:lineRule="exact"/>
        <w:rPr>
          <w:rFonts w:ascii="Arial" w:cs="Arial" w:eastAsia="Arial" w:hAnsi="Arial"/>
          <w:sz w:val="17"/>
          <w:szCs w:val="17"/>
          <w:color w:val="auto"/>
        </w:rPr>
      </w:pPr>
    </w:p>
    <w:p>
      <w:pPr>
        <w:ind w:left="800" w:hanging="357"/>
        <w:spacing w:after="0"/>
        <w:tabs>
          <w:tab w:leader="none" w:pos="800"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Validity of the Loan Documents</w:t>
      </w:r>
      <w:r>
        <w:rPr>
          <w:rFonts w:ascii="Arial" w:cs="Arial" w:eastAsia="Arial" w:hAnsi="Arial"/>
          <w:sz w:val="18"/>
          <w:szCs w:val="18"/>
          <w:color w:val="auto"/>
        </w:rPr>
        <w:t>.</w:t>
      </w:r>
    </w:p>
    <w:p>
      <w:pPr>
        <w:spacing w:after="0" w:line="117" w:lineRule="exact"/>
        <w:rPr>
          <w:sz w:val="20"/>
          <w:szCs w:val="20"/>
          <w:color w:val="auto"/>
        </w:rPr>
      </w:pPr>
    </w:p>
    <w:p>
      <w:pPr>
        <w:ind w:right="180" w:firstLine="443"/>
        <w:spacing w:after="0" w:line="257" w:lineRule="auto"/>
        <w:tabs>
          <w:tab w:leader="none" w:pos="788"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If any Lien granted in this Agreement or any other Loan Document in favor of the Administrative Agent shall be determined to be (i) void, voidable or invalid, or is subordinated or not otherwise given the priority contemplated by this Agreement and the Borrower has (or the appropriate Loan Party has) failed to promptly execute appropriate documents to correct such matters, or (ii) unperfected as to any material amount of Collateral (as determined by the Administrative Agent, in its reasonable discretion) and the Borrower has (or the appropriate Loan Party has) failed to promptly execute appropriate documents to correct such matters;</w:t>
      </w:r>
    </w:p>
    <w:p>
      <w:pPr>
        <w:spacing w:after="0" w:line="12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60"/>
          </w:cols>
          <w:pgMar w:left="700" w:top="274" w:right="239" w:bottom="1440" w:gutter="0" w:footer="0" w:header="0"/>
        </w:sectPr>
      </w:pPr>
    </w:p>
    <w:bookmarkStart w:id="102" w:name="page103"/>
    <w:bookmarkEnd w:id="102"/>
    <w:p>
      <w:pPr>
        <w:ind w:left="1300" w:hanging="397"/>
        <w:spacing w:after="0"/>
        <w:tabs>
          <w:tab w:leader="none" w:pos="1300" w:val="left"/>
        </w:tabs>
        <w:numPr>
          <w:ilvl w:val="1"/>
          <w:numId w:val="16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The validity, binding effect or enforceability of any Loan Document against any Loan Party shall be contested by any Loan Party;</w:t>
      </w:r>
    </w:p>
    <w:p>
      <w:pPr>
        <w:spacing w:after="0" w:line="34" w:lineRule="exact"/>
        <w:rPr>
          <w:rFonts w:ascii="Arial" w:cs="Arial" w:eastAsia="Arial" w:hAnsi="Arial"/>
          <w:sz w:val="17"/>
          <w:szCs w:val="17"/>
          <w:color w:val="auto"/>
        </w:rPr>
      </w:pPr>
    </w:p>
    <w:p>
      <w:pPr>
        <w:ind w:left="460" w:right="160" w:firstLine="4"/>
        <w:spacing w:after="0" w:line="255" w:lineRule="auto"/>
        <w:tabs>
          <w:tab w:leader="none" w:pos="74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Loan Party shall deny that it has any or further liability or obligation under any Loan Document; or (C) any Loan Document shall be terminated, invalidated or set aside, or be declared ineffective or inoperative or in any way cease to give or provide to the Administrative Agent or the Lenders the benefits purported to be created thereby;</w:t>
      </w:r>
    </w:p>
    <w:p>
      <w:pPr>
        <w:spacing w:after="0" w:line="82" w:lineRule="exact"/>
        <w:rPr>
          <w:rFonts w:ascii="Arial" w:cs="Arial" w:eastAsia="Arial" w:hAnsi="Arial"/>
          <w:sz w:val="18"/>
          <w:szCs w:val="18"/>
          <w:color w:val="auto"/>
        </w:rPr>
      </w:pPr>
    </w:p>
    <w:p>
      <w:pPr>
        <w:ind w:left="1260" w:hanging="357"/>
        <w:spacing w:after="0"/>
        <w:tabs>
          <w:tab w:leader="none" w:pos="1260" w:val="left"/>
        </w:tabs>
        <w:numPr>
          <w:ilvl w:val="1"/>
          <w:numId w:val="165"/>
        </w:numPr>
        <w:rPr>
          <w:rFonts w:ascii="Arial" w:cs="Arial" w:eastAsia="Arial" w:hAnsi="Arial"/>
          <w:sz w:val="17"/>
          <w:szCs w:val="17"/>
          <w:color w:val="auto"/>
        </w:rPr>
      </w:pPr>
      <w:r>
        <w:rPr>
          <w:rFonts w:ascii="Arial" w:cs="Arial" w:eastAsia="Arial" w:hAnsi="Arial"/>
          <w:sz w:val="17"/>
          <w:szCs w:val="17"/>
          <w:u w:val="single" w:color="auto"/>
          <w:color w:val="auto"/>
        </w:rPr>
        <w:t>Bankruptcy and Solvency</w:t>
      </w:r>
      <w:r>
        <w:rPr>
          <w:rFonts w:ascii="Arial" w:cs="Arial" w:eastAsia="Arial" w:hAnsi="Arial"/>
          <w:sz w:val="17"/>
          <w:szCs w:val="17"/>
          <w:color w:val="auto"/>
        </w:rPr>
        <w:t>. If any Loan Party or any Subsidiary thereof (other than an Inactive Subsidiary or Immaterial Subsidiary) shall</w:t>
      </w:r>
    </w:p>
    <w:p>
      <w:pPr>
        <w:spacing w:after="0" w:line="34" w:lineRule="exact"/>
        <w:rPr>
          <w:rFonts w:ascii="Arial" w:cs="Arial" w:eastAsia="Arial" w:hAnsi="Arial"/>
          <w:sz w:val="17"/>
          <w:szCs w:val="17"/>
          <w:color w:val="auto"/>
        </w:rPr>
      </w:pPr>
    </w:p>
    <w:p>
      <w:pPr>
        <w:ind w:left="460"/>
        <w:spacing w:after="0" w:line="284" w:lineRule="auto"/>
        <w:rPr>
          <w:rFonts w:ascii="Arial" w:cs="Arial" w:eastAsia="Arial" w:hAnsi="Arial"/>
          <w:sz w:val="17"/>
          <w:szCs w:val="17"/>
          <w:color w:val="auto"/>
        </w:rPr>
      </w:pPr>
      <w:r>
        <w:rPr>
          <w:rFonts w:ascii="Arial" w:cs="Arial" w:eastAsia="Arial" w:hAnsi="Arial"/>
          <w:sz w:val="16"/>
          <w:szCs w:val="16"/>
          <w:color w:val="auto"/>
        </w:rPr>
        <w:t xml:space="preserve">(1) except as permitted pursuant to </w:t>
      </w:r>
      <w:r>
        <w:rPr>
          <w:rFonts w:ascii="Arial" w:cs="Arial" w:eastAsia="Arial" w:hAnsi="Arial"/>
          <w:sz w:val="16"/>
          <w:szCs w:val="16"/>
          <w:u w:val="single" w:color="auto"/>
          <w:color w:val="auto"/>
        </w:rPr>
        <w:t>Section 7.04</w:t>
      </w:r>
      <w:r>
        <w:rPr>
          <w:rFonts w:ascii="Arial" w:cs="Arial" w:eastAsia="Arial" w:hAnsi="Arial"/>
          <w:sz w:val="16"/>
          <w:szCs w:val="16"/>
          <w:color w:val="auto"/>
        </w:rPr>
        <w:t xml:space="preserve"> hereof, discontinue business, (2) generally not pay its debts as such debts become due, (3) make a general assignment for the benefit of creditors, (4) apply for or consent to the appointment of an interim receiver, a receiver, a receiver and manager, an interim examiner, an examiner, an administrator, sequestrator, monitor, a custodian, a trustee, an interim trustee or liquidator of all or a substantial part of its assets or of such Person, (5) be adjudicated a debtor or insolvent or have entered against it an order for relief under any Debtor Relief Law, whether or not foreign, federal, state or provincial, in any applicable jurisdiction, now or hereafter existing, as any of the foregoing may be amended from time to time, or other applicable statute for jurisdictions outside of the United States, as the case may be, (6) file a voluntary petition in bankruptcy, or file a petition for the appointment of an interim examiner or examiner, or file a proposal or notice of intention to file a proposal or have an involuntary proceeding filed against it and the same shall continue undismissed for a period of sixty (60) days from commencement of such proceeding or case, or file a petition or an answer or an application or a proposal seeking reorganization or an arrangement with creditors or seeking to take advantage of any other law (whether federal, provincial or state, or, if applicable, other jurisdiction) relating to relief of debtors, or admit (by answer, by default or otherwise) the material allegations of a petition filed against it in any bankruptcy, reorganization, insolvency or other proceeding (whether federal, provincial or state, or, if applicable, other jurisdiction) relating to relief of debtors, (7) suffer or permit to continue unstayed and in effect for sixty (60) consecutive days any judgment, decree or order entered by a court of competent jurisdiction, that approves a petition or an application or a proposal seeking its reorganization or appoints an interim receiver, a receiver and manager, an interim examiner, an examiner, an administrator, custodian, trustee, interim trustee or liquidator of all or a substantial part of its assets, or of such Person, (8) have an administrative receiver, receiver or examiner appointed over the whole or substantially the whole of its assets, or of such Person, (9) take, or omit to take, any action in order thereby to effect any of the foregoing assets, the value of which is less than its liabilities (taking into account prospective and contingent liabilities), or (10) have a moratorium declared in respect of any of its Indebtedness, or any analogous procedure or step is taken in any jurisdiction; or</w:t>
      </w:r>
    </w:p>
    <w:p>
      <w:pPr>
        <w:spacing w:after="0" w:line="64" w:lineRule="exact"/>
        <w:rPr>
          <w:rFonts w:ascii="Arial" w:cs="Arial" w:eastAsia="Arial" w:hAnsi="Arial"/>
          <w:sz w:val="17"/>
          <w:szCs w:val="17"/>
          <w:color w:val="auto"/>
        </w:rPr>
      </w:pPr>
    </w:p>
    <w:p>
      <w:pPr>
        <w:ind w:left="460" w:right="60" w:firstLine="443"/>
        <w:spacing w:after="0" w:line="259" w:lineRule="auto"/>
        <w:tabs>
          <w:tab w:leader="none" w:pos="1288" w:val="left"/>
        </w:tabs>
        <w:numPr>
          <w:ilvl w:val="1"/>
          <w:numId w:val="165"/>
        </w:numPr>
        <w:rPr>
          <w:rFonts w:ascii="Arial" w:cs="Arial" w:eastAsia="Arial" w:hAnsi="Arial"/>
          <w:sz w:val="18"/>
          <w:szCs w:val="18"/>
          <w:color w:val="auto"/>
        </w:rPr>
      </w:pPr>
      <w:r>
        <w:rPr>
          <w:rFonts w:ascii="Arial" w:cs="Arial" w:eastAsia="Arial" w:hAnsi="Arial"/>
          <w:sz w:val="18"/>
          <w:szCs w:val="18"/>
          <w:u w:val="single" w:color="auto"/>
          <w:color w:val="auto"/>
        </w:rPr>
        <w:t>Senior Debt Status</w:t>
      </w:r>
      <w:r>
        <w:rPr>
          <w:rFonts w:ascii="Arial" w:cs="Arial" w:eastAsia="Arial" w:hAnsi="Arial"/>
          <w:sz w:val="18"/>
          <w:szCs w:val="18"/>
          <w:color w:val="auto"/>
        </w:rPr>
        <w:t xml:space="preserve">. The Obligations of each Loan Party under this Agreement and each of the other Loan Documents shall fail to (i) rank at least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the other material senior Indebtedness of the Loan Parties or (ii) be designated as “Senior Indebtedness,” “Designated Senior Debt” or such similar term under all instruments and documents relating to all Subordinated Indebtedness and all senior unsecured Indebtedness of such Person.</w:t>
      </w:r>
    </w:p>
    <w:p>
      <w:pPr>
        <w:spacing w:after="0" w:line="18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 xml:space="preserve">8.02. </w:t>
      </w:r>
      <w:r>
        <w:rPr>
          <w:rFonts w:ascii="Arial" w:cs="Arial" w:eastAsia="Arial" w:hAnsi="Arial"/>
          <w:sz w:val="18"/>
          <w:szCs w:val="18"/>
          <w:u w:val="single" w:color="auto"/>
          <w:color w:val="auto"/>
        </w:rPr>
        <w:t>Remedies upon Event of Default</w:t>
      </w:r>
      <w:r>
        <w:rPr>
          <w:rFonts w:ascii="Arial" w:cs="Arial" w:eastAsia="Arial" w:hAnsi="Arial"/>
          <w:sz w:val="18"/>
          <w:szCs w:val="18"/>
          <w:color w:val="auto"/>
        </w:rPr>
        <w:t>. If any Event of Default occurs and is continuing, the Administrative Agent shall, at the request of, or may, with the consent of, the Required Lenders, take any or all of the following actions:</w:t>
      </w:r>
    </w:p>
    <w:p>
      <w:pPr>
        <w:spacing w:after="0" w:line="62" w:lineRule="exact"/>
        <w:rPr>
          <w:sz w:val="20"/>
          <w:szCs w:val="20"/>
          <w:color w:val="auto"/>
        </w:rPr>
      </w:pPr>
    </w:p>
    <w:p>
      <w:pPr>
        <w:ind w:left="1280" w:hanging="377"/>
        <w:spacing w:after="0"/>
        <w:tabs>
          <w:tab w:leader="none" w:pos="128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declare the commitment of each Lender to make Loans to be terminated, whereupon such commitment and obligation shall be terminated;</w:t>
      </w:r>
    </w:p>
    <w:p>
      <w:pPr>
        <w:spacing w:after="0" w:line="140" w:lineRule="exact"/>
        <w:rPr>
          <w:rFonts w:ascii="Arial" w:cs="Arial" w:eastAsia="Arial" w:hAnsi="Arial"/>
          <w:sz w:val="16"/>
          <w:szCs w:val="16"/>
          <w:color w:val="auto"/>
        </w:rPr>
      </w:pPr>
    </w:p>
    <w:p>
      <w:pPr>
        <w:ind w:left="460" w:right="100" w:firstLine="443"/>
        <w:spacing w:after="0" w:line="264" w:lineRule="auto"/>
        <w:tabs>
          <w:tab w:leader="none" w:pos="128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73" w:lineRule="exact"/>
        <w:rPr>
          <w:rFonts w:ascii="Arial" w:cs="Arial" w:eastAsia="Arial" w:hAnsi="Arial"/>
          <w:sz w:val="18"/>
          <w:szCs w:val="18"/>
          <w:color w:val="auto"/>
        </w:rPr>
      </w:pPr>
    </w:p>
    <w:p>
      <w:pPr>
        <w:ind w:left="1280" w:hanging="377"/>
        <w:spacing w:after="0"/>
        <w:tabs>
          <w:tab w:leader="none" w:pos="12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[reserved]; and</w:t>
      </w:r>
    </w:p>
    <w:p>
      <w:pPr>
        <w:spacing w:after="0" w:line="117" w:lineRule="exact"/>
        <w:rPr>
          <w:rFonts w:ascii="Arial" w:cs="Arial" w:eastAsia="Arial" w:hAnsi="Arial"/>
          <w:sz w:val="18"/>
          <w:szCs w:val="18"/>
          <w:color w:val="auto"/>
        </w:rPr>
      </w:pPr>
    </w:p>
    <w:p>
      <w:pPr>
        <w:ind w:left="1300" w:hanging="397"/>
        <w:spacing w:after="0"/>
        <w:tabs>
          <w:tab w:leader="none" w:pos="13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exercise on behalf of itself and the Lenders all rights and remedies available to it and the Lenders under the Loan Documents;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74" w:right="239" w:bottom="1440" w:gutter="0" w:footer="0" w:header="0"/>
        </w:sectPr>
      </w:pPr>
    </w:p>
    <w:bookmarkStart w:id="103" w:name="page104"/>
    <w:bookmarkEnd w:id="103"/>
    <w:p>
      <w:pPr>
        <w:ind w:right="80"/>
        <w:spacing w:after="0" w:line="264"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upon the occurrence of an Event of Default described in </w:t>
      </w:r>
      <w:r>
        <w:rPr>
          <w:rFonts w:ascii="Arial" w:cs="Arial" w:eastAsia="Arial" w:hAnsi="Arial"/>
          <w:sz w:val="18"/>
          <w:szCs w:val="18"/>
          <w:u w:val="single" w:color="auto"/>
          <w:color w:val="auto"/>
        </w:rPr>
        <w:t>Section 8.01(j)</w:t>
      </w:r>
      <w:r>
        <w:rPr>
          <w:rFonts w:ascii="Arial" w:cs="Arial" w:eastAsia="Arial" w:hAnsi="Arial"/>
          <w:sz w:val="18"/>
          <w:szCs w:val="18"/>
          <w:color w:val="auto"/>
        </w:rPr>
        <w:t>, the obligation of each Lender to make Loans shall automatically terminate, the unpaid principal amount of all outstanding Loans and all interest and other amounts as aforesaid shall automatically become due and payable, without further act of the Administrative Agent or any Lender.</w:t>
      </w:r>
    </w:p>
    <w:p>
      <w:pPr>
        <w:spacing w:after="0" w:line="181"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 xml:space="preserve">8.03. </w:t>
      </w:r>
      <w:r>
        <w:rPr>
          <w:rFonts w:ascii="Arial" w:cs="Arial" w:eastAsia="Arial" w:hAnsi="Arial"/>
          <w:sz w:val="16"/>
          <w:szCs w:val="16"/>
          <w:u w:val="single" w:color="auto"/>
          <w:color w:val="auto"/>
        </w:rPr>
        <w:t>Application of Funds. After</w:t>
      </w:r>
      <w:r>
        <w:rPr>
          <w:rFonts w:ascii="Arial" w:cs="Arial" w:eastAsia="Arial" w:hAnsi="Arial"/>
          <w:sz w:val="16"/>
          <w:szCs w:val="16"/>
          <w:color w:val="auto"/>
        </w:rPr>
        <w:t xml:space="preserve"> the exercise of remedies provided for in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(or after the Loans have automatically become immediately due and payable), any amounts received on account of the Obligations shall be applied by the Administrative Agent in the following order:</w:t>
      </w:r>
    </w:p>
    <w:p>
      <w:pPr>
        <w:spacing w:after="0" w:line="16" w:lineRule="exact"/>
        <w:rPr>
          <w:sz w:val="20"/>
          <w:szCs w:val="20"/>
          <w:color w:val="auto"/>
        </w:rPr>
      </w:pPr>
    </w:p>
    <w:p>
      <w:pPr>
        <w:ind w:left="460" w:right="300" w:firstLine="438"/>
        <w:spacing w:after="0" w:line="264" w:lineRule="auto"/>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18"/>
          <w:szCs w:val="18"/>
          <w:u w:val="single" w:color="auto"/>
          <w:color w:val="auto"/>
        </w:rPr>
        <w:t>Article III</w:t>
      </w:r>
      <w:r>
        <w:rPr>
          <w:rFonts w:ascii="Arial" w:cs="Arial" w:eastAsia="Arial" w:hAnsi="Arial"/>
          <w:sz w:val="18"/>
          <w:szCs w:val="18"/>
          <w:color w:val="auto"/>
        </w:rPr>
        <w:t>) payable to the Administrative Agent in its capacity as such;</w:t>
      </w:r>
    </w:p>
    <w:p>
      <w:pPr>
        <w:spacing w:after="0" w:line="73" w:lineRule="exact"/>
        <w:rPr>
          <w:sz w:val="20"/>
          <w:szCs w:val="20"/>
          <w:color w:val="auto"/>
        </w:rPr>
      </w:pPr>
    </w:p>
    <w:p>
      <w:pPr>
        <w:ind w:left="460" w:right="60" w:firstLine="438"/>
        <w:spacing w:after="0" w:line="259"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payment of that portion of the Obligations constituting fees, indemnities and other amounts (other than principal and interest) payable to the Lenders (including fees, charges and disbursements of counsel to the respective Lenders (including fees and time charges for attorneys who may be employees of any Lender)) arising under the Loan Documents and amounts payable under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ratably among them in proportion to the respective amounts described in this </w:t>
      </w:r>
      <w:r>
        <w:rPr>
          <w:rFonts w:ascii="Arial" w:cs="Arial" w:eastAsia="Arial" w:hAnsi="Arial"/>
          <w:sz w:val="18"/>
          <w:szCs w:val="18"/>
          <w:u w:val="single" w:color="auto"/>
          <w:color w:val="auto"/>
        </w:rPr>
        <w:t>clause Second</w:t>
      </w:r>
      <w:r>
        <w:rPr>
          <w:rFonts w:ascii="Arial" w:cs="Arial" w:eastAsia="Arial" w:hAnsi="Arial"/>
          <w:sz w:val="18"/>
          <w:szCs w:val="18"/>
          <w:color w:val="auto"/>
        </w:rPr>
        <w:t xml:space="preserve"> payable to them;</w:t>
      </w:r>
    </w:p>
    <w:p>
      <w:pPr>
        <w:spacing w:after="0" w:line="79" w:lineRule="exact"/>
        <w:rPr>
          <w:sz w:val="20"/>
          <w:szCs w:val="20"/>
          <w:color w:val="auto"/>
        </w:rPr>
      </w:pPr>
    </w:p>
    <w:p>
      <w:pPr>
        <w:ind w:left="460" w:right="40" w:firstLine="438"/>
        <w:spacing w:after="0" w:line="308" w:lineRule="auto"/>
        <w:rPr>
          <w:sz w:val="20"/>
          <w:szCs w:val="20"/>
          <w:color w:val="auto"/>
        </w:rPr>
      </w:pPr>
      <w:r>
        <w:rPr>
          <w:rFonts w:ascii="Arial" w:cs="Arial" w:eastAsia="Arial" w:hAnsi="Arial"/>
          <w:sz w:val="17"/>
          <w:szCs w:val="17"/>
          <w:u w:val="single" w:color="auto"/>
          <w:color w:val="auto"/>
        </w:rPr>
        <w:t>Third</w:t>
      </w:r>
      <w:r>
        <w:rPr>
          <w:rFonts w:ascii="Arial" w:cs="Arial" w:eastAsia="Arial" w:hAnsi="Arial"/>
          <w:sz w:val="17"/>
          <w:szCs w:val="17"/>
          <w:color w:val="auto"/>
        </w:rPr>
        <w:t xml:space="preserve">, to payment of that portion of the Obligations constituting accrued and unpaid interest on the Loans and other Obligations arising under the Loan Documents, ratably among the Lenders in proportion to the respective amounts described in this </w:t>
      </w:r>
      <w:r>
        <w:rPr>
          <w:rFonts w:ascii="Arial" w:cs="Arial" w:eastAsia="Arial" w:hAnsi="Arial"/>
          <w:sz w:val="17"/>
          <w:szCs w:val="17"/>
          <w:u w:val="single" w:color="auto"/>
          <w:color w:val="auto"/>
        </w:rPr>
        <w:t>clause Third</w:t>
      </w:r>
      <w:r>
        <w:rPr>
          <w:rFonts w:ascii="Arial" w:cs="Arial" w:eastAsia="Arial" w:hAnsi="Arial"/>
          <w:sz w:val="17"/>
          <w:szCs w:val="17"/>
          <w:color w:val="auto"/>
        </w:rPr>
        <w:t xml:space="preserve"> payable to them;</w:t>
      </w:r>
    </w:p>
    <w:p>
      <w:pPr>
        <w:spacing w:after="0" w:line="38" w:lineRule="exact"/>
        <w:rPr>
          <w:sz w:val="20"/>
          <w:szCs w:val="20"/>
          <w:color w:val="auto"/>
        </w:rPr>
      </w:pPr>
    </w:p>
    <w:p>
      <w:pPr>
        <w:ind w:left="460" w:right="240" w:firstLine="438"/>
        <w:spacing w:after="0" w:line="277"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xml:space="preserve">, to payment of that portion of the Obligations constituting unpaid principal of the Loans ratably among the Lenders in proportion to the respective amounts described in this </w:t>
      </w:r>
      <w:r>
        <w:rPr>
          <w:rFonts w:ascii="Arial" w:cs="Arial" w:eastAsia="Arial" w:hAnsi="Arial"/>
          <w:sz w:val="18"/>
          <w:szCs w:val="18"/>
          <w:u w:val="single" w:color="auto"/>
          <w:color w:val="auto"/>
        </w:rPr>
        <w:t>clause Fourth</w:t>
      </w:r>
      <w:r>
        <w:rPr>
          <w:rFonts w:ascii="Arial" w:cs="Arial" w:eastAsia="Arial" w:hAnsi="Arial"/>
          <w:sz w:val="18"/>
          <w:szCs w:val="18"/>
          <w:color w:val="auto"/>
        </w:rPr>
        <w:t xml:space="preserve"> held by them; and</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7"/>
          <w:szCs w:val="17"/>
          <w:u w:val="single" w:color="auto"/>
          <w:color w:val="auto"/>
        </w:rPr>
        <w:t>Last</w:t>
      </w:r>
      <w:r>
        <w:rPr>
          <w:rFonts w:ascii="Arial" w:cs="Arial" w:eastAsia="Arial" w:hAnsi="Arial"/>
          <w:sz w:val="17"/>
          <w:szCs w:val="17"/>
          <w:color w:val="auto"/>
        </w:rPr>
        <w:t>, the balance, if any, after all of the Obligations have been indefeasibly paid in full, to the Borrower or as otherwise required by Law.</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ADMINISTRATIVE AGENT</w:t>
      </w:r>
    </w:p>
    <w:p>
      <w:pPr>
        <w:spacing w:after="0" w:line="211"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9.01.</w:t>
      </w:r>
      <w:r>
        <w:rPr>
          <w:sz w:val="20"/>
          <w:szCs w:val="20"/>
          <w:color w:val="auto"/>
        </w:rPr>
        <w:tab/>
      </w:r>
      <w:r>
        <w:rPr>
          <w:rFonts w:ascii="Arial" w:cs="Arial" w:eastAsia="Arial" w:hAnsi="Arial"/>
          <w:sz w:val="16"/>
          <w:szCs w:val="16"/>
          <w:u w:val="single" w:color="auto"/>
          <w:color w:val="auto"/>
        </w:rPr>
        <w:t>Appointment of the Administrative Agent</w:t>
      </w:r>
      <w:r>
        <w:rPr>
          <w:rFonts w:ascii="Arial" w:cs="Arial" w:eastAsia="Arial" w:hAnsi="Arial"/>
          <w:sz w:val="16"/>
          <w:szCs w:val="16"/>
          <w:color w:val="auto"/>
        </w:rPr>
        <w:t>.</w:t>
      </w:r>
    </w:p>
    <w:p>
      <w:pPr>
        <w:spacing w:after="0" w:line="117" w:lineRule="exact"/>
        <w:rPr>
          <w:sz w:val="20"/>
          <w:szCs w:val="20"/>
          <w:color w:val="auto"/>
        </w:rPr>
      </w:pPr>
    </w:p>
    <w:p>
      <w:pPr>
        <w:ind w:firstLine="464"/>
        <w:spacing w:after="0" w:line="272" w:lineRule="auto"/>
        <w:tabs>
          <w:tab w:leader="none" w:pos="836" w:val="left"/>
        </w:tabs>
        <w:numPr>
          <w:ilvl w:val="0"/>
          <w:numId w:val="167"/>
        </w:numPr>
        <w:rPr>
          <w:rFonts w:ascii="Arial" w:cs="Arial" w:eastAsia="Arial" w:hAnsi="Arial"/>
          <w:sz w:val="17"/>
          <w:szCs w:val="17"/>
          <w:color w:val="auto"/>
        </w:rPr>
      </w:pPr>
      <w:r>
        <w:rPr>
          <w:rFonts w:ascii="Arial" w:cs="Arial" w:eastAsia="Arial" w:hAnsi="Arial"/>
          <w:sz w:val="17"/>
          <w:szCs w:val="17"/>
          <w:color w:val="auto"/>
        </w:rPr>
        <w:t>Each Lender irrevocably appoints SunTrust Bank as the Administrative Agent and authorizes it to take such actions on its behalf and to exercise such powers as are delegated to the Administrative Agent under this Agreement and the other Loan Documents, together with all such actions and powers that are reasonably incidental thereto. The Administrative Agent may perform any of its duties hereunder or under the other Loan Documents by or through any one or more sub-agents or attorneys-in-fact appointed by the Administrative Agent. The Administrative Agent and any such sub-agent or attorney-in-fact may perform any and all of its duties and exercise its rights and powers through their respective Related Parties. The exculpatory provisions set forth in this Article shall apply to any such sub-agent, attorney-in-fact or Related Party and shall apply to their respective activities in connection with the syndication of the credit facilities provided for herein as well as activities as the Administrative Agent.</w:t>
      </w:r>
    </w:p>
    <w:p>
      <w:pPr>
        <w:spacing w:after="0" w:line="177" w:lineRule="exact"/>
        <w:rPr>
          <w:rFonts w:ascii="Arial" w:cs="Arial" w:eastAsia="Arial" w:hAnsi="Arial"/>
          <w:sz w:val="17"/>
          <w:szCs w:val="17"/>
          <w:color w:val="auto"/>
        </w:rPr>
      </w:pPr>
    </w:p>
    <w:p>
      <w:pPr>
        <w:ind w:right="20" w:firstLine="464"/>
        <w:spacing w:after="0" w:line="271" w:lineRule="auto"/>
        <w:tabs>
          <w:tab w:leader="none" w:pos="843"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The Administrative Agent shall also act as the “</w:t>
      </w:r>
      <w:r>
        <w:rPr>
          <w:rFonts w:ascii="Arial" w:cs="Arial" w:eastAsia="Arial" w:hAnsi="Arial"/>
          <w:sz w:val="17"/>
          <w:szCs w:val="17"/>
          <w:u w:val="single" w:color="auto"/>
          <w:color w:val="auto"/>
        </w:rPr>
        <w:t>collateral agent</w:t>
      </w:r>
      <w:r>
        <w:rPr>
          <w:rFonts w:ascii="Arial" w:cs="Arial" w:eastAsia="Arial" w:hAnsi="Arial"/>
          <w:sz w:val="17"/>
          <w:szCs w:val="17"/>
          <w:color w:val="auto"/>
        </w:rPr>
        <w:t xml:space="preserve">” under the Loan Documents, and each of the Lenders hereby irrevocably appoints and authorizes the Administrative Agent to act as the agent of such Lender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Arial" w:cs="Arial" w:eastAsia="Arial" w:hAnsi="Arial"/>
          <w:sz w:val="17"/>
          <w:szCs w:val="17"/>
          <w:u w:val="single" w:color="auto"/>
          <w:color w:val="auto"/>
        </w:rPr>
        <w:t>Section 9.05</w:t>
      </w:r>
      <w:r>
        <w:rPr>
          <w:rFonts w:ascii="Arial" w:cs="Arial" w:eastAsia="Arial" w:hAnsi="Arial"/>
          <w:sz w:val="17"/>
          <w:szCs w:val="17"/>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Arial" w:cs="Arial" w:eastAsia="Arial" w:hAnsi="Arial"/>
          <w:sz w:val="17"/>
          <w:szCs w:val="17"/>
          <w:u w:val="single" w:color="auto"/>
          <w:color w:val="auto"/>
        </w:rPr>
        <w:t>Article</w:t>
      </w:r>
      <w:r>
        <w:rPr>
          <w:rFonts w:ascii="Arial" w:cs="Arial" w:eastAsia="Arial" w:hAnsi="Arial"/>
          <w:sz w:val="17"/>
          <w:szCs w:val="17"/>
          <w:color w:val="auto"/>
        </w:rPr>
        <w:t xml:space="preserve"> </w:t>
      </w:r>
      <w:r>
        <w:rPr>
          <w:rFonts w:ascii="Arial" w:cs="Arial" w:eastAsia="Arial" w:hAnsi="Arial"/>
          <w:sz w:val="17"/>
          <w:szCs w:val="17"/>
          <w:u w:val="single" w:color="auto"/>
          <w:color w:val="auto"/>
        </w:rPr>
        <w:t>IX</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(including </w:t>
      </w:r>
      <w:r>
        <w:rPr>
          <w:rFonts w:ascii="Arial" w:cs="Arial" w:eastAsia="Arial" w:hAnsi="Arial"/>
          <w:sz w:val="17"/>
          <w:szCs w:val="17"/>
          <w:u w:val="single" w:color="auto"/>
          <w:color w:val="auto"/>
        </w:rPr>
        <w:t>Section 10.04(c)</w:t>
      </w:r>
      <w:r>
        <w:rPr>
          <w:rFonts w:ascii="Arial" w:cs="Arial" w:eastAsia="Arial" w:hAnsi="Arial"/>
          <w:sz w:val="17"/>
          <w:szCs w:val="17"/>
          <w:color w:val="auto"/>
        </w:rPr>
        <w:t>, as though such co-agents, sub-agents and attorneys-in-fact were the “collateral agent” under the Loan Documents) as if set forth in full herein with respect thereto.</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274" w:right="259" w:bottom="1440" w:gutter="0" w:footer="0" w:header="0"/>
        </w:sectPr>
      </w:pPr>
    </w:p>
    <w:bookmarkStart w:id="104" w:name="page105"/>
    <w:bookmarkEnd w:id="104"/>
    <w:p>
      <w:pPr>
        <w:ind w:firstLine="456"/>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9.02. </w:t>
      </w:r>
      <w:r>
        <w:rPr>
          <w:rFonts w:ascii="Arial" w:cs="Arial" w:eastAsia="Arial" w:hAnsi="Arial"/>
          <w:sz w:val="16"/>
          <w:szCs w:val="16"/>
          <w:u w:val="single" w:color="auto"/>
          <w:color w:val="auto"/>
        </w:rPr>
        <w:t>Nature of Duties of the Administrative Agent</w:t>
      </w:r>
      <w:r>
        <w:rPr>
          <w:rFonts w:ascii="Arial" w:cs="Arial" w:eastAsia="Arial" w:hAnsi="Arial"/>
          <w:sz w:val="16"/>
          <w:szCs w:val="16"/>
          <w:color w:val="auto"/>
        </w:rPr>
        <w:t xml:space="preserve">. The Administrative Agent shall not have any duties or obligations except those expressly set forth in this Agreement and the other Loan Documents. Without limiting the generality of the foregoing, (a) the Administrative Agent shall not be subject to any fiduciary or other implied duties, regardless of whether a Default or an Event of Default has occurred and is continuing, (b) the Administrative Agent shall not have any duty to take any discretionary action or exercise any discretionary powers, except those discretionary rights and powers expressly contemplated by the Loan Documents that the Administrative Agent is required to exercise in writing by the Required Lenders (or such other number or percentage of the Lenders as shall be necessary under the circumstances as provided in </w:t>
      </w:r>
      <w:r>
        <w:rPr>
          <w:rFonts w:ascii="Arial" w:cs="Arial" w:eastAsia="Arial" w:hAnsi="Arial"/>
          <w:sz w:val="16"/>
          <w:szCs w:val="16"/>
          <w:u w:val="single" w:color="auto"/>
          <w:color w:val="auto"/>
        </w:rPr>
        <w:t>Section 10.02</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 (c) except as expressly set forth in the Loan Documents, the Administrative Agent shall not have any duty to disclose, and shall not be liable for the failure to disclose, any information relating to the Borrower or any of its Subsidiaries that is communicated to or obtained by the Administrative Agent or any of its Affiliates in any capacity. The Administrative Agent shall not be liable for any action taken or not taken by it, its sub-agents or its attorneys-in-fact with the consent or at the request of the Required Lenders (or such other number or percentage of the Lenders as shall be necessary under the circumstances as provided in </w:t>
      </w:r>
      <w:r>
        <w:rPr>
          <w:rFonts w:ascii="Arial" w:cs="Arial" w:eastAsia="Arial" w:hAnsi="Arial"/>
          <w:sz w:val="16"/>
          <w:szCs w:val="16"/>
          <w:u w:val="single" w:color="auto"/>
          <w:color w:val="auto"/>
        </w:rPr>
        <w:t>Section 10.02</w:t>
      </w:r>
      <w:r>
        <w:rPr>
          <w:rFonts w:ascii="Arial" w:cs="Arial" w:eastAsia="Arial" w:hAnsi="Arial"/>
          <w:sz w:val="16"/>
          <w:szCs w:val="16"/>
          <w:color w:val="auto"/>
        </w:rPr>
        <w:t xml:space="preserve">) or in the absence of its own gross negligence or willful misconduct. The Administrative Agent shall not be responsible for the negligence or misconduct of any sub-agents or attorneys-in-fact selected by it with reasonable care. The Administrative Agent shall not be deemed to have knowledge of any Default or Event of Default unless and until written notice thereof (which notice shall include an express reference to such event being a “Default” or “Event of Default” hereunder) is given to the Administrative Agent by the Borrower or any Lender, and the Administrative Agent shall not be responsible for or have any duty to ascertain or inquire into (i) any statement, warranty or representation made in or in connection with any Loan Document, (ii) the contents of any certificate, report or other document delivered hereunder or thereunder or in connection herewith or therewith, (iii) the performance or observance of any of the covenants, agreements, or other terms and conditions set forth in any Loan Document, (iv) the validity, enforceability, effectiveness or genuineness of any Loan Document or any other agreement, instrument or document, or (v) the satisfaction of any condition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or elsewhere in any Loan Document, other than to confirm receipt of items expressly required to be delivered to the Administrative Agent. The Administrative Agent may consult with legal counsel (including counsel for the Borrower) concerning all matters pertaining to such duties.</w:t>
      </w:r>
    </w:p>
    <w:p>
      <w:pPr>
        <w:spacing w:after="0" w:line="179"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 xml:space="preserve">9.03. </w:t>
      </w:r>
      <w:r>
        <w:rPr>
          <w:rFonts w:ascii="Arial" w:cs="Arial" w:eastAsia="Arial" w:hAnsi="Arial"/>
          <w:sz w:val="16"/>
          <w:szCs w:val="16"/>
          <w:u w:val="single" w:color="auto"/>
          <w:color w:val="auto"/>
        </w:rPr>
        <w:t>Lack of Reliance on the Administrative Agent</w:t>
      </w:r>
      <w:r>
        <w:rPr>
          <w:rFonts w:ascii="Arial" w:cs="Arial" w:eastAsia="Arial" w:hAnsi="Arial"/>
          <w:sz w:val="16"/>
          <w:szCs w:val="16"/>
          <w:color w:val="auto"/>
        </w:rPr>
        <w:t>. Each of the Lenders acknowledges that it has, independently and without reliance upon the Administrative Agent or any other Lender and based on such documents and information as it has deemed appropriate, made its own credit analysis and decision to enter into this Agreement. Each of the Lenders also acknowledges that it will, independently and without reliance upon the Administrative Agent or any other Lender and based on such documents and information as it has deemed appropriate, continue to make its own decisions in taking or not taking any action under or based on this Agreement, any related agreement or any document furnished hereunder or thereunder.</w:t>
      </w:r>
    </w:p>
    <w:p>
      <w:pPr>
        <w:spacing w:after="0" w:line="15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9.04. </w:t>
      </w:r>
      <w:r>
        <w:rPr>
          <w:rFonts w:ascii="Arial" w:cs="Arial" w:eastAsia="Arial" w:hAnsi="Arial"/>
          <w:sz w:val="18"/>
          <w:szCs w:val="18"/>
          <w:u w:val="single" w:color="auto"/>
          <w:color w:val="auto"/>
        </w:rPr>
        <w:t>Certain Rights of the Administrative Agent</w:t>
      </w:r>
      <w:r>
        <w:rPr>
          <w:rFonts w:ascii="Arial" w:cs="Arial" w:eastAsia="Arial" w:hAnsi="Arial"/>
          <w:sz w:val="18"/>
          <w:szCs w:val="18"/>
          <w:color w:val="auto"/>
        </w:rPr>
        <w:t>. If the Administrative Agent shall request instructions from the Required Lenders with respect to any action or actions (including the failure to act) in connection with this Agreement, the Administrative Agent shall be entitled to refrain from such act or taking such act unless and until it shall have received instructions from such Lenders, and the Administrative Agent shall not incur liability to any Person by reason of so refraining. Without limiting the foregoing, no Lender shall have any right of action whatsoever against the Administrative Agent as a result of the Administrative Agent acting or refraining from acting hereunder in accordance with the instructions of the Required Lenders where required by the terms of this Agreement.</w:t>
      </w:r>
    </w:p>
    <w:p>
      <w:pPr>
        <w:spacing w:after="0" w:line="193"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 xml:space="preserve">9.05. </w:t>
      </w:r>
      <w:r>
        <w:rPr>
          <w:rFonts w:ascii="Arial" w:cs="Arial" w:eastAsia="Arial" w:hAnsi="Arial"/>
          <w:sz w:val="17"/>
          <w:szCs w:val="17"/>
          <w:u w:val="single" w:color="auto"/>
          <w:color w:val="auto"/>
        </w:rPr>
        <w:t>Reliance by the Administrative Agent</w:t>
      </w:r>
      <w:r>
        <w:rPr>
          <w:rFonts w:ascii="Arial" w:cs="Arial" w:eastAsia="Arial" w:hAnsi="Arial"/>
          <w:sz w:val="17"/>
          <w:szCs w:val="17"/>
          <w:color w:val="auto"/>
        </w:rPr>
        <w:t>. The Administrative Agent shall be entitled to rely upon, and shall not incur any liability for relying upon, any notice, request, certificate, consent, statement, instrument, document or other writing (including any electronic message, posting or other distribution) believed by it to be genuine and to have been signed, sent or made by the proper Person. The Administrative Agent may also rely upon any statement made to it orally or by telephone and believed by it to be made by the proper Person and shall not incur any liability for relying thereon. The Administrative Agent may consult with legal counsel (including counsel for the Borrower), independent public accountants and other experts selected by it and shall not be liable for any action taken or not taken by it in accordance with the advice of such counsel, accountants or experts.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274" w:right="239" w:bottom="1440" w:gutter="0" w:footer="0" w:header="0"/>
        </w:sectPr>
      </w:pPr>
    </w:p>
    <w:bookmarkStart w:id="105" w:name="page106"/>
    <w:bookmarkEnd w:id="105"/>
    <w:p>
      <w:pPr>
        <w:ind w:right="16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9.06. </w:t>
      </w:r>
      <w:r>
        <w:rPr>
          <w:rFonts w:ascii="Arial" w:cs="Arial" w:eastAsia="Arial" w:hAnsi="Arial"/>
          <w:sz w:val="18"/>
          <w:szCs w:val="18"/>
          <w:u w:val="single" w:color="auto"/>
          <w:color w:val="auto"/>
        </w:rPr>
        <w:t>The Administrative Agent in its Individual Capacity</w:t>
      </w:r>
      <w:r>
        <w:rPr>
          <w:rFonts w:ascii="Arial" w:cs="Arial" w:eastAsia="Arial" w:hAnsi="Arial"/>
          <w:sz w:val="18"/>
          <w:szCs w:val="18"/>
          <w:color w:val="auto"/>
        </w:rPr>
        <w:t>. The Person serving as the Administrative Agent shall have the same rights and powers under this Agreement and any other Loan Document in its capacity as a Lender as any other Lender and may exercise or refrain from exercising the same as though it were not the Administrative Agent; and the terms “Lenders,” “Required Lenders” or any similar terms shall, unless the context clearly otherwise indicates, include the Administrative Agent in its individual capacity. The Person acting as the Administrative Agent and its Affiliates may accept deposits from, lend money to, and generally engage in any kind of business with the Borrower or any Subsidiary or Affiliate of the Borrower as if it were not the Administrative Agent hereunder.</w:t>
      </w:r>
    </w:p>
    <w:p>
      <w:pPr>
        <w:spacing w:after="0" w:line="301"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9.07.</w:t>
      </w:r>
      <w:r>
        <w:rPr>
          <w:sz w:val="20"/>
          <w:szCs w:val="20"/>
          <w:color w:val="auto"/>
        </w:rPr>
        <w:tab/>
      </w:r>
      <w:r>
        <w:rPr>
          <w:rFonts w:ascii="Arial" w:cs="Arial" w:eastAsia="Arial" w:hAnsi="Arial"/>
          <w:sz w:val="16"/>
          <w:szCs w:val="16"/>
          <w:u w:val="single" w:color="auto"/>
          <w:color w:val="auto"/>
        </w:rPr>
        <w:t>Successor Administrative Agent</w:t>
      </w:r>
      <w:r>
        <w:rPr>
          <w:rFonts w:ascii="Arial" w:cs="Arial" w:eastAsia="Arial" w:hAnsi="Arial"/>
          <w:sz w:val="16"/>
          <w:szCs w:val="16"/>
          <w:color w:val="auto"/>
        </w:rPr>
        <w:t>.</w:t>
      </w:r>
    </w:p>
    <w:p>
      <w:pPr>
        <w:spacing w:after="0" w:line="117" w:lineRule="exact"/>
        <w:rPr>
          <w:sz w:val="20"/>
          <w:szCs w:val="20"/>
          <w:color w:val="auto"/>
        </w:rPr>
      </w:pPr>
    </w:p>
    <w:p>
      <w:pPr>
        <w:ind w:right="80" w:firstLine="464"/>
        <w:spacing w:after="0" w:line="273" w:lineRule="auto"/>
        <w:tabs>
          <w:tab w:leader="none" w:pos="833" w:val="left"/>
        </w:tabs>
        <w:numPr>
          <w:ilvl w:val="0"/>
          <w:numId w:val="168"/>
        </w:numPr>
        <w:rPr>
          <w:rFonts w:ascii="Arial" w:cs="Arial" w:eastAsia="Arial" w:hAnsi="Arial"/>
          <w:sz w:val="17"/>
          <w:szCs w:val="17"/>
          <w:color w:val="auto"/>
        </w:rPr>
      </w:pPr>
      <w:r>
        <w:rPr>
          <w:rFonts w:ascii="Arial" w:cs="Arial" w:eastAsia="Arial" w:hAnsi="Arial"/>
          <w:sz w:val="17"/>
          <w:szCs w:val="17"/>
          <w:color w:val="auto"/>
        </w:rPr>
        <w:t xml:space="preserve">The Administrative Agent may resign at any time by giving notice thereof to the Lenders and the Borrower. Upon any such resignation, the Required Lenders shall have the right to appoint a successor Administrative Agent, subject to approval by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Default or Event of Default shall exist at such time. If no successor Administrative Agent shall have been so appointed, and shall have accepted such appointment within 30 days after the retiring Administrative Agent gives notice of resignation, then the retiring Administrative Agent may, on behalf of the Lenders, appoint a successor Administrative Agent which shall be a commercial bank organized under the laws of the United States or any state thereof or a bank which maintains an office in the United States and has a combined capital and sur</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of at least $500,000,000.</w:t>
      </w:r>
    </w:p>
    <w:p>
      <w:pPr>
        <w:spacing w:after="0" w:line="178" w:lineRule="exact"/>
        <w:rPr>
          <w:rFonts w:ascii="Arial" w:cs="Arial" w:eastAsia="Arial" w:hAnsi="Arial"/>
          <w:sz w:val="17"/>
          <w:szCs w:val="17"/>
          <w:color w:val="auto"/>
        </w:rPr>
      </w:pPr>
    </w:p>
    <w:p>
      <w:pPr>
        <w:jc w:val="both"/>
        <w:ind w:firstLine="464"/>
        <w:spacing w:after="0" w:line="264" w:lineRule="auto"/>
        <w:tabs>
          <w:tab w:leader="none" w:pos="84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If the Person serving as Administrative Agent is a Defaulting Lender pursuant to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of the definition thereof, the Required Lenders may, to the extent permitted by applicable law, by notice in writing to the Borrower and such Person remove such Person as Administrative Agent and, in consultation with the Borrower, appoint a successor.</w:t>
      </w:r>
    </w:p>
    <w:p>
      <w:pPr>
        <w:spacing w:after="0" w:line="181" w:lineRule="exact"/>
        <w:rPr>
          <w:rFonts w:ascii="Arial" w:cs="Arial" w:eastAsia="Arial" w:hAnsi="Arial"/>
          <w:sz w:val="18"/>
          <w:szCs w:val="18"/>
          <w:color w:val="auto"/>
        </w:rPr>
      </w:pPr>
    </w:p>
    <w:p>
      <w:pPr>
        <w:ind w:right="40" w:firstLine="464"/>
        <w:spacing w:after="0" w:line="287" w:lineRule="auto"/>
        <w:tabs>
          <w:tab w:leader="none" w:pos="836" w:val="left"/>
        </w:tabs>
        <w:numPr>
          <w:ilvl w:val="0"/>
          <w:numId w:val="168"/>
        </w:numPr>
        <w:rPr>
          <w:rFonts w:ascii="Arial" w:cs="Arial" w:eastAsia="Arial" w:hAnsi="Arial"/>
          <w:sz w:val="16"/>
          <w:szCs w:val="16"/>
          <w:color w:val="auto"/>
        </w:rPr>
      </w:pPr>
      <w:r>
        <w:rPr>
          <w:rFonts w:ascii="Arial" w:cs="Arial" w:eastAsia="Arial" w:hAnsi="Arial"/>
          <w:sz w:val="16"/>
          <w:szCs w:val="16"/>
          <w:color w:val="auto"/>
        </w:rPr>
        <w:t>Upon the acceptance of its appointment as the Administrative Agent hereunder by a successor, such successor Administrative Agent shall thereupon succeed to and become vested with all the rights, powers, privileges and duties of the retiring Administrative Agent, and the retiring or removed Administrative Agent shall be discharged from its duties and obligations under this Agreement and the other Loan Documents. If, within 30 days after written notice is given of the Administrative Agent’s resignation or the removal of the Administrative Agent under this Section, no successor Administrative Agent shall have been appointed and shall have accepted such appointment, then on such 30th day (i) the retiring or removed Administrative Agent shall be discharged from its duties and obligations under this Agreement and the Administrative Agent’s resignation shall become effective, (ii) the retiring or removed Administrative Agent shall be discharged from its duties and obligations under the Loan Documents and (iii) the Required Lenders shall thereafter perform all duties of the retiring or removed Administrative Agent shall be discharged from its duties and obligations under the Loan Documents until such time as the Required Lenders appoint a successor Administrative Agent as provided above. After any retiring Administrative Agent’s resignation hereunder, the provisions of this Article shall continue in effect for the benefit of such retiring or removed Administrative Agent and its representatives and agents in respect of any actions taken or not taken by any of them while it was serving as the Administrative Agent.</w:t>
      </w:r>
    </w:p>
    <w:p>
      <w:pPr>
        <w:spacing w:after="0" w:line="173"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 xml:space="preserve">9.08. </w:t>
      </w:r>
      <w:r>
        <w:rPr>
          <w:rFonts w:ascii="Arial" w:cs="Arial" w:eastAsia="Arial" w:hAnsi="Arial"/>
          <w:sz w:val="16"/>
          <w:szCs w:val="16"/>
          <w:u w:val="single" w:color="auto"/>
          <w:color w:val="auto"/>
        </w:rPr>
        <w:t>Withholding Tax</w:t>
      </w:r>
      <w:r>
        <w:rPr>
          <w:rFonts w:ascii="Arial" w:cs="Arial" w:eastAsia="Arial" w:hAnsi="Arial"/>
          <w:sz w:val="16"/>
          <w:szCs w:val="16"/>
          <w:color w:val="auto"/>
        </w:rPr>
        <w:t>. To the extent required by any applicable Law, the Administrative Agent may withhold from any amounts paid to or for the account of any Lender an amount equivalent to any applicable withholding Tax. If the IRS or any other Governmental Authority asserts a claim that the Administrative Agent did not properly withhold Tax from amounts paid to or for the account of any Lender (because the appropriate form was not delivered or was not properly executed, or because such Lender failed to notify the Administrative Agent of a change in circumstances that rendered the exemption from, or reduction of, withholding Tax ineffective, or for any other reason), such Lender shall, within 10 days after demand therefor, indemnify the Administrative Agent fully for all amounts paid, directly or indirectly, by the Administrative Agent as Tax or otherwise, without limiting the application of Section 3.01, together with all expenses incurred, including legal expenses, allocated staff costs and any out of pocket expenses, whether or not such Tax was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the Administrative Agent under this Section 9.08. The agreements in this Section 9.08 shall survive the resignation and/or replacement of the Administrative Agent, any assignment of rights by, or the replacement of, a Lender and the repayment, satisfaction or discharge of all other Obligations.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274" w:right="239" w:bottom="1440" w:gutter="0" w:footer="0" w:header="0"/>
        </w:sectPr>
      </w:pPr>
    </w:p>
    <w:bookmarkStart w:id="106" w:name="page107"/>
    <w:bookmarkEnd w:id="106"/>
    <w:p>
      <w:pPr>
        <w:ind w:left="460"/>
        <w:spacing w:after="0"/>
        <w:tabs>
          <w:tab w:leader="none" w:pos="9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9.09.</w:t>
      </w:r>
      <w:r>
        <w:rPr>
          <w:sz w:val="20"/>
          <w:szCs w:val="20"/>
          <w:color w:val="auto"/>
        </w:rPr>
        <w:tab/>
      </w:r>
      <w:r>
        <w:rPr>
          <w:rFonts w:ascii="Arial" w:cs="Arial" w:eastAsia="Arial" w:hAnsi="Arial"/>
          <w:sz w:val="16"/>
          <w:szCs w:val="16"/>
          <w:u w:val="single" w:color="auto"/>
          <w:color w:val="auto"/>
        </w:rPr>
        <w:t>The Administrative Agent May File Proofs of Claim; Credit Bidding</w:t>
      </w:r>
      <w:r>
        <w:rPr>
          <w:rFonts w:ascii="Arial" w:cs="Arial" w:eastAsia="Arial" w:hAnsi="Arial"/>
          <w:sz w:val="16"/>
          <w:szCs w:val="16"/>
          <w:color w:val="auto"/>
        </w:rPr>
        <w:t>.</w:t>
      </w:r>
    </w:p>
    <w:p>
      <w:pPr>
        <w:spacing w:after="0" w:line="117" w:lineRule="exact"/>
        <w:rPr>
          <w:sz w:val="20"/>
          <w:szCs w:val="20"/>
          <w:color w:val="auto"/>
        </w:rPr>
      </w:pPr>
    </w:p>
    <w:p>
      <w:pPr>
        <w:jc w:val="both"/>
        <w:ind w:right="100" w:firstLine="464"/>
        <w:spacing w:after="0" w:line="259" w:lineRule="auto"/>
        <w:tabs>
          <w:tab w:leader="none" w:pos="83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 case of the pendency of any receivership, insolvency, liquidation, bankruptcy, reorganization, arrangement, adjustment, composition or other judicial proceeding relative to any Loan Party,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78" w:lineRule="exact"/>
        <w:rPr>
          <w:rFonts w:ascii="Arial" w:cs="Arial" w:eastAsia="Arial" w:hAnsi="Arial"/>
          <w:sz w:val="18"/>
          <w:szCs w:val="18"/>
          <w:color w:val="auto"/>
        </w:rPr>
      </w:pPr>
    </w:p>
    <w:p>
      <w:pPr>
        <w:ind w:left="1260" w:hanging="357"/>
        <w:spacing w:after="0"/>
        <w:tabs>
          <w:tab w:leader="none" w:pos="1260" w:val="left"/>
        </w:tabs>
        <w:numPr>
          <w:ilvl w:val="1"/>
          <w:numId w:val="169"/>
        </w:numPr>
        <w:rPr>
          <w:rFonts w:ascii="Arial" w:cs="Arial" w:eastAsia="Arial" w:hAnsi="Arial"/>
          <w:sz w:val="17"/>
          <w:szCs w:val="17"/>
          <w:color w:val="auto"/>
        </w:rPr>
      </w:pPr>
      <w:r>
        <w:rPr>
          <w:rFonts w:ascii="Arial" w:cs="Arial" w:eastAsia="Arial" w:hAnsi="Arial"/>
          <w:sz w:val="17"/>
          <w:szCs w:val="17"/>
          <w:color w:val="auto"/>
        </w:rPr>
        <w:t>to file and prove a claim for the whole amount of the principal and interest owing and unpaid in respect of the Loans and all other</w:t>
      </w:r>
    </w:p>
    <w:p>
      <w:pPr>
        <w:spacing w:after="0" w:line="34" w:lineRule="exact"/>
        <w:rPr>
          <w:rFonts w:ascii="Arial" w:cs="Arial" w:eastAsia="Arial" w:hAnsi="Arial"/>
          <w:sz w:val="17"/>
          <w:szCs w:val="17"/>
          <w:color w:val="auto"/>
        </w:rPr>
      </w:pPr>
    </w:p>
    <w:p>
      <w:pPr>
        <w:ind w:left="460" w:right="20"/>
        <w:spacing w:after="0" w:line="254" w:lineRule="auto"/>
        <w:rPr>
          <w:rFonts w:ascii="Arial" w:cs="Arial" w:eastAsia="Arial" w:hAnsi="Arial"/>
          <w:sz w:val="17"/>
          <w:szCs w:val="17"/>
          <w:color w:val="auto"/>
        </w:rPr>
      </w:pPr>
      <w:r>
        <w:rPr>
          <w:rFonts w:ascii="Arial" w:cs="Arial" w:eastAsia="Arial" w:hAnsi="Arial"/>
          <w:sz w:val="18"/>
          <w:szCs w:val="18"/>
          <w:color w:val="auto"/>
        </w:rPr>
        <w:t xml:space="preserve">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its agents and counsel and all other amounts due the Lenders and the Administrative Agent under </w:t>
      </w:r>
      <w:r>
        <w:rPr>
          <w:rFonts w:ascii="Arial" w:cs="Arial" w:eastAsia="Arial" w:hAnsi="Arial"/>
          <w:sz w:val="18"/>
          <w:szCs w:val="18"/>
          <w:u w:val="single" w:color="auto"/>
          <w:color w:val="auto"/>
        </w:rPr>
        <w:t>Section 10.04</w:t>
      </w:r>
      <w:r>
        <w:rPr>
          <w:rFonts w:ascii="Arial" w:cs="Arial" w:eastAsia="Arial" w:hAnsi="Arial"/>
          <w:sz w:val="18"/>
          <w:szCs w:val="18"/>
          <w:color w:val="auto"/>
        </w:rPr>
        <w:t>) allowed in such judicial proceeding; and</w:t>
      </w:r>
    </w:p>
    <w:p>
      <w:pPr>
        <w:spacing w:after="0" w:line="81" w:lineRule="exact"/>
        <w:rPr>
          <w:rFonts w:ascii="Arial" w:cs="Arial" w:eastAsia="Arial" w:hAnsi="Arial"/>
          <w:sz w:val="17"/>
          <w:szCs w:val="17"/>
          <w:color w:val="auto"/>
        </w:rPr>
      </w:pPr>
    </w:p>
    <w:p>
      <w:pPr>
        <w:ind w:left="1300" w:hanging="397"/>
        <w:spacing w:after="0"/>
        <w:tabs>
          <w:tab w:leader="none" w:pos="130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25" w:lineRule="exact"/>
        <w:rPr>
          <w:rFonts w:ascii="Arial" w:cs="Arial" w:eastAsia="Arial" w:hAnsi="Arial"/>
          <w:sz w:val="18"/>
          <w:szCs w:val="18"/>
          <w:color w:val="auto"/>
        </w:rPr>
      </w:pPr>
    </w:p>
    <w:p>
      <w:pPr>
        <w:ind w:right="100" w:firstLine="464"/>
        <w:spacing w:after="0" w:line="279" w:lineRule="auto"/>
        <w:tabs>
          <w:tab w:leader="none" w:pos="836" w:val="left"/>
        </w:tabs>
        <w:numPr>
          <w:ilvl w:val="0"/>
          <w:numId w:val="169"/>
        </w:numPr>
        <w:rPr>
          <w:rFonts w:ascii="Arial" w:cs="Arial" w:eastAsia="Arial" w:hAnsi="Arial"/>
          <w:sz w:val="17"/>
          <w:szCs w:val="17"/>
          <w:color w:val="auto"/>
        </w:rPr>
      </w:pPr>
      <w:r>
        <w:rPr>
          <w:rFonts w:ascii="Arial" w:cs="Arial" w:eastAsia="Arial" w:hAnsi="Arial"/>
          <w:sz w:val="17"/>
          <w:szCs w:val="17"/>
          <w:color w:val="auto"/>
        </w:rPr>
        <w:t xml:space="preserve">Any custodian, receiver, assignee, trustee, liquidator, sequestrator or other similar official in any such judicial proceeding is hereby authorized by each Lender to make such payments to the Administrative Agent and, if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7"/>
          <w:szCs w:val="17"/>
          <w:u w:val="single" w:color="auto"/>
          <w:color w:val="auto"/>
        </w:rPr>
        <w:t>Section 10.04</w:t>
      </w:r>
      <w:r>
        <w:rPr>
          <w:rFonts w:ascii="Arial" w:cs="Arial" w:eastAsia="Arial" w:hAnsi="Arial"/>
          <w:sz w:val="17"/>
          <w:szCs w:val="17"/>
          <w:color w:val="auto"/>
        </w:rPr>
        <w:t>.</w:t>
      </w:r>
    </w:p>
    <w:p>
      <w:pPr>
        <w:spacing w:after="0" w:line="17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spacing w:after="0" w:line="181"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 xml:space="preserve">The Secured Parties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a Loan Party is subject, (b) at any other sale or foreclosure or acceptance of collateral in lieu of debt conducted by (or with the consent or at the direction of) the Administrative Agent (whether by judicial action or otherwise) in accordance with any applicable Laws.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clauses (a) through (i) of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of this Agreement, (iii) the Administrative Agent shall be authorized to assign the relevant Obligations to any such acquisition vehicle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by the Lenders, as a result of which each of the Lenders shall be deemed to have received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portion of any Equity Interests and/or debt instruments issued by such an acquisition vehicle on account of the assignment of the Obligations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274" w:right="259" w:bottom="1440" w:gutter="0" w:footer="0" w:header="0"/>
        </w:sectPr>
      </w:pPr>
    </w:p>
    <w:bookmarkStart w:id="107" w:name="page108"/>
    <w:bookmarkEnd w:id="107"/>
    <w:p>
      <w:pPr>
        <w:ind w:right="2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to be credit bid, all without the need for any Secured Party or acquisition vehicle to take any further action and (iv)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spacing w:after="0" w:line="193"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Authorization to Execute Other Loan Documents</w:t>
      </w:r>
      <w:r>
        <w:rPr>
          <w:rFonts w:ascii="Arial" w:cs="Arial" w:eastAsia="Arial" w:hAnsi="Arial"/>
          <w:sz w:val="18"/>
          <w:szCs w:val="18"/>
          <w:color w:val="auto"/>
        </w:rPr>
        <w:t>. Each Lender hereby authorizes the Administrative Agent to execute on behalf of all Lenders all Loan Documents (including, without limitation, the Collateral Documents, any subordination agreements and any intercreditor agreements) other than this Agreement.</w:t>
      </w:r>
    </w:p>
    <w:p>
      <w:pPr>
        <w:spacing w:after="0" w:line="181"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9.11.</w:t>
      </w:r>
      <w:r>
        <w:rPr>
          <w:sz w:val="20"/>
          <w:szCs w:val="20"/>
          <w:color w:val="auto"/>
        </w:rPr>
        <w:tab/>
      </w:r>
      <w:r>
        <w:rPr>
          <w:rFonts w:ascii="Arial" w:cs="Arial" w:eastAsia="Arial" w:hAnsi="Arial"/>
          <w:sz w:val="16"/>
          <w:szCs w:val="16"/>
          <w:u w:val="single" w:color="auto"/>
          <w:color w:val="auto"/>
        </w:rPr>
        <w:t>Collateral and Guaranty Matters</w:t>
      </w:r>
      <w:r>
        <w:rPr>
          <w:rFonts w:ascii="Arial" w:cs="Arial" w:eastAsia="Arial" w:hAnsi="Arial"/>
          <w:sz w:val="16"/>
          <w:szCs w:val="16"/>
          <w:color w:val="auto"/>
        </w:rPr>
        <w:t>. The Lenders irrevocably authorize the Administrative Agent, at its option and in its discretion:</w:t>
      </w:r>
    </w:p>
    <w:p>
      <w:pPr>
        <w:spacing w:after="0" w:line="117" w:lineRule="exact"/>
        <w:rPr>
          <w:sz w:val="20"/>
          <w:szCs w:val="20"/>
          <w:color w:val="auto"/>
        </w:rPr>
      </w:pPr>
    </w:p>
    <w:p>
      <w:pPr>
        <w:ind w:left="460" w:right="40" w:firstLine="443"/>
        <w:spacing w:after="0" w:line="273" w:lineRule="auto"/>
        <w:tabs>
          <w:tab w:leader="none" w:pos="1278" w:val="left"/>
        </w:tabs>
        <w:numPr>
          <w:ilvl w:val="0"/>
          <w:numId w:val="170"/>
        </w:numPr>
        <w:rPr>
          <w:rFonts w:ascii="Arial" w:cs="Arial" w:eastAsia="Arial" w:hAnsi="Arial"/>
          <w:sz w:val="17"/>
          <w:szCs w:val="17"/>
          <w:color w:val="auto"/>
        </w:rPr>
      </w:pPr>
      <w:r>
        <w:rPr>
          <w:rFonts w:ascii="Arial" w:cs="Arial" w:eastAsia="Arial" w:hAnsi="Arial"/>
          <w:sz w:val="17"/>
          <w:szCs w:val="17"/>
          <w:color w:val="auto"/>
        </w:rPr>
        <w:t xml:space="preserve">to release any Lien on any property granted to or held by the Administrative Agent under any Loan Document (i) upon termination of the Aggregate Commitments and payment in full of all Obligations (other than contingent indemnification obligations), (ii) that is sold or otherwise disposed of or to be sold or otherwise disposed of as part of or in connection with any sale or other disposition permitted hereunder or under any other Loan Document to a Person that is not a Loan Party, (iii) that constitutes “Excluded Assets” (as such term is defined in the Security Agreement), (iv) if approved, authorized or ratified in writing in accordance with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or (v) if the property subject to such Lien is owned by a Guarantor, upon the release of such Guarantor from its obligations under the Guaranty pursuant to clause (d) below;</w:t>
      </w:r>
    </w:p>
    <w:p>
      <w:pPr>
        <w:spacing w:after="0" w:line="70" w:lineRule="exact"/>
        <w:rPr>
          <w:rFonts w:ascii="Arial" w:cs="Arial" w:eastAsia="Arial" w:hAnsi="Arial"/>
          <w:sz w:val="17"/>
          <w:szCs w:val="17"/>
          <w:color w:val="auto"/>
        </w:rPr>
      </w:pPr>
    </w:p>
    <w:p>
      <w:pPr>
        <w:ind w:left="460" w:firstLine="443"/>
        <w:spacing w:after="0" w:line="277" w:lineRule="auto"/>
        <w:tabs>
          <w:tab w:leader="none" w:pos="128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to release any Loan Party from its obligations under the applicable Collateral Documents if such Person ceases to be a Subsidiary as a result of a transaction permitted under the Loan Documents;</w:t>
      </w:r>
    </w:p>
    <w:p>
      <w:pPr>
        <w:spacing w:after="0" w:line="62" w:lineRule="exact"/>
        <w:rPr>
          <w:rFonts w:ascii="Arial" w:cs="Arial" w:eastAsia="Arial" w:hAnsi="Arial"/>
          <w:sz w:val="18"/>
          <w:szCs w:val="18"/>
          <w:color w:val="auto"/>
        </w:rPr>
      </w:pPr>
    </w:p>
    <w:p>
      <w:pPr>
        <w:ind w:left="460" w:firstLine="443"/>
        <w:spacing w:after="0" w:line="277" w:lineRule="auto"/>
        <w:tabs>
          <w:tab w:leader="none" w:pos="127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to subordinate any Lien on any property granted to or held by the Administrative Agent under any Loan Document to the holder of any Lien on such property that is permitted by </w:t>
      </w:r>
      <w:r>
        <w:rPr>
          <w:rFonts w:ascii="Arial" w:cs="Arial" w:eastAsia="Arial" w:hAnsi="Arial"/>
          <w:sz w:val="18"/>
          <w:szCs w:val="18"/>
          <w:u w:val="single" w:color="auto"/>
          <w:color w:val="auto"/>
        </w:rPr>
        <w:t>Section 7.01(d)</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jc w:val="both"/>
        <w:ind w:left="460" w:right="420" w:firstLine="443"/>
        <w:spacing w:after="0" w:line="264" w:lineRule="auto"/>
        <w:tabs>
          <w:tab w:leader="none" w:pos="128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to release any Guarantor from its obligations under the Guaranty if such Person ceases to be a Subsidiary or as a result of a transaction permitted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release shall occur if such Guarantor continues to be a guarantor in respect of any Indebtedness of the Borrower or any of its Subsidiaries.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8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Upon request by the Administrative Agent at any time, the Required Lenders will confirm in writing the Administrative Agent’s authority to release its interest in particular types or items of property, or to release any Loan Party from its obligations under the applicable Collateral Documents pursuant to this Section. In each case as specified in this Section, the Administrative Agent will promptly upon the request of the Borrower (and each Lender irrevocably authorizes the Administrative Agent to), at the Borrower’s expense, execute and deliver to the applicable Loan Party such documents as such Loan Party may reasonably request to evidence the release of such item of Collateral from the Liens granted under the applicable Collateral Documents, or to release such Loan Party from its obligations under the Guaranty and the applicable Collateral Documents, in each case in accordance with the terms of the Loan Documents and this Section.</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274" w:right="279" w:bottom="1440" w:gutter="0" w:footer="0" w:header="0"/>
        </w:sectPr>
      </w:pPr>
    </w:p>
    <w:bookmarkStart w:id="108" w:name="page109"/>
    <w:bookmarkEnd w:id="108"/>
    <w:p>
      <w:pPr>
        <w:ind w:right="660"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9.12. </w:t>
      </w:r>
      <w:r>
        <w:rPr>
          <w:rFonts w:ascii="Arial" w:cs="Arial" w:eastAsia="Arial" w:hAnsi="Arial"/>
          <w:sz w:val="17"/>
          <w:szCs w:val="17"/>
          <w:u w:val="single" w:color="auto"/>
          <w:color w:val="auto"/>
        </w:rPr>
        <w:t>Documentation Agent; Syndication Agent</w:t>
      </w:r>
      <w:r>
        <w:rPr>
          <w:rFonts w:ascii="Arial" w:cs="Arial" w:eastAsia="Arial" w:hAnsi="Arial"/>
          <w:sz w:val="17"/>
          <w:szCs w:val="17"/>
          <w:color w:val="auto"/>
        </w:rPr>
        <w:t>. Each Lender hereby designates SunTrust Bank as Documentation Agent and agrees that the Documentation Agent shall have no duties or other obligations under any Loan Documents to any Lender or any Loan Party.</w:t>
      </w:r>
    </w:p>
    <w:p>
      <w:pPr>
        <w:spacing w:after="0" w:line="14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 xml:space="preserve">9.13. </w:t>
      </w:r>
      <w:r>
        <w:rPr>
          <w:rFonts w:ascii="Arial" w:cs="Arial" w:eastAsia="Arial" w:hAnsi="Arial"/>
          <w:sz w:val="16"/>
          <w:szCs w:val="16"/>
          <w:u w:val="single" w:color="auto"/>
          <w:color w:val="auto"/>
        </w:rPr>
        <w:t>Right to Realize on Collateral and Enforce Guarantee</w:t>
      </w:r>
      <w:r>
        <w:rPr>
          <w:rFonts w:ascii="Arial" w:cs="Arial" w:eastAsia="Arial" w:hAnsi="Arial"/>
          <w:sz w:val="16"/>
          <w:szCs w:val="16"/>
          <w:color w:val="auto"/>
        </w:rPr>
        <w:t>. Anything contained in any of the Loan Documents to the contrary notwithstanding, the Borrower, the Administrative Agent and each Lender hereby agree that (i) no Lender shall have any right individually to realize upon any of the Collateral or to enforce the Collateral Documents, it being understood and agreed that all powers, rights and remedies hereunder and under the Collateral Documents may be exercised solely by the Administrative Agent, and (ii) in the event of a foreclosure by the Administrative Agent on any of the Collateral pursuant to a public or private sale or other disposition, the Administrative Agent or any Lender may be the purchaser or licensor of any or all of such Collateral at any such sale or other disposition and the Administrative Agent, as agent for and representative of the Lenders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Administrative Agent at such sale or other disposition.</w:t>
      </w:r>
    </w:p>
    <w:p>
      <w:pPr>
        <w:spacing w:after="0" w:line="167"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9.14.</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333"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9.15.</w:t>
      </w:r>
      <w:r>
        <w:rPr>
          <w:sz w:val="20"/>
          <w:szCs w:val="20"/>
          <w:color w:val="auto"/>
        </w:rPr>
        <w:tab/>
      </w:r>
      <w:r>
        <w:rPr>
          <w:rFonts w:ascii="Arial" w:cs="Arial" w:eastAsia="Arial" w:hAnsi="Arial"/>
          <w:sz w:val="16"/>
          <w:szCs w:val="16"/>
          <w:u w:val="single" w:color="auto"/>
          <w:color w:val="auto"/>
        </w:rPr>
        <w:t>Certain ERISA Matters</w:t>
      </w:r>
      <w:r>
        <w:rPr>
          <w:rFonts w:ascii="Arial" w:cs="Arial" w:eastAsia="Arial" w:hAnsi="Arial"/>
          <w:sz w:val="16"/>
          <w:szCs w:val="16"/>
          <w:color w:val="auto"/>
        </w:rPr>
        <w:t>.</w:t>
      </w:r>
    </w:p>
    <w:p>
      <w:pPr>
        <w:spacing w:after="0" w:line="117" w:lineRule="exact"/>
        <w:rPr>
          <w:sz w:val="20"/>
          <w:szCs w:val="20"/>
          <w:color w:val="auto"/>
        </w:rPr>
      </w:pPr>
    </w:p>
    <w:p>
      <w:pPr>
        <w:jc w:val="both"/>
        <w:ind w:left="460" w:right="40" w:firstLine="4"/>
        <w:spacing w:after="0" w:line="259" w:lineRule="auto"/>
        <w:tabs>
          <w:tab w:leader="none" w:pos="70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Arranger and their respective Affiliates, and not, for the avoidance of doubt, to or for the benefit of the Borrower or any other Loan Party, that at least one of the following is and will be true:</w:t>
      </w:r>
    </w:p>
    <w:p>
      <w:pPr>
        <w:spacing w:after="0" w:line="78" w:lineRule="exact"/>
        <w:rPr>
          <w:rFonts w:ascii="Arial" w:cs="Arial" w:eastAsia="Arial" w:hAnsi="Arial"/>
          <w:sz w:val="18"/>
          <w:szCs w:val="18"/>
          <w:color w:val="auto"/>
        </w:rPr>
      </w:pPr>
    </w:p>
    <w:p>
      <w:pPr>
        <w:ind w:left="920" w:right="100" w:firstLine="1"/>
        <w:spacing w:after="0" w:line="277" w:lineRule="auto"/>
        <w:tabs>
          <w:tab w:leader="none" w:pos="1135" w:val="left"/>
        </w:tabs>
        <w:numPr>
          <w:ilvl w:val="1"/>
          <w:numId w:val="171"/>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29 CFR § 2510.3-101, as modified by Section 3(42) of ERISA) of one or more Benefit Plans in connection with the Loans or the Commitments,</w:t>
      </w:r>
    </w:p>
    <w:p>
      <w:pPr>
        <w:spacing w:after="0" w:line="62" w:lineRule="exact"/>
        <w:rPr>
          <w:rFonts w:ascii="Arial" w:cs="Arial" w:eastAsia="Arial" w:hAnsi="Arial"/>
          <w:sz w:val="18"/>
          <w:szCs w:val="18"/>
          <w:color w:val="auto"/>
        </w:rPr>
      </w:pPr>
    </w:p>
    <w:p>
      <w:pPr>
        <w:ind w:left="920" w:right="80" w:firstLine="1"/>
        <w:spacing w:after="0" w:line="273" w:lineRule="auto"/>
        <w:tabs>
          <w:tab w:leader="none" w:pos="1185" w:val="left"/>
        </w:tabs>
        <w:numPr>
          <w:ilvl w:val="1"/>
          <w:numId w:val="171"/>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70" w:lineRule="exact"/>
        <w:rPr>
          <w:rFonts w:ascii="Arial" w:cs="Arial" w:eastAsia="Arial" w:hAnsi="Arial"/>
          <w:sz w:val="17"/>
          <w:szCs w:val="17"/>
          <w:color w:val="auto"/>
        </w:rPr>
      </w:pPr>
    </w:p>
    <w:p>
      <w:pPr>
        <w:ind w:left="1240" w:hanging="319"/>
        <w:spacing w:after="0"/>
        <w:tabs>
          <w:tab w:leader="none" w:pos="1240" w:val="left"/>
        </w:tabs>
        <w:numPr>
          <w:ilvl w:val="1"/>
          <w:numId w:val="171"/>
        </w:numPr>
        <w:rPr>
          <w:rFonts w:ascii="Arial" w:cs="Arial" w:eastAsia="Arial" w:hAnsi="Arial"/>
          <w:sz w:val="16"/>
          <w:szCs w:val="16"/>
          <w:color w:val="auto"/>
        </w:rPr>
      </w:pPr>
      <w:r>
        <w:rPr>
          <w:rFonts w:ascii="Arial" w:cs="Arial" w:eastAsia="Arial" w:hAnsi="Arial"/>
          <w:sz w:val="16"/>
          <w:szCs w:val="16"/>
          <w:color w:val="auto"/>
        </w:rPr>
        <w:t>(A) such Lender is an investment fund managed by a “Qualified Professional Asset Manager” (within the meaning of Part VI of PTE 84-14),</w:t>
      </w:r>
    </w:p>
    <w:p>
      <w:pPr>
        <w:spacing w:after="0" w:line="46" w:lineRule="exact"/>
        <w:rPr>
          <w:rFonts w:ascii="Arial" w:cs="Arial" w:eastAsia="Arial" w:hAnsi="Arial"/>
          <w:sz w:val="16"/>
          <w:szCs w:val="16"/>
          <w:color w:val="auto"/>
        </w:rPr>
      </w:pPr>
    </w:p>
    <w:p>
      <w:pPr>
        <w:ind w:left="920" w:right="20"/>
        <w:spacing w:after="0" w:line="271" w:lineRule="auto"/>
        <w:rPr>
          <w:rFonts w:ascii="Arial" w:cs="Arial" w:eastAsia="Arial" w:hAnsi="Arial"/>
          <w:sz w:val="16"/>
          <w:szCs w:val="16"/>
          <w:color w:val="auto"/>
        </w:rPr>
      </w:pPr>
      <w:r>
        <w:rPr>
          <w:rFonts w:ascii="Arial" w:cs="Arial" w:eastAsia="Arial" w:hAnsi="Arial"/>
          <w:sz w:val="17"/>
          <w:szCs w:val="17"/>
          <w:color w:val="auto"/>
        </w:rPr>
        <w:t>(B)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70" w:lineRule="exact"/>
        <w:rPr>
          <w:rFonts w:ascii="Arial" w:cs="Arial" w:eastAsia="Arial" w:hAnsi="Arial"/>
          <w:sz w:val="16"/>
          <w:szCs w:val="16"/>
          <w:color w:val="auto"/>
        </w:rPr>
      </w:pPr>
    </w:p>
    <w:p>
      <w:pPr>
        <w:ind w:left="920" w:right="180" w:firstLine="1"/>
        <w:spacing w:after="0" w:line="277" w:lineRule="auto"/>
        <w:tabs>
          <w:tab w:leader="none" w:pos="1225" w:val="left"/>
        </w:tabs>
        <w:numPr>
          <w:ilvl w:val="1"/>
          <w:numId w:val="171"/>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62" w:lineRule="exact"/>
        <w:rPr>
          <w:rFonts w:ascii="Arial" w:cs="Arial" w:eastAsia="Arial" w:hAnsi="Arial"/>
          <w:sz w:val="18"/>
          <w:szCs w:val="18"/>
          <w:color w:val="auto"/>
        </w:rPr>
      </w:pPr>
    </w:p>
    <w:p>
      <w:pPr>
        <w:ind w:left="460" w:right="140" w:firstLine="4"/>
        <w:spacing w:after="0" w:line="277" w:lineRule="auto"/>
        <w:tabs>
          <w:tab w:leader="none" w:pos="71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 addition, (I) unless sub-clause (i) in the immediately preceding clause (a) is true with respect to a Lender or (II) if such sub-clause (i) is not true with respect to a Lender and such Lender has not provided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274" w:right="279" w:bottom="1440" w:gutter="0" w:footer="0" w:header="0"/>
        </w:sectPr>
      </w:pPr>
    </w:p>
    <w:bookmarkStart w:id="109" w:name="page110"/>
    <w:bookmarkEnd w:id="109"/>
    <w:p>
      <w:pPr>
        <w:ind w:left="4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Arranger and their respective Affiliates, and not, for the avoidance of doubt, to or for the benefit of the Borrower or any other Loan Party, that:</w:t>
      </w:r>
    </w:p>
    <w:p>
      <w:pPr>
        <w:spacing w:after="0" w:line="63" w:lineRule="exact"/>
        <w:rPr>
          <w:sz w:val="20"/>
          <w:szCs w:val="20"/>
          <w:color w:val="auto"/>
        </w:rPr>
      </w:pPr>
    </w:p>
    <w:p>
      <w:pPr>
        <w:ind w:left="920" w:firstLine="1"/>
        <w:spacing w:after="0" w:line="264" w:lineRule="auto"/>
        <w:tabs>
          <w:tab w:leader="none" w:pos="1135" w:val="left"/>
        </w:tabs>
        <w:numPr>
          <w:ilvl w:val="1"/>
          <w:numId w:val="172"/>
        </w:numPr>
        <w:rPr>
          <w:rFonts w:ascii="Arial" w:cs="Arial" w:eastAsia="Arial" w:hAnsi="Arial"/>
          <w:sz w:val="18"/>
          <w:szCs w:val="18"/>
          <w:color w:val="auto"/>
        </w:rPr>
      </w:pPr>
      <w:r>
        <w:rPr>
          <w:rFonts w:ascii="Arial" w:cs="Arial" w:eastAsia="Arial" w:hAnsi="Arial"/>
          <w:sz w:val="18"/>
          <w:szCs w:val="18"/>
          <w:color w:val="auto"/>
        </w:rPr>
        <w:t>none of the Administrative Agent or the Arranger or any of their respective Affiliates is a fiduciary with respect to the assets of such Lender (including in connection with the reservation or exercise of any rights by the Administrative Agent under this Agreement, any Loan Document or any documents related hereto or thereto),</w:t>
      </w:r>
    </w:p>
    <w:p>
      <w:pPr>
        <w:spacing w:after="0" w:line="73" w:lineRule="exact"/>
        <w:rPr>
          <w:rFonts w:ascii="Arial" w:cs="Arial" w:eastAsia="Arial" w:hAnsi="Arial"/>
          <w:sz w:val="18"/>
          <w:szCs w:val="18"/>
          <w:color w:val="auto"/>
        </w:rPr>
      </w:pPr>
    </w:p>
    <w:p>
      <w:pPr>
        <w:jc w:val="both"/>
        <w:ind w:left="920" w:right="120" w:firstLine="1"/>
        <w:spacing w:after="0" w:line="259" w:lineRule="auto"/>
        <w:tabs>
          <w:tab w:leader="none" w:pos="1185"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Person making the investment decision on behalf of such Lender with respect to the entrance into, participation in, administration of and performance of the Loans, the Commitments and this Agreement is independent (within the meaning of 29 CFR § 2510.3-21) and is a bank, an insurance carrier, an investment adviser, a broker-dealer or other person that holds, or has under management or control, total assets of at least $50 million, in each case as described in 29 CFR § 2510.3-21(c)(1)(i)(A)-(E),</w:t>
      </w:r>
    </w:p>
    <w:p>
      <w:pPr>
        <w:spacing w:after="0" w:line="78" w:lineRule="exact"/>
        <w:rPr>
          <w:rFonts w:ascii="Arial" w:cs="Arial" w:eastAsia="Arial" w:hAnsi="Arial"/>
          <w:sz w:val="18"/>
          <w:szCs w:val="18"/>
          <w:color w:val="auto"/>
        </w:rPr>
      </w:pPr>
    </w:p>
    <w:p>
      <w:pPr>
        <w:ind w:left="920" w:right="80" w:firstLine="1"/>
        <w:spacing w:after="0" w:line="286" w:lineRule="auto"/>
        <w:tabs>
          <w:tab w:leader="none" w:pos="1235" w:val="left"/>
        </w:tabs>
        <w:numPr>
          <w:ilvl w:val="1"/>
          <w:numId w:val="172"/>
        </w:numPr>
        <w:rPr>
          <w:rFonts w:ascii="Arial" w:cs="Arial" w:eastAsia="Arial" w:hAnsi="Arial"/>
          <w:sz w:val="17"/>
          <w:szCs w:val="17"/>
          <w:color w:val="auto"/>
        </w:rPr>
      </w:pPr>
      <w:r>
        <w:rPr>
          <w:rFonts w:ascii="Arial" w:cs="Arial" w:eastAsia="Arial" w:hAnsi="Arial"/>
          <w:sz w:val="17"/>
          <w:szCs w:val="17"/>
          <w:color w:val="auto"/>
        </w:rPr>
        <w:t>the Person making the investment decision on behalf of such Lender with respect to the entrance into, participation in, administration of and performance of the Loans, the Commitments and this Agreement is capable of evaluating investment risks independently, both in general and with regard to particular transactions and investment strategies (including in respect of the Obligations),</w:t>
      </w:r>
    </w:p>
    <w:p>
      <w:pPr>
        <w:spacing w:after="0" w:line="57" w:lineRule="exact"/>
        <w:rPr>
          <w:rFonts w:ascii="Arial" w:cs="Arial" w:eastAsia="Arial" w:hAnsi="Arial"/>
          <w:sz w:val="17"/>
          <w:szCs w:val="17"/>
          <w:color w:val="auto"/>
        </w:rPr>
      </w:pPr>
    </w:p>
    <w:p>
      <w:pPr>
        <w:jc w:val="both"/>
        <w:ind w:left="920" w:right="80" w:firstLine="1"/>
        <w:spacing w:after="0" w:line="312" w:lineRule="auto"/>
        <w:tabs>
          <w:tab w:leader="none" w:pos="1225" w:val="left"/>
        </w:tabs>
        <w:numPr>
          <w:ilvl w:val="1"/>
          <w:numId w:val="172"/>
        </w:numPr>
        <w:rPr>
          <w:rFonts w:ascii="Arial" w:cs="Arial" w:eastAsia="Arial" w:hAnsi="Arial"/>
          <w:sz w:val="16"/>
          <w:szCs w:val="16"/>
          <w:color w:val="auto"/>
        </w:rPr>
      </w:pPr>
      <w:r>
        <w:rPr>
          <w:rFonts w:ascii="Arial" w:cs="Arial" w:eastAsia="Arial" w:hAnsi="Arial"/>
          <w:sz w:val="16"/>
          <w:szCs w:val="16"/>
          <w:color w:val="auto"/>
        </w:rPr>
        <w:t>the Person making the investment decision on behalf of such Lender with respect to the entrance into, participation in, administration of and performance of the Loans, the Commitments and this Agreement is a fiduciary under ERISA or the Code, or both, with respect to the Loans, the Commitments and this Agreement and is responsible for exercising independent judgment in evaluating the transactions hereunder, and</w:t>
      </w:r>
    </w:p>
    <w:p>
      <w:pPr>
        <w:spacing w:after="0" w:line="38" w:lineRule="exact"/>
        <w:rPr>
          <w:rFonts w:ascii="Arial" w:cs="Arial" w:eastAsia="Arial" w:hAnsi="Arial"/>
          <w:sz w:val="16"/>
          <w:szCs w:val="16"/>
          <w:color w:val="auto"/>
        </w:rPr>
      </w:pPr>
    </w:p>
    <w:p>
      <w:pPr>
        <w:ind w:left="920" w:right="540" w:firstLine="1"/>
        <w:spacing w:after="0" w:line="308" w:lineRule="auto"/>
        <w:tabs>
          <w:tab w:leader="none" w:pos="1175" w:val="left"/>
        </w:tabs>
        <w:numPr>
          <w:ilvl w:val="1"/>
          <w:numId w:val="172"/>
        </w:numPr>
        <w:rPr>
          <w:rFonts w:ascii="Arial" w:cs="Arial" w:eastAsia="Arial" w:hAnsi="Arial"/>
          <w:sz w:val="17"/>
          <w:szCs w:val="17"/>
          <w:color w:val="auto"/>
        </w:rPr>
      </w:pPr>
      <w:r>
        <w:rPr>
          <w:rFonts w:ascii="Arial" w:cs="Arial" w:eastAsia="Arial" w:hAnsi="Arial"/>
          <w:sz w:val="17"/>
          <w:szCs w:val="17"/>
          <w:color w:val="auto"/>
        </w:rPr>
        <w:t>no fee or other compensation is being paid directly to the Administrative Agent or the Arranger or any of their respective Affiliates for investment advice (as opposed to other services) in connection with the Loans, the Commitments or this Agreement.</w:t>
      </w:r>
    </w:p>
    <w:p>
      <w:pPr>
        <w:spacing w:after="0" w:line="146" w:lineRule="exact"/>
        <w:rPr>
          <w:rFonts w:ascii="Arial" w:cs="Arial" w:eastAsia="Arial" w:hAnsi="Arial"/>
          <w:sz w:val="17"/>
          <w:szCs w:val="17"/>
          <w:color w:val="auto"/>
        </w:rPr>
      </w:pPr>
    </w:p>
    <w:p>
      <w:pPr>
        <w:ind w:right="120" w:firstLine="464"/>
        <w:spacing w:after="0" w:line="270" w:lineRule="auto"/>
        <w:tabs>
          <w:tab w:leader="none" w:pos="701"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Administrative Agent and the Arranger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Commitments and this Agreement, (ii) may recognize a gain if it extended the Loans or the Commitments for an amount less than the amount being paid for an interest in the Loans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 xml:space="preserve">10.01. </w:t>
      </w:r>
      <w:r>
        <w:rPr>
          <w:rFonts w:ascii="Arial" w:cs="Arial" w:eastAsia="Arial" w:hAnsi="Arial"/>
          <w:sz w:val="16"/>
          <w:szCs w:val="16"/>
          <w:u w:val="single" w:color="auto"/>
          <w:color w:val="auto"/>
        </w:rPr>
        <w:t>Amendments, Etc</w:t>
      </w:r>
      <w:r>
        <w:rPr>
          <w:rFonts w:ascii="Arial" w:cs="Arial" w:eastAsia="Arial" w:hAnsi="Arial"/>
          <w:sz w:val="16"/>
          <w:szCs w:val="16"/>
          <w:color w:val="auto"/>
        </w:rPr>
        <w:t>. No amendment or waiver of any provision of this Agreement or any other Loan Document, and no consent to any departure by the Borrower or any other Loan Party therefrom, shall be effective unless in writing signed by the Required Lenders and the Borrower or the applicable Loan Party, as the case may be, and acknowledged by the Administrative Agent, and each such waiver or consent shall be effective only in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274" w:right="259" w:bottom="1440" w:gutter="0" w:footer="0" w:header="0"/>
        </w:sectPr>
      </w:pPr>
    </w:p>
    <w:bookmarkStart w:id="110" w:name="page111"/>
    <w:bookmarkEnd w:id="110"/>
    <w:p>
      <w:pPr>
        <w:ind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specific instance and for the specific purpose for which given;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subject to Section 3.03, no such amendment, waiver or consent shall:</w:t>
      </w:r>
    </w:p>
    <w:p>
      <w:pPr>
        <w:spacing w:after="0" w:line="62" w:lineRule="exact"/>
        <w:rPr>
          <w:sz w:val="20"/>
          <w:szCs w:val="20"/>
          <w:color w:val="auto"/>
        </w:rPr>
      </w:pPr>
    </w:p>
    <w:p>
      <w:pPr>
        <w:ind w:left="460" w:right="180" w:firstLine="443"/>
        <w:spacing w:after="0" w:line="277" w:lineRule="auto"/>
        <w:tabs>
          <w:tab w:leader="none" w:pos="127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in the case of the initial Credit Extension, waive any condition set forth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4.01(c)(i)</w:t>
      </w:r>
      <w:r>
        <w:rPr>
          <w:rFonts w:ascii="Arial" w:cs="Arial" w:eastAsia="Arial" w:hAnsi="Arial"/>
          <w:sz w:val="18"/>
          <w:szCs w:val="18"/>
          <w:color w:val="auto"/>
        </w:rPr>
        <w:t>), without the written consent of each Lender;</w:t>
      </w:r>
    </w:p>
    <w:p>
      <w:pPr>
        <w:spacing w:after="0" w:line="62" w:lineRule="exact"/>
        <w:rPr>
          <w:rFonts w:ascii="Arial" w:cs="Arial" w:eastAsia="Arial" w:hAnsi="Arial"/>
          <w:sz w:val="18"/>
          <w:szCs w:val="18"/>
          <w:color w:val="auto"/>
        </w:rPr>
      </w:pPr>
    </w:p>
    <w:p>
      <w:pPr>
        <w:ind w:left="1300" w:hanging="397"/>
        <w:spacing w:after="0"/>
        <w:tabs>
          <w:tab w:leader="none" w:pos="13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60" w:right="180" w:firstLine="443"/>
        <w:spacing w:after="0" w:line="277" w:lineRule="auto"/>
        <w:tabs>
          <w:tab w:leader="none" w:pos="127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extend or increase the Commitment of any Lender (or reinstate any Commitment terminated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without the written consent of such Lender;</w:t>
      </w:r>
    </w:p>
    <w:p>
      <w:pPr>
        <w:spacing w:after="0" w:line="62" w:lineRule="exact"/>
        <w:rPr>
          <w:rFonts w:ascii="Arial" w:cs="Arial" w:eastAsia="Arial" w:hAnsi="Arial"/>
          <w:sz w:val="18"/>
          <w:szCs w:val="18"/>
          <w:color w:val="auto"/>
        </w:rPr>
      </w:pPr>
    </w:p>
    <w:p>
      <w:pPr>
        <w:ind w:left="460" w:right="80" w:firstLine="443"/>
        <w:spacing w:after="0" w:line="264" w:lineRule="auto"/>
        <w:tabs>
          <w:tab w:leader="none" w:pos="128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postpone any date fixed by this Agreement or any other Loan Document for any payment (excluding mandatory prepayments) of principal, interest, fees or other amounts due to the Lenders (or any of them) hereunder or under such other Loan Document without the written consent of each such Lender entitled to such payment;</w:t>
      </w:r>
    </w:p>
    <w:p>
      <w:pPr>
        <w:spacing w:after="0" w:line="73" w:lineRule="exact"/>
        <w:rPr>
          <w:rFonts w:ascii="Arial" w:cs="Arial" w:eastAsia="Arial" w:hAnsi="Arial"/>
          <w:sz w:val="18"/>
          <w:szCs w:val="18"/>
          <w:color w:val="auto"/>
        </w:rPr>
      </w:pPr>
    </w:p>
    <w:p>
      <w:pPr>
        <w:ind w:left="1280" w:hanging="377"/>
        <w:spacing w:after="0"/>
        <w:tabs>
          <w:tab w:leader="none" w:pos="128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 xml:space="preserve">reduce the principal of, or the rate of interest specified herein on, any Loan, or (subject to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of the second proviso to this</w:t>
      </w:r>
    </w:p>
    <w:p>
      <w:pPr>
        <w:spacing w:after="0" w:line="35" w:lineRule="exact"/>
        <w:rPr>
          <w:sz w:val="20"/>
          <w:szCs w:val="20"/>
          <w:color w:val="auto"/>
        </w:rPr>
      </w:pPr>
    </w:p>
    <w:p>
      <w:pPr>
        <w:ind w:left="460" w:right="100"/>
        <w:spacing w:after="0" w:line="255" w:lineRule="auto"/>
        <w:rPr>
          <w:sz w:val="20"/>
          <w:szCs w:val="20"/>
          <w:color w:val="auto"/>
        </w:rPr>
      </w:pP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any fees or other amounts payable hereunder or under any other Loan Document without the written consent of each Lender entitled to such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only the consent of the Required Lenders shall be necessary to amend the definition of “Default Rate,” and waive any obligation of the Borrower to pay interest on the Term Loans at the Default Rate;</w:t>
      </w:r>
    </w:p>
    <w:p>
      <w:pPr>
        <w:spacing w:after="0" w:line="82" w:lineRule="exact"/>
        <w:rPr>
          <w:sz w:val="20"/>
          <w:szCs w:val="20"/>
          <w:color w:val="auto"/>
        </w:rPr>
      </w:pPr>
    </w:p>
    <w:p>
      <w:pPr>
        <w:ind w:left="460" w:right="380" w:firstLine="443"/>
        <w:spacing w:after="0" w:line="277" w:lineRule="auto"/>
        <w:tabs>
          <w:tab w:leader="none" w:pos="1258"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change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in a manner that would alter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sharing of payments required thereby without the written consent of each Lender directly affected thereby;</w:t>
      </w:r>
    </w:p>
    <w:p>
      <w:pPr>
        <w:spacing w:after="0" w:line="62" w:lineRule="exact"/>
        <w:rPr>
          <w:rFonts w:ascii="Arial" w:cs="Arial" w:eastAsia="Arial" w:hAnsi="Arial"/>
          <w:sz w:val="18"/>
          <w:szCs w:val="18"/>
          <w:color w:val="auto"/>
        </w:rPr>
      </w:pPr>
    </w:p>
    <w:p>
      <w:pPr>
        <w:ind w:left="460" w:right="80" w:firstLine="443"/>
        <w:spacing w:after="0" w:line="312" w:lineRule="auto"/>
        <w:tabs>
          <w:tab w:leader="none" w:pos="1288" w:val="left"/>
        </w:tabs>
        <w:numPr>
          <w:ilvl w:val="0"/>
          <w:numId w:val="175"/>
        </w:numPr>
        <w:rPr>
          <w:rFonts w:ascii="Arial" w:cs="Arial" w:eastAsia="Arial" w:hAnsi="Arial"/>
          <w:sz w:val="16"/>
          <w:szCs w:val="16"/>
          <w:color w:val="auto"/>
        </w:rPr>
      </w:pPr>
      <w:r>
        <w:rPr>
          <w:rFonts w:ascii="Arial" w:cs="Arial" w:eastAsia="Arial" w:hAnsi="Arial"/>
          <w:sz w:val="16"/>
          <w:szCs w:val="16"/>
          <w:color w:val="auto"/>
        </w:rPr>
        <w:t>change any provision of this Section or reduce the percentages specified in (or alter the method of calculation thereof) the definition of any of “Required Lenders” or any other provision hereof specifying the number or percentage of Lenders required to amend, waive or otherwise modify any rights hereunder or make any determination or grant any consent hereunder, without the written consent of each Lender directly affected thereby;</w:t>
      </w:r>
    </w:p>
    <w:p>
      <w:pPr>
        <w:spacing w:after="0" w:line="38" w:lineRule="exact"/>
        <w:rPr>
          <w:rFonts w:ascii="Arial" w:cs="Arial" w:eastAsia="Arial" w:hAnsi="Arial"/>
          <w:sz w:val="16"/>
          <w:szCs w:val="16"/>
          <w:color w:val="auto"/>
        </w:rPr>
      </w:pPr>
    </w:p>
    <w:p>
      <w:pPr>
        <w:ind w:left="1300" w:hanging="397"/>
        <w:spacing w:after="0"/>
        <w:tabs>
          <w:tab w:leader="none" w:pos="130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release all or substantially all of the Collateral in any transaction or series of related transactions, without the written consent of each</w:t>
      </w:r>
    </w:p>
    <w:p>
      <w:pPr>
        <w:spacing w:after="0" w:line="34"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color w:val="auto"/>
        </w:rPr>
        <w:t>Lender;</w:t>
      </w:r>
    </w:p>
    <w:p>
      <w:pPr>
        <w:spacing w:after="0" w:line="102" w:lineRule="exact"/>
        <w:rPr>
          <w:rFonts w:ascii="Arial" w:cs="Arial" w:eastAsia="Arial" w:hAnsi="Arial"/>
          <w:sz w:val="17"/>
          <w:szCs w:val="17"/>
          <w:color w:val="auto"/>
        </w:rPr>
      </w:pPr>
    </w:p>
    <w:p>
      <w:pPr>
        <w:ind w:left="460" w:firstLine="443"/>
        <w:spacing w:after="0" w:line="264" w:lineRule="auto"/>
        <w:tabs>
          <w:tab w:leader="none" w:pos="1248"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release all or substantially all of the value of the Guaranty, without the written consent of each Lender, except to the extent the release of any Subsidiary from the Guaranty is permitted pursuant to </w:t>
      </w:r>
      <w:r>
        <w:rPr>
          <w:rFonts w:ascii="Arial" w:cs="Arial" w:eastAsia="Arial" w:hAnsi="Arial"/>
          <w:sz w:val="18"/>
          <w:szCs w:val="18"/>
          <w:u w:val="single" w:color="auto"/>
          <w:color w:val="auto"/>
        </w:rPr>
        <w:t>Section 9.10</w:t>
      </w:r>
      <w:r>
        <w:rPr>
          <w:rFonts w:ascii="Arial" w:cs="Arial" w:eastAsia="Arial" w:hAnsi="Arial"/>
          <w:sz w:val="18"/>
          <w:szCs w:val="18"/>
          <w:color w:val="auto"/>
        </w:rPr>
        <w:t xml:space="preserve"> (in which case such release may be made by the Administrative Agent acting alone);</w:t>
      </w:r>
    </w:p>
    <w:p>
      <w:pPr>
        <w:spacing w:after="0" w:line="73" w:lineRule="exact"/>
        <w:rPr>
          <w:rFonts w:ascii="Arial" w:cs="Arial" w:eastAsia="Arial" w:hAnsi="Arial"/>
          <w:sz w:val="18"/>
          <w:szCs w:val="18"/>
          <w:color w:val="auto"/>
        </w:rPr>
      </w:pPr>
    </w:p>
    <w:p>
      <w:pPr>
        <w:ind w:left="1260" w:hanging="357"/>
        <w:spacing w:after="0"/>
        <w:tabs>
          <w:tab w:leader="none" w:pos="12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[reserved]; or</w:t>
      </w:r>
    </w:p>
    <w:p>
      <w:pPr>
        <w:spacing w:after="0" w:line="117" w:lineRule="exact"/>
        <w:rPr>
          <w:rFonts w:ascii="Arial" w:cs="Arial" w:eastAsia="Arial" w:hAnsi="Arial"/>
          <w:sz w:val="18"/>
          <w:szCs w:val="18"/>
          <w:color w:val="auto"/>
        </w:rPr>
      </w:pPr>
    </w:p>
    <w:p>
      <w:pPr>
        <w:ind w:left="460" w:right="60" w:firstLine="443"/>
        <w:spacing w:after="0" w:line="277" w:lineRule="auto"/>
        <w:tabs>
          <w:tab w:leader="none" w:pos="1288"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impose any greater restriction on the ability of any Lender under the Facility to assign any of its rights or obligations hereunder without the written consent of the Required Lenders;</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 amendment, waiver or consent shall, unless in writing and signed by the Administrative Agent in addition to the Lenders required above, affect the rights or duties of the Administrative Agent under this Agreement or any other Loan Document.</w:t>
      </w:r>
    </w:p>
    <w:p>
      <w:pPr>
        <w:spacing w:after="0" w:line="17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274" w:right="279" w:bottom="1440" w:gutter="0" w:footer="0" w:header="0"/>
        </w:sectPr>
      </w:pPr>
    </w:p>
    <w:bookmarkStart w:id="111" w:name="page112"/>
    <w:bookmarkEnd w:id="111"/>
    <w:p>
      <w:pPr>
        <w:ind w:right="80" w:firstLine="456"/>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Notwithstanding any provision herein to the contrary, this Agreement may be amended to extend the Maturity Date of the Term Facility with respect to Term Lenders that agree to such extension with respect to their Term Loans with the written consent of each such approving Term Lender, the Administrative Agent and the Borrower (and no other Lender) and, in connection therewith and pursuant to a written offer from the Borrower to extend such Maturity Date may provide for different rates of interest and fees under the Term Facility with respect to the portion thereof the with a Maturity Date so extended and may provide for other covenants and terms that apply solely to any period after the latest stated maturity date (including, without limitation, the Maturity Date) existing on the effective date of such amendment;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such case, (x) no Lender shall be obligated to participate in any such extension and</w:t>
      </w:r>
    </w:p>
    <w:p>
      <w:pPr>
        <w:spacing w:after="0" w:line="5" w:lineRule="exact"/>
        <w:rPr>
          <w:sz w:val="20"/>
          <w:szCs w:val="20"/>
          <w:color w:val="auto"/>
        </w:rPr>
      </w:pPr>
    </w:p>
    <w:p>
      <w:pPr>
        <w:ind w:right="40" w:firstLine="8"/>
        <w:spacing w:after="0" w:line="268" w:lineRule="auto"/>
        <w:tabs>
          <w:tab w:leader="none" w:pos="255" w:val="left"/>
        </w:tabs>
        <w:numPr>
          <w:ilvl w:val="0"/>
          <w:numId w:val="176"/>
        </w:numPr>
        <w:rPr>
          <w:rFonts w:ascii="Arial" w:cs="Arial" w:eastAsia="Arial" w:hAnsi="Arial"/>
          <w:sz w:val="17"/>
          <w:szCs w:val="17"/>
          <w:color w:val="auto"/>
        </w:rPr>
      </w:pPr>
      <w:r>
        <w:rPr>
          <w:rFonts w:ascii="Arial" w:cs="Arial" w:eastAsia="Arial" w:hAnsi="Arial"/>
          <w:sz w:val="17"/>
          <w:szCs w:val="17"/>
          <w:color w:val="auto"/>
        </w:rPr>
        <w:t xml:space="preserve">any such proposed extension of the Maturity Date with respect to a Facility shall have been offered to each Lender with Loans or Commitments under the applicable Facility proposed to be extended, and if the consents of such Lenders exceed the portion of Commitments and Loans the Borrower wishes to extend, such consents shall be accepted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among the applicable consenting Lenders. This paragraph shall apply to any Incremental Term Loans in the same manner as it applies to the Term Facility;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offer may, at the Borrower’s option, be made to the Lenders in respect of any tranche or tranches of Incremental Term Loans and/or the Term Facility without being made to any other tranche of Incremental Term Loans or the Term Facility, as the case may be. In connection with any extensions effected pursuant to this paragraph, the Loan Parties shall take any actions reasonably required by the Administrative Agent to ensure and/or demonstrate that the Lien and security interests granted by the Collateral Documents continue to be perfected under the UCC or otherwise after giving effect to such extension (including any actions requested in connection with any existing Mortgages or any title policies related thereto).</w:t>
      </w:r>
    </w:p>
    <w:p>
      <w:pPr>
        <w:spacing w:after="0" w:line="18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Notwithstanding anything to the contrary contained in this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(x) Collateral Documents (including any additional Collateral Documents executed pursuant to </w:t>
      </w:r>
      <w:r>
        <w:rPr>
          <w:rFonts w:ascii="Arial" w:cs="Arial" w:eastAsia="Arial" w:hAnsi="Arial"/>
          <w:sz w:val="17"/>
          <w:szCs w:val="17"/>
          <w:u w:val="single" w:color="auto"/>
          <w:color w:val="auto"/>
        </w:rPr>
        <w:t>Section 6.12</w:t>
      </w:r>
      <w:r>
        <w:rPr>
          <w:rFonts w:ascii="Arial" w:cs="Arial" w:eastAsia="Arial" w:hAnsi="Arial"/>
          <w:sz w:val="17"/>
          <w:szCs w:val="17"/>
          <w:color w:val="auto"/>
        </w:rPr>
        <w:t xml:space="preserve"> after the Closing Date) and related documents executed by the Loan Parties in connection with this Agreement may be in a form reasonably determined by the Administrative Agent and may be amended, supplemented and waived with the consent of the Administrative Agent and the Borrower without the need to obtain the consent of any other Person if such amendment, supplement or waiver is delivered in order (i) to comply with local Law or advice of local counsel, (ii) to cure ambiguities, omissions, mistakes or defects or (iii) to cause such Collateral Document or other document to be consistent with this Agreement and the other Loan Documents and (y) if following the Closing Date, the Administrative Agent and the Borrower shall have jointly identified an ambiguity, inconsistency, obvious error or any error or omission of a technical or immaterial nature, in each case, in any provision of the Loan Documents, then the Administrative Agent and the Loan Parties shall be permitted to amend such provision and such amendment shall become effective without any further action or consent of any other party to any Loan Documents if the same is not objected to in writing by the Required Lenders within five (5) Business Days following receipt of notice thereof.</w:t>
      </w:r>
    </w:p>
    <w:p>
      <w:pPr>
        <w:spacing w:after="0" w:line="178"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Notwithstanding anything to the contrary herein, this Agreement and the other Loan Documents may be amended (i) in accordance with Section 2.14 to incorporate the terms of any Incremental Increase with the written consent of the Borrower and Lenders providing such Incremental Increase, and (ii) to implement any changes contemplated by Section 2.14 hereof with the consent of the Borrower and the Administrative Agent.</w:t>
      </w:r>
    </w:p>
    <w:p>
      <w:pPr>
        <w:spacing w:after="0" w:line="274"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10.02.</w:t>
      </w:r>
      <w:r>
        <w:rPr>
          <w:sz w:val="20"/>
          <w:szCs w:val="20"/>
          <w:color w:val="auto"/>
        </w:rPr>
        <w:tab/>
      </w:r>
      <w:r>
        <w:rPr>
          <w:rFonts w:ascii="Arial" w:cs="Arial" w:eastAsia="Arial" w:hAnsi="Arial"/>
          <w:sz w:val="16"/>
          <w:szCs w:val="16"/>
          <w:u w:val="single" w:color="auto"/>
          <w:color w:val="auto"/>
        </w:rPr>
        <w:t>Notices; Effectiveness; Electronic Communications</w:t>
      </w:r>
      <w:r>
        <w:rPr>
          <w:rFonts w:ascii="Arial" w:cs="Arial" w:eastAsia="Arial" w:hAnsi="Arial"/>
          <w:sz w:val="16"/>
          <w:szCs w:val="16"/>
          <w:color w:val="auto"/>
        </w:rPr>
        <w:t>.</w:t>
      </w:r>
    </w:p>
    <w:p>
      <w:pPr>
        <w:spacing w:after="0" w:line="117" w:lineRule="exact"/>
        <w:rPr>
          <w:sz w:val="20"/>
          <w:szCs w:val="20"/>
          <w:color w:val="auto"/>
        </w:rPr>
      </w:pPr>
    </w:p>
    <w:p>
      <w:pPr>
        <w:ind w:right="40" w:firstLine="464"/>
        <w:spacing w:after="0" w:line="259" w:lineRule="auto"/>
        <w:tabs>
          <w:tab w:leader="none" w:pos="836"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Notices Generally</w:t>
      </w:r>
      <w:r>
        <w:rPr>
          <w:rFonts w:ascii="Arial" w:cs="Arial" w:eastAsia="Arial" w:hAnsi="Arial"/>
          <w:sz w:val="18"/>
          <w:szCs w:val="18"/>
          <w:color w:val="auto"/>
        </w:rPr>
        <w:t xml:space="preserve">. Except in the case of notices and other communications expressly permitted to be given by telephone (and except as provided in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below), all notices and other communications provided for herein shall be in writing and shall be delivered by hand or overnight courier service, mailed by certified or registered mail or sent by facsimile or electronic mail as follows, and all notices and other communications expressly permitted hereunder to be given by telephone shall be made to the applicable telephone number, as follows:</w:t>
      </w:r>
    </w:p>
    <w:p>
      <w:pPr>
        <w:spacing w:after="0" w:line="78" w:lineRule="exact"/>
        <w:rPr>
          <w:rFonts w:ascii="Arial" w:cs="Arial" w:eastAsia="Arial" w:hAnsi="Arial"/>
          <w:sz w:val="18"/>
          <w:szCs w:val="18"/>
          <w:color w:val="auto"/>
        </w:rPr>
      </w:pPr>
    </w:p>
    <w:p>
      <w:pPr>
        <w:ind w:left="460" w:right="160" w:firstLine="443"/>
        <w:spacing w:after="0" w:line="277" w:lineRule="auto"/>
        <w:tabs>
          <w:tab w:leader="none" w:pos="1248" w:val="left"/>
        </w:tabs>
        <w:numPr>
          <w:ilvl w:val="1"/>
          <w:numId w:val="177"/>
        </w:numPr>
        <w:rPr>
          <w:rFonts w:ascii="Arial" w:cs="Arial" w:eastAsia="Arial" w:hAnsi="Arial"/>
          <w:sz w:val="18"/>
          <w:szCs w:val="18"/>
          <w:color w:val="auto"/>
        </w:rPr>
      </w:pPr>
      <w:r>
        <w:rPr>
          <w:rFonts w:ascii="Arial" w:cs="Arial" w:eastAsia="Arial" w:hAnsi="Arial"/>
          <w:sz w:val="18"/>
          <w:szCs w:val="18"/>
          <w:color w:val="auto"/>
        </w:rPr>
        <w:t xml:space="preserve">if to the Borrower or the Administrative Agent, to the address, facsimile number, electronic mail address or telephone number specified for such Person on </w:t>
      </w:r>
      <w:r>
        <w:rPr>
          <w:rFonts w:ascii="Arial" w:cs="Arial" w:eastAsia="Arial" w:hAnsi="Arial"/>
          <w:sz w:val="18"/>
          <w:szCs w:val="18"/>
          <w:u w:val="single" w:color="auto"/>
          <w:color w:val="auto"/>
        </w:rPr>
        <w:t>Schedule 10.02</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460" w:right="400" w:firstLine="443"/>
        <w:spacing w:after="0" w:line="286" w:lineRule="auto"/>
        <w:tabs>
          <w:tab w:leader="none" w:pos="1298" w:val="left"/>
        </w:tabs>
        <w:numPr>
          <w:ilvl w:val="1"/>
          <w:numId w:val="177"/>
        </w:numPr>
        <w:rPr>
          <w:rFonts w:ascii="Arial" w:cs="Arial" w:eastAsia="Arial" w:hAnsi="Arial"/>
          <w:sz w:val="17"/>
          <w:szCs w:val="17"/>
          <w:color w:val="auto"/>
        </w:rPr>
      </w:pPr>
      <w:r>
        <w:rPr>
          <w:rFonts w:ascii="Arial" w:cs="Arial" w:eastAsia="Arial" w:hAnsi="Arial"/>
          <w:sz w:val="17"/>
          <w:szCs w:val="17"/>
          <w:color w:val="auto"/>
        </w:rPr>
        <w:t>if to any other Lender, to the address, facsimile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274" w:right="239" w:bottom="1440" w:gutter="0" w:footer="0" w:header="0"/>
        </w:sectPr>
      </w:pPr>
    </w:p>
    <w:bookmarkStart w:id="112" w:name="page113"/>
    <w:bookmarkEnd w:id="112"/>
    <w:p>
      <w:pPr>
        <w:ind w:right="140"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below shall be effective as provided in such </w:t>
      </w:r>
      <w:r>
        <w:rPr>
          <w:rFonts w:ascii="Arial" w:cs="Arial" w:eastAsia="Arial" w:hAnsi="Arial"/>
          <w:sz w:val="18"/>
          <w:szCs w:val="18"/>
          <w:u w:val="single" w:color="auto"/>
          <w:color w:val="auto"/>
        </w:rPr>
        <w:t>subsection (b)</w:t>
      </w:r>
      <w:r>
        <w:rPr>
          <w:rFonts w:ascii="Arial" w:cs="Arial" w:eastAsia="Arial" w:hAnsi="Arial"/>
          <w:sz w:val="18"/>
          <w:szCs w:val="18"/>
          <w:color w:val="auto"/>
        </w:rPr>
        <w:t>.</w:t>
      </w:r>
    </w:p>
    <w:p>
      <w:pPr>
        <w:spacing w:after="0" w:line="188" w:lineRule="exact"/>
        <w:rPr>
          <w:sz w:val="20"/>
          <w:szCs w:val="20"/>
          <w:color w:val="auto"/>
        </w:rPr>
      </w:pPr>
    </w:p>
    <w:p>
      <w:pPr>
        <w:ind w:right="20" w:firstLine="464"/>
        <w:spacing w:after="0" w:line="255" w:lineRule="auto"/>
        <w:tabs>
          <w:tab w:leader="none" w:pos="846"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Electronic Communications</w:t>
      </w:r>
      <w:r>
        <w:rPr>
          <w:rFonts w:ascii="Arial" w:cs="Arial" w:eastAsia="Arial" w:hAnsi="Arial"/>
          <w:sz w:val="18"/>
          <w:szCs w:val="18"/>
          <w:color w:val="auto"/>
        </w:rPr>
        <w:t xml:space="preserve">. Notices and other communications to the Lenders hereunder may be delivered or furnished by electronic communication (including e-mail and Internet or intranet websites) pursuant to procedures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to any Lender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if such Lender has notified the Administrative Agent that it is incapable of receiving notices under such Article by electronic communication. The Administrative Agent or the Borrower may each,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notification that such notice or communication is available and identifying the website address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both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89" w:lineRule="exact"/>
        <w:rPr>
          <w:sz w:val="20"/>
          <w:szCs w:val="20"/>
          <w:color w:val="auto"/>
        </w:rPr>
      </w:pPr>
    </w:p>
    <w:p>
      <w:pPr>
        <w:ind w:right="40" w:firstLine="464"/>
        <w:spacing w:after="0" w:line="270" w:lineRule="auto"/>
        <w:tabs>
          <w:tab w:leader="none" w:pos="836" w:val="left"/>
        </w:tabs>
        <w:numPr>
          <w:ilvl w:val="0"/>
          <w:numId w:val="179"/>
        </w:numPr>
        <w:rPr>
          <w:rFonts w:ascii="Arial" w:cs="Arial" w:eastAsia="Arial" w:hAnsi="Arial"/>
          <w:sz w:val="17"/>
          <w:szCs w:val="17"/>
          <w:color w:val="auto"/>
        </w:rPr>
      </w:pPr>
      <w:r>
        <w:rPr>
          <w:rFonts w:ascii="Arial" w:cs="Arial" w:eastAsia="Arial" w:hAnsi="Arial"/>
          <w:sz w:val="17"/>
          <w:szCs w:val="17"/>
          <w:u w:val="single" w:color="auto"/>
          <w:color w:val="auto"/>
        </w:rPr>
        <w:t>The Platform</w:t>
      </w:r>
      <w:r>
        <w:rPr>
          <w:rFonts w:ascii="Arial" w:cs="Arial" w:eastAsia="Arial" w:hAnsi="Arial"/>
          <w:sz w:val="17"/>
          <w:szCs w:val="17"/>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7"/>
          <w:szCs w:val="17"/>
          <w:u w:val="single" w:color="auto"/>
          <w:color w:val="auto"/>
        </w:rPr>
        <w:t>Agent Parties</w:t>
      </w:r>
      <w:r>
        <w:rPr>
          <w:rFonts w:ascii="Arial" w:cs="Arial" w:eastAsia="Arial" w:hAnsi="Arial"/>
          <w:sz w:val="17"/>
          <w:szCs w:val="17"/>
          <w:color w:val="auto"/>
        </w:rPr>
        <w:t>”) have any liability to the Borrower, any Lender, or any other Person for losses, claims, damages, liabilities or expenses of any kind (whether in tort, contract or otherwise) arising out of the Borrower’s, any Loan Party’s or the Administrative Agent’s transmission of Borrower Materials or notices through the Platform, any other electronic messaging service, or through the Internet.</w:t>
      </w:r>
    </w:p>
    <w:p>
      <w:pPr>
        <w:spacing w:after="0" w:line="181" w:lineRule="exact"/>
        <w:rPr>
          <w:rFonts w:ascii="Arial" w:cs="Arial" w:eastAsia="Arial" w:hAnsi="Arial"/>
          <w:sz w:val="17"/>
          <w:szCs w:val="17"/>
          <w:color w:val="auto"/>
        </w:rPr>
      </w:pPr>
    </w:p>
    <w:p>
      <w:pPr>
        <w:ind w:right="60" w:firstLine="464"/>
        <w:spacing w:after="0" w:line="288" w:lineRule="auto"/>
        <w:tabs>
          <w:tab w:leader="none" w:pos="846" w:val="left"/>
        </w:tabs>
        <w:numPr>
          <w:ilvl w:val="0"/>
          <w:numId w:val="179"/>
        </w:numPr>
        <w:rPr>
          <w:rFonts w:ascii="Arial" w:cs="Arial" w:eastAsia="Arial" w:hAnsi="Arial"/>
          <w:sz w:val="16"/>
          <w:szCs w:val="16"/>
          <w:color w:val="auto"/>
        </w:rPr>
      </w:pPr>
      <w:r>
        <w:rPr>
          <w:rFonts w:ascii="Arial" w:cs="Arial" w:eastAsia="Arial" w:hAnsi="Arial"/>
          <w:sz w:val="16"/>
          <w:szCs w:val="16"/>
          <w:u w:val="single" w:color="auto"/>
          <w:color w:val="auto"/>
        </w:rPr>
        <w:t>Change of Address, Etc</w:t>
      </w:r>
      <w:r>
        <w:rPr>
          <w:rFonts w:ascii="Arial" w:cs="Arial" w:eastAsia="Arial" w:hAnsi="Arial"/>
          <w:sz w:val="16"/>
          <w:szCs w:val="16"/>
          <w:color w:val="auto"/>
        </w:rPr>
        <w:t>. Each of the Borrower and the Administrative Agent may change its address, facsimile or telephone number for notices and other communications hereunder by notice to the other parties hereto. Each other Lender may change its address, facsimile or telephone number for notices and other communications hereunder by notice to the Borrower and the Administrative Agent.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Laws,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69" w:lineRule="exact"/>
        <w:rPr>
          <w:rFonts w:ascii="Arial" w:cs="Arial" w:eastAsia="Arial" w:hAnsi="Arial"/>
          <w:sz w:val="16"/>
          <w:szCs w:val="16"/>
          <w:color w:val="auto"/>
        </w:rPr>
      </w:pPr>
    </w:p>
    <w:p>
      <w:pPr>
        <w:ind w:right="480" w:firstLine="464"/>
        <w:spacing w:after="0" w:line="277" w:lineRule="auto"/>
        <w:tabs>
          <w:tab w:leader="none" w:pos="836"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Reliance by Administrative Agent and Lenders</w:t>
      </w:r>
      <w:r>
        <w:rPr>
          <w:rFonts w:ascii="Arial" w:cs="Arial" w:eastAsia="Arial" w:hAnsi="Arial"/>
          <w:sz w:val="18"/>
          <w:szCs w:val="18"/>
          <w:color w:val="auto"/>
        </w:rPr>
        <w:t>. The Administrative Agent and the Lenders shall be entitled to rely and act upon any notices (including telephonic or electronic Committed Loan Notices) purportedly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274" w:right="239" w:bottom="1440" w:gutter="0" w:footer="0" w:header="0"/>
        </w:sectPr>
      </w:pPr>
    </w:p>
    <w:bookmarkStart w:id="113" w:name="page114"/>
    <w:bookmarkEnd w:id="113"/>
    <w:p>
      <w:pPr>
        <w:ind w:right="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each Lender and the Related Parties of each of them from all losses, costs, expenses and liabilities resulting from the reliance by such Person on each notice purportedly given by or on behalf of the Borrower. All telephonic notices to and other telephonic communications with the Administrative Agent may be recorded by the Administrative Agent, and each of the parties hereto hereby consents to such recording.</w:t>
      </w:r>
    </w:p>
    <w:p>
      <w:pPr>
        <w:spacing w:after="0" w:line="15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 xml:space="preserve">10.03. </w:t>
      </w:r>
      <w:r>
        <w:rPr>
          <w:rFonts w:ascii="Arial" w:cs="Arial" w:eastAsia="Arial" w:hAnsi="Arial"/>
          <w:sz w:val="18"/>
          <w:szCs w:val="18"/>
          <w:u w:val="single" w:color="auto"/>
          <w:color w:val="auto"/>
        </w:rPr>
        <w:t>No Waiver; Cumulative Remedies; Enforcement</w:t>
      </w:r>
      <w:r>
        <w:rPr>
          <w:rFonts w:ascii="Arial" w:cs="Arial" w:eastAsia="Arial" w:hAnsi="Arial"/>
          <w:sz w:val="18"/>
          <w:szCs w:val="18"/>
          <w:color w:val="auto"/>
        </w:rPr>
        <w:t>. No failure by any Lender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8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for the benefit of all the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Lender from exercising setoff rights in accordance with </w:t>
      </w:r>
      <w:r>
        <w:rPr>
          <w:rFonts w:ascii="Arial" w:cs="Arial" w:eastAsia="Arial" w:hAnsi="Arial"/>
          <w:sz w:val="17"/>
          <w:szCs w:val="17"/>
          <w:u w:val="single" w:color="auto"/>
          <w:color w:val="auto"/>
        </w:rPr>
        <w:t>Section 10.08</w:t>
      </w:r>
      <w:r>
        <w:rPr>
          <w:rFonts w:ascii="Arial" w:cs="Arial" w:eastAsia="Arial" w:hAnsi="Arial"/>
          <w:sz w:val="17"/>
          <w:szCs w:val="17"/>
          <w:color w:val="auto"/>
        </w:rPr>
        <w:t xml:space="preserve"> (subject to the terms of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or (c) any Lender from filing proofs of claim or appearing and filing pleadings on its own behalf during the pendency of a proceeding relative to any Loan Party under any Debtor Relief Law;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and (ii) in addition to the matters set forth in </w:t>
      </w:r>
      <w:r>
        <w:rPr>
          <w:rFonts w:ascii="Arial" w:cs="Arial" w:eastAsia="Arial" w:hAnsi="Arial"/>
          <w:sz w:val="17"/>
          <w:szCs w:val="17"/>
          <w:u w:val="single" w:color="auto"/>
          <w:color w:val="auto"/>
        </w:rPr>
        <w:t>clauses (b)</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(d)</w:t>
      </w:r>
      <w:r>
        <w:rPr>
          <w:rFonts w:ascii="Arial" w:cs="Arial" w:eastAsia="Arial" w:hAnsi="Arial"/>
          <w:sz w:val="17"/>
          <w:szCs w:val="17"/>
          <w:color w:val="auto"/>
        </w:rPr>
        <w:t xml:space="preserve"> of the preceding proviso and subject to </w:t>
      </w:r>
      <w:r>
        <w:rPr>
          <w:rFonts w:ascii="Arial" w:cs="Arial" w:eastAsia="Arial" w:hAnsi="Arial"/>
          <w:sz w:val="17"/>
          <w:szCs w:val="17"/>
          <w:u w:val="single" w:color="auto"/>
          <w:color w:val="auto"/>
        </w:rPr>
        <w:t>Section 2.13</w:t>
      </w:r>
      <w:r>
        <w:rPr>
          <w:rFonts w:ascii="Arial" w:cs="Arial" w:eastAsia="Arial" w:hAnsi="Arial"/>
          <w:sz w:val="17"/>
          <w:szCs w:val="17"/>
          <w:color w:val="auto"/>
        </w:rPr>
        <w:t>, any Lender may, with the consent of the Required Lenders, enforce any rights and remedies available to it and as authorized by the Required Lenders.</w:t>
      </w:r>
    </w:p>
    <w:p>
      <w:pPr>
        <w:spacing w:after="0" w:line="291"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10.04.</w:t>
      </w:r>
      <w:r>
        <w:rPr>
          <w:sz w:val="20"/>
          <w:szCs w:val="20"/>
          <w:color w:val="auto"/>
        </w:rPr>
        <w:tab/>
      </w:r>
      <w:r>
        <w:rPr>
          <w:rFonts w:ascii="Arial" w:cs="Arial" w:eastAsia="Arial" w:hAnsi="Arial"/>
          <w:sz w:val="16"/>
          <w:szCs w:val="16"/>
          <w:u w:val="single" w:color="auto"/>
          <w:color w:val="auto"/>
        </w:rPr>
        <w:t>Expenses; Indemnity; Damage Waiver</w:t>
      </w:r>
      <w:r>
        <w:rPr>
          <w:rFonts w:ascii="Arial" w:cs="Arial" w:eastAsia="Arial" w:hAnsi="Arial"/>
          <w:sz w:val="16"/>
          <w:szCs w:val="16"/>
          <w:color w:val="auto"/>
        </w:rPr>
        <w:t>.</w:t>
      </w:r>
    </w:p>
    <w:p>
      <w:pPr>
        <w:spacing w:after="0" w:line="117" w:lineRule="exact"/>
        <w:rPr>
          <w:sz w:val="20"/>
          <w:szCs w:val="20"/>
          <w:color w:val="auto"/>
        </w:rPr>
      </w:pPr>
    </w:p>
    <w:p>
      <w:pPr>
        <w:ind w:firstLine="464"/>
        <w:spacing w:after="0" w:line="271" w:lineRule="auto"/>
        <w:tabs>
          <w:tab w:leader="none" w:pos="836" w:val="left"/>
        </w:tabs>
        <w:numPr>
          <w:ilvl w:val="0"/>
          <w:numId w:val="180"/>
        </w:numPr>
        <w:rPr>
          <w:rFonts w:ascii="Arial" w:cs="Arial" w:eastAsia="Arial" w:hAnsi="Arial"/>
          <w:sz w:val="17"/>
          <w:szCs w:val="17"/>
          <w:color w:val="auto"/>
        </w:rPr>
      </w:pPr>
      <w:r>
        <w:rPr>
          <w:rFonts w:ascii="Arial" w:cs="Arial" w:eastAsia="Arial" w:hAnsi="Arial"/>
          <w:sz w:val="17"/>
          <w:szCs w:val="17"/>
          <w:u w:val="single" w:color="auto"/>
          <w:color w:val="auto"/>
        </w:rPr>
        <w:t>Costs and Expenses</w:t>
      </w:r>
      <w:r>
        <w:rPr>
          <w:rFonts w:ascii="Arial" w:cs="Arial" w:eastAsia="Arial" w:hAnsi="Arial"/>
          <w:sz w:val="17"/>
          <w:szCs w:val="17"/>
          <w:color w:val="auto"/>
        </w:rPr>
        <w:t>. The Borrower shall pay (i) all reasonable out-of-pocket expenses incurred by the Administrative Agent and its Affiliates (including the reasonable fees, charges and disbursements of counsel for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and (ii) all out-of-pocket expenses incurred by the Administrative Agent or any Lender (including the fees, charges and disbursements of any counsel for the Administrative Agent or any Lender in connection with the enforcement or protection of its rights (A) in connection with this Agreement and the other Loan Documents, including its rights under this Section, or (B) in connection with Loans made hereunder, including all such out-of-pocket expenses incurred during any workout, restructuring or negotiations in respect of such Loans.</w:t>
      </w:r>
    </w:p>
    <w:p>
      <w:pPr>
        <w:spacing w:after="0" w:line="178" w:lineRule="exact"/>
        <w:rPr>
          <w:rFonts w:ascii="Arial" w:cs="Arial" w:eastAsia="Arial" w:hAnsi="Arial"/>
          <w:sz w:val="17"/>
          <w:szCs w:val="17"/>
          <w:color w:val="auto"/>
        </w:rPr>
      </w:pPr>
    </w:p>
    <w:p>
      <w:pPr>
        <w:ind w:right="80" w:firstLine="464"/>
        <w:spacing w:after="0" w:line="284" w:lineRule="auto"/>
        <w:tabs>
          <w:tab w:leader="none" w:pos="846" w:val="left"/>
        </w:tabs>
        <w:numPr>
          <w:ilvl w:val="0"/>
          <w:numId w:val="180"/>
        </w:numPr>
        <w:rPr>
          <w:rFonts w:ascii="Arial" w:cs="Arial" w:eastAsia="Arial" w:hAnsi="Arial"/>
          <w:sz w:val="16"/>
          <w:szCs w:val="16"/>
          <w:color w:val="auto"/>
        </w:rPr>
      </w:pPr>
      <w:r>
        <w:rPr>
          <w:rFonts w:ascii="Arial" w:cs="Arial" w:eastAsia="Arial" w:hAnsi="Arial"/>
          <w:sz w:val="16"/>
          <w:szCs w:val="16"/>
          <w:u w:val="single" w:color="auto"/>
          <w:color w:val="auto"/>
        </w:rPr>
        <w:t>Indemnification by the Borrower</w:t>
      </w:r>
      <w:r>
        <w:rPr>
          <w:rFonts w:ascii="Arial" w:cs="Arial" w:eastAsia="Arial" w:hAnsi="Arial"/>
          <w:sz w:val="16"/>
          <w:szCs w:val="16"/>
          <w:color w:val="auto"/>
        </w:rPr>
        <w:t>. The Borrower shall indemnify the Administrative Agent (and any sub-agent thereof), each Arranger, each Lender and each Related Party of any of the foregoing Persons (each such Person being called an “Indemnitee”) against, and hold each Indemnitee harmless from, any and all losses, claims, damages, liabilities and related expenses (including the reasonable fees, charges and disbursements of any counsel for any Indemnitee) incurred by any Indemnitee or asserted against any Indemnitee by any Person (including the Borrower or any other Loan Party) other than such Indemnitee and its Related Parties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3.01</w:t>
      </w:r>
      <w:r>
        <w:rPr>
          <w:rFonts w:ascii="Arial" w:cs="Arial" w:eastAsia="Arial" w:hAnsi="Arial"/>
          <w:sz w:val="18"/>
          <w:szCs w:val="18"/>
          <w:color w:val="auto"/>
        </w:rPr>
        <w:t>), (ii)</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274" w:right="279" w:bottom="1440" w:gutter="0" w:footer="0" w:header="0"/>
        </w:sectPr>
      </w:pPr>
    </w:p>
    <w:bookmarkStart w:id="114" w:name="page115"/>
    <w:bookmarkEnd w:id="114"/>
    <w:p>
      <w:pPr>
        <w:ind w:right="1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Loan or the use or proposed use of the proceeds therefrom, (iii) any actual or alleged presence or Release of Hazardous Materials at, on, under or emanating from any property owned, leased or operated by the Borrower or any of its Subsidiaries, or any Environmental Liability related in any way to the Borrower or any of its Subsidiaries, or (iv)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the gross negligence or willful misconduct of such Indemnitee. Without limiting the provisions of </w:t>
      </w:r>
      <w:r>
        <w:rPr>
          <w:rFonts w:ascii="Arial" w:cs="Arial" w:eastAsia="Arial" w:hAnsi="Arial"/>
          <w:sz w:val="16"/>
          <w:szCs w:val="16"/>
          <w:u w:val="single" w:color="auto"/>
          <w:color w:val="auto"/>
        </w:rPr>
        <w:t>Section 3.01(c)</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10.04(b)</w:t>
      </w:r>
      <w:r>
        <w:rPr>
          <w:rFonts w:ascii="Arial" w:cs="Arial" w:eastAsia="Arial" w:hAnsi="Arial"/>
          <w:sz w:val="16"/>
          <w:szCs w:val="16"/>
          <w:color w:val="auto"/>
        </w:rPr>
        <w:t xml:space="preserve"> shall not apply with respect to Taxes other than any Taxes that represent losses, claims, damages, liabilities or related expenses arising from any non-Tax claim.</w:t>
      </w:r>
    </w:p>
    <w:p>
      <w:pPr>
        <w:spacing w:after="0" w:line="166" w:lineRule="exact"/>
        <w:rPr>
          <w:sz w:val="20"/>
          <w:szCs w:val="20"/>
          <w:color w:val="auto"/>
        </w:rPr>
      </w:pPr>
    </w:p>
    <w:p>
      <w:pPr>
        <w:ind w:left="840" w:hanging="376"/>
        <w:spacing w:after="0"/>
        <w:tabs>
          <w:tab w:leader="none" w:pos="840" w:val="left"/>
        </w:tabs>
        <w:numPr>
          <w:ilvl w:val="1"/>
          <w:numId w:val="181"/>
        </w:numPr>
        <w:rPr>
          <w:rFonts w:ascii="Arial" w:cs="Arial" w:eastAsia="Arial" w:hAnsi="Arial"/>
          <w:sz w:val="16"/>
          <w:szCs w:val="16"/>
          <w:color w:val="auto"/>
        </w:rPr>
      </w:pPr>
      <w:r>
        <w:rPr>
          <w:rFonts w:ascii="Arial" w:cs="Arial" w:eastAsia="Arial" w:hAnsi="Arial"/>
          <w:sz w:val="16"/>
          <w:szCs w:val="16"/>
          <w:u w:val="single" w:color="auto"/>
          <w:color w:val="auto"/>
        </w:rPr>
        <w:t>Reimbursement by Lenders</w:t>
      </w:r>
      <w:r>
        <w:rPr>
          <w:rFonts w:ascii="Arial" w:cs="Arial" w:eastAsia="Arial" w:hAnsi="Arial"/>
          <w:sz w:val="16"/>
          <w:szCs w:val="16"/>
          <w:color w:val="auto"/>
        </w:rPr>
        <w:t xml:space="preserve">. To the extent that the Borrower for any reason fails to indefeasibly pay any amount required under </w:t>
      </w:r>
      <w:r>
        <w:rPr>
          <w:rFonts w:ascii="Arial" w:cs="Arial" w:eastAsia="Arial" w:hAnsi="Arial"/>
          <w:sz w:val="16"/>
          <w:szCs w:val="16"/>
          <w:u w:val="single" w:color="auto"/>
          <w:color w:val="auto"/>
        </w:rPr>
        <w:t>subsection (a)</w:t>
      </w:r>
      <w:r>
        <w:rPr>
          <w:rFonts w:ascii="Arial" w:cs="Arial" w:eastAsia="Arial" w:hAnsi="Arial"/>
          <w:sz w:val="16"/>
          <w:szCs w:val="16"/>
          <w:color w:val="auto"/>
        </w:rPr>
        <w:t xml:space="preserve"> or</w:t>
      </w:r>
    </w:p>
    <w:p>
      <w:pPr>
        <w:spacing w:after="0" w:line="46" w:lineRule="exact"/>
        <w:rPr>
          <w:rFonts w:ascii="Arial" w:cs="Arial" w:eastAsia="Arial" w:hAnsi="Arial"/>
          <w:sz w:val="16"/>
          <w:szCs w:val="16"/>
          <w:color w:val="auto"/>
        </w:rPr>
      </w:pPr>
    </w:p>
    <w:p>
      <w:pPr>
        <w:ind w:right="120" w:firstLine="8"/>
        <w:spacing w:after="0" w:line="268" w:lineRule="auto"/>
        <w:tabs>
          <w:tab w:leader="none" w:pos="255" w:val="left"/>
        </w:tabs>
        <w:numPr>
          <w:ilvl w:val="0"/>
          <w:numId w:val="182"/>
        </w:numPr>
        <w:rPr>
          <w:rFonts w:ascii="Arial" w:cs="Arial" w:eastAsia="Arial" w:hAnsi="Arial"/>
          <w:sz w:val="17"/>
          <w:szCs w:val="17"/>
          <w:u w:val="single" w:color="auto"/>
          <w:color w:val="auto"/>
        </w:rPr>
      </w:pPr>
      <w:r>
        <w:rPr>
          <w:rFonts w:ascii="Arial" w:cs="Arial" w:eastAsia="Arial" w:hAnsi="Arial"/>
          <w:sz w:val="17"/>
          <w:szCs w:val="17"/>
          <w:color w:val="auto"/>
        </w:rPr>
        <w:t xml:space="preserve">of this Section to be paid by it to the Administrative Agent (or any sub-agent thereof) or any Related Party of any of the foregoing, each Lender severally agrees to pay to the Administrative Agent (or any such sub-agent) or such Related Party, as the case may be, such Lender’s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(determined as of the time that the applicable unreimbursed expense or indemnity payment is sought based on each Lender’s share of the Total Term Loan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unreimbursed expense or indemnified loss, claim, damage, liability or related expense, as the case may be, was incurred by or asserted against the Administrative Agent (or any such sub-agent), in its capacity as such, or against any Related Party of any of the foregoing acting for the Administrative Agent (or any such sub-agent), in connection with such capacity. The obligations of the Lenders under this </w:t>
      </w:r>
      <w:r>
        <w:rPr>
          <w:rFonts w:ascii="Arial" w:cs="Arial" w:eastAsia="Arial" w:hAnsi="Arial"/>
          <w:sz w:val="17"/>
          <w:szCs w:val="17"/>
          <w:u w:val="single" w:color="auto"/>
          <w:color w:val="auto"/>
        </w:rPr>
        <w:t>subsection (c)</w:t>
      </w:r>
      <w:r>
        <w:rPr>
          <w:rFonts w:ascii="Arial" w:cs="Arial" w:eastAsia="Arial" w:hAnsi="Arial"/>
          <w:sz w:val="17"/>
          <w:szCs w:val="17"/>
          <w:color w:val="auto"/>
        </w:rPr>
        <w:t xml:space="preserve"> are subject to the provisions of </w:t>
      </w:r>
      <w:r>
        <w:rPr>
          <w:rFonts w:ascii="Arial" w:cs="Arial" w:eastAsia="Arial" w:hAnsi="Arial"/>
          <w:sz w:val="17"/>
          <w:szCs w:val="17"/>
          <w:u w:val="single" w:color="auto"/>
          <w:color w:val="auto"/>
        </w:rPr>
        <w:t>Section 2.12(d)</w:t>
      </w:r>
      <w:r>
        <w:rPr>
          <w:rFonts w:ascii="Arial" w:cs="Arial" w:eastAsia="Arial" w:hAnsi="Arial"/>
          <w:sz w:val="17"/>
          <w:szCs w:val="17"/>
          <w:color w:val="auto"/>
        </w:rPr>
        <w:t>.</w:t>
      </w:r>
    </w:p>
    <w:p>
      <w:pPr>
        <w:spacing w:after="0" w:line="182" w:lineRule="exact"/>
        <w:rPr>
          <w:rFonts w:ascii="Arial" w:cs="Arial" w:eastAsia="Arial" w:hAnsi="Arial"/>
          <w:sz w:val="17"/>
          <w:szCs w:val="17"/>
          <w:u w:val="single" w:color="auto"/>
          <w:color w:val="auto"/>
        </w:rPr>
      </w:pPr>
    </w:p>
    <w:p>
      <w:pPr>
        <w:ind w:right="200" w:firstLine="464"/>
        <w:spacing w:after="0" w:line="272" w:lineRule="auto"/>
        <w:tabs>
          <w:tab w:leader="none" w:pos="846" w:val="left"/>
        </w:tabs>
        <w:numPr>
          <w:ilvl w:val="1"/>
          <w:numId w:val="182"/>
        </w:numPr>
        <w:rPr>
          <w:rFonts w:ascii="Arial" w:cs="Arial" w:eastAsia="Arial" w:hAnsi="Arial"/>
          <w:sz w:val="17"/>
          <w:szCs w:val="17"/>
          <w:color w:val="auto"/>
        </w:rPr>
      </w:pPr>
      <w:r>
        <w:rPr>
          <w:rFonts w:ascii="Arial" w:cs="Arial" w:eastAsia="Arial" w:hAnsi="Arial"/>
          <w:sz w:val="17"/>
          <w:szCs w:val="17"/>
          <w:u w:val="single" w:color="auto"/>
          <w:color w:val="auto"/>
        </w:rPr>
        <w:t>Waiver of Consequential Damages, Etc</w:t>
      </w:r>
      <w:r>
        <w:rPr>
          <w:rFonts w:ascii="Arial" w:cs="Arial" w:eastAsia="Arial" w:hAnsi="Arial"/>
          <w:sz w:val="17"/>
          <w:szCs w:val="17"/>
          <w:color w:val="auto"/>
        </w:rPr>
        <w:t xml:space="preserve">. To the fullest extent permitted by applicable law, the Borrower shall not assert, and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the use of the proceeds thereof. No Indemnitee referred to in </w:t>
      </w:r>
      <w:r>
        <w:rPr>
          <w:rFonts w:ascii="Arial" w:cs="Arial" w:eastAsia="Arial" w:hAnsi="Arial"/>
          <w:sz w:val="17"/>
          <w:szCs w:val="17"/>
          <w:u w:val="single" w:color="auto"/>
          <w:color w:val="auto"/>
        </w:rPr>
        <w:t>subsection (b)</w:t>
      </w:r>
      <w:r>
        <w:rPr>
          <w:rFonts w:ascii="Arial" w:cs="Arial" w:eastAsia="Arial" w:hAnsi="Arial"/>
          <w:sz w:val="17"/>
          <w:szCs w:val="17"/>
          <w:color w:val="auto"/>
        </w:rPr>
        <w:t xml:space="preserve"> above shall be liable for any damages arising from the use by others of any information or other materials distributed to such party by such Indemnitee through telecommunications, electronic or other information transmission systems in connection with this Agreement or the other Loan Documents or the transactions contemplated hereby or thereby.</w:t>
      </w:r>
    </w:p>
    <w:p>
      <w:pPr>
        <w:spacing w:after="0" w:line="177" w:lineRule="exact"/>
        <w:rPr>
          <w:rFonts w:ascii="Arial" w:cs="Arial" w:eastAsia="Arial" w:hAnsi="Arial"/>
          <w:sz w:val="17"/>
          <w:szCs w:val="17"/>
          <w:color w:val="auto"/>
        </w:rPr>
      </w:pPr>
    </w:p>
    <w:p>
      <w:pPr>
        <w:ind w:left="840" w:hanging="376"/>
        <w:spacing w:after="0"/>
        <w:tabs>
          <w:tab w:leader="none" w:pos="840" w:val="left"/>
        </w:tabs>
        <w:numPr>
          <w:ilvl w:val="1"/>
          <w:numId w:val="182"/>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not later than ten Business Days after demand therefor.</w:t>
      </w:r>
    </w:p>
    <w:p>
      <w:pPr>
        <w:spacing w:after="0" w:line="225" w:lineRule="exact"/>
        <w:rPr>
          <w:rFonts w:ascii="Arial" w:cs="Arial" w:eastAsia="Arial" w:hAnsi="Arial"/>
          <w:sz w:val="18"/>
          <w:szCs w:val="18"/>
          <w:color w:val="auto"/>
        </w:rPr>
      </w:pPr>
    </w:p>
    <w:p>
      <w:pPr>
        <w:ind w:right="520" w:firstLine="464"/>
        <w:spacing w:after="0" w:line="264" w:lineRule="auto"/>
        <w:tabs>
          <w:tab w:leader="none" w:pos="816" w:val="left"/>
        </w:tabs>
        <w:numPr>
          <w:ilvl w:val="1"/>
          <w:numId w:val="182"/>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agreements in this Section and the indemnity provision of </w:t>
      </w:r>
      <w:r>
        <w:rPr>
          <w:rFonts w:ascii="Arial" w:cs="Arial" w:eastAsia="Arial" w:hAnsi="Arial"/>
          <w:sz w:val="18"/>
          <w:szCs w:val="18"/>
          <w:u w:val="single" w:color="auto"/>
          <w:color w:val="auto"/>
        </w:rPr>
        <w:t>Section 10.02(e)</w:t>
      </w:r>
      <w:r>
        <w:rPr>
          <w:rFonts w:ascii="Arial" w:cs="Arial" w:eastAsia="Arial" w:hAnsi="Arial"/>
          <w:sz w:val="18"/>
          <w:szCs w:val="18"/>
          <w:color w:val="auto"/>
        </w:rPr>
        <w:t xml:space="preserve"> shall survive the resignation of the Administrative Agent=, the replacement of any Lender, the termination of the Aggregate Commitments and the repayment, satisfaction or discharge of all the other Obligations.</w:t>
      </w:r>
    </w:p>
    <w:p>
      <w:pPr>
        <w:spacing w:after="0" w:line="18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10.05. </w:t>
      </w:r>
      <w:r>
        <w:rPr>
          <w:rFonts w:ascii="Arial" w:cs="Arial" w:eastAsia="Arial" w:hAnsi="Arial"/>
          <w:sz w:val="16"/>
          <w:szCs w:val="16"/>
          <w:u w:val="single" w:color="auto"/>
          <w:color w:val="auto"/>
        </w:rPr>
        <w:t>Payments Set Aside</w:t>
      </w:r>
      <w:r>
        <w:rPr>
          <w:rFonts w:ascii="Arial" w:cs="Arial" w:eastAsia="Arial" w:hAnsi="Arial"/>
          <w:sz w:val="16"/>
          <w:szCs w:val="16"/>
          <w:color w:val="auto"/>
        </w:rPr>
        <w:t xml:space="preserve">. To the extent that any payment by or on behalf of the Borrower is made to the 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interest thereon from the date of such demand to the date such payment is made at a rate per annum equal to the Federal Funds Rate from time to time in effect. The obligations of the Lenders under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the preceding sentence shall survive the payment in full of the Obligations and the termination of this Agreement.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274" w:right="239" w:bottom="1440" w:gutter="0" w:footer="0" w:header="0"/>
        </w:sectPr>
      </w:pPr>
    </w:p>
    <w:bookmarkStart w:id="115" w:name="page116"/>
    <w:bookmarkEnd w:id="115"/>
    <w:p>
      <w:pPr>
        <w:ind w:left="380"/>
        <w:spacing w:after="0"/>
        <w:tabs>
          <w:tab w:leader="none" w:pos="10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10.06.</w:t>
      </w:r>
      <w:r>
        <w:rPr>
          <w:sz w:val="20"/>
          <w:szCs w:val="20"/>
          <w:color w:val="auto"/>
        </w:rPr>
        <w:tab/>
      </w:r>
      <w:r>
        <w:rPr>
          <w:rFonts w:ascii="Arial" w:cs="Arial" w:eastAsia="Arial" w:hAnsi="Arial"/>
          <w:sz w:val="15"/>
          <w:szCs w:val="15"/>
          <w:u w:val="single" w:color="auto"/>
          <w:color w:val="auto"/>
        </w:rPr>
        <w:t>Successors and Assigns</w:t>
      </w:r>
      <w:r>
        <w:rPr>
          <w:rFonts w:ascii="Arial" w:cs="Arial" w:eastAsia="Arial" w:hAnsi="Arial"/>
          <w:sz w:val="15"/>
          <w:szCs w:val="15"/>
          <w:color w:val="auto"/>
        </w:rPr>
        <w:t>.</w:t>
      </w:r>
    </w:p>
    <w:p>
      <w:pPr>
        <w:spacing w:after="0" w:line="117" w:lineRule="exact"/>
        <w:rPr>
          <w:sz w:val="20"/>
          <w:szCs w:val="20"/>
          <w:color w:val="auto"/>
        </w:rPr>
      </w:pPr>
    </w:p>
    <w:p>
      <w:pPr>
        <w:ind w:left="-80" w:firstLine="464"/>
        <w:spacing w:after="0" w:line="270" w:lineRule="auto"/>
        <w:tabs>
          <w:tab w:leader="none" w:pos="756" w:val="left"/>
        </w:tabs>
        <w:numPr>
          <w:ilvl w:val="0"/>
          <w:numId w:val="183"/>
        </w:numPr>
        <w:rPr>
          <w:rFonts w:ascii="Arial" w:cs="Arial" w:eastAsia="Arial" w:hAnsi="Arial"/>
          <w:sz w:val="17"/>
          <w:szCs w:val="17"/>
          <w:color w:val="auto"/>
        </w:rPr>
      </w:pPr>
      <w:r>
        <w:rPr>
          <w:rFonts w:ascii="Arial" w:cs="Arial" w:eastAsia="Arial" w:hAnsi="Arial"/>
          <w:sz w:val="17"/>
          <w:szCs w:val="17"/>
          <w:u w:val="single" w:color="auto"/>
          <w:color w:val="auto"/>
        </w:rPr>
        <w:t>Successors and Assigns Generally</w:t>
      </w:r>
      <w:r>
        <w:rPr>
          <w:rFonts w:ascii="Arial" w:cs="Arial" w:eastAsia="Arial" w:hAnsi="Arial"/>
          <w:sz w:val="17"/>
          <w:szCs w:val="17"/>
          <w:color w:val="auto"/>
        </w:rPr>
        <w:t xml:space="preserve">. 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Arial" w:cs="Arial" w:eastAsia="Arial" w:hAnsi="Arial"/>
          <w:sz w:val="17"/>
          <w:szCs w:val="17"/>
          <w:u w:val="single" w:color="auto"/>
          <w:color w:val="auto"/>
        </w:rPr>
        <w:t>Section 10.06(b)</w:t>
      </w:r>
      <w:r>
        <w:rPr>
          <w:rFonts w:ascii="Arial" w:cs="Arial" w:eastAsia="Arial" w:hAnsi="Arial"/>
          <w:sz w:val="17"/>
          <w:szCs w:val="17"/>
          <w:color w:val="auto"/>
        </w:rPr>
        <w:t xml:space="preserve">, (ii) by way of participation in accordance with the provisions of </w:t>
      </w:r>
      <w:r>
        <w:rPr>
          <w:rFonts w:ascii="Arial" w:cs="Arial" w:eastAsia="Arial" w:hAnsi="Arial"/>
          <w:sz w:val="17"/>
          <w:szCs w:val="17"/>
          <w:u w:val="single" w:color="auto"/>
          <w:color w:val="auto"/>
        </w:rPr>
        <w:t>Section 10.06(d)</w:t>
      </w:r>
      <w:r>
        <w:rPr>
          <w:rFonts w:ascii="Arial" w:cs="Arial" w:eastAsia="Arial" w:hAnsi="Arial"/>
          <w:sz w:val="17"/>
          <w:szCs w:val="17"/>
          <w:color w:val="auto"/>
        </w:rPr>
        <w:t xml:space="preserve">, or (iii) by way of pledge or assignment of a security interest subject to the restrictions of </w:t>
      </w:r>
      <w:r>
        <w:rPr>
          <w:rFonts w:ascii="Arial" w:cs="Arial" w:eastAsia="Arial" w:hAnsi="Arial"/>
          <w:sz w:val="17"/>
          <w:szCs w:val="17"/>
          <w:u w:val="single" w:color="auto"/>
          <w:color w:val="auto"/>
        </w:rPr>
        <w:t>Section 10.06(e)</w:t>
      </w:r>
      <w:r>
        <w:rPr>
          <w:rFonts w:ascii="Arial" w:cs="Arial" w:eastAsia="Arial" w:hAnsi="Arial"/>
          <w:sz w:val="17"/>
          <w:szCs w:val="17"/>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7"/>
          <w:szCs w:val="17"/>
          <w:u w:val="single" w:color="auto"/>
          <w:color w:val="auto"/>
        </w:rPr>
        <w:t>subsection (d)</w:t>
      </w:r>
      <w:r>
        <w:rPr>
          <w:rFonts w:ascii="Arial" w:cs="Arial" w:eastAsia="Arial" w:hAnsi="Arial"/>
          <w:sz w:val="17"/>
          <w:szCs w:val="17"/>
          <w:color w:val="auto"/>
        </w:rPr>
        <w:t xml:space="preserve"> of this Section and, to the extent expressly contemplated hereby, the Related Parties of each of the Administrative Agent and the Lenders) any legal or equitable right, remedy or claim under or by reason of this Agreement.</w:t>
      </w:r>
    </w:p>
    <w:p>
      <w:pPr>
        <w:spacing w:after="0" w:line="181" w:lineRule="exact"/>
        <w:rPr>
          <w:rFonts w:ascii="Arial" w:cs="Arial" w:eastAsia="Arial" w:hAnsi="Arial"/>
          <w:sz w:val="17"/>
          <w:szCs w:val="17"/>
          <w:color w:val="auto"/>
        </w:rPr>
      </w:pPr>
    </w:p>
    <w:p>
      <w:pPr>
        <w:ind w:left="-80" w:right="40" w:firstLine="464"/>
        <w:spacing w:after="0" w:line="264" w:lineRule="auto"/>
        <w:tabs>
          <w:tab w:leader="none" w:pos="766"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 xml:space="preserve">. Any Lender may at any time assign to one or more assignees all or a portion of its rights and obligations under this Agreement (including all or a portion of its Commitment(s) and the Loans (including for purposes of this </w:t>
      </w:r>
      <w:r>
        <w:rPr>
          <w:rFonts w:ascii="Arial" w:cs="Arial" w:eastAsia="Arial" w:hAnsi="Arial"/>
          <w:sz w:val="18"/>
          <w:szCs w:val="18"/>
          <w:u w:val="single" w:color="auto"/>
          <w:color w:val="auto"/>
        </w:rPr>
        <w:t>Section 10.06(b)</w:t>
      </w:r>
      <w:r>
        <w:rPr>
          <w:rFonts w:ascii="Arial" w:cs="Arial" w:eastAsia="Arial" w:hAnsi="Arial"/>
          <w:sz w:val="18"/>
          <w:szCs w:val="18"/>
          <w:color w:val="auto"/>
        </w:rPr>
        <w:t xml:space="preserve">) at the time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with respect to any Facility) any such assignment shall be subject to the following conditions:</w:t>
      </w:r>
    </w:p>
    <w:p>
      <w:pPr>
        <w:spacing w:after="0" w:line="289" w:lineRule="exact"/>
        <w:rPr>
          <w:sz w:val="20"/>
          <w:szCs w:val="20"/>
          <w:color w:val="auto"/>
        </w:rPr>
      </w:pPr>
    </w:p>
    <w:p>
      <w:pPr>
        <w:ind w:left="1180" w:hanging="357"/>
        <w:spacing w:after="0"/>
        <w:tabs>
          <w:tab w:leader="none" w:pos="1180"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w:t>
      </w:r>
    </w:p>
    <w:p>
      <w:pPr>
        <w:spacing w:after="0" w:line="117" w:lineRule="exact"/>
        <w:rPr>
          <w:sz w:val="20"/>
          <w:szCs w:val="20"/>
          <w:color w:val="auto"/>
        </w:rPr>
      </w:pPr>
    </w:p>
    <w:p>
      <w:pPr>
        <w:ind w:left="380" w:right="60" w:firstLine="443"/>
        <w:spacing w:after="0" w:line="259" w:lineRule="auto"/>
        <w:tabs>
          <w:tab w:leader="none" w:pos="1248"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in the case of an assignment of the entire remaining amount of the assigning Lender’s Commitment under any Facility and/or the Loans at the time owing to it (in each case with respect to any Facility) or contemporaneous assignments to related Approved Funds that equal at least the amount specified in paragraph (b)(i)(B) of this Section in the aggregate or in the case of an assignment to a Lender, an Affiliate of a Lender or an Approved Fund, no minimum amount need be assigned; and</w:t>
      </w:r>
    </w:p>
    <w:p>
      <w:pPr>
        <w:spacing w:after="0" w:line="78" w:lineRule="exact"/>
        <w:rPr>
          <w:rFonts w:ascii="Arial" w:cs="Arial" w:eastAsia="Arial" w:hAnsi="Arial"/>
          <w:sz w:val="18"/>
          <w:szCs w:val="18"/>
          <w:color w:val="auto"/>
        </w:rPr>
      </w:pPr>
    </w:p>
    <w:p>
      <w:pPr>
        <w:ind w:left="380" w:firstLine="443"/>
        <w:spacing w:after="0" w:line="255" w:lineRule="auto"/>
        <w:tabs>
          <w:tab w:leader="none" w:pos="1238"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in any case not described in subsection (b)(i)(A) of this Section,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$1,000,000 unless each of the Administrative Agent and, so long as no Event of Default has occurred and is continuing, the Borrower otherwise consents (each such consent not to be unreasonably withheld or delayed).</w:t>
      </w:r>
    </w:p>
    <w:p>
      <w:pPr>
        <w:spacing w:after="0" w:line="85" w:lineRule="exact"/>
        <w:rPr>
          <w:sz w:val="20"/>
          <w:szCs w:val="20"/>
          <w:color w:val="auto"/>
        </w:rPr>
      </w:pPr>
    </w:p>
    <w:p>
      <w:pPr>
        <w:ind w:left="380" w:right="40" w:firstLine="443"/>
        <w:spacing w:after="0" w:line="277" w:lineRule="auto"/>
        <w:tabs>
          <w:tab w:leader="none" w:pos="1218"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Proportionate Amounts</w:t>
      </w:r>
      <w:r>
        <w:rPr>
          <w:rFonts w:ascii="Arial" w:cs="Arial" w:eastAsia="Arial" w:hAnsi="Arial"/>
          <w:sz w:val="18"/>
          <w:szCs w:val="18"/>
          <w:color w:val="auto"/>
        </w:rPr>
        <w:t>. Each partial assignment shall be made as an assignment of a proportionate part of all the assigning Lender’s rights and obligations under this Agreement with respect to the Loans or the Commitment assigned;</w:t>
      </w:r>
    </w:p>
    <w:p>
      <w:pPr>
        <w:spacing w:after="0" w:line="62" w:lineRule="exact"/>
        <w:rPr>
          <w:rFonts w:ascii="Arial" w:cs="Arial" w:eastAsia="Arial" w:hAnsi="Arial"/>
          <w:sz w:val="18"/>
          <w:szCs w:val="18"/>
          <w:color w:val="auto"/>
        </w:rPr>
      </w:pPr>
    </w:p>
    <w:p>
      <w:pPr>
        <w:ind w:left="380" w:right="180" w:firstLine="443"/>
        <w:spacing w:after="0" w:line="277" w:lineRule="auto"/>
        <w:tabs>
          <w:tab w:leader="none" w:pos="1268"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Required Consents</w:t>
      </w:r>
      <w:r>
        <w:rPr>
          <w:rFonts w:ascii="Arial" w:cs="Arial" w:eastAsia="Arial" w:hAnsi="Arial"/>
          <w:sz w:val="18"/>
          <w:szCs w:val="18"/>
          <w:color w:val="auto"/>
        </w:rPr>
        <w:t xml:space="preserve">. No consent shall be required for any assignment except to the extent required by </w:t>
      </w:r>
      <w:r>
        <w:rPr>
          <w:rFonts w:ascii="Arial" w:cs="Arial" w:eastAsia="Arial" w:hAnsi="Arial"/>
          <w:sz w:val="18"/>
          <w:szCs w:val="18"/>
          <w:u w:val="single" w:color="auto"/>
          <w:color w:val="auto"/>
        </w:rPr>
        <w:t>subsection (b)(i)(B)</w:t>
      </w:r>
      <w:r>
        <w:rPr>
          <w:rFonts w:ascii="Arial" w:cs="Arial" w:eastAsia="Arial" w:hAnsi="Arial"/>
          <w:sz w:val="18"/>
          <w:szCs w:val="18"/>
          <w:color w:val="auto"/>
        </w:rPr>
        <w:t xml:space="preserve"> of this Section and, in addition:</w:t>
      </w:r>
    </w:p>
    <w:p>
      <w:pPr>
        <w:spacing w:after="0" w:line="62" w:lineRule="exact"/>
        <w:rPr>
          <w:rFonts w:ascii="Arial" w:cs="Arial" w:eastAsia="Arial" w:hAnsi="Arial"/>
          <w:sz w:val="18"/>
          <w:szCs w:val="18"/>
          <w:color w:val="auto"/>
        </w:rPr>
      </w:pPr>
    </w:p>
    <w:p>
      <w:pPr>
        <w:ind w:left="840" w:right="20" w:firstLine="421"/>
        <w:spacing w:after="0" w:line="297" w:lineRule="auto"/>
        <w:tabs>
          <w:tab w:leader="none" w:pos="1690" w:val="left"/>
        </w:tabs>
        <w:numPr>
          <w:ilvl w:val="1"/>
          <w:numId w:val="186"/>
        </w:numPr>
        <w:rPr>
          <w:rFonts w:ascii="Arial" w:cs="Arial" w:eastAsia="Arial" w:hAnsi="Arial"/>
          <w:sz w:val="16"/>
          <w:szCs w:val="16"/>
          <w:color w:val="auto"/>
        </w:rPr>
      </w:pPr>
      <w:r>
        <w:rPr>
          <w:rFonts w:ascii="Arial" w:cs="Arial" w:eastAsia="Arial" w:hAnsi="Arial"/>
          <w:sz w:val="16"/>
          <w:szCs w:val="16"/>
          <w:color w:val="auto"/>
        </w:rPr>
        <w:t>the consent of the Borrower (such consent not to be unreasonably withheld or delayed) shall be required unless (1) an Event of Default has occurred and is continuing at the time of such assignment; (2) such assignment is to a Lender, an Affiliate of a Lender or an Approved Fund, or (3) such assignment is made in connection with the primary syndication of the credit facility provided herein and during the ninety (90) day period following the Closing Date; provided that the Borrower shall be deemed to have consented to any such assignment unless it shall object thereto by written notice to the Administrative Agent within five (5) Business Days after having received notice thereof; and</w:t>
      </w:r>
    </w:p>
    <w:p>
      <w:pPr>
        <w:spacing w:after="0" w:line="50" w:lineRule="exact"/>
        <w:rPr>
          <w:rFonts w:ascii="Arial" w:cs="Arial" w:eastAsia="Arial" w:hAnsi="Arial"/>
          <w:sz w:val="16"/>
          <w:szCs w:val="16"/>
          <w:color w:val="auto"/>
        </w:rPr>
      </w:pPr>
    </w:p>
    <w:p>
      <w:pPr>
        <w:ind w:left="840" w:right="20" w:firstLine="421"/>
        <w:spacing w:after="0" w:line="277" w:lineRule="auto"/>
        <w:tabs>
          <w:tab w:leader="none" w:pos="168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the consent of the Administrative Agent (such consent not to be unreasonably withheld or delayed) shall be required for assignments in respect of (i) any unfunded Term Commitment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60"/>
          </w:cols>
          <w:pgMar w:left="320" w:top="274" w:right="319" w:bottom="1440" w:gutter="0" w:footer="0" w:header="0"/>
        </w:sectPr>
      </w:pPr>
    </w:p>
    <w:bookmarkStart w:id="116" w:name="page117"/>
    <w:bookmarkEnd w:id="116"/>
    <w:p>
      <w:pPr>
        <w:ind w:left="900" w:right="2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such assignment is to a Person that is not a Lender with a Commitment in respect of the Facility, an Affiliate of such Lender or an Approved Fund with respect to such Lender or (ii) any Term Loan to a Person that is not a Lender, an Affiliate of a Lender or an Approved Fund.</w:t>
      </w:r>
    </w:p>
    <w:p>
      <w:pPr>
        <w:spacing w:after="0" w:line="16" w:lineRule="exact"/>
        <w:rPr>
          <w:sz w:val="20"/>
          <w:szCs w:val="20"/>
          <w:color w:val="auto"/>
        </w:rPr>
      </w:pPr>
    </w:p>
    <w:p>
      <w:pPr>
        <w:ind w:left="440" w:right="80" w:firstLine="443"/>
        <w:spacing w:after="0" w:line="259" w:lineRule="auto"/>
        <w:tabs>
          <w:tab w:leader="none" w:pos="1318" w:val="left"/>
        </w:tabs>
        <w:numPr>
          <w:ilvl w:val="1"/>
          <w:numId w:val="187"/>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78" w:lineRule="exact"/>
        <w:rPr>
          <w:rFonts w:ascii="Arial" w:cs="Arial" w:eastAsia="Arial" w:hAnsi="Arial"/>
          <w:sz w:val="18"/>
          <w:szCs w:val="18"/>
          <w:color w:val="auto"/>
        </w:rPr>
      </w:pPr>
    </w:p>
    <w:p>
      <w:pPr>
        <w:ind w:left="440" w:right="180" w:firstLine="443"/>
        <w:spacing w:after="0" w:line="264" w:lineRule="auto"/>
        <w:tabs>
          <w:tab w:leader="none" w:pos="1268" w:val="left"/>
        </w:tabs>
        <w:numPr>
          <w:ilvl w:val="1"/>
          <w:numId w:val="187"/>
        </w:numPr>
        <w:rPr>
          <w:rFonts w:ascii="Arial" w:cs="Arial" w:eastAsia="Arial" w:hAnsi="Arial"/>
          <w:sz w:val="18"/>
          <w:szCs w:val="18"/>
          <w:color w:val="auto"/>
        </w:rPr>
      </w:pPr>
      <w:r>
        <w:rPr>
          <w:rFonts w:ascii="Arial" w:cs="Arial" w:eastAsia="Arial" w:hAnsi="Arial"/>
          <w:sz w:val="18"/>
          <w:szCs w:val="18"/>
          <w:u w:val="single" w:color="auto"/>
          <w:color w:val="auto"/>
        </w:rPr>
        <w:t>No Assignment to Certain Persons</w:t>
      </w:r>
      <w:r>
        <w:rPr>
          <w:rFonts w:ascii="Arial" w:cs="Arial" w:eastAsia="Arial" w:hAnsi="Arial"/>
          <w:sz w:val="18"/>
          <w:szCs w:val="18"/>
          <w:color w:val="auto"/>
        </w:rPr>
        <w:t xml:space="preserve">. No such assignment shall be made (A) to the Borrower or any of the Borrower’s Affiliates or Subsidiaries, (B) to any Defaulting Lender or any of its Subsidiaries, or any Person who, upon becoming a Lender hereunder, would constitute any of the foregoing Persons described in this </w:t>
      </w:r>
      <w:r>
        <w:rPr>
          <w:rFonts w:ascii="Arial" w:cs="Arial" w:eastAsia="Arial" w:hAnsi="Arial"/>
          <w:sz w:val="18"/>
          <w:szCs w:val="18"/>
          <w:u w:val="single" w:color="auto"/>
          <w:color w:val="auto"/>
        </w:rPr>
        <w:t>clause (B)</w:t>
      </w:r>
      <w:r>
        <w:rPr>
          <w:rFonts w:ascii="Arial" w:cs="Arial" w:eastAsia="Arial" w:hAnsi="Arial"/>
          <w:sz w:val="18"/>
          <w:szCs w:val="18"/>
          <w:color w:val="auto"/>
        </w:rPr>
        <w:t>, or (C) to a natural Person.</w:t>
      </w:r>
    </w:p>
    <w:p>
      <w:pPr>
        <w:spacing w:after="0" w:line="73" w:lineRule="exact"/>
        <w:rPr>
          <w:rFonts w:ascii="Arial" w:cs="Arial" w:eastAsia="Arial" w:hAnsi="Arial"/>
          <w:sz w:val="18"/>
          <w:szCs w:val="18"/>
          <w:color w:val="auto"/>
        </w:rPr>
      </w:pPr>
    </w:p>
    <w:p>
      <w:pPr>
        <w:ind w:left="440" w:firstLine="443"/>
        <w:spacing w:after="0" w:line="270" w:lineRule="auto"/>
        <w:tabs>
          <w:tab w:leader="none" w:pos="1318" w:val="left"/>
        </w:tabs>
        <w:numPr>
          <w:ilvl w:val="1"/>
          <w:numId w:val="187"/>
        </w:numPr>
        <w:rPr>
          <w:rFonts w:ascii="Arial" w:cs="Arial" w:eastAsia="Arial" w:hAnsi="Arial"/>
          <w:sz w:val="17"/>
          <w:szCs w:val="17"/>
          <w:color w:val="auto"/>
        </w:rPr>
      </w:pPr>
      <w:r>
        <w:rPr>
          <w:rFonts w:ascii="Arial" w:cs="Arial" w:eastAsia="Arial" w:hAnsi="Arial"/>
          <w:sz w:val="17"/>
          <w:szCs w:val="17"/>
          <w:u w:val="single" w:color="auto"/>
          <w:color w:val="auto"/>
        </w:rPr>
        <w:t>Certain Additional Payments</w:t>
      </w:r>
      <w:r>
        <w:rPr>
          <w:rFonts w:ascii="Arial" w:cs="Arial" w:eastAsia="Arial" w:hAnsi="Arial"/>
          <w:sz w:val="17"/>
          <w:szCs w:val="17"/>
          <w:color w:val="auto"/>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Loans previously requested but not funded by the Defaulting Lender, to each of which the applicable assignee and assignor hereby irrevocably consent), to pay and satisfy in full all payment liabilities then owed by such Defaulting Lender to the Administrative Agent or any Lender hereunder (and interest accrued thereon). Notwithstanding the foregoing, in the event that any assignment of rights and obligations of any Defaulting Lender hereunder shall become effective under applicable Laws without compliance with the provisions of this paragraph, then the assignee of such interest shall be deemed to be a Defaulting Lender for all purposes of this Agreement until such compliance occurs.</w:t>
      </w:r>
    </w:p>
    <w:p>
      <w:pPr>
        <w:spacing w:after="0" w:line="69" w:lineRule="exact"/>
        <w:rPr>
          <w:rFonts w:ascii="Arial" w:cs="Arial" w:eastAsia="Arial" w:hAnsi="Arial"/>
          <w:sz w:val="17"/>
          <w:szCs w:val="17"/>
          <w:color w:val="auto"/>
        </w:rPr>
      </w:pPr>
    </w:p>
    <w:p>
      <w:pPr>
        <w:ind w:left="440" w:firstLine="443"/>
        <w:spacing w:after="0" w:line="287" w:lineRule="auto"/>
        <w:tabs>
          <w:tab w:leader="none" w:pos="1368" w:val="left"/>
        </w:tabs>
        <w:numPr>
          <w:ilvl w:val="1"/>
          <w:numId w:val="187"/>
        </w:numPr>
        <w:rPr>
          <w:rFonts w:ascii="Arial" w:cs="Arial" w:eastAsia="Arial" w:hAnsi="Arial"/>
          <w:sz w:val="16"/>
          <w:szCs w:val="16"/>
          <w:color w:val="auto"/>
        </w:rPr>
      </w:pPr>
      <w:r>
        <w:rPr>
          <w:rFonts w:ascii="Arial" w:cs="Arial" w:eastAsia="Arial" w:hAnsi="Arial"/>
          <w:sz w:val="16"/>
          <w:szCs w:val="16"/>
          <w:color w:val="auto"/>
        </w:rPr>
        <w:t xml:space="preserve">Subject to acceptance and recording thereof by the Administrative Agent pursuant to </w:t>
      </w:r>
      <w:r>
        <w:rPr>
          <w:rFonts w:ascii="Arial" w:cs="Arial" w:eastAsia="Arial" w:hAnsi="Arial"/>
          <w:sz w:val="16"/>
          <w:szCs w:val="16"/>
          <w:u w:val="single" w:color="auto"/>
          <w:color w:val="auto"/>
        </w:rPr>
        <w:t>subsection (c)</w:t>
      </w:r>
      <w:r>
        <w:rPr>
          <w:rFonts w:ascii="Arial" w:cs="Arial" w:eastAsia="Arial" w:hAnsi="Arial"/>
          <w:sz w:val="16"/>
          <w:szCs w:val="16"/>
          <w:color w:val="auto"/>
        </w:rPr>
        <w:t xml:space="preserve">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10.04</w:t>
      </w:r>
      <w:r>
        <w:rPr>
          <w:rFonts w:ascii="Arial" w:cs="Arial" w:eastAsia="Arial" w:hAnsi="Arial"/>
          <w:sz w:val="16"/>
          <w:szCs w:val="16"/>
          <w:color w:val="auto"/>
        </w:rPr>
        <w:t xml:space="preserve"> with respect to facts and circumstances occurring prior to the effective date of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Arial" w:cs="Arial" w:eastAsia="Arial" w:hAnsi="Arial"/>
          <w:sz w:val="16"/>
          <w:szCs w:val="16"/>
          <w:u w:val="single" w:color="auto"/>
          <w:color w:val="auto"/>
        </w:rPr>
        <w:t>subsection (d)</w:t>
      </w:r>
      <w:r>
        <w:rPr>
          <w:rFonts w:ascii="Arial" w:cs="Arial" w:eastAsia="Arial" w:hAnsi="Arial"/>
          <w:sz w:val="16"/>
          <w:szCs w:val="16"/>
          <w:color w:val="auto"/>
        </w:rPr>
        <w:t xml:space="preserve"> of this Section.</w:t>
      </w:r>
    </w:p>
    <w:p>
      <w:pPr>
        <w:spacing w:after="0" w:line="172" w:lineRule="exact"/>
        <w:rPr>
          <w:rFonts w:ascii="Arial" w:cs="Arial" w:eastAsia="Arial" w:hAnsi="Arial"/>
          <w:sz w:val="16"/>
          <w:szCs w:val="16"/>
          <w:color w:val="auto"/>
        </w:rPr>
      </w:pPr>
    </w:p>
    <w:p>
      <w:pPr>
        <w:ind w:left="-20" w:firstLine="464"/>
        <w:spacing w:after="0" w:line="291" w:lineRule="auto"/>
        <w:tabs>
          <w:tab w:leader="none" w:pos="816"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t>Register</w:t>
      </w:r>
      <w:r>
        <w:rPr>
          <w:rFonts w:ascii="Arial" w:cs="Arial" w:eastAsia="Arial" w:hAnsi="Arial"/>
          <w:sz w:val="16"/>
          <w:szCs w:val="16"/>
          <w:color w:val="auto"/>
        </w:rPr>
        <w:t>. The Administrative Agent, acting solely for this purpose as a non-fiduciary agent of the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owing to, each Lender pursuant to the terms hereof from time to time (the “Register”).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any notice to the contrary. The Register shall be available for inspection by the Borrower and any Lender (with respect to its own interests only), at any reasonable time and from time to time upon reasonable prior notice.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80"/>
          </w:cols>
          <w:pgMar w:left="260" w:top="274" w:right="259" w:bottom="1440" w:gutter="0" w:footer="0" w:header="0"/>
        </w:sectPr>
      </w:pPr>
    </w:p>
    <w:bookmarkStart w:id="117" w:name="page118"/>
    <w:bookmarkEnd w:id="117"/>
    <w:p>
      <w:pPr>
        <w:ind w:right="20" w:firstLine="464"/>
        <w:spacing w:after="0" w:line="272" w:lineRule="auto"/>
        <w:tabs>
          <w:tab w:leader="none" w:pos="846" w:val="left"/>
        </w:tabs>
        <w:numPr>
          <w:ilvl w:val="0"/>
          <w:numId w:val="18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Participations</w:t>
      </w:r>
      <w:r>
        <w:rPr>
          <w:rFonts w:ascii="Arial" w:cs="Arial" w:eastAsia="Arial" w:hAnsi="Arial"/>
          <w:sz w:val="17"/>
          <w:szCs w:val="17"/>
          <w:color w:val="auto"/>
        </w:rPr>
        <w:t>. Any Lender may at any time, without the consent of, or notice to, the Borrower or the Administrative Agent, sell participations to any Person (other than a natural Person, a Defaulting Lender or the Borrower or any of the Borrower’s Affiliates or Subsidiaries) (each, a “</w:t>
      </w:r>
      <w:r>
        <w:rPr>
          <w:rFonts w:ascii="Arial" w:cs="Arial" w:eastAsia="Arial" w:hAnsi="Arial"/>
          <w:sz w:val="17"/>
          <w:szCs w:val="17"/>
          <w:u w:val="single" w:color="auto"/>
          <w:color w:val="auto"/>
        </w:rPr>
        <w:t>Participant</w:t>
      </w:r>
      <w:r>
        <w:rPr>
          <w:rFonts w:ascii="Arial" w:cs="Arial" w:eastAsia="Arial" w:hAnsi="Arial"/>
          <w:sz w:val="17"/>
          <w:szCs w:val="17"/>
          <w:color w:val="auto"/>
        </w:rPr>
        <w:t xml:space="preserve">”) in all or a portion of such Lender’s rights and/or obligations under this Agreement (including all or a portion of its Commitment and/or the Loans owing to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Lender’s obligations under this Agreement shall remain unchanged, (ii) such Lender shall remain solely responsible to the other parties hereto for the performance of such obligations and (iii) the Borrower, the Administrative Agent and the Lenders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7"/>
          <w:szCs w:val="17"/>
          <w:u w:val="single" w:color="auto"/>
          <w:color w:val="auto"/>
        </w:rPr>
        <w:t>Section 10.04(c)</w:t>
      </w:r>
      <w:r>
        <w:rPr>
          <w:rFonts w:ascii="Arial" w:cs="Arial" w:eastAsia="Arial" w:hAnsi="Arial"/>
          <w:sz w:val="17"/>
          <w:szCs w:val="17"/>
          <w:color w:val="auto"/>
        </w:rPr>
        <w:t xml:space="preserve"> without regard to the existence of any participation.</w:t>
      </w:r>
    </w:p>
    <w:p>
      <w:pPr>
        <w:spacing w:after="0" w:line="178"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waiver or other modification described in the first proviso to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that affects such Participant. The Borrower agrees that each Participant shall be entitled to the benefits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to the same extent as if it were a Lender and had acquired its interest by assignment pursuant to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of this Section (it being understood that the documentation required under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shall be delivered to the Lender who sells the participation);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 agrees to be subject to the provisions of </w:t>
      </w:r>
      <w:r>
        <w:rPr>
          <w:rFonts w:ascii="Arial" w:cs="Arial" w:eastAsia="Arial" w:hAnsi="Arial"/>
          <w:sz w:val="16"/>
          <w:szCs w:val="16"/>
          <w:u w:val="single" w:color="auto"/>
          <w:color w:val="auto"/>
        </w:rPr>
        <w:t>Sections 3.06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10.13</w:t>
      </w:r>
      <w:r>
        <w:rPr>
          <w:rFonts w:ascii="Arial" w:cs="Arial" w:eastAsia="Arial" w:hAnsi="Arial"/>
          <w:sz w:val="16"/>
          <w:szCs w:val="16"/>
          <w:color w:val="auto"/>
        </w:rPr>
        <w:t xml:space="preserve"> as if it were an assignee under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and (B) shall not be entitled to receive any greater payment under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Arial" w:cs="Arial" w:eastAsia="Arial" w:hAnsi="Arial"/>
          <w:sz w:val="16"/>
          <w:szCs w:val="16"/>
          <w:u w:val="single" w:color="auto"/>
          <w:color w:val="auto"/>
        </w:rPr>
        <w:t>Section 3.06</w:t>
      </w:r>
      <w:r>
        <w:rPr>
          <w:rFonts w:ascii="Arial" w:cs="Arial" w:eastAsia="Arial" w:hAnsi="Arial"/>
          <w:sz w:val="16"/>
          <w:szCs w:val="16"/>
          <w:color w:val="auto"/>
        </w:rPr>
        <w:t xml:space="preserve"> with respect to any Participant. To the extent permitted by law, each Participant also shall be entitled to the benefits of </w:t>
      </w:r>
      <w:r>
        <w:rPr>
          <w:rFonts w:ascii="Arial" w:cs="Arial" w:eastAsia="Arial" w:hAnsi="Arial"/>
          <w:sz w:val="16"/>
          <w:szCs w:val="16"/>
          <w:u w:val="single" w:color="auto"/>
          <w:color w:val="auto"/>
        </w:rPr>
        <w:t>Section 10.08</w:t>
      </w:r>
      <w:r>
        <w:rPr>
          <w:rFonts w:ascii="Arial" w:cs="Arial" w:eastAsia="Arial" w:hAnsi="Arial"/>
          <w:sz w:val="16"/>
          <w:szCs w:val="16"/>
          <w:color w:val="auto"/>
        </w:rPr>
        <w:t xml:space="preserve">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agrees to be subject to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as though it were a Lender. Each Lender that sells a participation shall, acting solely for this purpose as a non-fiduciary agent of the Borrower (and such agency being solely for tax purposes),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2" w:lineRule="exact"/>
        <w:rPr>
          <w:sz w:val="20"/>
          <w:szCs w:val="20"/>
          <w:color w:val="auto"/>
        </w:rPr>
      </w:pPr>
    </w:p>
    <w:p>
      <w:pPr>
        <w:ind w:right="20" w:firstLine="464"/>
        <w:spacing w:after="0" w:line="279" w:lineRule="auto"/>
        <w:tabs>
          <w:tab w:leader="none" w:pos="836" w:val="left"/>
        </w:tabs>
        <w:numPr>
          <w:ilvl w:val="0"/>
          <w:numId w:val="190"/>
        </w:numPr>
        <w:rPr>
          <w:rFonts w:ascii="Arial" w:cs="Arial" w:eastAsia="Arial" w:hAnsi="Arial"/>
          <w:sz w:val="17"/>
          <w:szCs w:val="17"/>
          <w:color w:val="auto"/>
        </w:rPr>
      </w:pPr>
      <w:r>
        <w:rPr>
          <w:rFonts w:ascii="Arial" w:cs="Arial" w:eastAsia="Arial" w:hAnsi="Arial"/>
          <w:sz w:val="17"/>
          <w:szCs w:val="17"/>
          <w:u w:val="single" w:color="auto"/>
          <w:color w:val="auto"/>
        </w:rPr>
        <w:t>Certain Pledges</w:t>
      </w:r>
      <w:r>
        <w:rPr>
          <w:rFonts w:ascii="Arial" w:cs="Arial" w:eastAsia="Arial" w:hAnsi="Arial"/>
          <w:sz w:val="17"/>
          <w:szCs w:val="17"/>
          <w:color w:val="auto"/>
        </w:rPr>
        <w:t xml:space="preserve">. Any Lender may, without the consent of the Borrower or Administrative Agent, at any time pledge or assign a security interest in all or any portion of its rights under this Agreement (including under its Note, if any) to secure obligations of such Lender, including any pledge or assignment to secure obligations to a Federal Reserve Bank or central bank;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pledge or assignment shall release such Lender from any of its obligations hereunder or substitute any such pledgee or assignee for such Lender as a party hereto.</w:t>
      </w:r>
    </w:p>
    <w:p>
      <w:pPr>
        <w:spacing w:after="0" w:line="17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10.07. </w:t>
      </w:r>
      <w:r>
        <w:rPr>
          <w:rFonts w:ascii="Arial" w:cs="Arial" w:eastAsia="Arial" w:hAnsi="Arial"/>
          <w:sz w:val="18"/>
          <w:szCs w:val="18"/>
          <w:u w:val="single" w:color="auto"/>
          <w:color w:val="auto"/>
        </w:rPr>
        <w:t>Treatment of Certain Information; Confidentiality</w:t>
      </w:r>
      <w:r>
        <w:rPr>
          <w:rFonts w:ascii="Arial" w:cs="Arial" w:eastAsia="Arial" w:hAnsi="Arial"/>
          <w:sz w:val="18"/>
          <w:szCs w:val="18"/>
          <w:color w:val="auto"/>
        </w:rPr>
        <w:t>. Each of the Administrative Agent and the Lenders agrees to maintain the confidentiality of the Information (as defined below), except that Information may be disclosed (a) to its Affiliates and to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274" w:right="239" w:bottom="1440" w:gutter="0" w:footer="0" w:header="0"/>
        </w:sectPr>
      </w:pPr>
    </w:p>
    <w:bookmarkStart w:id="118" w:name="page119"/>
    <w:bookmarkEnd w:id="118"/>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any Eligible Assignee invited to be a Lender pursuant to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or (ii) any actual or prospective party (or its Related Parties) to any swap, derivative or other transaction under which payments are to be made by reference to the Borrower and its obligations, this Agreement or payments hereunder, (g) on a confidential basis to (i) any rating agency in connection with rating the Borrower or its Subsidiaries or the credit facilities provided hereunder or (ii) the CUSIP Service Bureau or any similar agency in connection with the issuance and monitoring of CUSIP numbers of other market identifiers with respect to the credit facilities provided hereunder, (h) with the consent of the Borrower or (i) to the extent such Information (i) becomes publicly available other than as a result of a breach of this Section or (ii) becomes available to the Administrative Agent, any Lender or any of their respective Affiliates on a nonconfidential basis from a source other than the Borrower.</w:t>
      </w:r>
    </w:p>
    <w:p>
      <w:pPr>
        <w:spacing w:after="0" w:line="167" w:lineRule="exact"/>
        <w:rPr>
          <w:sz w:val="20"/>
          <w:szCs w:val="20"/>
          <w:color w:val="auto"/>
        </w:rPr>
      </w:pPr>
    </w:p>
    <w:p>
      <w:pPr>
        <w:ind w:right="260" w:firstLine="456"/>
        <w:spacing w:after="0" w:line="293" w:lineRule="auto"/>
        <w:rPr>
          <w:sz w:val="20"/>
          <w:szCs w:val="20"/>
          <w:color w:val="auto"/>
        </w:rPr>
      </w:pPr>
      <w:r>
        <w:rPr>
          <w:rFonts w:ascii="Arial" w:cs="Arial" w:eastAsia="Arial" w:hAnsi="Arial"/>
          <w:sz w:val="16"/>
          <w:szCs w:val="16"/>
          <w:color w:val="auto"/>
        </w:rPr>
        <w:t>For purposes of this Section, “</w:t>
      </w:r>
      <w:r>
        <w:rPr>
          <w:rFonts w:ascii="Arial" w:cs="Arial" w:eastAsia="Arial" w:hAnsi="Arial"/>
          <w:sz w:val="16"/>
          <w:szCs w:val="16"/>
          <w:u w:val="single" w:color="auto"/>
          <w:color w:val="auto"/>
        </w:rPr>
        <w:t>Information</w:t>
      </w:r>
      <w:r>
        <w:rPr>
          <w:rFonts w:ascii="Arial" w:cs="Arial" w:eastAsia="Arial" w:hAnsi="Arial"/>
          <w:sz w:val="16"/>
          <w:szCs w:val="16"/>
          <w:color w:val="auto"/>
        </w:rPr>
        <w:t xml:space="preserve">” means all information received from the Borrower or any Subsidiary relating to the Borrower or any Subsidiary or any of their respective businesses, other than any such information that is available to the Administrative Agent or any Lender on a nonconfidential basis prior to disclosure by the Borrower or any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information received from the Borrower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65"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Each of the Administrative Agent and the Lenders acknowledge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Laws, including United States Federal and state securities Laws.</w:t>
      </w:r>
    </w:p>
    <w:p>
      <w:pPr>
        <w:spacing w:after="0" w:line="14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10.08. </w:t>
      </w:r>
      <w:r>
        <w:rPr>
          <w:rFonts w:ascii="Arial" w:cs="Arial" w:eastAsia="Arial" w:hAnsi="Arial"/>
          <w:sz w:val="17"/>
          <w:szCs w:val="17"/>
          <w:u w:val="single" w:color="auto"/>
          <w:color w:val="auto"/>
        </w:rPr>
        <w:t>Right of Setoff</w:t>
      </w:r>
      <w:r>
        <w:rPr>
          <w:rFonts w:ascii="Arial" w:cs="Arial" w:eastAsia="Arial" w:hAnsi="Arial"/>
          <w:sz w:val="17"/>
          <w:szCs w:val="17"/>
          <w:color w:val="auto"/>
        </w:rPr>
        <w:t xml:space="preserve">. If an Event of Default shall have occurred and be continuing, each Lender and each of their respective Affiliates is hereby authorized at any time and from time to time, after obtaining the prior written consent of the Administrative Agent, to the fullest extent permitted by applicable Laws, to set off and apply any and all deposits (general or special, time or demand, provisional or final, in whatever currency) at any time held and other obligations (in whatever currency) at any time owing by such Lender or any such Affiliate to or for the credit or the account of the Borrower against any and all of the obligations of the Borrower now or hereafter existing under this Agreement or any other Loan Document to such Lender, irrespective of whether or not such Lender shall have made any demand under this Agreement or any other Loan Document and although such obligations of the Borrower may be contingent or unmatured or are owed to a branch or office or Affiliate of such Lender different from the branch, office or Affiliate holding such deposit or obligated on such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and its Affiliates under this Section are in addition to other rights and remedies (including other rights of setoff) that such Lender or its Affiliates may have. Each Lender agrees to notify the Borrower and the Administrative Agent promptly after any such setoff and application,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give such notice shall not affect the validity of such setoff and application.</w:t>
      </w:r>
    </w:p>
    <w:p>
      <w:pPr>
        <w:spacing w:after="0" w:line="1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10.09. </w:t>
      </w:r>
      <w:r>
        <w:rPr>
          <w:rFonts w:ascii="Arial" w:cs="Arial" w:eastAsia="Arial" w:hAnsi="Arial"/>
          <w:sz w:val="18"/>
          <w:szCs w:val="18"/>
          <w:u w:val="single" w:color="auto"/>
          <w:color w:val="auto"/>
        </w:rPr>
        <w:t>Interest Rate Limitation</w:t>
      </w:r>
      <w:r>
        <w:rPr>
          <w:rFonts w:ascii="Arial" w:cs="Arial" w:eastAsia="Arial" w:hAnsi="Arial"/>
          <w:sz w:val="18"/>
          <w:szCs w:val="18"/>
          <w:color w:val="auto"/>
        </w:rPr>
        <w:t>. Notwithstanding anything to the contrary contained in any Loan Document, the interest paid or agreed to be paid under the Loan Documents shall not exceed the maximum rate of non-usurious interest permitted by applicable Laws (the “</w:t>
      </w:r>
      <w:r>
        <w:rPr>
          <w:rFonts w:ascii="Arial" w:cs="Arial" w:eastAsia="Arial" w:hAnsi="Arial"/>
          <w:sz w:val="18"/>
          <w:szCs w:val="18"/>
          <w:u w:val="single" w:color="auto"/>
          <w:color w:val="auto"/>
        </w:rPr>
        <w:t>Maximum Rate</w:t>
      </w:r>
      <w:r>
        <w:rPr>
          <w:rFonts w:ascii="Arial" w:cs="Arial" w:eastAsia="Arial" w:hAnsi="Arial"/>
          <w:sz w:val="18"/>
          <w:szCs w:val="18"/>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Laws, (a) characterize any payment that is not principal as an expense,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274" w:right="259" w:bottom="1440" w:gutter="0" w:footer="0" w:header="0"/>
        </w:sectPr>
      </w:pPr>
    </w:p>
    <w:bookmarkStart w:id="119" w:name="page120"/>
    <w:bookmarkEnd w:id="119"/>
    <w:p>
      <w:pPr>
        <w:ind w:right="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70"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 xml:space="preserve">10.10. </w:t>
      </w:r>
      <w:r>
        <w:rPr>
          <w:rFonts w:ascii="Arial" w:cs="Arial" w:eastAsia="Arial" w:hAnsi="Arial"/>
          <w:sz w:val="17"/>
          <w:szCs w:val="17"/>
          <w:u w:val="single" w:color="auto"/>
          <w:color w:val="auto"/>
        </w:rPr>
        <w:t>Counterparts; Integration; Effectiveness</w:t>
      </w:r>
      <w:r>
        <w:rPr>
          <w:rFonts w:ascii="Arial" w:cs="Arial" w:eastAsia="Arial" w:hAnsi="Arial"/>
          <w:sz w:val="17"/>
          <w:szCs w:val="17"/>
          <w:color w:val="auto"/>
        </w:rPr>
        <w:t xml:space="preserve">. 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7"/>
          <w:szCs w:val="17"/>
          <w:u w:val="single" w:color="auto"/>
          <w:color w:val="auto"/>
        </w:rPr>
        <w:t>Section 4.01</w:t>
      </w:r>
      <w:r>
        <w:rPr>
          <w:rFonts w:ascii="Arial" w:cs="Arial" w:eastAsia="Arial" w:hAnsi="Arial"/>
          <w:sz w:val="17"/>
          <w:szCs w:val="17"/>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other electronic imaging means (e.g., “pdf” or “tif”) shall be effective as delivery of a manually executed counterpart of this Agreement.</w:t>
      </w:r>
    </w:p>
    <w:p>
      <w:pPr>
        <w:spacing w:after="0" w:line="179"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w:t>
      </w:r>
    </w:p>
    <w:p>
      <w:pPr>
        <w:spacing w:after="0" w:line="193"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10.12. </w:t>
      </w:r>
      <w:r>
        <w:rPr>
          <w:rFonts w:ascii="Arial" w:cs="Arial" w:eastAsia="Arial" w:hAnsi="Arial"/>
          <w:sz w:val="17"/>
          <w:szCs w:val="17"/>
          <w:u w:val="single" w:color="auto"/>
          <w:color w:val="auto"/>
        </w:rPr>
        <w:t>Severability</w:t>
      </w:r>
      <w:r>
        <w:rPr>
          <w:rFonts w:ascii="Arial" w:cs="Arial" w:eastAsia="Arial" w:hAnsi="Arial"/>
          <w:sz w:val="17"/>
          <w:szCs w:val="17"/>
          <w:color w:val="auto"/>
        </w:rPr>
        <w:t xml:space="preserve">. 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7"/>
          <w:szCs w:val="17"/>
          <w:u w:val="single" w:color="auto"/>
          <w:color w:val="auto"/>
        </w:rPr>
        <w:t>Section 10.12</w:t>
      </w:r>
      <w:r>
        <w:rPr>
          <w:rFonts w:ascii="Arial" w:cs="Arial" w:eastAsia="Arial" w:hAnsi="Arial"/>
          <w:sz w:val="17"/>
          <w:szCs w:val="17"/>
          <w:color w:val="auto"/>
        </w:rPr>
        <w:t>, if and to the extent that the enforceability of any provisions in this Agreement relating to Defaulting Lenders shall be limited by Debtor Relief Laws, as determined in good faith by the Administrative Agent, then such provisions shall be deemed to be in effect only to the extent not so limited.</w:t>
      </w:r>
    </w:p>
    <w:p>
      <w:pPr>
        <w:spacing w:after="0" w:line="17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10.13. </w:t>
      </w: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the Borrower is entitled to replace a Lender pursuant to the provisions of </w:t>
      </w:r>
      <w:r>
        <w:rPr>
          <w:rFonts w:ascii="Arial" w:cs="Arial" w:eastAsia="Arial" w:hAnsi="Arial"/>
          <w:sz w:val="18"/>
          <w:szCs w:val="18"/>
          <w:u w:val="single" w:color="auto"/>
          <w:color w:val="auto"/>
        </w:rPr>
        <w:t>Section 3.06</w:t>
      </w:r>
      <w:r>
        <w:rPr>
          <w:rFonts w:ascii="Arial" w:cs="Arial" w:eastAsia="Arial" w:hAnsi="Arial"/>
          <w:sz w:val="18"/>
          <w:szCs w:val="18"/>
          <w:color w:val="auto"/>
        </w:rPr>
        <w:t xml:space="preserve">, or if any Lender is a Defaulting Lender or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all of its interests, rights (other than its existing rights to payments pursuant to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and obligations under this Agreement and the related Loan Documents to an Eligible Assignee that shall assume such obligations (which assignee may be another Lender, if a Lender accepts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85" w:lineRule="exact"/>
        <w:rPr>
          <w:sz w:val="20"/>
          <w:szCs w:val="20"/>
          <w:color w:val="auto"/>
        </w:rPr>
      </w:pPr>
    </w:p>
    <w:p>
      <w:pPr>
        <w:ind w:left="1280" w:hanging="377"/>
        <w:spacing w:after="0"/>
        <w:tabs>
          <w:tab w:leader="none" w:pos="12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the Borrower shall have paid to the Administrative Agent the assignment fee (if any) specified in </w:t>
      </w:r>
      <w:r>
        <w:rPr>
          <w:rFonts w:ascii="Arial" w:cs="Arial" w:eastAsia="Arial" w:hAnsi="Arial"/>
          <w:sz w:val="18"/>
          <w:szCs w:val="18"/>
          <w:u w:val="single" w:color="auto"/>
          <w:color w:val="auto"/>
        </w:rPr>
        <w:t>Section 10.06(b)</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20" w:firstLine="443"/>
        <w:spacing w:after="0" w:line="259" w:lineRule="auto"/>
        <w:tabs>
          <w:tab w:leader="none" w:pos="1288"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such Lender shall have received payment of an amount equal to the outstanding principal of its Loans, accrued interest thereon, accrued fees and all other amounts payable to it hereunder and under the other Loan Documents (including any amounts under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from the assignee (to the extent of such outstanding principal and accrued interest and fees) or the Borrower (in the case of all other amounts, including any amount payable under </w:t>
      </w:r>
      <w:r>
        <w:rPr>
          <w:rFonts w:ascii="Arial" w:cs="Arial" w:eastAsia="Arial" w:hAnsi="Arial"/>
          <w:sz w:val="18"/>
          <w:szCs w:val="18"/>
          <w:u w:val="single" w:color="auto"/>
          <w:color w:val="auto"/>
        </w:rPr>
        <w:t>Section 2.05(c)</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460" w:right="60" w:firstLine="443"/>
        <w:spacing w:after="0" w:line="277" w:lineRule="auto"/>
        <w:tabs>
          <w:tab w:leader="none" w:pos="1278"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in the case of any such assignment resulting from a claim for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payments required to be made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such assignment will result in a reduction in such compensation or payments thereafter;</w:t>
      </w:r>
    </w:p>
    <w:p>
      <w:pPr>
        <w:spacing w:after="0" w:line="62" w:lineRule="exact"/>
        <w:rPr>
          <w:rFonts w:ascii="Arial" w:cs="Arial" w:eastAsia="Arial" w:hAnsi="Arial"/>
          <w:sz w:val="18"/>
          <w:szCs w:val="18"/>
          <w:color w:val="auto"/>
        </w:rPr>
      </w:pPr>
    </w:p>
    <w:p>
      <w:pPr>
        <w:ind w:left="1300" w:hanging="397"/>
        <w:spacing w:after="0"/>
        <w:tabs>
          <w:tab w:leader="none" w:pos="13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Laws;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274" w:right="239" w:bottom="1440" w:gutter="0" w:footer="0" w:header="0"/>
        </w:sectPr>
      </w:pPr>
    </w:p>
    <w:bookmarkStart w:id="120" w:name="page121"/>
    <w:bookmarkEnd w:id="120"/>
    <w:p>
      <w:pPr>
        <w:ind w:left="460" w:right="200" w:firstLine="443"/>
        <w:spacing w:after="0" w:line="277" w:lineRule="auto"/>
        <w:tabs>
          <w:tab w:leader="none" w:pos="1278" w:val="left"/>
        </w:tabs>
        <w:numPr>
          <w:ilvl w:val="0"/>
          <w:numId w:val="1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case of an assignment resulting from a Lender becoming a Non-Consenting Lender, the applicable assignee shall have consented to the applicable amendment, waiver or consent.</w:t>
      </w:r>
    </w:p>
    <w:p>
      <w:pPr>
        <w:spacing w:after="0" w:line="17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279"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u w:val="single" w:color="auto"/>
          <w:color w:val="auto"/>
        </w:rPr>
        <w:t>Governing Law; Jurisdiction; Etc</w:t>
      </w:r>
      <w:r>
        <w:rPr>
          <w:rFonts w:ascii="Arial" w:cs="Arial" w:eastAsia="Arial" w:hAnsi="Arial"/>
          <w:sz w:val="16"/>
          <w:szCs w:val="16"/>
          <w:color w:val="auto"/>
        </w:rPr>
        <w:t>.</w:t>
      </w:r>
    </w:p>
    <w:p>
      <w:pPr>
        <w:spacing w:after="0" w:line="117" w:lineRule="exact"/>
        <w:rPr>
          <w:sz w:val="20"/>
          <w:szCs w:val="20"/>
          <w:color w:val="auto"/>
        </w:rPr>
      </w:pPr>
    </w:p>
    <w:p>
      <w:pPr>
        <w:ind w:firstLine="464"/>
        <w:spacing w:after="0" w:line="257" w:lineRule="auto"/>
        <w:tabs>
          <w:tab w:leader="none" w:pos="836"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88" w:lineRule="exact"/>
        <w:rPr>
          <w:rFonts w:ascii="Arial" w:cs="Arial" w:eastAsia="Arial" w:hAnsi="Arial"/>
          <w:sz w:val="18"/>
          <w:szCs w:val="18"/>
          <w:color w:val="auto"/>
        </w:rPr>
      </w:pPr>
    </w:p>
    <w:p>
      <w:pPr>
        <w:ind w:right="40" w:firstLine="464"/>
        <w:spacing w:after="0" w:line="252" w:lineRule="auto"/>
        <w:tabs>
          <w:tab w:leader="none" w:pos="846"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SUBMISSION TO JURISDICTION</w:t>
      </w:r>
      <w:r>
        <w:rPr>
          <w:rFonts w:ascii="Arial" w:cs="Arial" w:eastAsia="Arial" w:hAnsi="Arial"/>
          <w:sz w:val="18"/>
          <w:szCs w:val="18"/>
          <w:color w:val="auto"/>
        </w:rPr>
        <w:t>. THE BORROWER IRREVOCABLY AND UNCONDITIONALLY AGREES THAT IT WILL NOT COMMENCE ANY ACTION, LITIGATION OR PROCEEDING OF ANY KIND OR DESCRIPTION, WHETHER IN LAW OR EQUITY, WHETHER IN CONTRACT OR IN TORT OR OTHERWISE, AGAINST THE ADMINISTRATIVE AGENT, ANY LENDER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ANY AGENT OR ANY LENDER MAY OTHERWISE HAVE TO BRING ANY ACTION OR PROCEEDING RELATING TO THIS AGREEMENT OR ANY OTHER LOAN DOCUMENT AGAINST THE BORROWER OR ANY OTHER LOAN PARTY OR ITS PROPERTIES IN THE COURTS OF ANY JURISDICTION.</w:t>
      </w:r>
    </w:p>
    <w:p>
      <w:pPr>
        <w:spacing w:after="0" w:line="197" w:lineRule="exact"/>
        <w:rPr>
          <w:rFonts w:ascii="Arial" w:cs="Arial" w:eastAsia="Arial" w:hAnsi="Arial"/>
          <w:sz w:val="18"/>
          <w:szCs w:val="18"/>
          <w:color w:val="auto"/>
        </w:rPr>
      </w:pPr>
    </w:p>
    <w:p>
      <w:pPr>
        <w:ind w:right="180" w:firstLine="464"/>
        <w:spacing w:after="0" w:line="255" w:lineRule="auto"/>
        <w:tabs>
          <w:tab w:leader="none" w:pos="836"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WAIVER OF VENUE</w:t>
      </w:r>
      <w:r>
        <w:rPr>
          <w:rFonts w:ascii="Arial" w:cs="Arial" w:eastAsia="Arial" w:hAnsi="Arial"/>
          <w:sz w:val="18"/>
          <w:szCs w:val="18"/>
          <w:color w:val="auto"/>
        </w:rPr>
        <w:t xml:space="preserve">. THE BORROWER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OF THIS SECTION. EACH OF THE PARTIES HERETO HEREBY IRREVOCABLY WAIVES, TO THE FULLEST EXTENT PERMITTED BY APPLICABLE LAW, THE DEFENSE OF AN INCONVENIENT FORUM TO THE MAINTENANCE OF SUCH ACTION OR PROCEEDING IN ANY SUCH COURT.</w:t>
      </w:r>
    </w:p>
    <w:p>
      <w:pPr>
        <w:spacing w:after="0" w:line="193" w:lineRule="exact"/>
        <w:rPr>
          <w:rFonts w:ascii="Arial" w:cs="Arial" w:eastAsia="Arial" w:hAnsi="Arial"/>
          <w:sz w:val="18"/>
          <w:szCs w:val="18"/>
          <w:color w:val="auto"/>
        </w:rPr>
      </w:pPr>
    </w:p>
    <w:p>
      <w:pPr>
        <w:ind w:right="480" w:firstLine="464"/>
        <w:spacing w:after="0" w:line="264" w:lineRule="auto"/>
        <w:tabs>
          <w:tab w:leader="none" w:pos="846"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SERVICE OF PROCESS</w:t>
      </w:r>
      <w:r>
        <w:rPr>
          <w:rFonts w:ascii="Arial" w:cs="Arial" w:eastAsia="Arial" w:hAnsi="Arial"/>
          <w:sz w:val="18"/>
          <w:szCs w:val="18"/>
          <w:color w:val="auto"/>
        </w:rPr>
        <w:t xml:space="preserve">. EACH PARTY HERETO IRREVOCABLY CONSENTS TO SERVICE OF PROCESS IN THE MANNER PROVIDED FOR NOTICES IN </w:t>
      </w:r>
      <w:r>
        <w:rPr>
          <w:rFonts w:ascii="Arial" w:cs="Arial" w:eastAsia="Arial" w:hAnsi="Arial"/>
          <w:sz w:val="18"/>
          <w:szCs w:val="18"/>
          <w:u w:val="single" w:color="auto"/>
          <w:color w:val="auto"/>
        </w:rPr>
        <w:t>SECTION 10.02</w:t>
      </w:r>
      <w:r>
        <w:rPr>
          <w:rFonts w:ascii="Arial" w:cs="Arial" w:eastAsia="Arial" w:hAnsi="Arial"/>
          <w:sz w:val="18"/>
          <w:szCs w:val="18"/>
          <w:color w:val="auto"/>
        </w:rPr>
        <w:t>. NOTHING IN THIS AGREEMENT WILL AFFECT THE RIGHT OF ANY PARTY HERETO TO SERVE PROCESS IN ANY OTHER MANNER PERMITTED BY APPLICABLE LAW</w:t>
      </w:r>
    </w:p>
    <w:p>
      <w:pPr>
        <w:spacing w:after="0" w:line="181"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 xml:space="preserve">10.15.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274" w:right="279" w:bottom="1440" w:gutter="0" w:footer="0" w:header="0"/>
        </w:sectPr>
      </w:pPr>
    </w:p>
    <w:bookmarkStart w:id="121" w:name="page122"/>
    <w:bookmarkEnd w:id="121"/>
    <w:p>
      <w:pPr>
        <w:ind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88"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 xml:space="preserve">10.16. </w:t>
      </w:r>
      <w:r>
        <w:rPr>
          <w:rFonts w:ascii="Arial" w:cs="Arial" w:eastAsia="Arial" w:hAnsi="Arial"/>
          <w:sz w:val="16"/>
          <w:szCs w:val="16"/>
          <w:u w:val="single" w:color="auto"/>
          <w:color w:val="auto"/>
        </w:rPr>
        <w:t>No Advisory or Fiduciary Responsibility</w:t>
      </w:r>
      <w:r>
        <w:rPr>
          <w:rFonts w:ascii="Arial" w:cs="Arial" w:eastAsia="Arial" w:hAnsi="Arial"/>
          <w:sz w:val="16"/>
          <w:szCs w:val="16"/>
          <w:color w:val="auto"/>
        </w:rPr>
        <w:t>. In connection with all aspects of each transaction contemplated hereby (including in connection with any amendment, waiver or other modification hereof or of any other Loan Document), the Borrower acknowledges and agrees, and acknowledges its Affiliates’ understanding, that: (i)(A) the arranging and other services regarding this Agreement provided by the Administrative Agent, the Arrangers and the Lenders are arm’s-length commercial transactions between the Borrower and its Affiliates, on the one hand, and the Administrative Agent, the Arrangers and the Lenders, on the other hand, (B) the Borrower has consulted its own legal, accounting, regulatory and tax advisors to the extent it has deemed appropriate, and (C) the Borrower is capable of evaluating, and understands and accepts, the terms, risks and conditions of the transactions contemplated hereby and by the other Loan Documents; (ii)(A) the Administrative Agent, the Arrangers and the Lenders each is and has been acting solely as a principal and, except as expressly agreed in writing by the relevant parties, has not been, is not, and will not be acting as an advisor, agent or fiduciary for the Borrower or any of its Affiliates, or any other Person and (B) neither the Administrative Agent, the Arrangers nor any Lender has any obligation to the Borrower or any of its Affiliates with respect to the transactions contemplated hereby except those obligations expressly set forth herein and in the other Loan Documents; and</w:t>
      </w:r>
    </w:p>
    <w:p>
      <w:pPr>
        <w:spacing w:after="0" w:line="6" w:lineRule="exact"/>
        <w:rPr>
          <w:sz w:val="20"/>
          <w:szCs w:val="20"/>
          <w:color w:val="auto"/>
        </w:rPr>
      </w:pPr>
    </w:p>
    <w:p>
      <w:pPr>
        <w:ind w:firstLine="8"/>
        <w:spacing w:after="0" w:line="253" w:lineRule="auto"/>
        <w:tabs>
          <w:tab w:leader="none" w:pos="31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Administrative Agent, the Arrangers the Lenders, and their respective Affiliates may be engaged in a broad range of transactions that involve interests that differ from those of the Borrower and its Affiliates, and neither the Administrative Agent, the Arrangers nor any Lender has any obligation to disclose any of such interests to the Borrower or its Affiliates. To the fullest extent permitted by law, the Borrower hereby waives and releases any claims that it may have against the Administrative Agent, the Arrangers and the Lenders with respect to any breach or alleged breach of agency or fiduciary duty in connection with any aspect of any transaction contemplated hereby.</w:t>
      </w:r>
    </w:p>
    <w:p>
      <w:pPr>
        <w:spacing w:after="0" w:line="191"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 xml:space="preserve">10.17. </w:t>
      </w:r>
      <w:r>
        <w:rPr>
          <w:rFonts w:ascii="Arial" w:cs="Arial" w:eastAsia="Arial" w:hAnsi="Arial"/>
          <w:sz w:val="16"/>
          <w:szCs w:val="16"/>
          <w:u w:val="single" w:color="auto"/>
          <w:color w:val="auto"/>
        </w:rPr>
        <w:t>Electronic Execution of Assignments and Certain Other Documents</w:t>
      </w:r>
      <w:r>
        <w:rPr>
          <w:rFonts w:ascii="Arial" w:cs="Arial" w:eastAsia="Arial" w:hAnsi="Arial"/>
          <w:sz w:val="16"/>
          <w:szCs w:val="16"/>
          <w:color w:val="auto"/>
        </w:rPr>
        <w:t xml:space="preserve">. The words “execution,” “execute,” “signed,” “signature,” and words of like import in or related to any document to be signed in connection with this Agreement, the other Loan Documents and the transactions contemplated hereby and thereby (including without limitation Assignment and Assumptions, amendments or other Committed Loan Notices,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contained herein to the contrary, neither the Administrative Agent nor any Lender is under any obligation to agree to accept electronic signatures in any form or in any format unless expressly agreed to by the Administrative Agent or such Lender, as applicable, pursuant to procedures approved by it;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without limiting the foregoing, upon the request of any party, any electronic signature shall be promptly followed by such manually executed counterpart.</w:t>
      </w:r>
    </w:p>
    <w:p>
      <w:pPr>
        <w:spacing w:after="0" w:line="173"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 xml:space="preserve">10.18. </w:t>
      </w:r>
      <w:r>
        <w:rPr>
          <w:rFonts w:ascii="Arial" w:cs="Arial" w:eastAsia="Arial" w:hAnsi="Arial"/>
          <w:sz w:val="16"/>
          <w:szCs w:val="16"/>
          <w:u w:val="single" w:color="auto"/>
          <w:color w:val="auto"/>
        </w:rPr>
        <w:t>USA PATRIOT Act</w:t>
      </w:r>
      <w:r>
        <w:rPr>
          <w:rFonts w:ascii="Arial" w:cs="Arial" w:eastAsia="Arial" w:hAnsi="Arial"/>
          <w:sz w:val="16"/>
          <w:szCs w:val="16"/>
          <w:color w:val="auto"/>
        </w:rPr>
        <w:t>. Each Lender that is subject to the PATRIOT Act and the Administrative Agent (for itself and not on behalf of any Lender) hereby notifies the Borrower that pursuant to the requirements of the PATRIOT Act,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PATRIOT Act. The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PATRIOT Act.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274" w:right="259" w:bottom="1440" w:gutter="0" w:footer="0" w:header="0"/>
        </w:sectPr>
      </w:pPr>
    </w:p>
    <w:bookmarkStart w:id="122" w:name="page123"/>
    <w:bookmarkEnd w:id="122"/>
    <w:p>
      <w:pPr>
        <w:ind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10.19. I</w:t>
      </w:r>
      <w:r>
        <w:rPr>
          <w:rFonts w:ascii="Arial" w:cs="Arial" w:eastAsia="Arial" w:hAnsi="Arial"/>
          <w:sz w:val="17"/>
          <w:szCs w:val="17"/>
          <w:u w:val="single" w:color="auto"/>
          <w:color w:val="auto"/>
        </w:rPr>
        <w:t>nconsistencies with Other Documents</w:t>
      </w:r>
      <w:r>
        <w:rPr>
          <w:rFonts w:ascii="Arial" w:cs="Arial" w:eastAsia="Arial" w:hAnsi="Arial"/>
          <w:sz w:val="17"/>
          <w:szCs w:val="17"/>
          <w:color w:val="auto"/>
        </w:rPr>
        <w:t xml:space="preserve">. In the event there is a conflict or inconsistency between this Agreement and any other Loan Document, the terms of this Agreement shall control;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provision of the Security Documents which imposes additional burdens on the Borrower or any of its Subsidiaries or further restricts the rights of the Borrower or any of its Subsidiaries or gives the Administrative Agent or Lenders additional rights shall not be deemed to be in conflict or inconsistent with this Agreement and shall be given full force and effect.</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10.20. </w:t>
      </w:r>
      <w:r>
        <w:rPr>
          <w:rFonts w:ascii="Arial" w:cs="Arial" w:eastAsia="Arial" w:hAnsi="Arial"/>
          <w:sz w:val="18"/>
          <w:szCs w:val="18"/>
          <w:u w:val="single" w:color="auto"/>
          <w:color w:val="auto"/>
        </w:rPr>
        <w:t>Acknowledgment and Consent to Bail-In of EEA Financial Institutions</w:t>
      </w:r>
      <w:r>
        <w:rPr>
          <w:rFonts w:ascii="Arial" w:cs="Arial" w:eastAsia="Arial" w:hAnsi="Arial"/>
          <w:sz w:val="18"/>
          <w:szCs w:val="18"/>
          <w:color w:val="auto"/>
        </w:rPr>
        <w:t>. 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79" w:lineRule="exact"/>
        <w:rPr>
          <w:sz w:val="20"/>
          <w:szCs w:val="20"/>
          <w:color w:val="auto"/>
        </w:rPr>
      </w:pPr>
    </w:p>
    <w:p>
      <w:pPr>
        <w:ind w:left="460" w:right="80" w:firstLine="443"/>
        <w:spacing w:after="0" w:line="277" w:lineRule="auto"/>
        <w:tabs>
          <w:tab w:leader="none" w:pos="1278"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62" w:lineRule="exact"/>
        <w:rPr>
          <w:rFonts w:ascii="Arial" w:cs="Arial" w:eastAsia="Arial" w:hAnsi="Arial"/>
          <w:sz w:val="18"/>
          <w:szCs w:val="18"/>
          <w:color w:val="auto"/>
        </w:rPr>
      </w:pPr>
    </w:p>
    <w:p>
      <w:pPr>
        <w:ind w:left="1300" w:hanging="397"/>
        <w:spacing w:after="0"/>
        <w:tabs>
          <w:tab w:leader="none" w:pos="13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17" w:lineRule="exact"/>
        <w:rPr>
          <w:rFonts w:ascii="Arial" w:cs="Arial" w:eastAsia="Arial" w:hAnsi="Arial"/>
          <w:sz w:val="18"/>
          <w:szCs w:val="18"/>
          <w:color w:val="auto"/>
        </w:rPr>
      </w:pPr>
    </w:p>
    <w:p>
      <w:pPr>
        <w:ind w:left="1700" w:hanging="359"/>
        <w:spacing w:after="0"/>
        <w:tabs>
          <w:tab w:leader="none" w:pos="170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7" w:lineRule="exact"/>
        <w:rPr>
          <w:rFonts w:ascii="Arial" w:cs="Arial" w:eastAsia="Arial" w:hAnsi="Arial"/>
          <w:sz w:val="18"/>
          <w:szCs w:val="18"/>
          <w:color w:val="auto"/>
        </w:rPr>
      </w:pPr>
    </w:p>
    <w:p>
      <w:pPr>
        <w:ind w:left="920" w:right="160" w:firstLine="421"/>
        <w:spacing w:after="0" w:line="312" w:lineRule="auto"/>
        <w:tabs>
          <w:tab w:leader="none" w:pos="1740" w:val="left"/>
        </w:tabs>
        <w:numPr>
          <w:ilvl w:val="1"/>
          <w:numId w:val="195"/>
        </w:numPr>
        <w:rPr>
          <w:rFonts w:ascii="Arial" w:cs="Arial" w:eastAsia="Arial" w:hAnsi="Arial"/>
          <w:sz w:val="16"/>
          <w:szCs w:val="16"/>
          <w:color w:val="auto"/>
        </w:rPr>
      </w:pPr>
      <w:r>
        <w:rPr>
          <w:rFonts w:ascii="Arial" w:cs="Arial" w:eastAsia="Arial" w:hAnsi="Arial"/>
          <w:sz w:val="16"/>
          <w:szCs w:val="16"/>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38" w:lineRule="exact"/>
        <w:rPr>
          <w:rFonts w:ascii="Arial" w:cs="Arial" w:eastAsia="Arial" w:hAnsi="Arial"/>
          <w:sz w:val="16"/>
          <w:szCs w:val="16"/>
          <w:color w:val="auto"/>
        </w:rPr>
      </w:pPr>
    </w:p>
    <w:p>
      <w:pPr>
        <w:ind w:left="920" w:right="400" w:firstLine="421"/>
        <w:spacing w:after="0" w:line="277" w:lineRule="auto"/>
        <w:tabs>
          <w:tab w:leader="none" w:pos="179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274" w:right="259" w:bottom="1440" w:gutter="0" w:footer="0" w:header="0"/>
        </w:sectPr>
      </w:pPr>
    </w:p>
    <w:bookmarkStart w:id="123" w:name="page124"/>
    <w:bookmarkEnd w:id="123"/>
    <w:p>
      <w:pPr>
        <w:spacing w:after="0"/>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7"/>
          <w:szCs w:val="17"/>
          <w:color w:val="auto"/>
        </w:rPr>
        <w:t>, the parties hereto have caused this Agreement to be duly executed as of the date first above written.</w:t>
      </w:r>
    </w:p>
    <w:p>
      <w:pPr>
        <w:spacing w:after="0" w:line="260"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NN, INC.</w:t>
      </w:r>
      <w:r>
        <w:rPr>
          <w:rFonts w:ascii="Arial" w:cs="Arial" w:eastAsia="Arial" w:hAnsi="Arial"/>
          <w:sz w:val="18"/>
          <w:szCs w:val="18"/>
          <w:color w:val="auto"/>
        </w:rPr>
        <w:t>, a Delaware corporation</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14605</wp:posOffset>
            </wp:positionV>
            <wp:extent cx="26930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Thomas C. Burwell, Jr.</w:t>
      </w:r>
    </w:p>
    <w:p>
      <w:pPr>
        <w:spacing w:after="0" w:line="23" w:lineRule="exact"/>
        <w:rPr>
          <w:sz w:val="20"/>
          <w:szCs w:val="20"/>
          <w:color w:val="auto"/>
        </w:rPr>
      </w:pPr>
    </w:p>
    <w:p>
      <w:pPr>
        <w:jc w:val="both"/>
        <w:ind w:left="6720"/>
        <w:spacing w:after="0"/>
        <w:tabs>
          <w:tab w:leader="none" w:pos="7300" w:val="left"/>
        </w:tabs>
        <w:rPr>
          <w:sz w:val="20"/>
          <w:szCs w:val="20"/>
          <w:color w:val="auto"/>
        </w:rPr>
      </w:pPr>
      <w:r>
        <w:rPr>
          <w:rFonts w:ascii="Arial" w:cs="Arial" w:eastAsia="Arial" w:hAnsi="Arial"/>
          <w:sz w:val="18"/>
          <w:szCs w:val="18"/>
          <w:color w:val="auto"/>
        </w:rPr>
        <w:t>Title:</w:t>
        <w:tab/>
        <w:t>Senior Vice President, Chief Financial</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Officer and Treasurer</w:t>
      </w:r>
    </w:p>
    <w:p>
      <w:pPr>
        <w:spacing w:after="0" w:line="14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080"/>
          </w:cols>
          <w:pgMar w:left="700" w:top="274" w:right="1119" w:bottom="1440" w:gutter="0" w:footer="0" w:header="0"/>
        </w:sectPr>
      </w:pPr>
    </w:p>
    <w:bookmarkStart w:id="124" w:name="page125"/>
    <w:bookmarkEnd w:id="124"/>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SUNTRUST BANK</w:t>
      </w:r>
      <w:r>
        <w:rPr>
          <w:rFonts w:ascii="Arial" w:cs="Arial" w:eastAsia="Arial" w:hAnsi="Arial"/>
          <w:sz w:val="17"/>
          <w:szCs w:val="17"/>
          <w:color w:val="auto"/>
        </w:rPr>
        <w:t>, as Administrative Agent</w:t>
      </w: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Thomas Parrott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Thomas Parrott</w:t>
      </w:r>
    </w:p>
    <w:p>
      <w:pPr>
        <w:spacing w:after="0" w:line="2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8"/>
          <w:szCs w:val="18"/>
          <w:color w:val="auto"/>
        </w:rPr>
        <w:t>Title:</w:t>
        <w:tab/>
        <w:t>Managing Director</w:t>
      </w: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9040"/>
          </w:cols>
          <w:pgMar w:left="1440" w:top="270" w:right="1419" w:bottom="1440" w:gutter="0" w:footer="0" w:header="0"/>
        </w:sectPr>
      </w:pPr>
    </w:p>
    <w:bookmarkStart w:id="125" w:name="page126"/>
    <w:bookmarkEnd w:id="125"/>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SUNTRUST BANK</w:t>
      </w:r>
      <w:r>
        <w:rPr>
          <w:rFonts w:ascii="Arial" w:cs="Arial" w:eastAsia="Arial" w:hAnsi="Arial"/>
          <w:sz w:val="16"/>
          <w:szCs w:val="16"/>
          <w:color w:val="auto"/>
        </w:rPr>
        <w:t>, as a Lender</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Thomas Parrott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Thomas Parrott</w:t>
      </w:r>
    </w:p>
    <w:p>
      <w:pPr>
        <w:spacing w:after="0" w:line="2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8"/>
          <w:szCs w:val="18"/>
          <w:color w:val="auto"/>
        </w:rPr>
        <w:t>Title:</w:t>
        <w:tab/>
        <w:t>Managing Director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9019"/>
          </w:cols>
          <w:pgMar w:left="1440" w:top="270" w:right="1440"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5459095</wp:posOffset>
            </wp:positionH>
            <wp:positionV relativeFrom="paragraph">
              <wp:posOffset>172085</wp:posOffset>
            </wp:positionV>
            <wp:extent cx="1792605" cy="4800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179260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RE: NN, Inc.</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207 Mockingbird Lane</w:t>
      </w:r>
    </w:p>
    <w:p>
      <w:pPr>
        <w:spacing w:after="0" w:line="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3</w:t>
      </w:r>
      <w:r>
        <w:rPr>
          <w:rFonts w:ascii="Arial" w:cs="Arial" w:eastAsia="Arial" w:hAnsi="Arial"/>
          <w:sz w:val="15"/>
          <w:szCs w:val="15"/>
          <w:color w:val="auto"/>
        </w:rPr>
        <w:t>rd</w:t>
      </w:r>
      <w:r>
        <w:rPr>
          <w:rFonts w:ascii="Arial" w:cs="Arial" w:eastAsia="Arial" w:hAnsi="Arial"/>
          <w:sz w:val="18"/>
          <w:szCs w:val="18"/>
          <w:color w:val="auto"/>
        </w:rPr>
        <w:t xml:space="preserve"> Floor</w:t>
      </w:r>
    </w:p>
    <w:p>
      <w:pPr>
        <w:spacing w:after="0" w:line="10"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Johnson City, TN 37604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w:t>
      </w:r>
    </w:p>
    <w:p>
      <w:pPr>
        <w:sectPr>
          <w:pgSz w:w="11900" w:h="16838" w:orient="portrait"/>
          <w:cols w:equalWidth="0" w:num="1">
            <w:col w:w="11420"/>
          </w:cols>
          <w:pgMar w:left="240" w:top="121"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Tom Burwell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and Chief Financial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(423) 434-8398</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AT ABERNATHY MACGREGOR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Claire Walsh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info)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212-371-5999</w:t>
      </w:r>
    </w:p>
    <w:p>
      <w:pPr>
        <w:spacing w:after="0" w:line="200" w:lineRule="exact"/>
        <w:rPr>
          <w:sz w:val="20"/>
          <w:szCs w:val="20"/>
          <w:color w:val="auto"/>
        </w:rPr>
      </w:pPr>
    </w:p>
    <w:p>
      <w:pPr>
        <w:sectPr>
          <w:pgSz w:w="11900" w:h="16838" w:orient="portrait"/>
          <w:cols w:equalWidth="0" w:num="2">
            <w:col w:w="4660" w:space="720"/>
            <w:col w:w="6040"/>
          </w:cols>
          <w:pgMar w:left="240" w:top="121" w:right="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May 7, 2018</w:t>
      </w: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COMPLETES ACQUISITION OF PARAGON MEDICAL</w:t>
      </w:r>
    </w:p>
    <w:p>
      <w:pPr>
        <w:spacing w:after="0" w:line="225"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b w:val="1"/>
          <w:bCs w:val="1"/>
          <w:color w:val="auto"/>
        </w:rPr>
        <w:t>Johnson City, Tennessee, May 7, 2018 –</w:t>
      </w:r>
      <w:r>
        <w:rPr>
          <w:rFonts w:ascii="Arial" w:cs="Arial" w:eastAsia="Arial" w:hAnsi="Arial"/>
          <w:sz w:val="18"/>
          <w:szCs w:val="18"/>
          <w:color w:val="auto"/>
        </w:rPr>
        <w:t>NN, Inc., (Nasdaq: NNBR) a diversified industrial company, today announced that it successfully completed its</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of Paragon Medical, Inc. Paragon Medical is a medical device manufacturer which focuses on the orthopedic, case and tray, implant and instrument markets.</w:t>
      </w:r>
    </w:p>
    <w:p>
      <w:pPr>
        <w:spacing w:after="0" w:line="180"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Richard Holder, President and CEO, commented, “We are thrilled to welcome the Paragon team to the NN family. Paragon Medical enhances our technical proficiencies, diversifies our product and finished device offerings, and adds key employees that will make impactful contributions throughout the organization. This acquisition continues our strategic focus to expand our Life Sciences portfolio as well as create a balanced business.”</w:t>
      </w:r>
    </w:p>
    <w:p>
      <w:pPr>
        <w:spacing w:after="0" w:line="14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NN, Inc., a diversified industrial company combines advanced engineering and production capabilities with in-depth materials science expertise to design and manufacture high-precision components and assemblies for a variety of markets on a global basis. Headquartered in Johnson City, Tennessee, NN has 51 facilities in North America, Western Europe, Eastern Europe, South America and China.</w:t>
      </w:r>
    </w:p>
    <w:p>
      <w:pPr>
        <w:spacing w:after="0" w:line="181"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(the “Company”)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w:t>
      </w:r>
    </w:p>
    <w:p>
      <w:pPr>
        <w:sectPr>
          <w:pgSz w:w="11900" w:h="16838" w:orient="portrait"/>
          <w:cols w:equalWidth="0" w:num="1">
            <w:col w:w="11420"/>
          </w:cols>
          <w:pgMar w:left="240" w:top="121" w:right="239" w:bottom="1440" w:gutter="0" w:footer="0" w:header="0"/>
          <w:type w:val="continuous"/>
        </w:sectPr>
      </w:pPr>
    </w:p>
    <w:bookmarkStart w:id="127" w:name="page128"/>
    <w:bookmarkEnd w:id="127"/>
    <w:p>
      <w:pPr>
        <w:ind w:right="40"/>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regarding pending and completed transactions are also forward-looking statements, including statements relating to the future performance and prospects of an acquired business, the expected benefits of an acquisition on the Company’s future business and operations and the ability of the Company to successfully integrate recently acquired businesses or the possibility that the Company will be unable to execute on the intended redeployment of proceeds from a divestiture, whether due to a lack of favorable investment opportunities or otherwise.</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2017. Except as required by law, the Company undertakes no obligation to update or revise any forward-looking statements make in this press release, whether as a result of new information, future events or otherwise.</w:t>
      </w:r>
    </w:p>
    <w:sectPr>
      <w:pgSz w:w="11900" w:h="16838" w:orient="portrait"/>
      <w:cols w:equalWidth="0" w:num="1">
        <w:col w:w="11360"/>
      </w:cols>
      <w:pgMar w:left="24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B8011C"/>
    <w:multiLevelType w:val="hybridMultilevel"/>
    <w:lvl w:ilvl="0">
      <w:lvlJc w:val="left"/>
      <w:lvlText w:val="☐"/>
      <w:numFmt w:val="bullet"/>
      <w:start w:val="1"/>
    </w:lvl>
  </w:abstractNum>
  <w:abstractNum w:abstractNumId="1">
    <w:nsid w:val="6AA78F7F"/>
    <w:multiLevelType w:val="hybridMultilevel"/>
    <w:lvl w:ilvl="0">
      <w:lvlJc w:val="left"/>
      <w:lvlText w:val="(%1)"/>
      <w:numFmt w:val="lowerLetter"/>
      <w:start w:val="1"/>
    </w:lvl>
  </w:abstractNum>
  <w:abstractNum w:abstractNumId="2">
    <w:nsid w:val="7672BD23"/>
    <w:multiLevelType w:val="hybridMultilevel"/>
    <w:lvl w:ilvl="0">
      <w:lvlJc w:val="left"/>
      <w:lvlText w:val="(%1)"/>
      <w:numFmt w:val="lowerLetter"/>
      <w:start w:val="2"/>
    </w:lvl>
  </w:abstractNum>
  <w:abstractNum w:abstractNumId="3">
    <w:nsid w:val="6FC75AF8"/>
    <w:multiLevelType w:val="hybridMultilevel"/>
    <w:lvl w:ilvl="0">
      <w:lvlJc w:val="left"/>
      <w:lvlText w:val="(%1)"/>
      <w:numFmt w:val="lowerLetter"/>
      <w:start w:val="4"/>
    </w:lvl>
  </w:abstractNum>
  <w:abstractNum w:abstractNumId="4">
    <w:nsid w:val="6A5F7029"/>
    <w:multiLevelType w:val="hybridMultilevel"/>
    <w:lvl w:ilvl="0">
      <w:lvlJc w:val="left"/>
      <w:lvlText w:val="(%1)"/>
      <w:numFmt w:val="lowerLetter"/>
      <w:start w:val="1"/>
    </w:lvl>
  </w:abstractNum>
  <w:abstractNum w:abstractNumId="5">
    <w:nsid w:val="7D5E18F8"/>
    <w:multiLevelType w:val="hybridMultilevel"/>
    <w:lvl w:ilvl="0">
      <w:lvlJc w:val="left"/>
      <w:lvlText w:val="(%1)"/>
      <w:numFmt w:val="lowerLetter"/>
      <w:start w:val="2"/>
    </w:lvl>
  </w:abstractNum>
  <w:abstractNum w:abstractNumId="6">
    <w:nsid w:val="5F3534A4"/>
    <w:multiLevelType w:val="hybridMultilevel"/>
    <w:lvl w:ilvl="0">
      <w:lvlJc w:val="left"/>
      <w:lvlText w:val="(%1)"/>
      <w:numFmt w:val="upperLetter"/>
      <w:start w:val="2"/>
    </w:lvl>
  </w:abstractNum>
  <w:abstractNum w:abstractNumId="7">
    <w:nsid w:val="73A1821B"/>
    <w:multiLevelType w:val="hybridMultilevel"/>
    <w:lvl w:ilvl="0">
      <w:lvlJc w:val="left"/>
      <w:lvlText w:val="%1"/>
      <w:numFmt w:val="lowerLetter"/>
      <w:start w:val="1"/>
    </w:lvl>
    <w:lvl w:ilvl="1">
      <w:lvlJc w:val="left"/>
      <w:lvlText w:val="(%2)"/>
      <w:numFmt w:val="lowerLetter"/>
      <w:start w:val="1"/>
    </w:lvl>
  </w:abstractNum>
  <w:abstractNum w:abstractNumId="8">
    <w:nsid w:val="7DE67713"/>
    <w:multiLevelType w:val="hybridMultilevel"/>
    <w:lvl w:ilvl="0">
      <w:lvlJc w:val="left"/>
      <w:lvlText w:val="(%1)"/>
      <w:numFmt w:val="lowerLetter"/>
      <w:start w:val="16"/>
    </w:lvl>
    <w:lvl w:ilvl="1">
      <w:lvlJc w:val="left"/>
      <w:lvlText w:val="%2"/>
      <w:numFmt w:val="lowerLetter"/>
      <w:start w:val="1"/>
    </w:lvl>
  </w:abstractNum>
  <w:abstractNum w:abstractNumId="9">
    <w:nsid w:val="555C55B5"/>
    <w:multiLevelType w:val="hybridMultilevel"/>
    <w:lvl w:ilvl="0">
      <w:lvlJc w:val="left"/>
      <w:lvlText w:val="(%1)"/>
      <w:numFmt w:val="lowerLetter"/>
      <w:start w:val="18"/>
    </w:lvl>
  </w:abstractNum>
  <w:abstractNum w:abstractNumId="10">
    <w:nsid w:val="3FA62ACA"/>
    <w:multiLevelType w:val="hybridMultilevel"/>
    <w:lvl w:ilvl="0">
      <w:lvlJc w:val="left"/>
      <w:lvlText w:val="(%1)"/>
      <w:numFmt w:val="lowerLetter"/>
      <w:start w:val="3"/>
    </w:lvl>
  </w:abstractNum>
  <w:abstractNum w:abstractNumId="11">
    <w:nsid w:val="14FCE74E"/>
    <w:multiLevelType w:val="hybridMultilevel"/>
    <w:lvl w:ilvl="0">
      <w:lvlJc w:val="left"/>
      <w:lvlText w:val="(%1)"/>
      <w:numFmt w:val="lowerLetter"/>
      <w:start w:val="1"/>
    </w:lvl>
  </w:abstractNum>
  <w:abstractNum w:abstractNumId="12">
    <w:nsid w:val="6A3DD3E8"/>
    <w:multiLevelType w:val="hybridMultilevel"/>
    <w:lvl w:ilvl="0">
      <w:lvlJc w:val="left"/>
      <w:lvlText w:val="(%1)"/>
      <w:numFmt w:val="lowerLetter"/>
      <w:start w:val="1"/>
    </w:lvl>
    <w:lvl w:ilvl="1">
      <w:lvlJc w:val="left"/>
      <w:lvlText w:val="(%2)"/>
      <w:numFmt w:val="lowerRoman"/>
      <w:start w:val="1"/>
    </w:lvl>
  </w:abstractNum>
  <w:abstractNum w:abstractNumId="13">
    <w:nsid w:val="71C91298"/>
    <w:multiLevelType w:val="hybridMultilevel"/>
    <w:lvl w:ilvl="0">
      <w:lvlJc w:val="left"/>
      <w:lvlText w:val="(%1)"/>
      <w:numFmt w:val="lowerLetter"/>
      <w:start w:val="5"/>
    </w:lvl>
  </w:abstractNum>
  <w:abstractNum w:abstractNumId="14">
    <w:nsid w:val="9DAF632"/>
    <w:multiLevelType w:val="hybridMultilevel"/>
    <w:lvl w:ilvl="0">
      <w:lvlJc w:val="left"/>
      <w:lvlText w:val="(%1)"/>
      <w:numFmt w:val="lowerRoman"/>
      <w:start w:val="2"/>
    </w:lvl>
  </w:abstractNum>
  <w:abstractNum w:abstractNumId="15">
    <w:nsid w:val="53299938"/>
    <w:multiLevelType w:val="hybridMultilevel"/>
    <w:lvl w:ilvl="0">
      <w:lvlJc w:val="left"/>
      <w:lvlText w:val="(%1)"/>
      <w:numFmt w:val="lowerRoman"/>
      <w:start w:val="1"/>
    </w:lvl>
  </w:abstractNum>
  <w:abstractNum w:abstractNumId="16">
    <w:nsid w:val="1FBFE8E0"/>
    <w:multiLevelType w:val="hybridMultilevel"/>
    <w:lvl w:ilvl="0">
      <w:lvlJc w:val="left"/>
      <w:lvlText w:val="(%1)"/>
      <w:numFmt w:val="lowerRoman"/>
      <w:start w:val="1"/>
    </w:lvl>
  </w:abstractNum>
  <w:abstractNum w:abstractNumId="17">
    <w:nsid w:val="5092CA79"/>
    <w:multiLevelType w:val="hybridMultilevel"/>
    <w:lvl w:ilvl="0">
      <w:lvlJc w:val="left"/>
      <w:lvlText w:val="%1"/>
      <w:numFmt w:val="upperLetter"/>
      <w:start w:val="40"/>
    </w:lvl>
  </w:abstractNum>
  <w:abstractNum w:abstractNumId="18">
    <w:nsid w:val="1D545C4D"/>
    <w:multiLevelType w:val="hybridMultilevel"/>
    <w:lvl w:ilvl="0">
      <w:lvlJc w:val="left"/>
      <w:lvlText w:val="A"/>
      <w:numFmt w:val="bullet"/>
      <w:start w:val="1"/>
    </w:lvl>
  </w:abstractNum>
  <w:abstractNum w:abstractNumId="19">
    <w:nsid w:val="59ADEA3D"/>
    <w:multiLevelType w:val="hybridMultilevel"/>
    <w:lvl w:ilvl="0">
      <w:lvlJc w:val="left"/>
      <w:lvlText w:val="B"/>
      <w:numFmt w:val="bullet"/>
      <w:start w:val="1"/>
    </w:lvl>
  </w:abstractNum>
  <w:abstractNum w:abstractNumId="20">
    <w:nsid w:val="288F1A34"/>
    <w:multiLevelType w:val="hybridMultilevel"/>
    <w:lvl w:ilvl="0">
      <w:lvlJc w:val="left"/>
      <w:lvlText w:val="C"/>
      <w:numFmt w:val="bullet"/>
      <w:start w:val="1"/>
    </w:lvl>
  </w:abstractNum>
  <w:abstractNum w:abstractNumId="21">
    <w:nsid w:val="2A155DBC"/>
    <w:multiLevelType w:val="hybridMultilevel"/>
    <w:lvl w:ilvl="0">
      <w:lvlJc w:val="left"/>
      <w:lvlText w:val="D"/>
      <w:numFmt w:val="bullet"/>
      <w:start w:val="1"/>
    </w:lvl>
  </w:abstractNum>
  <w:abstractNum w:abstractNumId="22">
    <w:nsid w:val="1D9F6E5F"/>
    <w:multiLevelType w:val="hybridMultilevel"/>
    <w:lvl w:ilvl="0">
      <w:lvlJc w:val="left"/>
      <w:lvlText w:val="(%1)"/>
      <w:numFmt w:val="lowerLetter"/>
      <w:start w:val="1"/>
    </w:lvl>
  </w:abstractNum>
  <w:abstractNum w:abstractNumId="23">
    <w:nsid w:val="97E1B4E"/>
    <w:multiLevelType w:val="hybridMultilevel"/>
    <w:lvl w:ilvl="0">
      <w:lvlJc w:val="left"/>
      <w:lvlText w:val="%1"/>
      <w:numFmt w:val="lowerLetter"/>
      <w:start w:val="1"/>
    </w:lvl>
    <w:lvl w:ilvl="1">
      <w:lvlJc w:val="left"/>
      <w:lvlText w:val="(%2)"/>
      <w:numFmt w:val="lowerLetter"/>
      <w:start w:val="1"/>
    </w:lvl>
  </w:abstractNum>
  <w:abstractNum w:abstractNumId="24">
    <w:nsid w:val="51088277"/>
    <w:multiLevelType w:val="hybridMultilevel"/>
    <w:lvl w:ilvl="0">
      <w:lvlJc w:val="left"/>
      <w:lvlText w:val="(%1)"/>
      <w:numFmt w:val="lowerLetter"/>
      <w:start w:val="35"/>
    </w:lvl>
    <w:lvl w:ilvl="1">
      <w:lvlJc w:val="left"/>
      <w:lvlText w:val="(%2)"/>
      <w:numFmt w:val="lowerLetter"/>
      <w:start w:val="3"/>
    </w:lvl>
  </w:abstractNum>
  <w:abstractNum w:abstractNumId="25">
    <w:nsid w:val="1CA0C5FA"/>
    <w:multiLevelType w:val="hybridMultilevel"/>
    <w:lvl w:ilvl="0">
      <w:lvlJc w:val="left"/>
      <w:lvlText w:val="(%1)"/>
      <w:numFmt w:val="lowerLetter"/>
      <w:start w:val="1"/>
    </w:lvl>
  </w:abstractNum>
  <w:abstractNum w:abstractNumId="26">
    <w:nsid w:val="53584BCB"/>
    <w:multiLevelType w:val="hybridMultilevel"/>
    <w:lvl w:ilvl="0">
      <w:lvlJc w:val="left"/>
      <w:lvlText w:val="(%1)"/>
      <w:numFmt w:val="lowerLetter"/>
      <w:start w:val="2"/>
    </w:lvl>
  </w:abstractNum>
  <w:abstractNum w:abstractNumId="27">
    <w:nsid w:val="415E286C"/>
    <w:multiLevelType w:val="hybridMultilevel"/>
    <w:lvl w:ilvl="0">
      <w:lvlJc w:val="left"/>
      <w:lvlText w:val="(%1)"/>
      <w:numFmt w:val="lowerLetter"/>
      <w:start w:val="1"/>
    </w:lvl>
  </w:abstractNum>
  <w:abstractNum w:abstractNumId="28">
    <w:nsid w:val="7C58FD05"/>
    <w:multiLevelType w:val="hybridMultilevel"/>
    <w:lvl w:ilvl="0">
      <w:lvlJc w:val="left"/>
      <w:lvlText w:val="(%1)"/>
      <w:numFmt w:val="lowerLetter"/>
      <w:start w:val="3"/>
    </w:lvl>
  </w:abstractNum>
  <w:abstractNum w:abstractNumId="29">
    <w:nsid w:val="23D86AAC"/>
    <w:multiLevelType w:val="hybridMultilevel"/>
    <w:lvl w:ilvl="0">
      <w:lvlJc w:val="left"/>
      <w:lvlText w:val="(%1)"/>
      <w:numFmt w:val="lowerRoman"/>
      <w:start w:val="1"/>
    </w:lvl>
  </w:abstractNum>
  <w:abstractNum w:abstractNumId="30">
    <w:nsid w:val="45E6D486"/>
    <w:multiLevelType w:val="hybridMultilevel"/>
    <w:lvl w:ilvl="0">
      <w:lvlJc w:val="left"/>
      <w:lvlText w:val="(%1)"/>
      <w:numFmt w:val="lowerRoman"/>
      <w:start w:val="2"/>
    </w:lvl>
  </w:abstractNum>
  <w:abstractNum w:abstractNumId="31">
    <w:nsid w:val="5C10FE21"/>
    <w:multiLevelType w:val="hybridMultilevel"/>
    <w:lvl w:ilvl="0">
      <w:lvlJc w:val="left"/>
      <w:lvlText w:val="(%1)"/>
      <w:numFmt w:val="lowerLetter"/>
      <w:start w:val="1"/>
    </w:lvl>
  </w:abstractNum>
  <w:abstractNum w:abstractNumId="32">
    <w:nsid w:val="E7FFA2B"/>
    <w:multiLevelType w:val="hybridMultilevel"/>
    <w:lvl w:ilvl="0">
      <w:lvlJc w:val="left"/>
      <w:lvlText w:val="(%1)"/>
      <w:numFmt w:val="lowerLetter"/>
      <w:start w:val="6"/>
    </w:lvl>
  </w:abstractNum>
  <w:abstractNum w:abstractNumId="33">
    <w:nsid w:val="3C5991AA"/>
    <w:multiLevelType w:val="hybridMultilevel"/>
    <w:lvl w:ilvl="0">
      <w:lvlJc w:val="left"/>
      <w:lvlText w:val="(%1)"/>
      <w:numFmt w:val="lowerRoman"/>
      <w:start w:val="1"/>
    </w:lvl>
  </w:abstractNum>
  <w:abstractNum w:abstractNumId="34">
    <w:nsid w:val="4BD8591A"/>
    <w:multiLevelType w:val="hybridMultilevel"/>
    <w:lvl w:ilvl="0">
      <w:lvlJc w:val="left"/>
      <w:lvlText w:val="(%1)"/>
      <w:numFmt w:val="lowerLetter"/>
      <w:start w:val="1"/>
    </w:lvl>
  </w:abstractNum>
  <w:abstractNum w:abstractNumId="35">
    <w:nsid w:val="78DF6A55"/>
    <w:multiLevelType w:val="hybridMultilevel"/>
    <w:lvl w:ilvl="0">
      <w:lvlJc w:val="left"/>
      <w:lvlText w:val="(%1)"/>
      <w:numFmt w:val="lowerLetter"/>
      <w:start w:val="1"/>
    </w:lvl>
  </w:abstractNum>
  <w:abstractNum w:abstractNumId="36">
    <w:nsid w:val="39B7AAA2"/>
    <w:multiLevelType w:val="hybridMultilevel"/>
    <w:lvl w:ilvl="0">
      <w:lvlJc w:val="left"/>
      <w:lvlText w:val="(%1)"/>
      <w:numFmt w:val="lowerLetter"/>
      <w:start w:val="2"/>
    </w:lvl>
  </w:abstractNum>
  <w:abstractNum w:abstractNumId="37">
    <w:nsid w:val="2B0D8DBE"/>
    <w:multiLevelType w:val="hybridMultilevel"/>
    <w:lvl w:ilvl="0">
      <w:lvlJc w:val="left"/>
      <w:lvlText w:val="(%1)"/>
      <w:numFmt w:val="lowerRoman"/>
      <w:start w:val="10"/>
    </w:lvl>
  </w:abstractNum>
  <w:abstractNum w:abstractNumId="38">
    <w:nsid w:val="6C80EC70"/>
    <w:multiLevelType w:val="hybridMultilevel"/>
    <w:lvl w:ilvl="0">
      <w:lvlJc w:val="left"/>
      <w:lvlText w:val="(%1)"/>
      <w:numFmt w:val="lowerLetter"/>
      <w:start w:val="1"/>
    </w:lvl>
  </w:abstractNum>
  <w:abstractNum w:abstractNumId="39">
    <w:nsid w:val="379E21B5"/>
    <w:multiLevelType w:val="hybridMultilevel"/>
    <w:lvl w:ilvl="0">
      <w:lvlJc w:val="left"/>
      <w:lvlText w:val="(%1)"/>
      <w:numFmt w:val="lowerLetter"/>
      <w:start w:val="2"/>
    </w:lvl>
  </w:abstractNum>
  <w:abstractNum w:abstractNumId="40">
    <w:nsid w:val="69E373"/>
    <w:multiLevelType w:val="hybridMultilevel"/>
    <w:lvl w:ilvl="0">
      <w:lvlJc w:val="left"/>
      <w:lvlText w:val="(%1)"/>
      <w:numFmt w:val="lowerLetter"/>
      <w:start w:val="2"/>
    </w:lvl>
  </w:abstractNum>
  <w:abstractNum w:abstractNumId="41">
    <w:nsid w:val="2C27173B"/>
    <w:multiLevelType w:val="hybridMultilevel"/>
    <w:lvl w:ilvl="0">
      <w:lvlJc w:val="left"/>
      <w:lvlText w:val="(%1)"/>
      <w:numFmt w:val="lowerLetter"/>
      <w:start w:val="1"/>
    </w:lvl>
  </w:abstractNum>
  <w:abstractNum w:abstractNumId="42">
    <w:nsid w:val="4C9B0904"/>
    <w:multiLevelType w:val="hybridMultilevel"/>
    <w:lvl w:ilvl="0">
      <w:lvlJc w:val="left"/>
      <w:lvlText w:val="(%1)"/>
      <w:numFmt w:val="lowerLetter"/>
      <w:start w:val="1"/>
    </w:lvl>
  </w:abstractNum>
  <w:abstractNum w:abstractNumId="43">
    <w:nsid w:val="6AA7B75C"/>
    <w:multiLevelType w:val="hybridMultilevel"/>
    <w:lvl w:ilvl="0">
      <w:lvlJc w:val="left"/>
      <w:lvlText w:val="(%1)"/>
      <w:numFmt w:val="lowerLetter"/>
      <w:start w:val="2"/>
    </w:lvl>
  </w:abstractNum>
  <w:abstractNum w:abstractNumId="44">
    <w:nsid w:val="1DF029D3"/>
    <w:multiLevelType w:val="hybridMultilevel"/>
    <w:lvl w:ilvl="0">
      <w:lvlJc w:val="left"/>
      <w:lvlText w:val="(%1)"/>
      <w:numFmt w:val="lowerLetter"/>
      <w:start w:val="1"/>
    </w:lvl>
  </w:abstractNum>
  <w:abstractNum w:abstractNumId="45">
    <w:nsid w:val="5675FF36"/>
    <w:multiLevelType w:val="hybridMultilevel"/>
    <w:lvl w:ilvl="0">
      <w:lvlJc w:val="left"/>
      <w:lvlText w:val="(%1)"/>
      <w:numFmt w:val="lowerLetter"/>
      <w:start w:val="1"/>
    </w:lvl>
  </w:abstractNum>
  <w:abstractNum w:abstractNumId="46">
    <w:nsid w:val="3DD15094"/>
    <w:multiLevelType w:val="hybridMultilevel"/>
    <w:lvl w:ilvl="0">
      <w:lvlJc w:val="left"/>
      <w:lvlText w:val="(%1)"/>
      <w:numFmt w:val="lowerLetter"/>
      <w:start w:val="1"/>
    </w:lvl>
  </w:abstractNum>
  <w:abstractNum w:abstractNumId="47">
    <w:nsid w:val="3DB012B3"/>
    <w:multiLevelType w:val="hybridMultilevel"/>
    <w:lvl w:ilvl="0">
      <w:lvlJc w:val="left"/>
      <w:lvlText w:val="%1"/>
      <w:numFmt w:val="lowerLetter"/>
      <w:start w:val="1"/>
    </w:lvl>
    <w:lvl w:ilvl="1">
      <w:lvlJc w:val="left"/>
      <w:lvlText w:val="(%2)"/>
      <w:numFmt w:val="lowerLetter"/>
      <w:start w:val="2"/>
    </w:lvl>
  </w:abstractNum>
  <w:abstractNum w:abstractNumId="48">
    <w:nsid w:val="2708C9AF"/>
    <w:multiLevelType w:val="hybridMultilevel"/>
    <w:lvl w:ilvl="0">
      <w:lvlJc w:val="left"/>
      <w:lvlText w:val="(%1)"/>
      <w:numFmt w:val="lowerLetter"/>
      <w:start w:val="35"/>
    </w:lvl>
    <w:lvl w:ilvl="1">
      <w:lvlJc w:val="left"/>
      <w:lvlText w:val="(%2)"/>
      <w:numFmt w:val="lowerLetter"/>
      <w:start w:val="3"/>
    </w:lvl>
  </w:abstractNum>
  <w:abstractNum w:abstractNumId="49">
    <w:nsid w:val="5B25ACE2"/>
    <w:multiLevelType w:val="hybridMultilevel"/>
    <w:lvl w:ilvl="0">
      <w:lvlJc w:val="left"/>
      <w:lvlText w:val="(%1)"/>
      <w:numFmt w:val="lowerLetter"/>
      <w:start w:val="1"/>
    </w:lvl>
  </w:abstractNum>
  <w:abstractNum w:abstractNumId="50">
    <w:nsid w:val="175DFCF0"/>
    <w:multiLevelType w:val="hybridMultilevel"/>
    <w:lvl w:ilvl="0">
      <w:lvlJc w:val="left"/>
      <w:lvlText w:val="(%1)"/>
      <w:numFmt w:val="lowerLetter"/>
      <w:start w:val="2"/>
    </w:lvl>
  </w:abstractNum>
  <w:abstractNum w:abstractNumId="51">
    <w:nsid w:val="4F97E3E4"/>
    <w:multiLevelType w:val="hybridMultilevel"/>
    <w:lvl w:ilvl="0">
      <w:lvlJc w:val="left"/>
      <w:lvlText w:val="(%1)"/>
      <w:numFmt w:val="lowerRoman"/>
      <w:start w:val="1"/>
    </w:lvl>
  </w:abstractNum>
  <w:abstractNum w:abstractNumId="52">
    <w:nsid w:val="53B0A9E"/>
    <w:multiLevelType w:val="hybridMultilevel"/>
    <w:lvl w:ilvl="0">
      <w:lvlJc w:val="left"/>
      <w:lvlText w:val="(%1)"/>
      <w:numFmt w:val="lowerRoman"/>
      <w:start w:val="4"/>
    </w:lvl>
  </w:abstractNum>
  <w:abstractNum w:abstractNumId="53">
    <w:nsid w:val="34FD6B4F"/>
    <w:multiLevelType w:val="hybridMultilevel"/>
    <w:lvl w:ilvl="0">
      <w:lvlJc w:val="left"/>
      <w:lvlText w:val="(%1)"/>
      <w:numFmt w:val="lowerLetter"/>
      <w:start w:val="3"/>
    </w:lvl>
  </w:abstractNum>
  <w:abstractNum w:abstractNumId="54">
    <w:nsid w:val="5915FF32"/>
    <w:multiLevelType w:val="hybridMultilevel"/>
    <w:lvl w:ilvl="0">
      <w:lvlJc w:val="left"/>
      <w:lvlText w:val="(%1)"/>
      <w:numFmt w:val="lowerLetter"/>
      <w:start w:val="1"/>
    </w:lvl>
  </w:abstractNum>
  <w:abstractNum w:abstractNumId="55">
    <w:nsid w:val="56438D15"/>
    <w:multiLevelType w:val="hybridMultilevel"/>
    <w:lvl w:ilvl="0">
      <w:lvlJc w:val="left"/>
      <w:lvlText w:val="(%1)"/>
      <w:numFmt w:val="lowerRoman"/>
      <w:start w:val="1"/>
    </w:lvl>
  </w:abstractNum>
  <w:abstractNum w:abstractNumId="56">
    <w:nsid w:val="519E3149"/>
    <w:multiLevelType w:val="hybridMultilevel"/>
    <w:lvl w:ilvl="0">
      <w:lvlJc w:val="left"/>
      <w:lvlText w:val="(%1)"/>
      <w:numFmt w:val="lowerLetter"/>
      <w:start w:val="3"/>
    </w:lvl>
  </w:abstractNum>
  <w:abstractNum w:abstractNumId="57">
    <w:nsid w:val="2C6E4AFD"/>
    <w:multiLevelType w:val="hybridMultilevel"/>
    <w:lvl w:ilvl="0">
      <w:lvlJc w:val="left"/>
      <w:lvlText w:val="(%1)"/>
      <w:numFmt w:val="lowerRoman"/>
      <w:start w:val="1"/>
    </w:lvl>
  </w:abstractNum>
  <w:abstractNum w:abstractNumId="58">
    <w:nsid w:val="17A1B582"/>
    <w:multiLevelType w:val="hybridMultilevel"/>
    <w:lvl w:ilvl="0">
      <w:lvlJc w:val="left"/>
      <w:lvlText w:val="(%1)"/>
      <w:numFmt w:val="lowerLetter"/>
      <w:start w:val="1"/>
    </w:lvl>
  </w:abstractNum>
  <w:abstractNum w:abstractNumId="59">
    <w:nsid w:val="4DF72E4E"/>
    <w:multiLevelType w:val="hybridMultilevel"/>
    <w:lvl w:ilvl="0">
      <w:lvlJc w:val="left"/>
      <w:lvlText w:val="%1"/>
      <w:numFmt w:val="lowerLetter"/>
      <w:start w:val="1"/>
    </w:lvl>
    <w:lvl w:ilvl="1">
      <w:lvlJc w:val="left"/>
      <w:lvlText w:val="(%2)"/>
      <w:numFmt w:val="lowerLetter"/>
      <w:start w:val="1"/>
    </w:lvl>
  </w:abstractNum>
  <w:abstractNum w:abstractNumId="60">
    <w:nsid w:val="5046B5A9"/>
    <w:multiLevelType w:val="hybridMultilevel"/>
    <w:lvl w:ilvl="0">
      <w:lvlJc w:val="left"/>
      <w:lvlText w:val="(%1)"/>
      <w:numFmt w:val="lowerLetter"/>
      <w:start w:val="35"/>
    </w:lvl>
    <w:lvl w:ilvl="1">
      <w:lvlJc w:val="left"/>
      <w:lvlText w:val="%2"/>
      <w:numFmt w:val="lowerLetter"/>
      <w:start w:val="1"/>
    </w:lvl>
  </w:abstractNum>
  <w:abstractNum w:abstractNumId="61">
    <w:nsid w:val="5D888A08"/>
    <w:multiLevelType w:val="hybridMultilevel"/>
    <w:lvl w:ilvl="0">
      <w:lvlJc w:val="left"/>
      <w:lvlText w:val="(%1)"/>
      <w:numFmt w:val="lowerLetter"/>
      <w:start w:val="2"/>
    </w:lvl>
  </w:abstractNum>
  <w:abstractNum w:abstractNumId="62">
    <w:nsid w:val="2A082C70"/>
    <w:multiLevelType w:val="hybridMultilevel"/>
    <w:lvl w:ilvl="0">
      <w:lvlJc w:val="left"/>
      <w:lvlText w:val="(%1)"/>
      <w:numFmt w:val="lowerRoman"/>
      <w:start w:val="2"/>
    </w:lvl>
  </w:abstractNum>
  <w:abstractNum w:abstractNumId="63">
    <w:nsid w:val="5EC6AFD4"/>
    <w:multiLevelType w:val="hybridMultilevel"/>
    <w:lvl w:ilvl="0">
      <w:lvlJc w:val="left"/>
      <w:lvlText w:val="(%1)"/>
      <w:numFmt w:val="lowerLetter"/>
      <w:start w:val="3"/>
    </w:lvl>
  </w:abstractNum>
  <w:abstractNum w:abstractNumId="64">
    <w:nsid w:val="19E21BB2"/>
    <w:multiLevelType w:val="hybridMultilevel"/>
    <w:lvl w:ilvl="0">
      <w:lvlJc w:val="left"/>
      <w:lvlText w:val="(%1)"/>
      <w:numFmt w:val="lowerLetter"/>
      <w:start w:val="1"/>
    </w:lvl>
  </w:abstractNum>
  <w:abstractNum w:abstractNumId="65">
    <w:nsid w:val="75E0858A"/>
    <w:multiLevelType w:val="hybridMultilevel"/>
    <w:lvl w:ilvl="0">
      <w:lvlJc w:val="left"/>
      <w:lvlText w:val="(%1)"/>
      <w:numFmt w:val="lowerRoman"/>
      <w:start w:val="1"/>
    </w:lvl>
  </w:abstractNum>
  <w:abstractNum w:abstractNumId="66">
    <w:nsid w:val="57A61A29"/>
    <w:multiLevelType w:val="hybridMultilevel"/>
    <w:lvl w:ilvl="0">
      <w:lvlJc w:val="left"/>
      <w:lvlText w:val="(%1)"/>
      <w:numFmt w:val="lowerLetter"/>
      <w:start w:val="1"/>
    </w:lvl>
  </w:abstractNum>
  <w:abstractNum w:abstractNumId="67">
    <w:nsid w:val="5399C654"/>
    <w:multiLevelType w:val="hybridMultilevel"/>
    <w:lvl w:ilvl="0">
      <w:lvlJc w:val="left"/>
      <w:lvlText w:val="(%1)"/>
      <w:numFmt w:val="lowerLetter"/>
      <w:start w:val="1"/>
    </w:lvl>
  </w:abstractNum>
  <w:abstractNum w:abstractNumId="68">
    <w:nsid w:val="20EE1348"/>
    <w:multiLevelType w:val="hybridMultilevel"/>
    <w:lvl w:ilvl="0">
      <w:lvlJc w:val="left"/>
      <w:lvlText w:val="(%1)"/>
      <w:numFmt w:val="lowerLetter"/>
      <w:start w:val="1"/>
    </w:lvl>
  </w:abstractNum>
  <w:abstractNum w:abstractNumId="69">
    <w:nsid w:val="4427069A"/>
    <w:multiLevelType w:val="hybridMultilevel"/>
    <w:lvl w:ilvl="0">
      <w:lvlJc w:val="left"/>
      <w:lvlText w:val="(%1)"/>
      <w:numFmt w:val="lowerRoman"/>
      <w:start w:val="2"/>
    </w:lvl>
  </w:abstractNum>
  <w:abstractNum w:abstractNumId="70">
    <w:nsid w:val="B37E80A"/>
    <w:multiLevelType w:val="hybridMultilevel"/>
    <w:lvl w:ilvl="0">
      <w:lvlJc w:val="left"/>
      <w:lvlText w:val="(%1)"/>
      <w:numFmt w:val="lowerLetter"/>
      <w:start w:val="3"/>
    </w:lvl>
  </w:abstractNum>
  <w:abstractNum w:abstractNumId="71">
    <w:nsid w:val="2157F6BC"/>
    <w:multiLevelType w:val="hybridMultilevel"/>
    <w:lvl w:ilvl="0">
      <w:lvlJc w:val="left"/>
      <w:lvlText w:val="(%1)"/>
      <w:numFmt w:val="lowerRoman"/>
      <w:start w:val="1"/>
    </w:lvl>
  </w:abstractNum>
  <w:abstractNum w:abstractNumId="72">
    <w:nsid w:val="704E1DD5"/>
    <w:multiLevelType w:val="hybridMultilevel"/>
    <w:lvl w:ilvl="0">
      <w:lvlJc w:val="left"/>
      <w:lvlText w:val="(%1)"/>
      <w:numFmt w:val="lowerRoman"/>
      <w:start w:val="2"/>
    </w:lvl>
  </w:abstractNum>
  <w:abstractNum w:abstractNumId="73">
    <w:nsid w:val="57D2F10E"/>
    <w:multiLevelType w:val="hybridMultilevel"/>
    <w:lvl w:ilvl="0">
      <w:lvlJc w:val="left"/>
      <w:lvlText w:val="(%1)"/>
      <w:numFmt w:val="lowerLetter"/>
      <w:start w:val="1"/>
    </w:lvl>
    <w:lvl w:ilvl="1">
      <w:lvlJc w:val="left"/>
      <w:lvlText w:val="(%2)"/>
      <w:numFmt w:val="lowerRoman"/>
      <w:start w:val="1"/>
    </w:lvl>
  </w:abstractNum>
  <w:abstractNum w:abstractNumId="74">
    <w:nsid w:val="BFFAE18"/>
    <w:multiLevelType w:val="hybridMultilevel"/>
    <w:lvl w:ilvl="0">
      <w:lvlJc w:val="left"/>
      <w:lvlText w:val="(%1)"/>
      <w:numFmt w:val="lowerRoman"/>
      <w:start w:val="3"/>
    </w:lvl>
  </w:abstractNum>
  <w:abstractNum w:abstractNumId="75">
    <w:nsid w:val="E3E47A8"/>
    <w:multiLevelType w:val="hybridMultilevel"/>
    <w:lvl w:ilvl="0">
      <w:lvlJc w:val="left"/>
      <w:lvlText w:val="%1"/>
      <w:numFmt w:val="lowerLetter"/>
      <w:start w:val="1"/>
    </w:lvl>
    <w:lvl w:ilvl="1">
      <w:lvlJc w:val="left"/>
      <w:lvlText w:val="(%2)"/>
      <w:numFmt w:val="lowerRoman"/>
      <w:start w:val="6"/>
    </w:lvl>
  </w:abstractNum>
  <w:abstractNum w:abstractNumId="76">
    <w:nsid w:val="2E48F044"/>
    <w:multiLevelType w:val="hybridMultilevel"/>
    <w:lvl w:ilvl="0">
      <w:lvlJc w:val="left"/>
      <w:lvlText w:val="(%1)"/>
      <w:numFmt w:val="lowerLetter"/>
      <w:start w:val="2"/>
    </w:lvl>
    <w:lvl w:ilvl="1">
      <w:lvlJc w:val="left"/>
      <w:lvlText w:val="%2"/>
      <w:numFmt w:val="lowerRoman"/>
      <w:start w:val="1"/>
    </w:lvl>
  </w:abstractNum>
  <w:abstractNum w:abstractNumId="77">
    <w:nsid w:val="49D0FEAC"/>
    <w:multiLevelType w:val="hybridMultilevel"/>
    <w:lvl w:ilvl="0">
      <w:lvlJc w:val="left"/>
      <w:lvlText w:val="(%1)"/>
      <w:numFmt w:val="lowerLetter"/>
      <w:start w:val="3"/>
    </w:lvl>
  </w:abstractNum>
  <w:abstractNum w:abstractNumId="78">
    <w:nsid w:val="4BEE5A5B"/>
    <w:multiLevelType w:val="hybridMultilevel"/>
    <w:lvl w:ilvl="0">
      <w:lvlJc w:val="left"/>
      <w:lvlText w:val="%1"/>
      <w:numFmt w:val="upperLetter"/>
      <w:start w:val="1"/>
    </w:lvl>
    <w:lvl w:ilvl="1">
      <w:lvlJc w:val="left"/>
      <w:lvlText w:val="(%2)"/>
      <w:numFmt w:val="lowerRoman"/>
      <w:start w:val="1"/>
    </w:lvl>
  </w:abstractNum>
  <w:abstractNum w:abstractNumId="79">
    <w:nsid w:val="5551B9F3"/>
    <w:multiLevelType w:val="hybridMultilevel"/>
    <w:lvl w:ilvl="0">
      <w:lvlJc w:val="left"/>
      <w:lvlText w:val="(%1)"/>
      <w:numFmt w:val="upperLetter"/>
      <w:start w:val="1"/>
    </w:lvl>
    <w:lvl w:ilvl="1">
      <w:lvlJc w:val="left"/>
      <w:lvlText w:val="(%2)"/>
      <w:numFmt w:val="lowerRoman"/>
      <w:start w:val="2"/>
    </w:lvl>
  </w:abstractNum>
  <w:abstractNum w:abstractNumId="80">
    <w:nsid w:val="24F6AB8E"/>
    <w:multiLevelType w:val="hybridMultilevel"/>
    <w:lvl w:ilvl="0">
      <w:lvlJc w:val="left"/>
      <w:lvlText w:val="(%1)"/>
      <w:numFmt w:val="lowerRoman"/>
      <w:start w:val="4"/>
    </w:lvl>
  </w:abstractNum>
  <w:abstractNum w:abstractNumId="81">
    <w:nsid w:val="634C574C"/>
    <w:multiLevelType w:val="hybridMultilevel"/>
    <w:lvl w:ilvl="0">
      <w:lvlJc w:val="left"/>
      <w:lvlText w:val="(%1)"/>
      <w:numFmt w:val="lowerLetter"/>
      <w:start w:val="1"/>
    </w:lvl>
    <w:lvl w:ilvl="1">
      <w:lvlJc w:val="left"/>
      <w:lvlText w:val="(%2)"/>
      <w:numFmt w:val="lowerRoman"/>
      <w:start w:val="1"/>
    </w:lvl>
  </w:abstractNum>
  <w:abstractNum w:abstractNumId="82">
    <w:nsid w:val="24E99DD7"/>
    <w:multiLevelType w:val="hybridMultilevel"/>
    <w:lvl w:ilvl="0">
      <w:lvlJc w:val="left"/>
      <w:lvlText w:val="(%1)"/>
      <w:numFmt w:val="lowerLetter"/>
      <w:start w:val="1"/>
    </w:lvl>
  </w:abstractNum>
  <w:abstractNum w:abstractNumId="83">
    <w:nsid w:val="2A31B62D"/>
    <w:multiLevelType w:val="hybridMultilevel"/>
    <w:lvl w:ilvl="0">
      <w:lvlJc w:val="left"/>
      <w:lvlText w:val="(%1)"/>
      <w:numFmt w:val="lowerRoman"/>
      <w:start w:val="1"/>
    </w:lvl>
  </w:abstractNum>
  <w:abstractNum w:abstractNumId="84">
    <w:nsid w:val="1849C29B"/>
    <w:multiLevelType w:val="hybridMultilevel"/>
    <w:lvl w:ilvl="0">
      <w:lvlJc w:val="left"/>
      <w:lvlText w:val="(%1)"/>
      <w:numFmt w:val="lowerRoman"/>
      <w:start w:val="2"/>
    </w:lvl>
  </w:abstractNum>
  <w:abstractNum w:abstractNumId="85">
    <w:nsid w:val="7DFF9D09"/>
    <w:multiLevelType w:val="hybridMultilevel"/>
    <w:lvl w:ilvl="0">
      <w:lvlJc w:val="left"/>
      <w:lvlText w:val="(%1)"/>
      <w:numFmt w:val="lowerLetter"/>
      <w:start w:val="2"/>
    </w:lvl>
  </w:abstractNum>
  <w:abstractNum w:abstractNumId="86">
    <w:nsid w:val="754342"/>
    <w:multiLevelType w:val="hybridMultilevel"/>
    <w:lvl w:ilvl="0">
      <w:lvlJc w:val="left"/>
      <w:lvlText w:val="(%1)"/>
      <w:numFmt w:val="lowerLetter"/>
      <w:start w:val="4"/>
    </w:lvl>
  </w:abstractNum>
  <w:abstractNum w:abstractNumId="87">
    <w:nsid w:val="69E7F3E5"/>
    <w:multiLevelType w:val="hybridMultilevel"/>
    <w:lvl w:ilvl="0">
      <w:lvlJc w:val="left"/>
      <w:lvlText w:val="(%1)"/>
      <w:numFmt w:val="lowerRoman"/>
      <w:start w:val="1"/>
    </w:lvl>
    <w:lvl w:ilvl="1">
      <w:lvlJc w:val="left"/>
      <w:lvlText w:val="(%2)"/>
      <w:numFmt w:val="upperLetter"/>
      <w:start w:val="1"/>
    </w:lvl>
  </w:abstractNum>
  <w:abstractNum w:abstractNumId="88">
    <w:nsid w:val="2A6DE806"/>
    <w:multiLevelType w:val="hybridMultilevel"/>
    <w:lvl w:ilvl="0">
      <w:lvlJc w:val="left"/>
      <w:lvlText w:val="(%1)"/>
      <w:numFmt w:val="upperLetter"/>
      <w:start w:val="2"/>
    </w:lvl>
    <w:lvl w:ilvl="1">
      <w:lvlJc w:val="left"/>
      <w:lvlText w:val="(%2)"/>
      <w:numFmt w:val="upperLetter"/>
    </w:lvl>
    <w:lvl w:ilvl="2">
      <w:lvlJc w:val="left"/>
      <w:lvlText w:val="(%3)"/>
      <w:numFmt w:val="decimal"/>
      <w:start w:val="1"/>
    </w:lvl>
  </w:abstractNum>
  <w:abstractNum w:abstractNumId="89">
    <w:nsid w:val="1816F8C4"/>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4"/>
    </w:lvl>
  </w:abstractNum>
  <w:abstractNum w:abstractNumId="90">
    <w:nsid w:val="37DF2233"/>
    <w:multiLevelType w:val="hybridMultilevel"/>
    <w:lvl w:ilvl="0">
      <w:lvlJc w:val="left"/>
      <w:lvlText w:val="(%1)"/>
      <w:numFmt w:val="upperLetter"/>
      <w:start w:val="3"/>
    </w:lvl>
    <w:lvl w:ilvl="1">
      <w:lvlJc w:val="left"/>
      <w:lvlText w:val="%2"/>
      <w:numFmt w:val="upperLetter"/>
      <w:start w:val="1"/>
    </w:lvl>
    <w:lvl w:ilvl="2">
      <w:lvlJc w:val="left"/>
      <w:lvlText w:val="%3"/>
      <w:numFmt w:val="decimal"/>
      <w:start w:val="1"/>
    </w:lvl>
  </w:abstractNum>
  <w:abstractNum w:abstractNumId="91">
    <w:nsid w:val="7AB49DAF"/>
    <w:multiLevelType w:val="hybridMultilevel"/>
    <w:lvl w:ilvl="0">
      <w:lvlJc w:val="left"/>
      <w:lvlText w:val="(%1)"/>
      <w:numFmt w:val="lowerRoman"/>
      <w:start w:val="3"/>
    </w:lvl>
  </w:abstractNum>
  <w:abstractNum w:abstractNumId="92">
    <w:nsid w:val="759F82CD"/>
    <w:multiLevelType w:val="hybridMultilevel"/>
    <w:lvl w:ilvl="0">
      <w:lvlJc w:val="left"/>
      <w:lvlText w:val="%1"/>
      <w:numFmt w:val="lowerLetter"/>
      <w:start w:val="1"/>
    </w:lvl>
    <w:lvl w:ilvl="1">
      <w:lvlJc w:val="left"/>
      <w:lvlText w:val="(%2)"/>
      <w:numFmt w:val="lowerRoman"/>
      <w:start w:val="4"/>
    </w:lvl>
  </w:abstractNum>
  <w:abstractNum w:abstractNumId="93">
    <w:nsid w:val="61E74EA3"/>
    <w:multiLevelType w:val="hybridMultilevel"/>
    <w:lvl w:ilvl="0">
      <w:lvlJc w:val="left"/>
      <w:lvlText w:val="(%1)"/>
      <w:numFmt w:val="lowerLetter"/>
      <w:start w:val="6"/>
    </w:lvl>
    <w:lvl w:ilvl="1">
      <w:lvlJc w:val="left"/>
      <w:lvlText w:val="%2"/>
      <w:numFmt w:val="lowerRoman"/>
      <w:start w:val="1"/>
    </w:lvl>
  </w:abstractNum>
  <w:abstractNum w:abstractNumId="94">
    <w:nsid w:val="597B4D84"/>
    <w:multiLevelType w:val="hybridMultilevel"/>
    <w:lvl w:ilvl="0">
      <w:lvlJc w:val="left"/>
      <w:lvlText w:val="(%1)"/>
      <w:numFmt w:val="lowerRoman"/>
      <w:start w:val="10"/>
    </w:lvl>
  </w:abstractNum>
  <w:abstractNum w:abstractNumId="95">
    <w:nsid w:val="F819E7F"/>
    <w:multiLevelType w:val="hybridMultilevel"/>
    <w:lvl w:ilvl="0">
      <w:lvlJc w:val="left"/>
      <w:lvlText w:val="(%1)"/>
      <w:numFmt w:val="decimal"/>
      <w:start w:val="5"/>
    </w:lvl>
  </w:abstractNum>
  <w:abstractNum w:abstractNumId="96">
    <w:nsid w:val="57C7D42D"/>
    <w:multiLevelType w:val="hybridMultilevel"/>
    <w:lvl w:ilvl="0">
      <w:lvlJc w:val="left"/>
      <w:lvlText w:val="(%1)"/>
      <w:numFmt w:val="lowerLetter"/>
      <w:start w:val="1"/>
    </w:lvl>
    <w:lvl w:ilvl="1">
      <w:lvlJc w:val="left"/>
      <w:lvlText w:val="(%2)"/>
      <w:numFmt w:val="lowerRoman"/>
      <w:start w:val="1"/>
    </w:lvl>
  </w:abstractNum>
  <w:abstractNum w:abstractNumId="97">
    <w:nsid w:val="312167AD"/>
    <w:multiLevelType w:val="hybridMultilevel"/>
    <w:lvl w:ilvl="0">
      <w:lvlJc w:val="left"/>
      <w:lvlText w:val="(%1)"/>
      <w:numFmt w:val="lowerRoman"/>
      <w:start w:val="3"/>
    </w:lvl>
  </w:abstractNum>
  <w:abstractNum w:abstractNumId="98">
    <w:nsid w:val="631B64D4"/>
    <w:multiLevelType w:val="hybridMultilevel"/>
    <w:lvl w:ilvl="0">
      <w:lvlJc w:val="left"/>
      <w:lvlText w:val="(%1)"/>
      <w:numFmt w:val="lowerLetter"/>
      <w:start w:val="2"/>
    </w:lvl>
  </w:abstractNum>
  <w:abstractNum w:abstractNumId="99">
    <w:nsid w:val="78B5E776"/>
    <w:multiLevelType w:val="hybridMultilevel"/>
    <w:lvl w:ilvl="0">
      <w:lvlJc w:val="left"/>
      <w:lvlText w:val="(%1)"/>
      <w:numFmt w:val="lowerLetter"/>
      <w:start w:val="1"/>
    </w:lvl>
  </w:abstractNum>
  <w:abstractNum w:abstractNumId="100">
    <w:nsid w:val="75486E47"/>
    <w:multiLevelType w:val="hybridMultilevel"/>
    <w:lvl w:ilvl="0">
      <w:lvlJc w:val="left"/>
      <w:lvlText w:val="(%1)"/>
      <w:numFmt w:val="lowerLetter"/>
      <w:start w:val="3"/>
    </w:lvl>
  </w:abstractNum>
  <w:abstractNum w:abstractNumId="101">
    <w:nsid w:val="6E534CDE"/>
    <w:multiLevelType w:val="hybridMultilevel"/>
    <w:lvl w:ilvl="0">
      <w:lvlJc w:val="left"/>
      <w:lvlText w:val="(%1)"/>
      <w:numFmt w:val="lowerLetter"/>
      <w:start w:val="1"/>
    </w:lvl>
  </w:abstractNum>
  <w:abstractNum w:abstractNumId="102">
    <w:nsid w:val="1A0DDE32"/>
    <w:multiLevelType w:val="hybridMultilevel"/>
    <w:lvl w:ilvl="0">
      <w:lvlJc w:val="left"/>
      <w:lvlText w:val="(%1)"/>
      <w:numFmt w:val="lowerLetter"/>
      <w:start w:val="1"/>
    </w:lvl>
    <w:lvl w:ilvl="1">
      <w:lvlJc w:val="left"/>
      <w:lvlText w:val="(%2)"/>
      <w:numFmt w:val="lowerLetter"/>
      <w:start w:val="9"/>
    </w:lvl>
  </w:abstractNum>
  <w:abstractNum w:abstractNumId="103">
    <w:nsid w:val="65968C1C"/>
    <w:multiLevelType w:val="hybridMultilevel"/>
    <w:lvl w:ilvl="0">
      <w:lvlJc w:val="left"/>
      <w:lvlText w:val="(%1)"/>
      <w:numFmt w:val="lowerRoman"/>
      <w:start w:val="2"/>
    </w:lvl>
    <w:lvl w:ilvl="1">
      <w:lvlJc w:val="left"/>
      <w:lvlText w:val="(%2)"/>
      <w:numFmt w:val="upperLetter"/>
      <w:start w:val="1"/>
    </w:lvl>
  </w:abstractNum>
  <w:abstractNum w:abstractNumId="104">
    <w:nsid w:val="46263DEC"/>
    <w:multiLevelType w:val="hybridMultilevel"/>
    <w:lvl w:ilvl="0">
      <w:lvlJc w:val="left"/>
      <w:lvlText w:val="%1"/>
      <w:numFmt w:val="lowerRoman"/>
      <w:start w:val="1"/>
    </w:lvl>
    <w:lvl w:ilvl="1">
      <w:lvlJc w:val="left"/>
      <w:lvlText w:val="(%2)"/>
      <w:numFmt w:val="lowerRoman"/>
      <w:start w:val="7"/>
    </w:lvl>
  </w:abstractNum>
  <w:abstractNum w:abstractNumId="105">
    <w:nsid w:val="260D8C4A"/>
    <w:multiLevelType w:val="hybridMultilevel"/>
    <w:lvl w:ilvl="0">
      <w:lvlJc w:val="left"/>
      <w:lvlText w:val="(%1)"/>
      <w:numFmt w:val="lowerRoman"/>
      <w:start w:val="1"/>
    </w:lvl>
    <w:lvl w:ilvl="1">
      <w:lvlJc w:val="left"/>
      <w:lvlText w:val="(%2)"/>
      <w:numFmt w:val="lowerRoman"/>
      <w:start w:val="8"/>
    </w:lvl>
  </w:abstractNum>
  <w:abstractNum w:abstractNumId="106">
    <w:nsid w:val="73D4D3C4"/>
    <w:multiLevelType w:val="hybridMultilevel"/>
    <w:lvl w:ilvl="0">
      <w:lvlJc w:val="left"/>
      <w:lvlText w:val="(%1)"/>
      <w:numFmt w:val="lowerRoman"/>
      <w:start w:val="9"/>
    </w:lvl>
  </w:abstractNum>
  <w:abstractNum w:abstractNumId="107">
    <w:nsid w:val="746F2E30"/>
    <w:multiLevelType w:val="hybridMultilevel"/>
    <w:lvl w:ilvl="0">
      <w:lvlJc w:val="left"/>
      <w:lvlText w:val="(%1)"/>
      <w:numFmt w:val="lowerLetter"/>
      <w:start w:val="2"/>
    </w:lvl>
  </w:abstractNum>
  <w:abstractNum w:abstractNumId="108">
    <w:nsid w:val="6FDE8AF6"/>
    <w:multiLevelType w:val="hybridMultilevel"/>
    <w:lvl w:ilvl="0">
      <w:lvlJc w:val="left"/>
      <w:lvlText w:val="(%1)"/>
      <w:numFmt w:val="lowerLetter"/>
      <w:start w:val="1"/>
    </w:lvl>
  </w:abstractNum>
  <w:abstractNum w:abstractNumId="109">
    <w:nsid w:val="3FC32E20"/>
    <w:multiLevelType w:val="hybridMultilevel"/>
    <w:lvl w:ilvl="0">
      <w:lvlJc w:val="left"/>
      <w:lvlText w:val="%1"/>
      <w:numFmt w:val="lowerLetter"/>
      <w:start w:val="1"/>
    </w:lvl>
    <w:lvl w:ilvl="1">
      <w:lvlJc w:val="left"/>
      <w:lvlText w:val="(%2)"/>
      <w:numFmt w:val="lowerLetter"/>
      <w:start w:val="1"/>
    </w:lvl>
  </w:abstractNum>
  <w:abstractNum w:abstractNumId="110">
    <w:nsid w:val="49C0E823"/>
    <w:multiLevelType w:val="hybridMultilevel"/>
    <w:lvl w:ilvl="0">
      <w:lvlJc w:val="left"/>
      <w:lvlText w:val="(%1)"/>
      <w:numFmt w:val="lowerLetter"/>
      <w:start w:val="5"/>
    </w:lvl>
    <w:lvl w:ilvl="1">
      <w:lvlJc w:val="left"/>
      <w:lvlText w:val="(%2)"/>
      <w:numFmt w:val="lowerLetter"/>
      <w:start w:val="2"/>
    </w:lvl>
  </w:abstractNum>
  <w:abstractNum w:abstractNumId="111">
    <w:nsid w:val="14D53685"/>
    <w:multiLevelType w:val="hybridMultilevel"/>
    <w:lvl w:ilvl="0">
      <w:lvlJc w:val="left"/>
      <w:lvlText w:val="(%1)"/>
      <w:numFmt w:val="lowerLetter"/>
      <w:start w:val="1"/>
    </w:lvl>
  </w:abstractNum>
  <w:abstractNum w:abstractNumId="112">
    <w:nsid w:val="230F856C"/>
    <w:multiLevelType w:val="hybridMultilevel"/>
    <w:lvl w:ilvl="0">
      <w:lvlJc w:val="left"/>
      <w:lvlText w:val="(%1)"/>
      <w:numFmt w:val="lowerLetter"/>
      <w:start w:val="1"/>
    </w:lvl>
  </w:abstractNum>
  <w:abstractNum w:abstractNumId="113">
    <w:nsid w:val="6EAA85FB"/>
    <w:multiLevelType w:val="hybridMultilevel"/>
    <w:lvl w:ilvl="0">
      <w:lvlJc w:val="left"/>
      <w:lvlText w:val="(%1)"/>
      <w:numFmt w:val="lowerLetter"/>
      <w:start w:val="1"/>
    </w:lvl>
  </w:abstractNum>
  <w:abstractNum w:abstractNumId="114">
    <w:nsid w:val="3F06ECB2"/>
    <w:multiLevelType w:val="hybridMultilevel"/>
    <w:lvl w:ilvl="0">
      <w:lvlJc w:val="left"/>
      <w:lvlText w:val="(%1)"/>
      <w:numFmt w:val="lowerLetter"/>
      <w:start w:val="3"/>
    </w:lvl>
  </w:abstractNum>
  <w:abstractNum w:abstractNumId="115">
    <w:nsid w:val="3B594807"/>
    <w:multiLevelType w:val="hybridMultilevel"/>
    <w:lvl w:ilvl="0">
      <w:lvlJc w:val="left"/>
      <w:lvlText w:val="%1"/>
      <w:numFmt w:val="lowerRoman"/>
      <w:start w:val="1"/>
    </w:lvl>
    <w:lvl w:ilvl="1">
      <w:lvlJc w:val="left"/>
      <w:lvlText w:val="(%2)"/>
      <w:numFmt w:val="lowerLetter"/>
      <w:start w:val="1"/>
    </w:lvl>
  </w:abstractNum>
  <w:abstractNum w:abstractNumId="116">
    <w:nsid w:val="6CAA2304"/>
    <w:multiLevelType w:val="hybridMultilevel"/>
    <w:lvl w:ilvl="0">
      <w:lvlJc w:val="left"/>
      <w:lvlText w:val="(%1)"/>
      <w:numFmt w:val="lowerRoman"/>
      <w:start w:val="14"/>
    </w:lvl>
    <w:lvl w:ilvl="1">
      <w:lvlJc w:val="left"/>
      <w:lvlText w:val="(%2)"/>
      <w:numFmt w:val="lowerLetter"/>
      <w:start w:val="3"/>
    </w:lvl>
  </w:abstractNum>
  <w:abstractNum w:abstractNumId="117">
    <w:nsid w:val="3F7C2FF4"/>
    <w:multiLevelType w:val="hybridMultilevel"/>
    <w:lvl w:ilvl="0">
      <w:lvlJc w:val="left"/>
      <w:lvlText w:val="(%1)"/>
      <w:numFmt w:val="lowerLetter"/>
      <w:start w:val="6"/>
    </w:lvl>
  </w:abstractNum>
  <w:abstractNum w:abstractNumId="118">
    <w:nsid w:val="25413BEC"/>
    <w:multiLevelType w:val="hybridMultilevel"/>
    <w:lvl w:ilvl="0">
      <w:lvlJc w:val="left"/>
      <w:lvlText w:val="(%1)"/>
      <w:numFmt w:val="lowerLetter"/>
      <w:start w:val="14"/>
    </w:lvl>
  </w:abstractNum>
  <w:abstractNum w:abstractNumId="119">
    <w:nsid w:val="17180B0B"/>
    <w:multiLevelType w:val="hybridMultilevel"/>
    <w:lvl w:ilvl="0">
      <w:lvlJc w:val="left"/>
      <w:lvlText w:val="(%1)"/>
      <w:numFmt w:val="lowerRoman"/>
      <w:start w:val="2"/>
    </w:lvl>
  </w:abstractNum>
  <w:abstractNum w:abstractNumId="120">
    <w:nsid w:val="579328B9"/>
    <w:multiLevelType w:val="hybridMultilevel"/>
    <w:lvl w:ilvl="0">
      <w:lvlJc w:val="left"/>
      <w:lvlText w:val="(%1)"/>
      <w:numFmt w:val="lowerLetter"/>
      <w:start w:val="1"/>
    </w:lvl>
  </w:abstractNum>
  <w:abstractNum w:abstractNumId="121">
    <w:nsid w:val="5D205E20"/>
    <w:multiLevelType w:val="hybridMultilevel"/>
    <w:lvl w:ilvl="0">
      <w:lvlJc w:val="left"/>
      <w:lvlText w:val="(%1)"/>
      <w:numFmt w:val="lowerLetter"/>
      <w:start w:val="5"/>
    </w:lvl>
  </w:abstractNum>
  <w:abstractNum w:abstractNumId="122">
    <w:nsid w:val="11CCA8BA"/>
    <w:multiLevelType w:val="hybridMultilevel"/>
    <w:lvl w:ilvl="0">
      <w:lvlJc w:val="left"/>
      <w:lvlText w:val="(%1)"/>
      <w:numFmt w:val="lowerLetter"/>
      <w:start w:val="3"/>
    </w:lvl>
  </w:abstractNum>
  <w:abstractNum w:abstractNumId="123">
    <w:nsid w:val="4D32AB86"/>
    <w:multiLevelType w:val="hybridMultilevel"/>
    <w:lvl w:ilvl="0">
      <w:lvlJc w:val="left"/>
      <w:lvlText w:val="(%1)"/>
      <w:numFmt w:val="lowerLetter"/>
      <w:start w:val="1"/>
    </w:lvl>
  </w:abstractNum>
  <w:abstractNum w:abstractNumId="124">
    <w:nsid w:val="3F07ACC3"/>
    <w:multiLevelType w:val="hybridMultilevel"/>
    <w:lvl w:ilvl="0">
      <w:lvlJc w:val="left"/>
      <w:lvlText w:val="(%1)"/>
      <w:numFmt w:val="lowerLetter"/>
      <w:start w:val="2"/>
    </w:lvl>
  </w:abstractNum>
  <w:abstractNum w:abstractNumId="125">
    <w:nsid w:val="6B47F63E"/>
    <w:multiLevelType w:val="hybridMultilevel"/>
    <w:lvl w:ilvl="0">
      <w:lvlJc w:val="left"/>
      <w:lvlText w:val="(%1)"/>
      <w:numFmt w:val="lowerLetter"/>
      <w:start w:val="1"/>
    </w:lvl>
  </w:abstractNum>
  <w:abstractNum w:abstractNumId="126">
    <w:nsid w:val="5CB44A05"/>
    <w:multiLevelType w:val="hybridMultilevel"/>
    <w:lvl w:ilvl="0">
      <w:lvlJc w:val="left"/>
      <w:lvlText w:val="(%1)"/>
      <w:numFmt w:val="lowerLetter"/>
      <w:start w:val="1"/>
    </w:lvl>
  </w:abstractNum>
  <w:abstractNum w:abstractNumId="127">
    <w:nsid w:val="16CF80F1"/>
    <w:multiLevelType w:val="hybridMultilevel"/>
    <w:lvl w:ilvl="0">
      <w:lvlJc w:val="left"/>
      <w:lvlText w:val="(%1)"/>
      <w:numFmt w:val="lowerLetter"/>
      <w:start w:val="1"/>
    </w:lvl>
    <w:lvl w:ilvl="1">
      <w:lvlJc w:val="left"/>
      <w:lvlText w:val="(%2)"/>
      <w:numFmt w:val="lowerRoman"/>
      <w:start w:val="1"/>
    </w:lvl>
  </w:abstractNum>
  <w:abstractNum w:abstractNumId="128">
    <w:nsid w:val="1C695DEC"/>
    <w:multiLevelType w:val="hybridMultilevel"/>
    <w:lvl w:ilvl="0">
      <w:lvlJc w:val="left"/>
      <w:lvlText w:val="(%1)"/>
      <w:numFmt w:val="lowerRoman"/>
      <w:start w:val="3"/>
    </w:lvl>
  </w:abstractNum>
  <w:abstractNum w:abstractNumId="129">
    <w:nsid w:val="3FCFAED9"/>
    <w:multiLevelType w:val="hybridMultilevel"/>
    <w:lvl w:ilvl="0">
      <w:lvlJc w:val="left"/>
      <w:lvlText w:val="(%1)"/>
      <w:numFmt w:val="lowerLetter"/>
      <w:start w:val="6"/>
    </w:lvl>
  </w:abstractNum>
  <w:abstractNum w:abstractNumId="130">
    <w:nsid w:val="F856867"/>
    <w:multiLevelType w:val="hybridMultilevel"/>
    <w:lvl w:ilvl="0">
      <w:lvlJc w:val="left"/>
      <w:lvlText w:val="%1"/>
      <w:numFmt w:val="lowerLetter"/>
      <w:start w:val="1"/>
    </w:lvl>
    <w:lvl w:ilvl="1">
      <w:lvlJc w:val="left"/>
      <w:lvlText w:val="(%2)"/>
      <w:numFmt w:val="lowerLetter"/>
      <w:start w:val="7"/>
    </w:lvl>
  </w:abstractNum>
  <w:abstractNum w:abstractNumId="131">
    <w:nsid w:val="11B1CC33"/>
    <w:multiLevelType w:val="hybridMultilevel"/>
    <w:lvl w:ilvl="0">
      <w:lvlJc w:val="left"/>
      <w:lvlText w:val="(%1)"/>
      <w:numFmt w:val="lowerLetter"/>
      <w:start w:val="9"/>
    </w:lvl>
    <w:lvl w:ilvl="1">
      <w:lvlJc w:val="left"/>
      <w:lvlText w:val="(%2)"/>
      <w:numFmt w:val="lowerLetter"/>
      <w:start w:val="8"/>
    </w:lvl>
  </w:abstractNum>
  <w:abstractNum w:abstractNumId="132">
    <w:nsid w:val="2E22FBB7"/>
    <w:multiLevelType w:val="hybridMultilevel"/>
    <w:lvl w:ilvl="0">
      <w:lvlJc w:val="left"/>
      <w:lvlText w:val="(%1)"/>
      <w:numFmt w:val="lowerLetter"/>
      <w:start w:val="3"/>
    </w:lvl>
  </w:abstractNum>
  <w:abstractNum w:abstractNumId="133">
    <w:nsid w:val="29934699"/>
    <w:multiLevelType w:val="hybridMultilevel"/>
    <w:lvl w:ilvl="0">
      <w:lvlJc w:val="left"/>
      <w:lvlText w:val="(%1)"/>
      <w:numFmt w:val="lowerLetter"/>
      <w:start w:val="1"/>
    </w:lvl>
  </w:abstractNum>
  <w:abstractNum w:abstractNumId="134">
    <w:nsid w:val="77485850"/>
    <w:multiLevelType w:val="hybridMultilevel"/>
    <w:lvl w:ilvl="0">
      <w:lvlJc w:val="left"/>
      <w:lvlText w:val="(%1)"/>
      <w:numFmt w:val="lowerLetter"/>
      <w:start w:val="1"/>
    </w:lvl>
  </w:abstractNum>
  <w:abstractNum w:abstractNumId="135">
    <w:nsid w:val="744939A3"/>
    <w:multiLevelType w:val="hybridMultilevel"/>
    <w:lvl w:ilvl="0">
      <w:lvlJc w:val="left"/>
      <w:lvlText w:val="%1"/>
      <w:numFmt w:val="lowerLetter"/>
      <w:start w:val="1"/>
    </w:lvl>
    <w:lvl w:ilvl="1">
      <w:lvlJc w:val="left"/>
      <w:lvlText w:val="(%2)"/>
      <w:numFmt w:val="lowerLetter"/>
      <w:start w:val="2"/>
    </w:lvl>
  </w:abstractNum>
  <w:abstractNum w:abstractNumId="136">
    <w:nsid w:val="4FA0D2E3"/>
    <w:multiLevelType w:val="hybridMultilevel"/>
    <w:lvl w:ilvl="0">
      <w:lvlJc w:val="left"/>
      <w:lvlText w:val="(%1)"/>
      <w:numFmt w:val="lowerLetter"/>
      <w:start w:val="14"/>
    </w:lvl>
    <w:lvl w:ilvl="1">
      <w:lvlJc w:val="left"/>
      <w:lvlText w:val="%2"/>
      <w:numFmt w:val="lowerLetter"/>
      <w:start w:val="1"/>
    </w:lvl>
  </w:abstractNum>
  <w:abstractNum w:abstractNumId="137">
    <w:nsid w:val="6B1D2C14"/>
    <w:multiLevelType w:val="hybridMultilevel"/>
    <w:lvl w:ilvl="0">
      <w:lvlJc w:val="left"/>
      <w:lvlText w:val="(%1)"/>
      <w:numFmt w:val="lowerLetter"/>
      <w:start w:val="15"/>
    </w:lvl>
  </w:abstractNum>
  <w:abstractNum w:abstractNumId="138">
    <w:nsid w:val="68B867D3"/>
    <w:multiLevelType w:val="hybridMultilevel"/>
    <w:lvl w:ilvl="0">
      <w:lvlJc w:val="left"/>
      <w:lvlText w:val="(%1)"/>
      <w:numFmt w:val="lowerLetter"/>
      <w:start w:val="1"/>
    </w:lvl>
  </w:abstractNum>
  <w:abstractNum w:abstractNumId="139">
    <w:nsid w:val="3F7F5DD9"/>
    <w:multiLevelType w:val="hybridMultilevel"/>
    <w:lvl w:ilvl="0">
      <w:lvlJc w:val="left"/>
      <w:lvlText w:val="%1"/>
      <w:numFmt w:val="lowerLetter"/>
      <w:start w:val="1"/>
    </w:lvl>
    <w:lvl w:ilvl="1">
      <w:lvlJc w:val="left"/>
      <w:lvlText w:val="(%2)"/>
      <w:numFmt w:val="lowerLetter"/>
      <w:start w:val="9"/>
    </w:lvl>
  </w:abstractNum>
  <w:abstractNum w:abstractNumId="140">
    <w:nsid w:val="2AE05A34"/>
    <w:multiLevelType w:val="hybridMultilevel"/>
    <w:lvl w:ilvl="0">
      <w:lvlJc w:val="left"/>
      <w:lvlText w:val="(%1)"/>
      <w:numFmt w:val="lowerLetter"/>
      <w:start w:val="35"/>
    </w:lvl>
    <w:lvl w:ilvl="1">
      <w:lvlJc w:val="left"/>
      <w:lvlText w:val="(%2)"/>
      <w:numFmt w:val="lowerLetter"/>
      <w:start w:val="12"/>
    </w:lvl>
  </w:abstractNum>
  <w:abstractNum w:abstractNumId="141">
    <w:nsid w:val="32794FF7"/>
    <w:multiLevelType w:val="hybridMultilevel"/>
    <w:lvl w:ilvl="0">
      <w:lvlJc w:val="left"/>
      <w:lvlText w:val="(%1)"/>
      <w:numFmt w:val="lowerLetter"/>
      <w:start w:val="1"/>
    </w:lvl>
    <w:lvl w:ilvl="1">
      <w:lvlJc w:val="left"/>
      <w:lvlText w:val="(%2)"/>
      <w:numFmt w:val="lowerLetter"/>
      <w:start w:val="9"/>
    </w:lvl>
  </w:abstractNum>
  <w:abstractNum w:abstractNumId="142">
    <w:nsid w:val="5454945E"/>
    <w:multiLevelType w:val="hybridMultilevel"/>
    <w:lvl w:ilvl="0">
      <w:lvlJc w:val="left"/>
      <w:lvlText w:val="(%1)"/>
      <w:numFmt w:val="lowerRoman"/>
      <w:start w:val="2"/>
    </w:lvl>
  </w:abstractNum>
  <w:abstractNum w:abstractNumId="143">
    <w:nsid w:val="4DEFDFA0"/>
    <w:multiLevelType w:val="hybridMultilevel"/>
    <w:lvl w:ilvl="0">
      <w:lvlJc w:val="left"/>
      <w:lvlText w:val="(%1)"/>
      <w:numFmt w:val="lowerRoman"/>
      <w:start w:val="15"/>
    </w:lvl>
  </w:abstractNum>
  <w:abstractNum w:abstractNumId="144">
    <w:nsid w:val="2123D5F2"/>
    <w:multiLevelType w:val="hybridMultilevel"/>
    <w:lvl w:ilvl="0">
      <w:lvlJc w:val="left"/>
      <w:lvlText w:val="(%1)"/>
      <w:numFmt w:val="lowerLetter"/>
      <w:start w:val="2"/>
    </w:lvl>
  </w:abstractNum>
  <w:abstractNum w:abstractNumId="145">
    <w:nsid w:val="135B8110"/>
    <w:multiLevelType w:val="hybridMultilevel"/>
    <w:lvl w:ilvl="0">
      <w:lvlJc w:val="left"/>
      <w:lvlText w:val="(%1)"/>
      <w:numFmt w:val="upperLetter"/>
      <w:start w:val="1"/>
    </w:lvl>
  </w:abstractNum>
  <w:abstractNum w:abstractNumId="146">
    <w:nsid w:val="94927A8"/>
    <w:multiLevelType w:val="hybridMultilevel"/>
    <w:lvl w:ilvl="0">
      <w:lvlJc w:val="left"/>
      <w:lvlText w:val="(%1)"/>
      <w:numFmt w:val="upperLetter"/>
      <w:start w:val="7"/>
    </w:lvl>
  </w:abstractNum>
  <w:abstractNum w:abstractNumId="147">
    <w:nsid w:val="DCDF8F6"/>
    <w:multiLevelType w:val="hybridMultilevel"/>
    <w:lvl w:ilvl="0">
      <w:lvlJc w:val="left"/>
      <w:lvlText w:val="(%1)"/>
      <w:numFmt w:val="lowerRoman"/>
      <w:start w:val="2"/>
    </w:lvl>
  </w:abstractNum>
  <w:abstractNum w:abstractNumId="148">
    <w:nsid w:val="52D7B105"/>
    <w:multiLevelType w:val="hybridMultilevel"/>
    <w:lvl w:ilvl="0">
      <w:lvlJc w:val="left"/>
      <w:lvlText w:val="(%1)"/>
      <w:numFmt w:val="lowerLetter"/>
      <w:start w:val="1"/>
    </w:lvl>
  </w:abstractNum>
  <w:abstractNum w:abstractNumId="149">
    <w:nsid w:val="2E8A6394"/>
    <w:multiLevelType w:val="hybridMultilevel"/>
    <w:lvl w:ilvl="0">
      <w:lvlJc w:val="left"/>
      <w:lvlText w:val="(%1)"/>
      <w:numFmt w:val="lowerLetter"/>
      <w:start w:val="4"/>
    </w:lvl>
  </w:abstractNum>
  <w:abstractNum w:abstractNumId="150">
    <w:nsid w:val="24E60401"/>
    <w:multiLevelType w:val="hybridMultilevel"/>
    <w:lvl w:ilvl="0">
      <w:lvlJc w:val="left"/>
      <w:lvlText w:val="(%1)"/>
      <w:numFmt w:val="lowerLetter"/>
      <w:start w:val="1"/>
    </w:lvl>
  </w:abstractNum>
  <w:abstractNum w:abstractNumId="151">
    <w:nsid w:val="2A6AD9BE"/>
    <w:multiLevelType w:val="hybridMultilevel"/>
    <w:lvl w:ilvl="0">
      <w:lvlJc w:val="left"/>
      <w:lvlText w:val="(%1)"/>
      <w:numFmt w:val="lowerLetter"/>
      <w:start w:val="3"/>
    </w:lvl>
  </w:abstractNum>
  <w:abstractNum w:abstractNumId="152">
    <w:nsid w:val="BAAC1B4"/>
    <w:multiLevelType w:val="hybridMultilevel"/>
    <w:lvl w:ilvl="0">
      <w:lvlJc w:val="left"/>
      <w:lvlText w:val="(%1)"/>
      <w:numFmt w:val="lowerLetter"/>
      <w:start w:val="1"/>
    </w:lvl>
  </w:abstractNum>
  <w:abstractNum w:abstractNumId="153">
    <w:nsid w:val="36B2ACBC"/>
    <w:multiLevelType w:val="hybridMultilevel"/>
    <w:lvl w:ilvl="0">
      <w:lvlJc w:val="left"/>
      <w:lvlText w:val="(%1)"/>
      <w:numFmt w:val="lowerLetter"/>
      <w:start w:val="5"/>
    </w:lvl>
  </w:abstractNum>
  <w:abstractNum w:abstractNumId="154">
    <w:nsid w:val="779D8544"/>
    <w:multiLevelType w:val="hybridMultilevel"/>
    <w:lvl w:ilvl="0">
      <w:lvlJc w:val="left"/>
      <w:lvlText w:val="(%1)"/>
      <w:numFmt w:val="lowerLetter"/>
      <w:start w:val="1"/>
    </w:lvl>
  </w:abstractNum>
  <w:abstractNum w:abstractNumId="155">
    <w:nsid w:val="4AB26E78"/>
    <w:multiLevelType w:val="hybridMultilevel"/>
    <w:lvl w:ilvl="0">
      <w:lvlJc w:val="left"/>
      <w:lvlText w:val="(%1)"/>
      <w:numFmt w:val="lowerLetter"/>
      <w:start w:val="1"/>
    </w:lvl>
  </w:abstractNum>
  <w:abstractNum w:abstractNumId="156">
    <w:nsid w:val="21FAA2FA"/>
    <w:multiLevelType w:val="hybridMultilevel"/>
    <w:lvl w:ilvl="0">
      <w:lvlJc w:val="left"/>
      <w:lvlText w:val="(%1)"/>
      <w:numFmt w:val="lowerLetter"/>
      <w:start w:val="1"/>
    </w:lvl>
  </w:abstractNum>
  <w:abstractNum w:abstractNumId="157">
    <w:nsid w:val="5451CF49"/>
    <w:multiLevelType w:val="hybridMultilevel"/>
    <w:lvl w:ilvl="0">
      <w:lvlJc w:val="left"/>
      <w:lvlText w:val="(%1)"/>
      <w:numFmt w:val="lowerRoman"/>
      <w:start w:val="1"/>
    </w:lvl>
  </w:abstractNum>
  <w:abstractNum w:abstractNumId="158">
    <w:nsid w:val="6181EF69"/>
    <w:multiLevelType w:val="hybridMultilevel"/>
    <w:lvl w:ilvl="0">
      <w:lvlJc w:val="left"/>
      <w:lvlText w:val="%1"/>
      <w:numFmt w:val="decimal"/>
      <w:start w:val="1"/>
    </w:lvl>
    <w:lvl w:ilvl="1">
      <w:lvlJc w:val="left"/>
      <w:lvlText w:val="(%2)"/>
      <w:numFmt w:val="lowerLetter"/>
      <w:start w:val="3"/>
    </w:lvl>
  </w:abstractNum>
  <w:abstractNum w:abstractNumId="159">
    <w:nsid w:val="3E6400E6"/>
    <w:multiLevelType w:val="hybridMultilevel"/>
    <w:lvl w:ilvl="0">
      <w:lvlJc w:val="left"/>
      <w:lvlText w:val="(%1)"/>
      <w:numFmt w:val="decimal"/>
      <w:start w:val="30"/>
    </w:lvl>
    <w:lvl w:ilvl="1">
      <w:lvlJc w:val="left"/>
      <w:lvlText w:val="%2"/>
      <w:numFmt w:val="lowerLetter"/>
      <w:start w:val="1"/>
    </w:lvl>
  </w:abstractNum>
  <w:abstractNum w:abstractNumId="160">
    <w:nsid w:val="14217E23"/>
    <w:multiLevelType w:val="hybridMultilevel"/>
    <w:lvl w:ilvl="0">
      <w:lvlJc w:val="left"/>
      <w:lvlText w:val="(%1)"/>
      <w:numFmt w:val="lowerRoman"/>
      <w:start w:val="2"/>
    </w:lvl>
  </w:abstractNum>
  <w:abstractNum w:abstractNumId="161">
    <w:nsid w:val="710757D0"/>
    <w:multiLevelType w:val="hybridMultilevel"/>
    <w:lvl w:ilvl="0">
      <w:lvlJc w:val="left"/>
      <w:lvlText w:val="(%1)"/>
      <w:numFmt w:val="lowerLetter"/>
      <w:start w:val="4"/>
    </w:lvl>
  </w:abstractNum>
  <w:abstractNum w:abstractNumId="162">
    <w:nsid w:val="5015CD1A"/>
    <w:multiLevelType w:val="hybridMultilevel"/>
    <w:lvl w:ilvl="0">
      <w:lvlJc w:val="left"/>
      <w:lvlText w:val="(%1)"/>
      <w:numFmt w:val="lowerRoman"/>
      <w:start w:val="1"/>
    </w:lvl>
  </w:abstractNum>
  <w:abstractNum w:abstractNumId="163">
    <w:nsid w:val="424479DA"/>
    <w:multiLevelType w:val="hybridMultilevel"/>
    <w:lvl w:ilvl="0">
      <w:lvlJc w:val="left"/>
      <w:lvlText w:val="%1"/>
      <w:numFmt w:val="upperLetter"/>
      <w:start w:val="1"/>
    </w:lvl>
    <w:lvl w:ilvl="1">
      <w:lvlJc w:val="left"/>
      <w:lvlText w:val="(%2)"/>
      <w:numFmt w:val="lowerLetter"/>
      <w:start w:val="35"/>
    </w:lvl>
  </w:abstractNum>
  <w:abstractNum w:abstractNumId="164">
    <w:nsid w:val="1A9A9E69"/>
    <w:multiLevelType w:val="hybridMultilevel"/>
    <w:lvl w:ilvl="0">
      <w:lvlJc w:val="left"/>
      <w:lvlText w:val="(%1)"/>
      <w:numFmt w:val="upperLetter"/>
      <w:start w:val="2"/>
    </w:lvl>
    <w:lvl w:ilvl="1">
      <w:lvlJc w:val="left"/>
      <w:lvlText w:val="(%2)"/>
      <w:numFmt w:val="lowerLetter"/>
      <w:start w:val="10"/>
    </w:lvl>
  </w:abstractNum>
  <w:abstractNum w:abstractNumId="165">
    <w:nsid w:val="475E256A"/>
    <w:multiLevelType w:val="hybridMultilevel"/>
    <w:lvl w:ilvl="0">
      <w:lvlJc w:val="left"/>
      <w:lvlText w:val="(%1)"/>
      <w:numFmt w:val="lowerLetter"/>
      <w:start w:val="1"/>
    </w:lvl>
  </w:abstractNum>
  <w:abstractNum w:abstractNumId="166">
    <w:nsid w:val="368DB37E"/>
    <w:multiLevelType w:val="hybridMultilevel"/>
    <w:lvl w:ilvl="0">
      <w:lvlJc w:val="left"/>
      <w:lvlText w:val="(%1)"/>
      <w:numFmt w:val="lowerLetter"/>
      <w:start w:val="1"/>
    </w:lvl>
  </w:abstractNum>
  <w:abstractNum w:abstractNumId="167">
    <w:nsid w:val="6A3B714C"/>
    <w:multiLevelType w:val="hybridMultilevel"/>
    <w:lvl w:ilvl="0">
      <w:lvlJc w:val="left"/>
      <w:lvlText w:val="(%1)"/>
      <w:numFmt w:val="lowerLetter"/>
      <w:start w:val="1"/>
    </w:lvl>
  </w:abstractNum>
  <w:abstractNum w:abstractNumId="168">
    <w:nsid w:val="327B517E"/>
    <w:multiLevelType w:val="hybridMultilevel"/>
    <w:lvl w:ilvl="0">
      <w:lvlJc w:val="left"/>
      <w:lvlText w:val="(%1)"/>
      <w:numFmt w:val="lowerLetter"/>
      <w:start w:val="1"/>
    </w:lvl>
    <w:lvl w:ilvl="1">
      <w:lvlJc w:val="left"/>
      <w:lvlText w:val="(%2)"/>
      <w:numFmt w:val="lowerRoman"/>
      <w:start w:val="1"/>
    </w:lvl>
  </w:abstractNum>
  <w:abstractNum w:abstractNumId="169">
    <w:nsid w:val="1F461B51"/>
    <w:multiLevelType w:val="hybridMultilevel"/>
    <w:lvl w:ilvl="0">
      <w:lvlJc w:val="left"/>
      <w:lvlText w:val="(%1)"/>
      <w:numFmt w:val="lowerLetter"/>
      <w:start w:val="1"/>
    </w:lvl>
  </w:abstractNum>
  <w:abstractNum w:abstractNumId="170">
    <w:nsid w:val="29BACF25"/>
    <w:multiLevelType w:val="hybridMultilevel"/>
    <w:lvl w:ilvl="0">
      <w:lvlJc w:val="left"/>
      <w:lvlText w:val="(%1)"/>
      <w:numFmt w:val="lowerLetter"/>
      <w:start w:val="1"/>
    </w:lvl>
    <w:lvl w:ilvl="1">
      <w:lvlJc w:val="left"/>
      <w:lvlText w:val="(%2)"/>
      <w:numFmt w:val="lowerRoman"/>
      <w:start w:val="1"/>
    </w:lvl>
  </w:abstractNum>
  <w:abstractNum w:abstractNumId="171">
    <w:nsid w:val="5D5BABB3"/>
    <w:multiLevelType w:val="hybridMultilevel"/>
    <w:lvl w:ilvl="0">
      <w:lvlJc w:val="left"/>
      <w:lvlText w:val="%1"/>
      <w:numFmt w:val="lowerLetter"/>
      <w:start w:val="1"/>
    </w:lvl>
    <w:lvl w:ilvl="1">
      <w:lvlJc w:val="left"/>
      <w:lvlText w:val="(%2)"/>
      <w:numFmt w:val="lowerRoman"/>
      <w:start w:val="1"/>
    </w:lvl>
  </w:abstractNum>
  <w:abstractNum w:abstractNumId="172">
    <w:nsid w:val="51BF6B48"/>
    <w:multiLevelType w:val="hybridMultilevel"/>
    <w:lvl w:ilvl="0">
      <w:lvlJc w:val="left"/>
      <w:lvlText w:val="(%1)"/>
      <w:numFmt w:val="lowerLetter"/>
      <w:start w:val="3"/>
    </w:lvl>
    <w:lvl w:ilvl="1">
      <w:lvlJc w:val="left"/>
      <w:lvlText w:val="%2"/>
      <w:numFmt w:val="lowerRoman"/>
      <w:start w:val="1"/>
    </w:lvl>
  </w:abstractNum>
  <w:abstractNum w:abstractNumId="173">
    <w:nsid w:val="7E0F6384"/>
    <w:multiLevelType w:val="hybridMultilevel"/>
    <w:lvl w:ilvl="0">
      <w:lvlJc w:val="left"/>
      <w:lvlText w:val="(%1)"/>
      <w:numFmt w:val="lowerLetter"/>
      <w:start w:val="1"/>
    </w:lvl>
  </w:abstractNum>
  <w:abstractNum w:abstractNumId="174">
    <w:nsid w:val="2B4B8B53"/>
    <w:multiLevelType w:val="hybridMultilevel"/>
    <w:lvl w:ilvl="0">
      <w:lvlJc w:val="left"/>
      <w:lvlText w:val="(%1)"/>
      <w:numFmt w:val="lowerLetter"/>
      <w:start w:val="6"/>
    </w:lvl>
  </w:abstractNum>
  <w:abstractNum w:abstractNumId="175">
    <w:nsid w:val="72E3413A"/>
    <w:multiLevelType w:val="hybridMultilevel"/>
    <w:lvl w:ilvl="0">
      <w:lvlJc w:val="left"/>
      <w:lvlText w:val="(%1)"/>
      <w:numFmt w:val="lowerLetter"/>
      <w:start w:val="25"/>
    </w:lvl>
  </w:abstractNum>
  <w:abstractNum w:abstractNumId="176">
    <w:nsid w:val="116AE494"/>
    <w:multiLevelType w:val="hybridMultilevel"/>
    <w:lvl w:ilvl="0">
      <w:lvlJc w:val="left"/>
      <w:lvlText w:val="(%1)"/>
      <w:numFmt w:val="lowerLetter"/>
      <w:start w:val="1"/>
    </w:lvl>
    <w:lvl w:ilvl="1">
      <w:lvlJc w:val="left"/>
      <w:lvlText w:val="(%2)"/>
      <w:numFmt w:val="lowerRoman"/>
      <w:start w:val="1"/>
    </w:lvl>
  </w:abstractNum>
  <w:abstractNum w:abstractNumId="177">
    <w:nsid w:val="3494B2FB"/>
    <w:multiLevelType w:val="hybridMultilevel"/>
    <w:lvl w:ilvl="0">
      <w:lvlJc w:val="left"/>
      <w:lvlText w:val="(%1)"/>
      <w:numFmt w:val="lowerLetter"/>
      <w:start w:val="2"/>
    </w:lvl>
  </w:abstractNum>
  <w:abstractNum w:abstractNumId="178">
    <w:nsid w:val="B13A31"/>
    <w:multiLevelType w:val="hybridMultilevel"/>
    <w:lvl w:ilvl="0">
      <w:lvlJc w:val="left"/>
      <w:lvlText w:val="(%1)"/>
      <w:numFmt w:val="lowerLetter"/>
      <w:start w:val="3"/>
    </w:lvl>
  </w:abstractNum>
  <w:abstractNum w:abstractNumId="179">
    <w:nsid w:val="64429599"/>
    <w:multiLevelType w:val="hybridMultilevel"/>
    <w:lvl w:ilvl="0">
      <w:lvlJc w:val="left"/>
      <w:lvlText w:val="(%1)"/>
      <w:numFmt w:val="lowerLetter"/>
      <w:start w:val="1"/>
    </w:lvl>
  </w:abstractNum>
  <w:abstractNum w:abstractNumId="180">
    <w:nsid w:val="631F1690"/>
    <w:multiLevelType w:val="hybridMultilevel"/>
    <w:lvl w:ilvl="0">
      <w:lvlJc w:val="left"/>
      <w:lvlText w:val="%1"/>
      <w:numFmt w:val="lowerLetter"/>
      <w:start w:val="1"/>
    </w:lvl>
    <w:lvl w:ilvl="1">
      <w:lvlJc w:val="left"/>
      <w:lvlText w:val="(%2)"/>
      <w:numFmt w:val="lowerLetter"/>
      <w:start w:val="3"/>
    </w:lvl>
  </w:abstractNum>
  <w:abstractNum w:abstractNumId="181">
    <w:nsid w:val="25973E32"/>
    <w:multiLevelType w:val="hybridMultilevel"/>
    <w:lvl w:ilvl="0">
      <w:lvlJc w:val="left"/>
      <w:lvlText w:val="(%1)"/>
      <w:numFmt w:val="lowerLetter"/>
      <w:start w:val="2"/>
    </w:lvl>
    <w:lvl w:ilvl="1">
      <w:lvlJc w:val="left"/>
      <w:lvlText w:val="(%2)"/>
      <w:numFmt w:val="lowerLetter"/>
      <w:start w:val="4"/>
    </w:lvl>
  </w:abstractNum>
  <w:abstractNum w:abstractNumId="182">
    <w:nsid w:val="EAD6F57"/>
    <w:multiLevelType w:val="hybridMultilevel"/>
    <w:lvl w:ilvl="0">
      <w:lvlJc w:val="left"/>
      <w:lvlText w:val="(%1)"/>
      <w:numFmt w:val="lowerLetter"/>
      <w:start w:val="1"/>
    </w:lvl>
  </w:abstractNum>
  <w:abstractNum w:abstractNumId="183">
    <w:nsid w:val="6EC9D844"/>
    <w:multiLevelType w:val="hybridMultilevel"/>
    <w:lvl w:ilvl="0">
      <w:lvlJc w:val="left"/>
      <w:lvlText w:val="(%1)"/>
      <w:numFmt w:val="lowerRoman"/>
      <w:start w:val="1"/>
    </w:lvl>
  </w:abstractNum>
  <w:abstractNum w:abstractNumId="184">
    <w:nsid w:val="5C49EAEE"/>
    <w:multiLevelType w:val="hybridMultilevel"/>
    <w:lvl w:ilvl="0">
      <w:lvlJc w:val="left"/>
      <w:lvlText w:val="(%1)"/>
      <w:numFmt w:val="upperLetter"/>
      <w:start w:val="1"/>
    </w:lvl>
  </w:abstractNum>
  <w:abstractNum w:abstractNumId="185">
    <w:nsid w:val="64AF49B"/>
    <w:multiLevelType w:val="hybridMultilevel"/>
    <w:lvl w:ilvl="0">
      <w:lvlJc w:val="left"/>
      <w:lvlText w:val="(%1)"/>
      <w:numFmt w:val="lowerRoman"/>
      <w:start w:val="2"/>
    </w:lvl>
    <w:lvl w:ilvl="1">
      <w:lvlJc w:val="left"/>
      <w:lvlText w:val="(%2)"/>
      <w:numFmt w:val="upperLetter"/>
      <w:start w:val="1"/>
    </w:lvl>
  </w:abstractNum>
  <w:abstractNum w:abstractNumId="186">
    <w:nsid w:val="397C46BC"/>
    <w:multiLevelType w:val="hybridMultilevel"/>
    <w:lvl w:ilvl="0">
      <w:lvlJc w:val="left"/>
      <w:lvlText w:val="%1"/>
      <w:numFmt w:val="lowerLetter"/>
      <w:start w:val="1"/>
    </w:lvl>
    <w:lvl w:ilvl="1">
      <w:lvlJc w:val="left"/>
      <w:lvlText w:val="(%2)"/>
      <w:numFmt w:val="lowerRoman"/>
      <w:start w:val="4"/>
    </w:lvl>
  </w:abstractNum>
  <w:abstractNum w:abstractNumId="187">
    <w:nsid w:val="7E448DE9"/>
    <w:multiLevelType w:val="hybridMultilevel"/>
    <w:lvl w:ilvl="0">
      <w:lvlJc w:val="left"/>
      <w:lvlText w:val="(%1)"/>
      <w:numFmt w:val="lowerLetter"/>
      <w:start w:val="3"/>
    </w:lvl>
    <w:lvl w:ilvl="1">
      <w:lvlJc w:val="left"/>
      <w:lvlText w:val="%2"/>
      <w:numFmt w:val="lowerRoman"/>
      <w:start w:val="1"/>
    </w:lvl>
  </w:abstractNum>
  <w:abstractNum w:abstractNumId="188">
    <w:nsid w:val="5A9CC3E5"/>
    <w:multiLevelType w:val="hybridMultilevel"/>
    <w:lvl w:ilvl="0">
      <w:lvlJc w:val="left"/>
      <w:lvlText w:val="(%1)"/>
      <w:numFmt w:val="lowerLetter"/>
      <w:start w:val="4"/>
    </w:lvl>
  </w:abstractNum>
  <w:abstractNum w:abstractNumId="189">
    <w:nsid w:val="1AFE3625"/>
    <w:multiLevelType w:val="hybridMultilevel"/>
    <w:lvl w:ilvl="0">
      <w:lvlJc w:val="left"/>
      <w:lvlText w:val="(%1)"/>
      <w:numFmt w:val="lowerLetter"/>
      <w:start w:val="5"/>
    </w:lvl>
  </w:abstractNum>
  <w:abstractNum w:abstractNumId="190">
    <w:nsid w:val="3CA88ECF"/>
    <w:multiLevelType w:val="hybridMultilevel"/>
    <w:lvl w:ilvl="0">
      <w:lvlJc w:val="left"/>
      <w:lvlText w:val="(%1)"/>
      <w:numFmt w:val="lowerLetter"/>
      <w:start w:val="1"/>
    </w:lvl>
  </w:abstractNum>
  <w:abstractNum w:abstractNumId="191">
    <w:nsid w:val="6EBE4208"/>
    <w:multiLevelType w:val="hybridMultilevel"/>
    <w:lvl w:ilvl="0">
      <w:lvlJc w:val="left"/>
      <w:lvlText w:val="(%1)"/>
      <w:numFmt w:val="lowerLetter"/>
      <w:start w:val="5"/>
    </w:lvl>
  </w:abstractNum>
  <w:abstractNum w:abstractNumId="192">
    <w:nsid w:val="C058DF5"/>
    <w:multiLevelType w:val="hybridMultilevel"/>
    <w:lvl w:ilvl="0">
      <w:lvlJc w:val="left"/>
      <w:lvlText w:val="(%1)"/>
      <w:numFmt w:val="lowerLetter"/>
      <w:start w:val="1"/>
    </w:lvl>
  </w:abstractNum>
  <w:abstractNum w:abstractNumId="193">
    <w:nsid w:val="CBE5BE9"/>
    <w:multiLevelType w:val="hybridMultilevel"/>
    <w:lvl w:ilvl="0">
      <w:lvlJc w:val="left"/>
      <w:lvlText w:val="(%1)"/>
      <w:numFmt w:val="lowerRoman"/>
      <w:start w:val="3"/>
    </w:lvl>
  </w:abstractNum>
  <w:abstractNum w:abstractNumId="194">
    <w:nsid w:val="3102BBE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jpeg"/><Relationship Id="rId163" Type="http://schemas.openxmlformats.org/officeDocument/2006/relationships/image" Target="media/image155.png"/><Relationship Id="rId22" Type="http://schemas.openxmlformats.org/officeDocument/2006/relationships/hyperlink" Target="http://www.sec.gov/Archives/edgar/data/918541/000119312518105623/d535081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2019-12-28T22:41:36Z</dcterms:created>
  <dcterms:modified xsi:type="dcterms:W3CDTF">2019-12-28T22:41:36Z</dcterms:modified>
</cp:coreProperties>
</file>