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688340</wp:posOffset>
            </wp:positionH>
            <wp:positionV relativeFrom="page">
              <wp:posOffset>791845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817880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67945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43815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74" w:lineRule="exact"/>
        <w:rPr>
          <w:sz w:val="24"/>
          <w:szCs w:val="24"/>
          <w:color w:val="auto"/>
        </w:rPr>
      </w:pPr>
    </w:p>
    <w:p>
      <w:pPr>
        <w:ind w:left="1380" w:hanging="598"/>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40"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b w:val="1"/>
          <w:bCs w:val="1"/>
          <w:color w:val="auto"/>
        </w:rPr>
        <w:t>December 31, 2024</w:t>
      </w:r>
    </w:p>
    <w:p>
      <w:pPr>
        <w:spacing w:after="0" w:line="200" w:lineRule="exact"/>
        <w:rPr>
          <w:sz w:val="24"/>
          <w:szCs w:val="24"/>
          <w:color w:val="auto"/>
        </w:rPr>
      </w:pPr>
    </w:p>
    <w:p>
      <w:pPr>
        <w:spacing w:after="0" w:line="232" w:lineRule="exact"/>
        <w:rPr>
          <w:sz w:val="24"/>
          <w:szCs w:val="24"/>
          <w:color w:val="auto"/>
        </w:rPr>
      </w:pPr>
    </w:p>
    <w:p>
      <w:pPr>
        <w:ind w:left="1380" w:hanging="598"/>
        <w:spacing w:after="0"/>
        <w:tabs>
          <w:tab w:leader="none" w:pos="1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50"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3620135</wp:posOffset>
            </wp:positionH>
            <wp:positionV relativeFrom="paragraph">
              <wp:posOffset>-7620</wp:posOffset>
            </wp:positionV>
            <wp:extent cx="1288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139700</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208280</wp:posOffset>
            </wp:positionV>
            <wp:extent cx="73723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72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99060</wp:posOffset>
            </wp:positionV>
            <wp:extent cx="2631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70"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62-1096725</w:t>
            </w:r>
          </w:p>
        </w:tc>
        <w:tc>
          <w:tcPr>
            <w:tcW w:w="0" w:type="dxa"/>
            <w:vAlign w:val="bottom"/>
          </w:tcPr>
          <w:p>
            <w:pPr>
              <w:spacing w:after="0"/>
              <w:rPr>
                <w:sz w:val="1"/>
                <w:szCs w:val="1"/>
                <w:color w:val="auto"/>
              </w:rPr>
            </w:pPr>
          </w:p>
        </w:tc>
      </w:tr>
      <w:tr>
        <w:trPr>
          <w:trHeight w:val="220"/>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100" w:type="dxa"/>
            <w:vAlign w:val="bottom"/>
          </w:tcPr>
          <w:p>
            <w:pPr>
              <w:jc w:val="center"/>
              <w:ind w:left="91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3"/>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120</w:t>
            </w:r>
          </w:p>
        </w:tc>
        <w:tc>
          <w:tcPr>
            <w:tcW w:w="3100" w:type="dxa"/>
            <w:vAlign w:val="bottom"/>
            <w:vMerge w:val="restart"/>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28277</w:t>
            </w:r>
          </w:p>
        </w:tc>
        <w:tc>
          <w:tcPr>
            <w:tcW w:w="0" w:type="dxa"/>
            <w:vAlign w:val="bottom"/>
          </w:tcPr>
          <w:p>
            <w:pPr>
              <w:spacing w:after="0"/>
              <w:rPr>
                <w:sz w:val="1"/>
                <w:szCs w:val="1"/>
                <w:color w:val="auto"/>
              </w:rPr>
            </w:pPr>
          </w:p>
        </w:tc>
      </w:tr>
      <w:tr>
        <w:trPr>
          <w:trHeight w:val="234"/>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3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00" w:type="dxa"/>
            <w:vAlign w:val="bottom"/>
          </w:tcPr>
          <w:p>
            <w:pPr>
              <w:jc w:val="center"/>
              <w:ind w:left="93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(980) 264-4300</w:t>
      </w:r>
    </w:p>
    <w:p>
      <w:pPr>
        <w:spacing w:after="0" w:line="1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40" w:right="479" w:bottom="1440" w:gutter="0" w:footer="0" w:header="0"/>
        </w:sectPr>
      </w:pPr>
    </w:p>
    <w:p>
      <w:pPr>
        <w:spacing w:after="0" w:line="5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44" w:lineRule="exact"/>
        <w:rPr>
          <w:sz w:val="24"/>
          <w:szCs w:val="24"/>
          <w:color w:val="auto"/>
        </w:rPr>
      </w:pPr>
    </w:p>
    <w:p>
      <w:pPr>
        <w:sectPr>
          <w:pgSz w:w="11900" w:h="16838" w:orient="portrait"/>
          <w:cols w:equalWidth="0" w:num="3">
            <w:col w:w="4440" w:space="720"/>
            <w:col w:w="1320" w:space="720"/>
            <w:col w:w="3900"/>
          </w:cols>
          <w:pgMar w:left="320" w:top="1440" w:right="4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36" w:lineRule="exact"/>
        <w:rPr>
          <w:sz w:val="24"/>
          <w:szCs w:val="24"/>
          <w:color w:val="auto"/>
        </w:rPr>
      </w:pPr>
    </w:p>
    <w:p>
      <w:pPr>
        <w:sectPr>
          <w:pgSz w:w="11900" w:h="16838" w:orient="portrait"/>
          <w:cols w:equalWidth="0" w:num="3">
            <w:col w:w="4640" w:space="720"/>
            <w:col w:w="1160" w:space="720"/>
            <w:col w:w="3860"/>
          </w:cols>
          <w:pgMar w:left="320" w:top="1440"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ind w:right="1500"/>
        <w:spacing w:after="0" w:line="311"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780" w:type="dxa"/>
        <w:tblCellMar>
          <w:top w:w="0" w:type="dxa"/>
          <w:left w:w="0" w:type="dxa"/>
          <w:bottom w:w="0" w:type="dxa"/>
          <w:right w:w="0" w:type="dxa"/>
        </w:tblCellMar>
      </w:tblP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was approximately $86.8 million as of June 28, 2024, the last business day of the registrant’s most recently completed second fiscal quarter, computed using the closing price of the registrant’s common stock as quoted on the Nasdaq Stock Market LLC on that date of $3.00.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14, 2025, there were 49,886,862 shares of the registrant’s common stock, par value $0.01 per share,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Portions of the Proxy Statement with respect to the 2025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60" w:type="dxa"/>
            <w:vAlign w:val="bottom"/>
            <w:gridSpan w:val="9"/>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60" w:type="dxa"/>
            <w:vAlign w:val="bottom"/>
            <w:gridSpan w:val="9"/>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5"/>
        </w:trPr>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00" w:type="dxa"/>
            <w:vAlign w:val="bottom"/>
            <w:gridSpan w:val="2"/>
          </w:tcPr>
          <w:p>
            <w:pPr>
              <w:spacing w:after="0"/>
              <w:rPr>
                <w:sz w:val="15"/>
                <w:szCs w:val="15"/>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84"/>
              </w:rPr>
              <w:t>PART I</w:t>
            </w:r>
          </w:p>
        </w:tc>
        <w:tc>
          <w:tcPr>
            <w:tcW w:w="1000" w:type="dxa"/>
            <w:vAlign w:val="bottom"/>
            <w:gridSpan w:val="5"/>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1"/>
              </w:rPr>
              <w:t>Item 1A.</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2"/>
              </w:rPr>
              <w:t>Item 1B.</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209"/>
        </w:trPr>
        <w:tc>
          <w:tcPr>
            <w:tcW w:w="520" w:type="dxa"/>
            <w:vAlign w:val="bottom"/>
          </w:tcPr>
          <w:p>
            <w:pPr>
              <w:spacing w:after="0"/>
              <w:rPr>
                <w:sz w:val="18"/>
                <w:szCs w:val="18"/>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2"/>
              </w:rPr>
              <w:t>Item 1C.</w:t>
            </w:r>
          </w:p>
        </w:tc>
        <w:tc>
          <w:tcPr>
            <w:tcW w:w="440" w:type="dxa"/>
            <w:vAlign w:val="bottom"/>
          </w:tcPr>
          <w:p>
            <w:pPr>
              <w:spacing w:after="0"/>
              <w:rPr>
                <w:sz w:val="18"/>
                <w:szCs w:val="18"/>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40" w:type="dxa"/>
            <w:vAlign w:val="bottom"/>
            <w:gridSpan w:val="1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10"/>
        </w:trPr>
        <w:tc>
          <w:tcPr>
            <w:tcW w:w="5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0" w:type="dxa"/>
            <w:vAlign w:val="bottom"/>
            <w:tcBorders>
              <w:top w:val="single" w:sz="8" w:color="0000FF"/>
            </w:tcBorders>
            <w:gridSpan w:val="2"/>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80" w:type="dxa"/>
            <w:vAlign w:val="bottom"/>
            <w:gridSpan w:val="1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tcPr>
          <w:p>
            <w:pPr>
              <w:spacing w:after="0"/>
              <w:rPr>
                <w:sz w:val="18"/>
                <w:szCs w:val="18"/>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40" w:type="dxa"/>
            <w:vAlign w:val="bottom"/>
            <w:gridSpan w:val="16"/>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Part II</w:t>
            </w:r>
          </w:p>
        </w:tc>
        <w:tc>
          <w:tcPr>
            <w:tcW w:w="100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80" w:type="dxa"/>
            <w:vAlign w:val="bottom"/>
            <w:gridSpan w:val="3"/>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r>
              <w:rPr>
                <w:rFonts w:ascii="Times New Roman" w:cs="Times New Roman" w:eastAsia="Times New Roman" w:hAnsi="Times New Roman"/>
                <w:sz w:val="18"/>
                <w:szCs w:val="18"/>
                <w:color w:val="000000"/>
              </w:rPr>
              <w:t>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1"/>
              </w:rPr>
              <w:t>Item 7A.</w:t>
            </w:r>
          </w:p>
        </w:tc>
        <w:tc>
          <w:tcPr>
            <w:tcW w:w="440" w:type="dxa"/>
            <w:vAlign w:val="bottom"/>
          </w:tcPr>
          <w:p>
            <w:pPr>
              <w:spacing w:after="0"/>
              <w:rPr>
                <w:sz w:val="18"/>
                <w:szCs w:val="18"/>
                <w:color w:val="auto"/>
              </w:rPr>
            </w:pP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7"/>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8.</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1"/>
              </w:rPr>
              <w:t>Item 9A.</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61</w:t>
            </w:r>
          </w:p>
        </w:tc>
      </w:tr>
      <w:tr>
        <w:trPr>
          <w:trHeight w:val="209"/>
        </w:trPr>
        <w:tc>
          <w:tcPr>
            <w:tcW w:w="520" w:type="dxa"/>
            <w:vAlign w:val="bottom"/>
          </w:tcPr>
          <w:p>
            <w:pPr>
              <w:spacing w:after="0"/>
              <w:rPr>
                <w:sz w:val="18"/>
                <w:szCs w:val="18"/>
                <w:color w:val="auto"/>
              </w:rPr>
            </w:pPr>
          </w:p>
        </w:tc>
        <w:tc>
          <w:tcPr>
            <w:tcW w:w="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2"/>
              </w:rPr>
              <w:t>Item 9B.</w:t>
            </w:r>
          </w:p>
        </w:tc>
        <w:tc>
          <w:tcPr>
            <w:tcW w:w="44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520" w:type="dxa"/>
            <w:vAlign w:val="bottom"/>
            <w:gridSpan w:val="14"/>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r>
      <w:tr>
        <w:trPr>
          <w:trHeight w:val="209"/>
        </w:trPr>
        <w:tc>
          <w:tcPr>
            <w:tcW w:w="52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2"/>
              </w:rPr>
              <w:t>Item 9C.</w:t>
            </w:r>
          </w:p>
        </w:tc>
        <w:tc>
          <w:tcPr>
            <w:tcW w:w="440" w:type="dxa"/>
            <w:vAlign w:val="bottom"/>
          </w:tcPr>
          <w:p>
            <w:pPr>
              <w:spacing w:after="0"/>
              <w:rPr>
                <w:sz w:val="18"/>
                <w:szCs w:val="18"/>
                <w:color w:val="auto"/>
              </w:rPr>
            </w:pPr>
          </w:p>
        </w:tc>
        <w:tc>
          <w:tcPr>
            <w:tcW w:w="4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8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r>
      <w:tr>
        <w:trPr>
          <w:trHeight w:val="210"/>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6"/>
              </w:rPr>
              <w:t>Item 10.</w:t>
            </w:r>
          </w:p>
        </w:tc>
        <w:tc>
          <w:tcPr>
            <w:tcW w:w="460" w:type="dxa"/>
            <w:vAlign w:val="bottom"/>
            <w:gridSpan w:val="2"/>
          </w:tcPr>
          <w:p>
            <w:pPr>
              <w:spacing w:after="0"/>
              <w:rPr>
                <w:sz w:val="18"/>
                <w:szCs w:val="18"/>
                <w:color w:val="auto"/>
              </w:rPr>
            </w:pPr>
          </w:p>
        </w:tc>
        <w:tc>
          <w:tcPr>
            <w:tcW w:w="4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40" w:type="dxa"/>
            <w:vAlign w:val="bottom"/>
            <w:gridSpan w:val="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210"/>
        </w:trPr>
        <w:tc>
          <w:tcPr>
            <w:tcW w:w="5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6"/>
              </w:rPr>
              <w:t>Item 12.</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62</w:t>
            </w:r>
          </w:p>
        </w:tc>
      </w:tr>
      <w:tr>
        <w:trPr>
          <w:trHeight w:val="209"/>
        </w:trPr>
        <w:tc>
          <w:tcPr>
            <w:tcW w:w="520" w:type="dxa"/>
            <w:vAlign w:val="bottom"/>
          </w:tcPr>
          <w:p>
            <w:pPr>
              <w:spacing w:after="0"/>
              <w:rPr>
                <w:sz w:val="18"/>
                <w:szCs w:val="18"/>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6"/>
              </w:rPr>
              <w:t>Item 13.</w:t>
            </w:r>
          </w:p>
        </w:tc>
        <w:tc>
          <w:tcPr>
            <w:tcW w:w="440" w:type="dxa"/>
            <w:vAlign w:val="bottom"/>
          </w:tcPr>
          <w:p>
            <w:pPr>
              <w:spacing w:after="0"/>
              <w:rPr>
                <w:sz w:val="18"/>
                <w:szCs w:val="18"/>
                <w:color w:val="auto"/>
              </w:rPr>
            </w:pP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209"/>
        </w:trPr>
        <w:tc>
          <w:tcPr>
            <w:tcW w:w="520" w:type="dxa"/>
            <w:vAlign w:val="bottom"/>
          </w:tcPr>
          <w:p>
            <w:pPr>
              <w:spacing w:after="0"/>
              <w:rPr>
                <w:sz w:val="18"/>
                <w:szCs w:val="18"/>
                <w:color w:val="auto"/>
              </w:rPr>
            </w:pPr>
          </w:p>
        </w:tc>
        <w:tc>
          <w:tcPr>
            <w:tcW w:w="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6"/>
              </w:rPr>
              <w:t>Item 14.</w:t>
            </w:r>
          </w:p>
        </w:tc>
        <w:tc>
          <w:tcPr>
            <w:tcW w:w="2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tcBorders>
              <w:top w:val="single" w:sz="8" w:color="0000FF"/>
            </w:tcBorders>
            <w:gridSpan w:val="6"/>
          </w:tcPr>
          <w:p>
            <w:pPr>
              <w:spacing w:after="0"/>
              <w:rPr>
                <w:sz w:val="18"/>
                <w:szCs w:val="18"/>
                <w:color w:val="auto"/>
              </w:rPr>
            </w:pPr>
          </w:p>
        </w:tc>
        <w:tc>
          <w:tcPr>
            <w:tcW w:w="3840" w:type="dxa"/>
            <w:vAlign w:val="bottom"/>
            <w:gridSpan w:val="5"/>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100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r>
      <w:tr>
        <w:trPr>
          <w:trHeight w:val="210"/>
        </w:trPr>
        <w:tc>
          <w:tcPr>
            <w:tcW w:w="520" w:type="dxa"/>
            <w:vAlign w:val="bottom"/>
          </w:tcPr>
          <w:p>
            <w:pPr>
              <w:spacing w:after="0"/>
              <w:rPr>
                <w:sz w:val="18"/>
                <w:szCs w:val="18"/>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6"/>
              </w:rPr>
              <w:t>Item 15.</w:t>
            </w:r>
          </w:p>
        </w:tc>
        <w:tc>
          <w:tcPr>
            <w:tcW w:w="440" w:type="dxa"/>
            <w:vAlign w:val="bottom"/>
          </w:tcPr>
          <w:p>
            <w:pPr>
              <w:spacing w:after="0"/>
              <w:rPr>
                <w:sz w:val="18"/>
                <w:szCs w:val="18"/>
                <w:color w:val="auto"/>
              </w:rPr>
            </w:pP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120" w:type="dxa"/>
            <w:vAlign w:val="bottom"/>
            <w:gridSpan w:val="10"/>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r>
      <w:tr>
        <w:trPr>
          <w:trHeight w:val="209"/>
        </w:trPr>
        <w:tc>
          <w:tcPr>
            <w:tcW w:w="520" w:type="dxa"/>
            <w:vAlign w:val="bottom"/>
          </w:tcPr>
          <w:p>
            <w:pPr>
              <w:spacing w:after="0"/>
              <w:rPr>
                <w:sz w:val="18"/>
                <w:szCs w:val="18"/>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6"/>
              </w:rPr>
              <w:t>Item 16.</w:t>
            </w:r>
          </w:p>
        </w:tc>
        <w:tc>
          <w:tcPr>
            <w:tcW w:w="440" w:type="dxa"/>
            <w:vAlign w:val="bottom"/>
          </w:tcPr>
          <w:p>
            <w:pPr>
              <w:spacing w:after="0"/>
              <w:rPr>
                <w:sz w:val="18"/>
                <w:szCs w:val="18"/>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66</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210"/>
        </w:trPr>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67</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uncertainty of government policies and actions after recent U.S. elections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this Annual Report and in any of the Company’s subsequent filings made with the Securities and Exchange Commission (the “SEC”). Any forward-looking statement speaks only as of the date of this Annual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Annual Report, the terms the “Company,” “we,” “our,” or “us” refer to NN, Inc. and its subsidiaries. As of December 31, 2024, we had 26 facilities in North America, South America, Europe, and China.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and management structure is designed to accelerate growth and further balance our portfolio by aligning our strategic assets and businesses.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are organized into the Mobile Solutions and Power Solutions groups and are based principally on the end markets they serve.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 and Products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Mobile Solutions is focused on growth in the automotive, general industrial, and medical end markets. We have developed an expertise in 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Power Solutions is focused on growth in the electrical, general industrial, automotive, and medical end markets. Within this group we combine materials science expertise with advanced engineering and production capabilities to design and manufacture a broad range of high-precision metal components, assemblies, and finished devices used in applications ranging from power control to transportation electrification. We manufacture a variety of products including electrical contacts, connectors, contact assemblies, and precision stampings for the electrical end market and high precision products for the aerospace and defense end market utilizing our extensive process technologies. Our medical business includes the production of a variety of tools and instruments for the orthopedics and medical/surgical end markets.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High-precision manufacturing capabilities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our ability to produce high-precision parts at high production volumes is among the best in the market. Our technology platform consists of high precision machining, progressive stamping, laser welding, material science, assembly, and design optimization.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volume level requested by our customers. As the need for tight-tolerance precision parts, subassemblies, and devices continues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Differentiated, system-critical products</w:t>
      </w:r>
    </w:p>
    <w:p>
      <w:pPr>
        <w:spacing w:after="0" w:line="6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tight-tolerance and high-quality nature of our precision products is specifically suited for use in the most demanding applications that require superior reliability. Our products are critical components to the operation and reliability of larger mechanical and electrical systems. Precision parts are difficult to manufacture and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ability to make products with tight-tolerance and extreme precision requirements enables our customers to satisfy the critical functionality and performance requirements of their products. We are included in customer designs and deployed 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critical systems that involve high cost of failure applications and significant regulatory certification processes, including those for the Underwriters Laboratories.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 product lifecycle focus</w:t>
      </w:r>
    </w:p>
    <w:p>
      <w:pPr>
        <w:spacing w:after="0" w:line="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the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Prototype products are developed for testing, and process validation procedures are instituted. In certain instances, we will file for regulatory production approval and include the customer’s proprietary processes, further reducing supplier changes. We will assist the customer with continuous supply chain management and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blue-chip customer base</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relationships with hundreds of customers around the world. Our customers are typically sophisticated, engineering-driven, mechanical and electrical systems manufacturers with long histories of product development and reputations for quality. We have no significant retail exposure, which limits volatility and provides enhanced sales visibility. Relationships with many of our largest customers, in terms of revenue, average more than ten years. We have significant exposure to emerging markets in Asia, South America, and Europe through these global customers as well as key local manufacturers. The diverse nature, size, and reach of our customer base provides resistance to localized market and geographic fluctuations and helps stabilize overall product demand.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global footprint</w:t>
      </w:r>
    </w:p>
    <w:p>
      <w:pPr>
        <w:spacing w:after="0" w:line="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26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1.7 million square feet of manufacturing space. North America constitutes the largest portion of our manufacturing operations with facilities in the U.S. and Mexico which are strategically located to serve major customers in those markets. Our foreign facilities are located in regional manufacturing hubs in France, Poland, China, and Brazil, and primarily serve global customers in those markets. We believe that the Chinese and South American facilities have significant growth potential as local customer bases expand and the markets for high-precision products grow in those regions.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Synergies</w:t>
      </w:r>
    </w:p>
    <w:p>
      <w:pPr>
        <w:spacing w:after="0" w:line="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continue to realize synergy effects between Mobile Solutions and Power Solutions by pairing our experienced engineering resources and wide-ranging portfolio of process technologies from each business to serve our customers’ ever evolving needs. Recent solutions developed in the electrical, electric vehicle, and general industrial markets leveraged the deep experience and expertise from each business to respond to tight, stringent requirements - all of which in a custom and innovative manner to meet each customer’s unique demand requirements. In addition, we continue to experience customer demand that utilizes multiple facilities from both businesses on a global basis due to our track record of quality and strong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products are supplied primarily to manufacturers for use in a broad range of industrial applications, including automotive; electrical; agricultural; construction; residential devices and equipment; aerospace and defense; medical; heating, ventilation, and air conditioning; and fluid power and diesel engines. Sales to each of our top ten customers are made to multiple customer locations and divisions throughout the world. In 2024, our top ten customers accounted for approximately 51% of our net sales. In 2024, 64% of our products were sold to customers in North America, 17% to customers in Asia, 10% to customers in South America, and 9% to customers in Europe.</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Principles</w:t>
      </w:r>
    </w:p>
    <w:p>
      <w:pPr>
        <w:spacing w:after="0" w:line="6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in the communities in which we operate.</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Throughout our business, we foster an ethical, safe, and supportive workplace where our employees thrive. We believe an inclusive workplace results in business growth and encourages increased innovation, retention of talent, and a more engaged workforce. Respect for human rights is fundamental to our business and our commitment to ethical business conduct, as is embodied by our Human Rights Policy, which sets forth our expectations related to workplace discrimination; workplace conditions; and freedom of association.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Headcount</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2024, we employed approximately 2,600 full and part-time employees and 300 temporary workers, which includes approximately 1,000 employees in the U.S. and 1,900 employees in other countries employed by our international subsidiaries. Of our total employment, approximately 12% are management/staff employees and 88% are production employees. Our employees in the France, Brazil, and Mexico City plants are subject to labor council relationships that vary due to the diverse countries in which we operate. We believe we have a good working relationship with our employees and the labor council that represent them.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and Employee Health and Safety</w:t>
      </w:r>
    </w:p>
    <w:p>
      <w:pPr>
        <w:spacing w:after="0" w:line="6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compensation programs are based on a strong alignment between pay and performance, and are designed to reward both financial and operational successes and support actions that drive stockholder value creation at all organizational levels. We use a combination of programs (which vary by geography and level) to attract and retain our employees, including annual performance bonuses, periodic gainsharing bonuses, and equity awards.</w:t>
      </w:r>
    </w:p>
    <w:p>
      <w:pPr>
        <w:spacing w:after="0" w:line="68"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We also provide our employees and their families access to a range of benefits, including health insurance benefits, employer-paid life and disability insurance, health savings and flexible spending accounts, 401(k) match, vacation and paid time off, wellness offerings, education assistance, and an employee assistance program.</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health and safety of our employees and anyone who conducts business on our behalf is very important to us. Our commitment to safety starts at the top levels of our organization. We believe a safe and secure workplace is fundamental to our success. We are also committed to engaging our employees to continually improve health and safety by acting upon opportunities to reduce risk and improve our safety and health performance. In addition, we offer training programs on a regular basis. We maintain comprehensive safety programs focused on identifying hazards and eliminating risks that can lead to work-place injuries.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invest resources in professional development to improve employee motivation, performance and engagement. Our annual talent management program helps identify needs at multiple levels, enabling us to provide employees with the resources they need to help achieve their career goals, build skills and lead their organizations. Further, annual goal-setting and development opportunities for employees and leaders helps our people align their professional experience with the Company’s business objectives and encourages them to take ownership of their development and career paths.</w:t>
      </w:r>
    </w:p>
    <w:p>
      <w:pPr>
        <w:spacing w:after="0" w:line="7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use regular talent management and performance evaluation processes to inform the Company’s internal development processes and to calibrate assessment of individual performance organizationally. These activities form the basis for succession planning activities, up to and including the senior leadership level.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apprenticeships, internships, and cooperative education programs in place at certain locations, which we intend to expand more broadly across the company. These programs allow us to provide a combination of education and employment options that deliver depth and context and help them build a long-term career path.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market in which Mobile Solutions operates, internal production of components by our customers can impact our business as the customers weigh the risk of outsourcing strategically critical components or producing in-house. Our primary competitors are: Anton Häring KG; A. Berger Holding GmbH &amp; Co. KG; Brovedani Group, Burgmaier Technologies GmbH &amp; Co. KG; CIE Automotive, S.A.; IMS Companies; and MacLean-Fogg Component Solutions. We believe that we generally win new business on the basis of our technical competence, proven track record of successful product development and global platform, as well as on quality, price, and service.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Power Solutions operates in competitive but very fragmented supply chains. We must compete with numerous companies in each industry market segment. Our primary competitors are: Checon Corporation; Deringer-Ney, Inc.; Electrical Contacts, Ltd.; Interplex Industries, Inc.; J&amp;J Machining, LLC; Norstan, Inc.; Owens Industries, Inc.; and Precinmac Precision Machining. We believe that competition within the electrical end market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Mobile Solutions produces products from a wide variety of metals in various forms from various sources located in North America, Europe, South America, and Asia. Basic types include hot rolled steel, cold rolled steel (both carbon and alloy), stainless steel, steel alloys, copper alloys, extruded aluminum, die cast aluminum, aluminum alloy bar, gray and ductile iron castings, hot and cold forgings, titanium alloys, plastics, and mechanical tubing. Some material is purchased directly under contracts, some is consigned by the customer, and some is purchased directly from the steel mills.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Power Solutions uses a wide variety of metals in various forms, including precious metals like gold, silver, palladium, and platinum, as well as copper, copper alloys, brass, brass alloys, and plastics. Through our diverse network of suppliers, we minimize supplier concentration risk and provide a stable supply of raw materials at competitive pricing. This group also procures metal stampings from several domestic and foreign suppliers. Power Solutions bases purchase decisions on quality, service and price. Generally, we do not enter into long term supply contracts with our suppliers or commit to maintain minimum monthly purchases of materials. However, we carefully manage raw material price volatility, particularly with respect to precious metals, through the use of consignment agreements, which allow us to buy the precious metals on the same day customer shipments are priced, thereby minimizing risk of price changes from procurement to product shipment.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Cost Pressures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of our segments, we at times have been affected by upward price pressure on the raw materials we purchase due to changes in commodity</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pricing. In general, we pass through material cost fluctuations to our customers in the form of changes in selling price. Most of the raw materials we use are purchased from various suppliers and are typically available from numerous sources, some of which are located in China and Europe. Supply chain disruptions, resulting in supply shortages and higher shipping charges, have impacted our suppliers and could continue to impact our ability to maintain supplies of products and the costs associated with obtaining raw materials and key components. We continue to monitor impacts on our supply chain in order to maintain regular and timely supply of raw materials to our business segments.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6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have several U.S. patents, patent applications and trademarks for various trade names. However, we cannot be certain that we would be able to protect and enforce our intellectual property rights against third parties, and if we cannot do so, we may face increased competition and diminished net sales.</w:t>
      </w:r>
    </w:p>
    <w:p>
      <w:pPr>
        <w:spacing w:after="0" w:line="3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Furthermore, third parties may assert infringement claims against us based on their patents or other intellectual property, and we may have to pay substantial damages and/or redesign our products if we are ultimately found to infringe. Even if such intellectual property claims against us are without merit, investigating and defending these types of lawsuits takes significant time, may be expensive and may divert management attention from other business concerns.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rely on certain data and processes, including trade secrets and know-how, and the success of our business depends, to some extent,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information remaining confidential. Each officer is subject to a non-competition and confidentiality agreement that seeks to protect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Additionally, all employees are subject to company code of ethics policies that prohibit the disclosure of information critical to the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automotive sales tend to slow in July and December, and sales to original equipment manufacturers are often stronger immediately preceding and following the launch of new products. However, as a whole, we are not materially impacted by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and Environmental Matters</w:t>
      </w:r>
    </w:p>
    <w:p>
      <w:pPr>
        <w:spacing w:after="0" w:line="6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regulatory requirements, including those intended to protect public health and the environment. In the U.S. certain of our products and operations are regulated by the Environmental Protection Agency. Similar regulations have been adopted by authorities in foreign countries where we sell our products, and by state and local authorities in the U.S. In order to conduct our operations in compliance with these laws and regulations we must obtain and maintain numerous permits, approvals and certificates from various federal, state, local, and foreign governmental authorities.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also required to comply with increasingly complex and changing laws and regulations enacted to protect business and personal data in the U.S. and other jurisdictions regarding privacy, data protection, and data security, including those related to the collection, storage, use, transmission, and protection of personal information and other customer, supplier or employee data. Such privacy and data protection laws and regulations, and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spacing w:after="0" w:line="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Based on information compiled to date, management believes that our current operations are in compliance with applicable governmental laws and regulations, the violation of which could have a material adverse effect on our business and financial condition. As of the date hereof, compliance with these laws and regulations has not had a material effect on our capital expenditures, results of operations, and competitive position. For additional information, see “Item 1A - Risk Factors.”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potential impact of climate change on our operations is unclear. Climate change could result in an increase in severe weather events, such as hurricanes, tropical storms, blizzards and ice storms, which often results in delays or other negative consequences for our manufacturing operations, which could negatively impact our financial results. We have not identified any, and we do not believe there to be in the near term, material impacts on our business, financial condition or results of operations as a result of compliance with legislation or regulatory rules regarding climate change or from the known physical effects of climate change. Increased regulation and other climate change concerns, however, could subject us to additional costs and restrictions and could negatively affect our business, operations and financial results.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2022, we released our inaugural Sustainability Report which established our global sustainability strategy. We conducted a comprehensive environmental, social and governance (“ESG”) materiality assessment to identify our most significant economic, environmental and social impacts. The material ESG topics identified during this process enable our organization to prioritize our investments and actions and provide meaningful disclosures. We continue to strengthen our focus towards providing meaningful disclosures through our sustainability reports (collectively, “ESG Reports”), which we publish on a periodic basis. Our ESG Reports identify specific actions that we have taken, and will continue to take, to address our ESG priorities. The information provided in our ESG Reports, as well as on our website, is not part of this Annual Report, and is therefore not incorporated by reference into this Annual Report or other filings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our executive officers as of February 14,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180" w:type="dxa"/>
            <w:vAlign w:val="bottom"/>
          </w:tcPr>
          <w:p>
            <w:pPr>
              <w:ind w:left="3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r>
      <w:tr>
        <w:trPr>
          <w:trHeight w:val="21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1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M. French</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2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Jami A. Statham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24"/>
                <w:szCs w:val="24"/>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bl>
    <w:p>
      <w:pPr>
        <w:spacing w:after="0" w:line="23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Harold C. Bevis has served the Company as President, Chief Executive Officer and Director since May 2023. Prior to joining the Company, Mr. Bevis served as President and Chief Executive Officer of Commercial Vehicle Group, Inc. (“CVGI”), from</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March 2020 to May 2023, and as a Director from June 2014 to May 2023. Mr. Bevis served as Chief Executive Officer of Boxlight Corporation from January 2020 to March 2020 and as a Director from March 2018 to March 2020. Previously, Mr. Bevis served as President of OmniMax International from October 2017 to February 2019 and President, Chief Executive Officer and Director of Xerium Technologies, Inc. from August 2012 to April 2017.</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Christopher H. Bohnert was appointed Senior Vice President and Chief Financial Officer in June 2024. Prior to joining the Company, Mr. Bohnert served as advisor to the CEO and CFO at CVGI from September 2022 to June 2024 and as Chief Financial Officer of CVGI from October 2020 to September 2022. Previously, Mr. Bohnert served as Chief Accounting Officer at Calumet Specialty Products Partners, L.P. from October 2017 to August 2019 and as Chief Financial Officer of its Finished Lubricants &amp; Chemicals business from August 2019 through October 2020.</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Timothy M. French has served the Company as Senior Vice President and Chief Operating Officer since August 2023. Prior to joining the Company, Mr. French was President of Synergein Solutions Limited, which provides executive and C-suite level interim management and consulting services to manufacturing companies, from September 2018 to August 2023. Previously, Mr. French served as Chief Operating Officer at ProAmpac, a leading global flexible packaging company, from 2010 to 2018.</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 Gail Nixon has served the Company as Senior Vice President and Chief Human Resources Officer since January 2018. Ms. Nixon joined the Company in 2007 and previously served as our Vice President of Human Resources as well as Corporate Human Resources Manager. Ms. Nixon is a member of the Society for Human Resource Management (“SHRM”) and has earned her Senior Professional in Human Resources and SHRM – Senior Certified Professional designations.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Jami A. Statham was appointed Senior Vice President, General Counsel and Corporate Secretary in July 2024. Prior to joining the Company, Ms. Statham served as Executive Director, Deputy General Counsel for Nexteer Automotive Corporation from July 2022 to July 2024, and as Assistant General Counsel from June 2019 to July 2022. Previously, she served as Senior Legal Counsel at Autoneum North America, Inc. from March 2017 to May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 SEC Filings</w:t>
      </w:r>
    </w:p>
    <w:p>
      <w:pPr>
        <w:spacing w:after="0" w:line="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in the “Investor Relations” section of our website (www.nninc.com), our annual reports on Form 10-K, quarterly reports on Form 10-Q, current reports on Form 8-K, and amendments to those reports filed or furnished pursuant to Section 13(a) or 15(d) of the Exchange Act, as soon as reasonably practicable after electronically filing such material with, or furnishing it to, the SEC.</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risks and uncertainties may have a material effect on our business, prospects, financial condition, results of operations, and cash flows, and should be considered in connection with the other information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 The risks and uncertainties described below are not the only risks facing our company. Risks and uncertainties not currently known to us or that we currently deem to be immaterial also may materially adversely affect our business, prospects, financial condition, results of operations, and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63"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relatively limited number of customers, and the loss of any major customer would have a material adverse effect on our business.</w:t>
      </w: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2024, sales to various U.S. and foreign divisions of our ten largest customers accounted for approximately 51% of our consolidated net sales. The loss of all or a substantial portion of sales to these customers would cause us to lose a substantial portion of our revenue and would lower our operating profit margin and cash flows from operations.</w:t>
      </w:r>
    </w:p>
    <w:p>
      <w:pPr>
        <w:spacing w:after="0" w:line="6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and unanticipated business disruptions could significantly disrupt our operations, reduce our revenues and materially affect our earnings.</w:t>
      </w: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 complex network of suppliers, owned and leased manufacturing locations, co-manufacturing locations, distribution networks, and information systems that support our ability to consistently provide our products to our customers. Factors that are hard to predict or beyond our control, such as supply chain disruptions, weather, raw material shortages, natural disasters, fires or explosions, political unrest, terrorism, generalized labor unrest, including strikes at our suppliers, customers or end-users or public health crises could damage or disrupt our operations or our customers’, suppliers’, co-manufacturers’ or distributors’ operations. These disruptions may require additional resources to restore our supply chain or distribution network. If we cannot respond to disruptions in our operations, whether by finding alternative suppliers or replacing capacity at key manufacturing or distribution locations, or if we are unable to quickly repair damage to our information, production, or supply systems, we may be late in delivering, or be unable to deliver, products to our customers and may also be unable to track orders, inventory, receivables, and payables. If that occurs, our customers’ confidence in us and long-term demand for our products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decline. Any of these events could materially and adversely affect our product sales, financial condition, and operating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and sell products to customers outside the U.S. and are subject to several risks related to doing business internationally.</w:t>
      </w:r>
    </w:p>
    <w:p>
      <w:pPr>
        <w:spacing w:after="0" w:line="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obtain a substantial portion of our raw materials from overseas suppliers, actively participate in overseas manufacturing operations, and sell to a large number of international customers. During the year ended December 31, 2024, sales to customers located outside of the U.S. accounted for 43% of our consolidated net sales. As a result of doing business internationally, we face risks associated with the following:</w:t>
      </w:r>
    </w:p>
    <w:p>
      <w:pPr>
        <w:spacing w:after="0" w:line="1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regulations, which may make our products more costly to export or import;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monetary and fiscal policies, laws and regulations, and other activities of governments, agencies and similar organizations;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recessions or marked declines specific to a particular country or region;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imposition of trade restrictions or prohibitions;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imposition of import tariffs or other duties or taxes;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and maintaining relationships with local original equipment manufacturers, distributors and dealers;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geographically diverse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respect to anti-bribery, competition, export and import, trade sanctions, data privacy, environmental, human rights and other laws;</w:t>
      </w:r>
    </w:p>
    <w:p>
      <w:pPr>
        <w:spacing w:after="0" w:line="74" w:lineRule="exact"/>
        <w:rPr>
          <w:rFonts w:ascii="Times New Roman" w:cs="Times New Roman" w:eastAsia="Times New Roman" w:hAnsi="Times New Roman"/>
          <w:sz w:val="17"/>
          <w:szCs w:val="17"/>
          <w:color w:val="auto"/>
        </w:rPr>
      </w:pPr>
    </w:p>
    <w:p>
      <w:pPr>
        <w:ind w:left="660" w:right="2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 instability, civil unrest, government controls over certain sectors and human rights concerns in countries, including but not limited to, China, in which our suppliers, manufacturing operations, and customers are located; and</w:t>
      </w:r>
    </w:p>
    <w:p>
      <w:pPr>
        <w:spacing w:after="0" w:line="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geopolitical environment, wars, conflicts, or trade barriers or blockades in the European Union and Asia, which may adversely affect business activity and economic conditions globally and could continue to contribute to instability in global financial and foreign exchange markets, as well as disrupt the free movement of goods, services, and people between countries.</w:t>
      </w:r>
    </w:p>
    <w:p>
      <w:pPr>
        <w:spacing w:after="0" w:line="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we could be adversely affected by violations of the Foreign Corrupt Practices Act (the “FCPA”) and similar worldwide anti-bribery laws, as well as export controls, which may include International Traffic in Arms Regulation and Export Administration Regulations,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prices we pay for raw materials used in our products may be impacted by tariffs. The tariffs initiated by the U.S. government in 2018 under Section 232 of the Trade Expansion Act of 1962 resulted in increased metals prices in the United States. With respect to taxes, trade policies and tariffs there is uncertainty as the political landscape changes due to the recent U.S. presidential and congressional elections. Changes in U.S. administrative policy may lead to significant increases in tariffs for imported goods among other possible changes, which could strain international trade relations and increase the risk that foreign governments implement retaliatory tariffs on goods imported from the United States. Any widespread imposition of new or increased tariffs could increase the cost of, and reduce the demand for, our products, as well as result in increased inflationary pressure, any of which could have a material adverse effect on our business, prospects, financial condition, results of operations, or cash flows. We cannot predict whether, and to what extent, there may be changes to international trade agreements or whether quotas, duties, tariffs, exchange controls or other restrictions on our products will be changed or imposed.</w:t>
      </w:r>
    </w:p>
    <w:p>
      <w:pPr>
        <w:spacing w:after="0" w:line="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an open conflict or war across any region could affect our ability to obtain raw materials. The military conflicts (including the ongoing war between Russia and Ukraine and conflict in the Middle East), and related sanctions, export controls or other actions that may be initiated by nations could adversely affect our business and our supply chain or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partners or customers in other countries. If we are unable to source our products from the countries where we wish to purchase them, either because of the occurrence or threat of wars or other conflicts, regulatory changes or for any other reason, or if the cost of doing so increases, it could have a material adverse effect on our business, financial condition and results of operations. Disruptions in the supply of raw materials and components could temporarily impair our ability to manufacture our products for our customers or require us to pay higher prices to obtain these raw materials or components from other sources, which could have a material adverse effect on our business and our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problems with our products could harm our reputation, erode our competitive advantage and could result in a product recall.</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Quality is important to us and our customers, and our products and solutions are held to high quality and performance standards. In the event our products and solutions fail to meet these standards, our reputation could be harmed, which could damage our competitive advantage, causing us to lose customers and resulting in lower revenues.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effectively manage the timing, quality and costs of new program launches could adversely affect our financial performance.</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award of new business, we obligate ourselves to deliver new products and services that are subject to our customers' timing, performance and quality standards. Additionally, we must effectively coordinate the activities of numerous suppliers in order for the program launches of our products to be successful. Given the complexity of new program launches, we may experience difficulties managing product quality, timeliness and associated costs. In addition, new program launches require a significant ramp up of costs; however, our sales related to these new programs generally are dependent upon the timing and success of our customers' introduction of new products. Our inability to effectively manage the timing, quality and costs of these new program launches could adversely affect our financial condition, operating results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challenge of accurately aligning our capacity with our demand.</w:t>
      </w:r>
    </w:p>
    <w:p>
      <w:pPr>
        <w:spacing w:after="0" w:line="6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face periods when demand fluctuates significantly higher or lower than our normal operating levels, including variability driven by supply chain inconsistency. Accurately forecasting our expected volumes and appropriately adjusting our capacity are important factors in determining our results of operations and cash flows. We manage our capacity by adjusting our manufacturing workforce, capital expenditures and purchases from suppliers. In periods of weak demand, we may face under-utilized capacity and un-recovered overhead costs, while in periods of strong demand we may experience unplanned costs and could fail to meet customer demand. We cannot guarantee that we will be able to adequately adjust our manufacturing capacity in response to significant changes in customer demand, which could harm our business. If we do not accurately align our manufacturing capabilities with demand it could have a material adverse effect on our results of operations, financial condition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markets are highly competitive, and many of our competitors have significant advantages that could adversely affect our business.</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face substantial competition in the sale of components, system subassemblies,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and the inability to attract and retain qualified employees could have a material adverse impact on our operations.</w:t>
      </w:r>
    </w:p>
    <w:p>
      <w:pPr>
        <w:spacing w:after="0" w:line="6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employees. If we are unable to attract and retain qualified individuals or our costs to do so increase significantly, our operations would be materially adversely affected.</w:t>
      </w:r>
    </w:p>
    <w:p>
      <w:pPr>
        <w:spacing w:after="0" w:line="50"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security breach or disruption to our information technology systems could materially adversely affect our business, financial condition, results of operations, and reputation.</w:t>
      </w:r>
    </w:p>
    <w:p>
      <w:pPr>
        <w:ind w:right="40"/>
        <w:spacing w:after="0" w:line="252" w:lineRule="auto"/>
        <w:rPr>
          <w:sz w:val="20"/>
          <w:szCs w:val="20"/>
          <w:color w:val="auto"/>
        </w:rPr>
      </w:pPr>
      <w:r>
        <w:rPr>
          <w:rFonts w:ascii="Times New Roman" w:cs="Times New Roman" w:eastAsia="Times New Roman" w:hAnsi="Times New Roman"/>
          <w:sz w:val="18"/>
          <w:szCs w:val="18"/>
          <w:color w:val="auto"/>
        </w:rPr>
        <w:t>We rely on proprietary and third-party information technology systems to process, transmit and store information and to manage or support our business processes. We store and maintain confidential financial and business information regarding us and persons with whom we do business on our information technology systems. We also collect and hold personally identifiable information of our employees in connection with their employment. In addition, we engage third-party service providers that may collect and hold personally identifiable information of our employees in connection with providing business services to us, including, but not limited to, web hosting, accounting, payroll and benefit services. The protection of the information technology systems on which we rely is critically important to us. We take steps, and generally require third-party service providers to take steps, to protect the security of the information maintained in our and our service providers’ information technology systems, including the use of systems, software, tools, and monitoring to provide security for processing, transmitting, and storing of the information. Despite our security measures and business continuity plans, we face risks associated with security breaches or disruptions to the information technology systems on which we rely, which could result from, among other incidents, attacks by hackers, computer viruses, malware (including “ransomware”), phishing attacks or breaches due to errors or malfeasance by employees, contractors, and others who have access to these systems. Our third-party service providers could also be the source of a cybersecurity attack on, or breach of, our information technology systems. Techniques used in cybersecurity attacks to obtain unauthorized access, disable or sabotage information technology systems change frequently, as data breaches and other cybersecurity events have become increasingly commonplace, including as a result of the intensification of state-sponsored cybersecurity attacks during periods of geopolitical conflict.</w:t>
      </w:r>
    </w:p>
    <w:p>
      <w:pPr>
        <w:spacing w:after="0" w:line="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security measures put in place by us and our service providers cannot provide absolute security and there can be no assurance that we or our service providers will not suffer a data security incident in the future, that unauthorized parties will not gain access to sensitive information stored on our or our service providers’ systems, that such access will not, whether temporarily or permanently, impact, interfere with, or interrupt our operations, or that any such incident will be discovered in a timely manner. Even the most well-protected information, networks, systems, and facilities remain potentially vulnerable as the techniques used in such attempted security breaches evolve and generally are not recognized until launched against a target, and in some</w:t>
      </w:r>
    </w:p>
    <w:p>
      <w:pPr>
        <w:spacing w:after="0" w:line="8" w:lineRule="exact"/>
        <w:rPr>
          <w:sz w:val="20"/>
          <w:szCs w:val="20"/>
          <w:color w:val="auto"/>
        </w:rPr>
      </w:pPr>
    </w:p>
    <w:p>
      <w:pPr>
        <w:jc w:val="both"/>
        <w:ind w:right="100"/>
        <w:spacing w:after="0" w:line="290" w:lineRule="auto"/>
        <w:rPr>
          <w:sz w:val="20"/>
          <w:szCs w:val="20"/>
          <w:color w:val="auto"/>
        </w:rPr>
      </w:pPr>
      <w:r>
        <w:rPr>
          <w:rFonts w:ascii="Times New Roman" w:cs="Times New Roman" w:eastAsia="Times New Roman" w:hAnsi="Times New Roman"/>
          <w:sz w:val="17"/>
          <w:szCs w:val="17"/>
          <w:color w:val="auto"/>
        </w:rPr>
        <w:t>cases are designed to not be detected and, in fact, may not be detected. In addition, third-party information technology providers may not provide us with fixes or updates to hardware or software in a manner as to avoid an unauthorized loss or disclosure or to address a known vulnerability, which may subject</w:t>
      </w: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us to known threats or downtime as a result of those delays. Accordingly, we and our service providers may be unable to anticipate these techniques or to implement adequate security barriers or other preventative measures. Further, we may be required to expend significant additional resources to continue to enhance information security measures and internal processes and procedures or to investigate and remediate any information security vulnerabilities.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data security incident could compromise our or our service providers’ information technology systems, and the information stored by us or our service providers, including personally identifiable information of employees, could be accessed, misused, publicly disclosed, corrupted, lost, or stolen. Any failure to prevent a data breach or a security failure of our or our service providers’ information technology systems could interrupt our operations, result in downtime, divert our planned efforts and resources from other projects, damage our reputation and brand, damage our competitive position, subject us to liability claims or regulatory penalties under laws protecting the privacy of personal information. Similarly, if our third-party service providers fail to use adequate security or data protection processes, or use personal information in an unpermitted or improper manner, we may be liable for certain losses and it may damage our reputation. Various events described above have occurred in the past and may occur in the future. Although impacts of past events have been immaterial, the impacts of such events in the future may materially and adversely affect our business, financial condition, or results of operations.</w:t>
      </w:r>
    </w:p>
    <w:p>
      <w:pPr>
        <w:spacing w:after="0" w:line="8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disease outbreaks and other public health crises could materially adversely impact our business, financial condition, results of operations and cash flows.</w:t>
      </w:r>
    </w:p>
    <w:p>
      <w:pPr>
        <w:ind w:right="20"/>
        <w:spacing w:after="0" w:line="255" w:lineRule="auto"/>
        <w:rPr>
          <w:sz w:val="20"/>
          <w:szCs w:val="20"/>
          <w:color w:val="auto"/>
        </w:rPr>
      </w:pPr>
      <w:r>
        <w:rPr>
          <w:rFonts w:ascii="Times New Roman" w:cs="Times New Roman" w:eastAsia="Times New Roman" w:hAnsi="Times New Roman"/>
          <w:sz w:val="18"/>
          <w:szCs w:val="18"/>
          <w:color w:val="auto"/>
        </w:rPr>
        <w:t>Pandemics, epidemics or disease outbreaks in the U.S. or globally have disrupted, and may in the future disrupt, our business, which could materially affect our results of financial condition, results of operations and cash flows. Any such events may adversely impact our global supply chain and global manufacturing operations and cause us to again suspend our operations in countries and states where we operate. In particular, we have experienced, and could continue to experience, among other things: (1) global supply disruptions, especially in China; (2) labor disruptions; (3) an inability to manufacture;</w:t>
      </w:r>
    </w:p>
    <w:p>
      <w:pPr>
        <w:spacing w:after="0" w:line="3" w:lineRule="exact"/>
        <w:rPr>
          <w:sz w:val="20"/>
          <w:szCs w:val="20"/>
          <w:color w:val="auto"/>
        </w:rPr>
      </w:pPr>
    </w:p>
    <w:p>
      <w:pPr>
        <w:ind w:right="60" w:firstLine="8"/>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sell and distribute our products to our customers; (5) a decline in customer demand during and following the pandemic, whether as a result of our inability to satisfy customer demand in a timely manner due to raw material shortages, supply chain disruptions, inflationary cost pressures, or work stoppages experienced by one or more of our customers; and (6) an impaired ability to access credit and the capital markets, especially in light of the rising interest rates. Any new pandemic or other public health crises, or future public health crises, could have a material impact on our business,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operations and cash flows going forward. To the extent any new pandemic or other public health crises adversely affects our business, financial condition, results of operation and cash flows, it may also have the effect of heightening other risks and uncertainties disclosed below.</w:t>
      </w:r>
    </w:p>
    <w:p>
      <w:pPr>
        <w:spacing w:after="0" w:line="50"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Physical effects of climate change or legal, regulatory or market measures intended to address climate change could materially adversely affect our business and operations.</w:t>
      </w:r>
    </w:p>
    <w:p>
      <w:pPr>
        <w:ind w:right="60"/>
        <w:spacing w:after="0" w:line="254" w:lineRule="auto"/>
        <w:rPr>
          <w:sz w:val="20"/>
          <w:szCs w:val="20"/>
          <w:color w:val="auto"/>
        </w:rPr>
      </w:pPr>
      <w:r>
        <w:rPr>
          <w:rFonts w:ascii="Times New Roman" w:cs="Times New Roman" w:eastAsia="Times New Roman" w:hAnsi="Times New Roman"/>
          <w:sz w:val="18"/>
          <w:szCs w:val="18"/>
          <w:color w:val="auto"/>
        </w:rPr>
        <w:t>Risks associated with climate change are subject to increasing societal, regulatory and political focus in the U.S. and globally. Shifts in weather patterns caused by climate change could increase the frequency, severity, or duration of certain adverse weather conditions and natural disasters, such as hurricanes, tornadoes, earthquakes, wildfires, droughts, extreme temperatures, or flooding, which could result in more significant business and supply chain interruptions, damage to our products and facilities as well as the infrastructure of our customers, reduced workforce availability, increased costs of raw materials and components, increased liabilities, and decreased revenues than what we have experienced in the past from such events. In addition, increased public concern over climate change could result in new legal or regulatory requirements designed to mitigate the effects of climate change, which could include the adoption of more stringent environmental laws and regulations or stricter enforcement of existing laws and regulations. Such developments could result in increased compliance costs and adverse impacts on raw material sourcing, manufacturing operations, and the distribution of our products, which could adversely affect our business and operations.</w:t>
      </w:r>
    </w:p>
    <w:p>
      <w:pPr>
        <w:spacing w:after="0" w:line="76"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secure and maintain patent or other intellectual property protection for our intellectual property, our ability to compete will be harmed.</w:t>
      </w:r>
    </w:p>
    <w:p>
      <w:pPr>
        <w:ind w:right="100"/>
        <w:spacing w:after="0" w:line="258" w:lineRule="auto"/>
        <w:rPr>
          <w:sz w:val="20"/>
          <w:szCs w:val="20"/>
          <w:color w:val="auto"/>
        </w:rPr>
      </w:pPr>
      <w:r>
        <w:rPr>
          <w:rFonts w:ascii="Times New Roman" w:cs="Times New Roman" w:eastAsia="Times New Roman" w:hAnsi="Times New Roman"/>
          <w:sz w:val="18"/>
          <w:szCs w:val="18"/>
          <w:color w:val="auto"/>
        </w:rPr>
        <w:t>We rely upon patents, copyrights, trademarks, and trade secret laws to establish and maintain its proprietary rights for various trade names . There can be no assurance that any of our patents, trademarks or other intellectual property rights will not be challenged, invalidated, or circumvented, or that any rights granted thereunder will provide competitive advantages to us. In addition, there can be no assurance that patents will be issued from pending patent applications filed by us or that claims allowed on any future patents will be sufficiently broad to protect us from infringement. Further, the laws of some foreign countries may not permit the protection of our proprietary rights to the same extent as do the laws of the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w:t>
      </w:r>
    </w:p>
    <w:p>
      <w:pPr>
        <w:spacing w:after="0" w:line="6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261" w:lineRule="auto"/>
        <w:rPr>
          <w:sz w:val="20"/>
          <w:szCs w:val="20"/>
          <w:color w:val="auto"/>
        </w:rPr>
      </w:pPr>
      <w:r>
        <w:rPr>
          <w:rFonts w:ascii="Times New Roman" w:cs="Times New Roman" w:eastAsia="Times New Roman" w:hAnsi="Times New Roman"/>
          <w:sz w:val="18"/>
          <w:szCs w:val="18"/>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activities are subject to various laws and regulations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Some of the medical devices that we produce may be subject to regulation by numerous government agencies, including the Food and Drug Administration (“FDA”) and comparable agencies outside the U.S. To varying degrees, each of these agencies requires us to comply with laws and regulations governing the development, testing, manufacturing, labeling, marketing and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distribution of medical devices. We cannot guarantee that we will be able to obtain marketing clearance for our new products or enhancements or modifications to existing products. If such approval is obtained, it may:</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amount of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stringent clinical and pre-clinical testing, as well as increased post-market surveillance;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proposed uses of our products.</w:t>
      </w:r>
    </w:p>
    <w:p>
      <w:pPr>
        <w:spacing w:after="0" w:line="11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are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U.S. and foreign governmental regulations have become increasingly stringent and more common, and we may become subject to more rigorous regulation by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6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with respect to our environmental, social and governance practices may impose additional costs on us or expose us to new or additional risks.</w:t>
      </w: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the increased legislative and regulatory attention to climate change, customer, investor, and employee expectations in ESG have been rapidly evolving and increasing. While we have been committed to continuous improvements to our product portfolio to meet anticipated regulatory standard levels, if customers, regulators or investors demand we increase our greenhouse gas emission or renewable energy disclosures or our ESG initiatives, we may have to implement additional reporting standards and reporting requirements. If we fail to meet customer, investor, or employee expectations, we may be unable to attract or retain our consumer base or talent. Further,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standards by which ESG efforts and related matters are measured are developing and evolving, and we could be criticized for the scope of our initiatives and goals, or lack thereof. If we fail to comply with the evolving customer or investor or employee expectations and standards, or if we are perceived to have failed to adequately respond to such expectations and standards, we may suffer from reputational damage, which could have an adverse impact on our business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Capitalization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prospects, financial condition, results of operations, or cash flows.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(the “Term Loan Facility”) as of December 31, 2024, was $114.4 million, and based on the interest rate then in effect, annual cash interest payments would be approximately $13.0 million, with an additional $1.1 million accrued as paid-in-kind interest. In addition, we have $15.0 million available for future borrowings under our asset backed credit facility (the “ABL Facility”). Our debt obligations could have important consequences, including:</w:t>
      </w:r>
    </w:p>
    <w:p>
      <w:pPr>
        <w:spacing w:after="0" w:line="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which could cause our debt service obligations to increase significantly;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63" w:lineRule="exact"/>
        <w:rPr>
          <w:rFonts w:ascii="Times New Roman" w:cs="Times New Roman" w:eastAsia="Times New Roman" w:hAnsi="Times New Roman"/>
          <w:sz w:val="18"/>
          <w:szCs w:val="18"/>
          <w:color w:val="auto"/>
        </w:rPr>
      </w:pPr>
    </w:p>
    <w:p>
      <w:pPr>
        <w:ind w:left="660" w:right="64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6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Despite our indebtedness level, we may still be able to incur substantial additional amounts of debt, which could further exacerbate the risks associated with our substantial indebtedness.</w:t>
      </w:r>
    </w:p>
    <w:p>
      <w:pPr>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will limit our flexibility in operating our business.</w:t>
      </w:r>
    </w:p>
    <w:p>
      <w:pPr>
        <w:spacing w:after="0" w:line="6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preferred equity;</w:t>
      </w:r>
    </w:p>
    <w:p>
      <w:pPr>
        <w:spacing w:after="0" w:line="63"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our capital stock, prepay, redeem, or repurchase certain debt or make other restricted payments;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our existing businesses;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facility (as defined below) or to accelerate the maturity date of the indebtedness incurred thereunder.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7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we may not be able to refinance our debt obligations as they mature.</w:t>
      </w: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international operations that are subject to foreign economic uncertainties and foreign currency fluctuation.</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Approximately 31%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2024, the U.S. dollar strengthened against foreign currencies which unfavorably affected our revenue by $3.5 million. In contrast, a weakening of the U.S. dollar may beneficially affect our business, prospects, financial condition, results of operations,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and may decline. Among the factors that could affect our stock price are:</w:t>
      </w:r>
    </w:p>
    <w:p>
      <w:pPr>
        <w:spacing w:after="0" w:line="6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or micro-economic factors;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earnings per share, net income and revenues;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publication of research reports by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member of our senior management team;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dividend.</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inhibit a takeover, which could adversely affect the value of our common stock.</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as well as Delaware corporate law, contain provisions that could delay or prevent a change of control or changes in our management that a stockholder might consider favorable and may prevent stockholders from receiving a takeover premium for their shares. These provisions include, for example, the authorization of our board of directors to issue up to five million preferred shares without a stockholder vote and that stockholders may not call a special meeting.</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 and Divestitures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may constitute an important part of our future growth strategy.</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 ownership interest in us. Our inability to acquire businesses, or to operate them profitably once acquired, could have a material adverse effect on our business, financial condition, results of operations, and cash flows. Our borrowing agreements limit our ability to complete acquisitions without prior approval of our lenders. We have had difficulty with purchase accounting and other aspects related to the accounting for our acquisitions, which resulted in material weaknesses in our internal control over financial reporting. Although we have remediated these material weaknesses, there can be no assurances we will not face similar issues with respect to any future acquisitions.</w:t>
      </w:r>
    </w:p>
    <w:p>
      <w:pPr>
        <w:spacing w:after="0" w:line="76"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all of the anticipated benefits from any future strategic portfolio acquisition, or those benefits may take longer to realize than expected.</w:t>
      </w:r>
    </w:p>
    <w:p>
      <w:pPr>
        <w:ind w:right="120"/>
        <w:spacing w:after="0" w:line="261" w:lineRule="auto"/>
        <w:rPr>
          <w:sz w:val="20"/>
          <w:szCs w:val="20"/>
          <w:color w:val="auto"/>
        </w:rPr>
      </w:pPr>
      <w:r>
        <w:rPr>
          <w:rFonts w:ascii="Times New Roman" w:cs="Times New Roman" w:eastAsia="Times New Roman" w:hAnsi="Times New Roman"/>
          <w:sz w:val="18"/>
          <w:szCs w:val="18"/>
          <w:color w:val="auto"/>
        </w:rPr>
        <w:t>We either may not realize all of the anticipated benefits from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1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to integration matters;</w:t>
      </w:r>
    </w:p>
    <w:p>
      <w:pPr>
        <w:spacing w:after="0" w:line="63" w:lineRule="exact"/>
        <w:rPr>
          <w:rFonts w:ascii="Times New Roman" w:cs="Times New Roman" w:eastAsia="Times New Roman" w:hAnsi="Times New Roman"/>
          <w:sz w:val="18"/>
          <w:szCs w:val="18"/>
          <w:color w:val="auto"/>
        </w:rPr>
      </w:pPr>
    </w:p>
    <w:p>
      <w:pPr>
        <w:ind w:left="660" w:right="280" w:hanging="328"/>
        <w:spacing w:after="0" w:line="287"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ind w:left="660" w:right="8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business opportunities, and growth prospects from combining the acquired businesses with our own;</w:t>
      </w:r>
    </w:p>
    <w:p>
      <w:pPr>
        <w:spacing w:after="0" w:line="1"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implement effective internal controls, procedures, and policies for acquired businesses as required by the Sarbanes-Oxley Act of 2002 within the time periods prescribed thereby;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potential unknown liabilities and unforeseen increased expenses or delays associated with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keeping existing customers and obtaining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attracting and retaining key personnel;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or the loss of momentum in, ongoing operations or inconsistencies in standards, controls, procedures and policies.</w:t>
      </w:r>
    </w:p>
    <w:p>
      <w:pPr>
        <w:spacing w:after="0" w:line="11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2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indemnification provisions of acquisition agreements by which we have acquired companies may not fully protect us and may result in unexpected liabilities.</w:t>
      </w: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joint ventures could expose us to additional risks from time to time.</w:t>
      </w:r>
    </w:p>
    <w:p>
      <w:pPr>
        <w:spacing w:after="0" w:line="67"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auto"/>
        </w:rPr>
        <w:t>We currently have a 49% investment in a Chinese joint venture (the “JV”) and may participate in additional joint ventures from time to time. Our participation in joint ventures is subject to risks that may not be present with other methods of ownership, including:</w:t>
      </w:r>
    </w:p>
    <w:p>
      <w:pPr>
        <w:spacing w:after="0" w:line="1" w:lineRule="exact"/>
        <w:rPr>
          <w:sz w:val="20"/>
          <w:szCs w:val="20"/>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30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transfer our interest in a joint venture to a third party may be restricted and the market for our interest may be limited;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might become bankrupt, fail to fund their share of required capital contributions or fail to fulfill their obligations as</w:t>
      </w:r>
    </w:p>
    <w:p>
      <w:pPr>
        <w:spacing w:after="0" w:line="27" w:lineRule="exact"/>
        <w:rPr>
          <w:rFonts w:ascii="Times New Roman" w:cs="Times New Roman" w:eastAsia="Times New Roman" w:hAnsi="Times New Roman"/>
          <w:sz w:val="18"/>
          <w:szCs w:val="18"/>
          <w:color w:val="auto"/>
        </w:rPr>
      </w:pPr>
    </w:p>
    <w:p>
      <w:pPr>
        <w:ind w:left="66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partner, which may require us to infuse our own capital into the venture on behalf of the partner despite other competing uses for such capital; and</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may have competing interests in our markets that could create conflict of interest issues.</w:t>
      </w:r>
    </w:p>
    <w:p>
      <w:pPr>
        <w:spacing w:after="0" w:line="113"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ind w:right="80"/>
        <w:spacing w:after="0" w:line="254" w:lineRule="auto"/>
        <w:rPr>
          <w:sz w:val="20"/>
          <w:szCs w:val="20"/>
          <w:color w:val="auto"/>
        </w:rPr>
      </w:pPr>
      <w:r>
        <w:rPr>
          <w:rFonts w:ascii="Times New Roman" w:cs="Times New Roman" w:eastAsia="Times New Roman" w:hAnsi="Times New Roman"/>
          <w:sz w:val="18"/>
          <w:szCs w:val="18"/>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harm our business, including our competitive position and business prospects.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attract and retain customers, suppliers, investors, and employees is impacted by our reputation. Harm to our reputation can arise from various sources, including employee misconduct, security breaches, unethical behavior, litigation, or regulatory outcomes. The consequences of damage to our reputation include, among other things, increasing the number of litigation claims and the size of damages asserted or subjecting us to enforcement actions, fines, and penalties, all of which would cause us to incur significant defense related costs and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or foreign tax laws could have a material adverse effect on our business, cash flow, results of operations, and financial condition.</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U.S. and foreign tax laws and regulations, as well as the administrative interpretations of those laws and regulations, are constantly under review and may be changed at any time, possibly with retroactive effect. No assurance can be given as to whether, when, or in what form changes to the applicable tax laws applicable to us may be enacted. Changes in tax laws, tax rulings, or interpretations of existing laws could materially affect our business, cash flow, results of operations, and financial condition.</w:t>
      </w:r>
    </w:p>
    <w:p>
      <w:pPr>
        <w:spacing w:after="0" w:line="6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ind w:right="120"/>
        <w:spacing w:after="0" w:line="256" w:lineRule="auto"/>
        <w:rPr>
          <w:sz w:val="20"/>
          <w:szCs w:val="20"/>
          <w:color w:val="auto"/>
        </w:rPr>
      </w:pPr>
      <w:r>
        <w:rPr>
          <w:rFonts w:ascii="Times New Roman" w:cs="Times New Roman" w:eastAsia="Times New Roman" w:hAnsi="Times New Roman"/>
          <w:sz w:val="18"/>
          <w:szCs w:val="18"/>
          <w:color w:val="auto"/>
        </w:rPr>
        <w:t>The global credit and financial markets have recently experienced extreme volatility and disruptions, including severely diminished liquidity and credit availability, declines in consumer confidence, declines in economic growth, inflationary pressure and interest rate changes,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may also adversely impact the financial markets and the global economy, and any economic countermeasures by the affected countries or others could exacerbate market and economic instability.</w:t>
      </w:r>
    </w:p>
    <w:p>
      <w:pPr>
        <w:spacing w:after="0" w:line="6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More recently, the closures of Silicon Valley Bank and Signature Bank and their placement into receivership with the Federal Deposit Insurance Corporation (“FDIC”) created bank-specific and broader financial institution liquidity risk and concerns. Although the Department of the Treasury, the Federal Reserve and the FDIC jointly confirmed that depositors at Silicon Valley Bank and Signature Bank would continue to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Although we do not have any funds deposited with SVB or Signature Bank, we currently have our cash and cash equivalents held in deposit in accounts at certain FDIC-insured financial institutions, some of which include amounts in excess of the insurance coverage offered by the FDIC. In the future, we may maintain our cash and cash equivalents at financial institutions in the United States in amounts that may be in excess of the FDIC insurance limit of $250,000. Though to date, we have experienced no loss or lack of access to cash in our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operating accounts, in the event of a failure of any of these financial institutions where we maintain our deposits or other assets, we may incur a loss to the extent such loss exceeds the FDIC insurance limitation, which could have a material adverse effect upon our liquidity, financial condition and our results of operations.</w:t>
      </w:r>
    </w:p>
    <w:p>
      <w:pPr>
        <w:spacing w:after="0" w:line="69"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modify our business plans.</w:t>
      </w:r>
    </w:p>
    <w:p>
      <w:pPr>
        <w:spacing w:after="0" w:line="1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Overview</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proprietary and third-party information systems to process, transmit and store information and to manage or support our business processes. We store and maintain confidential financial and business information regarding us and persons with whom we do business on our information technology systems. We also collect and hold personally identifiable information of our employees in connection with their employment. In addition, we engage third-party service providers that may collect and hold personally identifiable information of our employees in connection with providing business services to us, including web hosting, accounting, payroll and benefit services.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protection of the information technology systems on which we rely is critically important to us. The Audit Committee of the Board of Directors has oversight for the reliability and security of our information systems, including identifying material risks and cybersecurity threats arising in our business. The Audit Committee receives updates from management of the ongoing cybersecurity initiatives and events at least once per quarter. In the event of a material cybersecurity incident, management will notify the Cybersecurity Sub-Committee of the Board of Directors, which will provide oversight for the Company’s response and mitigation to the incident.</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Chief Financial Officer is responsible for the management of the Company’s information systems and oversees the Company’s information technology team (“IT Team”). The IT Team has in place documented procedures for cybersecurity response plans, which are reviewed annually or as events warrant. The IT Team utilizes third party security experts to provide continuous external penetration testing, conduct security reviews, and to provide a managed security operations center that does 24/7 monitoring as well as provide additional resources for threat and incident response activities.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employ a multi-layered approach to protect our information systems from cybersecurity threats. We have around the clock security operations center coverage that uses an industry leading security information and event management tool to aggregate and analyze data and provide immediate alerts of potential breaches. All hardware within our information systems run an industry-standard anti-virus solution, and we have an established patching program in place to keep security updates current. Penetration testing is conducted by an outside party on a continual basis, resulting in rapid discovery and remediation of potential weaknesses. To ensure employee compliance with our processes, we require yearly cybersecurity training and conduct phish testing, including simulated phishing attempts, multiple times per month. Additional training is assigned to employees as deemed necessary to reduce the risk of cybersecurity threats. In case of a cybersecurity incident, we maintain a cybersecurity insurance policy to reduce any direct costs that could be incurred.</w:t>
      </w:r>
    </w:p>
    <w:p>
      <w:pPr>
        <w:spacing w:after="0" w:line="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cybersecurity incident could interrupt our operations, result in downtime, divert our planned efforts and resources from other projects, damage our reputation and brand, damage our competitive position, subject us to liability claims or regulatory penalties under laws protecting the privacy of personal information. Although impacts of past cybersecurity incidents have been immaterial to date, the impacts of such events in the future may materially and adversely affect our business, financial condition, or results of operations.</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6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2024, we owned or leased 26 facilities in a total of six countries, which includes a manufacturing facility owned by the JV in China. Utilization of these sites may vary with product mix and economic, seasonal, and other business conditions. Our plants generally have sufficient capacity for existing needs and expected near-term growth. These plants are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generally well maintained, in good operating condition, and suitable and adequate for their use. The following table lists the current locations of our facilities by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Solutions Group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6"/>
                <w:szCs w:val="16"/>
                <w:color w:val="auto"/>
              </w:rPr>
            </w:pP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Campinas, Brazil</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Dowagiac, Michigan (1)</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Juarez, Mexico (1)</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Mexico</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Kamienna Gora, Poland</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Poland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3, Warehouse</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Office</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Marnaz, France</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France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Marshall,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Sao Joao da Boa Vista, Brazil</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Sao Joao da Boa Vista, Brazil</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Sao Joao da Boa Vista, Brazil</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3</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Wellington, Ohio</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Wuxi, China</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41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Power Solutions Group</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7"/>
                <w:szCs w:val="17"/>
                <w:color w:val="auto"/>
              </w:rPr>
            </w:pPr>
          </w:p>
        </w:tc>
      </w:tr>
      <w:tr>
        <w:trPr>
          <w:trHeight w:val="23"/>
        </w:trPr>
        <w:tc>
          <w:tcPr>
            <w:tcW w:w="5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Algonquin, Illinois</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Plant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3</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Office, Warehouse</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Foshan City, China</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City, Mexico</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Mexico</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North Attleboro,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Palmer,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405"/>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7"/>
                <w:szCs w:val="17"/>
                <w:color w:val="auto"/>
              </w:rPr>
            </w:pPr>
          </w:p>
        </w:tc>
      </w:tr>
      <w:tr>
        <w:trPr>
          <w:trHeight w:val="23"/>
        </w:trPr>
        <w:tc>
          <w:tcPr>
            <w:tcW w:w="5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Wuxi, China</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Plant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Borders>
              <w:top w:val="single" w:sz="8" w:color="auto"/>
            </w:tcBorders>
            <w:shd w:val="clear" w:color="auto" w:fill="CCEEFF"/>
          </w:tcPr>
          <w:p>
            <w:pPr>
              <w:spacing w:after="0"/>
              <w:rPr>
                <w:sz w:val="19"/>
                <w:szCs w:val="19"/>
                <w:color w:val="auto"/>
              </w:rPr>
            </w:pPr>
          </w:p>
        </w:tc>
      </w:tr>
      <w:tr>
        <w:trPr>
          <w:trHeight w:val="419"/>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7"/>
                <w:szCs w:val="17"/>
                <w:color w:val="auto"/>
              </w:rPr>
            </w:pPr>
          </w:p>
        </w:tc>
      </w:tr>
      <w:tr>
        <w:trPr>
          <w:trHeight w:val="23"/>
        </w:trPr>
        <w:tc>
          <w:tcPr>
            <w:tcW w:w="5440" w:type="dxa"/>
            <w:vAlign w:val="bottom"/>
            <w:gridSpan w:val="3"/>
          </w:tcPr>
          <w:p>
            <w:pPr>
              <w:spacing w:after="0"/>
              <w:rPr>
                <w:sz w:val="2"/>
                <w:szCs w:val="2"/>
                <w:color w:val="auto"/>
              </w:rPr>
            </w:pPr>
          </w:p>
        </w:tc>
        <w:tc>
          <w:tcPr>
            <w:tcW w:w="1960" w:type="dxa"/>
            <w:vAlign w:val="bottom"/>
            <w:gridSpan w:val="4"/>
          </w:tcPr>
          <w:p>
            <w:pPr>
              <w:spacing w:after="0"/>
              <w:rPr>
                <w:sz w:val="2"/>
                <w:szCs w:val="2"/>
                <w:color w:val="auto"/>
              </w:rPr>
            </w:pPr>
          </w:p>
        </w:tc>
        <w:tc>
          <w:tcPr>
            <w:tcW w:w="1940" w:type="dxa"/>
            <w:vAlign w:val="bottom"/>
            <w:gridSpan w:val="4"/>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Charlotte, North Carolina</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Office</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U.S.A</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Borders>
              <w:top w:val="single" w:sz="8" w:color="auto"/>
            </w:tcBorders>
            <w:shd w:val="clear" w:color="auto" w:fill="CCEEFF"/>
          </w:tcPr>
          <w:p>
            <w:pPr>
              <w:spacing w:after="0"/>
              <w:rPr>
                <w:sz w:val="19"/>
                <w:szCs w:val="19"/>
                <w:color w:val="auto"/>
              </w:rPr>
            </w:pPr>
          </w:p>
        </w:tc>
      </w:tr>
    </w:tbl>
    <w:p>
      <w:pPr>
        <w:spacing w:after="0" w:line="184" w:lineRule="exact"/>
        <w:rPr>
          <w:sz w:val="20"/>
          <w:szCs w:val="20"/>
          <w:color w:val="auto"/>
        </w:rPr>
      </w:pPr>
    </w:p>
    <w:p>
      <w:pPr>
        <w:ind w:left="720" w:hanging="38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that we plan to close during 2025.</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disclosed in Note 12 of the Notes to Consolidated Financial Statements included elsewhere in this Annual Report, we are engaged in certain legal proceedings, and the disclosure set forth in Note 12 relating to certain commitments and contingencies is incorporated herein by reference.</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the Registrant’s Common Equity, Related Stockholder Matters, and Issuer Purchases of Equity Securities</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common stock is traded on Nasdaq under the trading symbol “NNBR.” As of February 11, 2025, there were 4,040 beneficial owners of record of our common stock.</w:t>
      </w:r>
    </w:p>
    <w:p>
      <w:pPr>
        <w:spacing w:after="0" w:line="5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following graph and table compare the cumulative total shareholder return on our common stock with the cumulative total shareholder return of: (i)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which is a broad equity market index, and (ii) the S&amp;P SmallCap 600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Industrials Index, which is a published industry index, for the period from December 31, 2019, to December 31, 2024. The following graph and table assume that a $100 investment was made at the close of trading on December 31, 2019. We cannot assure you that the performance of our common stock will continue in the future with the same or similar trend depicted on the graph.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 results through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5254625" cy="3257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NN, Inc.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142.93</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SmallCap 600 Industrials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197.28</w:t>
            </w:r>
          </w:p>
        </w:tc>
      </w:tr>
    </w:tbl>
    <w:p>
      <w:pPr>
        <w:spacing w:after="0" w:line="63"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Source: Zachs Investment Research, Inc.</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Part III, Item 12 – “Security Ownership of Certain Beneficial Owners and Management and Related Stockholder Matters” of this Annual Report for information required by Item 201(d) of Regulation S-K.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December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18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Average Price Paid</w:t>
            </w:r>
          </w:p>
        </w:tc>
        <w:tc>
          <w:tcPr>
            <w:tcW w:w="16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as Part of Publicly</w:t>
            </w:r>
          </w:p>
        </w:tc>
        <w:tc>
          <w:tcPr>
            <w:tcW w:w="21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5"/>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201"/>
        </w:trPr>
        <w:tc>
          <w:tcPr>
            <w:tcW w:w="4080" w:type="dxa"/>
            <w:vAlign w:val="bottom"/>
            <w:gridSpan w:val="2"/>
            <w:vMerge w:val="continue"/>
          </w:tcPr>
          <w:p>
            <w:pPr>
              <w:spacing w:after="0"/>
              <w:rPr>
                <w:sz w:val="17"/>
                <w:szCs w:val="17"/>
                <w:color w:val="auto"/>
              </w:rPr>
            </w:pPr>
          </w:p>
        </w:tc>
        <w:tc>
          <w:tcPr>
            <w:tcW w:w="174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4"/>
                <w:szCs w:val="14"/>
                <w:color w:val="auto"/>
                <w:w w:val="98"/>
              </w:rPr>
              <w:t xml:space="preserve">Shares Purchased </w:t>
            </w:r>
            <w:r>
              <w:rPr>
                <w:rFonts w:ascii="Times New Roman" w:cs="Times New Roman" w:eastAsia="Times New Roman" w:hAnsi="Times New Roman"/>
                <w:sz w:val="18"/>
                <w:szCs w:val="18"/>
                <w:color w:val="auto"/>
                <w:w w:val="98"/>
                <w:vertAlign w:val="superscript"/>
              </w:rPr>
              <w:t>(1)</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Per Share</w:t>
            </w:r>
          </w:p>
        </w:tc>
        <w:tc>
          <w:tcPr>
            <w:tcW w:w="162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212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120" w:hanging="328"/>
        <w:spacing w:after="0" w:line="261"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Shares were withheld to pay for tax obligations due upon the vesting of share-based awards held by employees granted under the NN, Inc. Amended and Restated 2022 Omnibus Incentive Plan and prior plans (collectively the “Incentive Plans”). The Incentive Plans provides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included elsewhere in this Annual Report. Historical operating results and percentage relationships among any amounts included in the Consolidated Financial Statements are not necessarily indicative of trends in operating results for any future period. Unless as otherwise noted indicated, all U.S. dollar amounts presented in tables are in thousands.</w:t>
      </w:r>
    </w:p>
    <w:p>
      <w:pPr>
        <w:spacing w:after="0" w:line="72" w:lineRule="exact"/>
        <w:rPr>
          <w:sz w:val="20"/>
          <w:szCs w:val="20"/>
          <w:color w:val="auto"/>
        </w:rPr>
      </w:pPr>
    </w:p>
    <w:p>
      <w:pPr>
        <w:ind w:right="3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detailed discussion of our results of operations and liquidity and capital resources for the year ended December 31, 2023 compared to the year ended December 31, 2022 are not included herein and can be found in Item 7. Management's Discussion and Analysis of Financial Condition and Results of Operations of our </w:t>
      </w:r>
      <w:hyperlink r:id="rId44">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12,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Management Focus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the Company continued its enterprise transformation plan to grow sales, profits, free cash flow and shareholder value. The main tenets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transformation plan are:</w:t>
      </w:r>
    </w:p>
    <w:p>
      <w:pPr>
        <w:spacing w:after="0" w:line="4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our team with new executive and functional leadership;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unprofitable areas of the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and strengthening profitability;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balance sheet;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sales growth.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execute our transformation plan through:</w:t>
      </w:r>
    </w:p>
    <w:p>
      <w:pPr>
        <w:spacing w:after="0" w:line="6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new business wins in targeted growth areas;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improvement plans and the rationalizing of our footprint;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underperforming plants;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net cost-down through our continuous improvement program;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leverage through improved operating performance and a strategic divestiture;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Lowering our cost of capital and improving our capital structure.</w:t>
      </w:r>
    </w:p>
    <w:p>
      <w:pPr>
        <w:spacing w:after="0" w:line="11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are a strategic partner to a diversified and global customer base with long standing business relationships and long-running business streams. We participate in growing and attractive end markets, including global automotive parts and passenger vehicles, commercial vehicles, grid and electrical investment, and medical components.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generally focuses on these trends and relevant market indicators:</w:t>
      </w:r>
    </w:p>
    <w:p>
      <w:pPr>
        <w:spacing w:after="0" w:line="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related to the geographic migration of competitive manufacturing, electric vehicles, and electrification;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subject to regional and global inflationary environments, including, but not limited to:</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and benefits, including health care costs;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automotive production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industrial growth and economics;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and non-residential construction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for U.S. public companies and manufacturing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exchange rate movements and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levels and expectations;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6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year ended December 31, 2024, that management believes are important to provide an understanding of the business and results of operations or that may influence operations in the future.</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ongoing military conflicts, inflationary cost pressures, elevated interest rates, supply chain disruptions, and labor shortages and disruptions.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Ongoing military conflicts continue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these ongoing military conflicts as of the date of this filing, we cannot reasonably predict the extent to which our operations, or those of our customers or suppliers, will be impacted in the future, or the ways in which the conflicts may impact our business, financial condition, results of operations and cash flows.</w:t>
      </w:r>
    </w:p>
    <w:p>
      <w:pPr>
        <w:spacing w:after="0" w:line="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U.S. economy has experienced inflationary increases and elevated interest rates, as well as supply issues in materials, services, and labor due to economic policy and military conflicts. We cannot predict the future impact on our end-markets or input costs nor our ability to recover cost increases through pricing.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Footprint Optimization</w:t>
      </w:r>
    </w:p>
    <w:p>
      <w:pPr>
        <w:spacing w:after="0" w:line="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taken specific steps to consolidate our footprint by identifying less profitable end markets and focusing our strategic growth initiatives in markets where we believe we will be able to maximize profitability. During the second half of 2024, we identified two manufacturing facilities to close due to volume rationalization which will reduce costs and improve operational efficiency. In January 2025, we ceased production activities at our Mobile Solutions plant in Juarez, Mexico. We plan to stop production activity at our Mobile Solutions plant in Dowagiac, Michigan by the end of the first quarter of 2025. Additionally, we continue to evaluate our global footprint, which may result in further consolidation actions to further improve our overall cost structure.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2023 and 2022, no single customer accounted for 10% or more of consolidated net sales.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Data as a Percentage of 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percentage of our net sales represented by statement of operations line item.</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4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84.4 %</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 compared to the Year Ended December 31,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$25.0 million, or 5.1%, during the year ended December 31, 2024, compared to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sale of our Lubbock operations, customer settlements received in 2023, rationalized volume at plants undergoing turnarounds and unfavorable foreign exchange effects of $3.5 million. These decreases were partially offset by the net impact of contractual pass-through material pricing provisions.</w:t>
      </w:r>
    </w:p>
    <w:p>
      <w:pPr>
        <w:spacing w:after="0" w:line="72"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$24.4 million, or 5.8%, during the year ended December 31, 2024,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lower sales volume and lower labor costs associated with facility closures.</w:t>
      </w:r>
    </w:p>
    <w:p>
      <w:pPr>
        <w:spacing w:after="0" w:line="5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$2.0 million during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year ended December 31, 2023, primarily due to higher travel, stock compensation and severance expense, partially offset by lower salaries due to a reduction in headcount.</w:t>
      </w:r>
    </w:p>
    <w:p>
      <w:pPr>
        <w:spacing w:after="0" w:line="65"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(Income), Net. </w:t>
      </w:r>
      <w:r>
        <w:rPr>
          <w:rFonts w:ascii="Times New Roman" w:cs="Times New Roman" w:eastAsia="Times New Roman" w:hAnsi="Times New Roman"/>
          <w:sz w:val="18"/>
          <w:szCs w:val="18"/>
          <w:color w:val="auto"/>
        </w:rPr>
        <w:t>Other operating expense (income), net changed unfavorably by $3.9 million primarily due to the impairment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machinery and equipment at a plant that will close in 2025, partially offset by increased sublease income earned on closed facilities and gains on sale of property, plant and equipment.</w:t>
      </w:r>
    </w:p>
    <w:p>
      <w:pPr>
        <w:spacing w:after="0" w:line="6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$1.0 million during the year ended December 31, 2024, compared to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decrease in the gain recognized on interest rate swap and an increase in the amortization of debt issuance costs. These were partially offset by lower interest rates and lower outstanding balances.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on interest rate swap</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21,137</w:t>
            </w:r>
          </w:p>
        </w:tc>
      </w:tr>
      <w:tr>
        <w:trPr>
          <w:trHeight w:val="21"/>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changed favorably by $15.3 million during the year ended December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2023, primarily due to the $7.2 million gain on sale of the Lubbock operations and a $10.8 million decrease in noncash derivative mark-to-market losses, partially offset by unfavorable foreign exchange effects associated with intercompany borrowings.</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tax rate was (5.3)% for the year ended December 31, 2024, compared to (4.3)%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Our effective tax rate for the years ended December 31, 2024 and 2023 were unfavorably impacted by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effective tax rate for the years ended December 31, 2024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2023 were favorably impacted by the recording of interest income on the Company’s federal income tax refund requested as a result of the Coronavirus Aid, Relief, and Economic Security Act, as well as the recording of a benefit of a state refund claim.</w:t>
      </w:r>
    </w:p>
    <w:p>
      <w:pPr>
        <w:spacing w:after="0" w:line="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joint venture increased by $3.8 million during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2023, primarily due to higher sales and increased margin partially offset by higher fixed costs, depreciation and income taxes. The joint venture, in which we own a 49% investment, recognized net sales of $130.8 million and $109.6 million for the years ended December 31, 2024 and 2023,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283,944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303,335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(18,078)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r>
    </w:tbl>
    <w:p>
      <w:pPr>
        <w:spacing w:after="0" w:line="17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Net sales decreased by $19.4 million, or 6.4%, during the year ended December 31, 2024, compared to the year ended December 31, 2023, primarily due rationalized volume at plants undergoing turnarounds, contractual reduction in customer pass-through material pricing, a customer settlement received in 2023 and unfavorable foreign exchange effects of $3.3 million.</w:t>
      </w:r>
    </w:p>
    <w:p>
      <w:pPr>
        <w:spacing w:after="0" w:line="6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Loss from operations changed unfavorably by $6.3 million during the year ended December 31, 2024 compared to the prior year, primarily due to the impairment of machinery and equipment at a plant that will close in 2025. The change was also impacted by higher depreciation expense and selling, general and administrative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bl>
    <w:p>
      <w:pPr>
        <w:spacing w:after="0" w:line="16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sales decreased by $5.4 million, or 2.9%, during the year ended December 31, 2024, compared to the year ended December 31, 2023, primarily due to the sale of our Lubbock operations, premium pricing received on a certain customer project during the first quarter of 2023 and unfavorable foreign exchange effects of $0.2 million. These decreases were partially offset by higher precious metals pass-through pricing.</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Income from operations increased by $2.0 million during the year ended December 31, 2024 compared to the same period in the prior year, primarily due to an increase in sublease income earned on closed facilities and lower depreciation and amortization expense due to sold or fully utilized assets.</w:t>
      </w:r>
    </w:p>
    <w:p>
      <w:pPr>
        <w:spacing w:after="0" w:line="158" w:lineRule="exact"/>
        <w:rPr>
          <w:sz w:val="20"/>
          <w:szCs w:val="20"/>
          <w:color w:val="auto"/>
        </w:rPr>
      </w:pPr>
    </w:p>
    <w:p>
      <w:pPr>
        <w:ind w:right="51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2023 to December 31, 2024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December 31, 2023 to December 31, 2024, total assets decreased by $54.0 million primarily due to decreases in property, plant and equipment and intangible assets due to depreciation and amortization as well as the impairment of machinery and equipment at a plant that will close in 2025. Additionally, accounts receivable, inventory and property, plant and equipment decreased due to the sale of our Lubbock operations during the year. These decreases were partially offset by increases in our investment in a joint venture.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December 31, 2023 to December 31, 2024, total liabilities decreased by $19.2 million, primarily due to a decrease in accounts payable, a decrease in other non-current liabilities due to the exercise of warrants in 2024 and a reduction in long-term debt due to the partial pay down of the outstanding balance with proceeds from the sale of our Lubbock operations. These decreases were partially offset by an increase in accrued salaries, wages and benefits.</w:t>
      </w:r>
    </w:p>
    <w:p>
      <w:pPr>
        <w:spacing w:after="0" w:line="6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$83.7 million as of December 31, 2024, compared to $100.9 million as of December 31, 2023. The decrease in working capital was primarily due to decreases in accounts receivable and inventory, and an increase in accrued salaries, wages and benefits. These were partially offset by a decrease in accounts payable.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18"/>
          <w:szCs w:val="18"/>
          <w:color w:val="auto"/>
        </w:rPr>
        <w:t>Cash provided by operations was $11.1 million for the year ended December 31, 2024, compared with $29.3 million for the year ended December 31, 2023. The decline was due to decreases in accounts receivable and inventory during 2023 compared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decrease in accounts payable during 2024. These declines were partially offset by a larger dividend received from the JV in 2024.</w:t>
      </w:r>
    </w:p>
    <w:p>
      <w:pPr>
        <w:spacing w:after="0" w:line="11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$1.0 million for the year ended December 31, 2024, compared with cash used in investing activities of $17.6 million for the year ended December 31, 2023. The favorable change is primarily due to the $17.0 million received for the sale of the Lubbock operations during 2024.</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increased by $10.4 million during the year ended December 31, 2024 compared to the same period in 2023, primarily due to higher repayments of long-term debt and debt issuance costs in 2024, partially offset by proceeds from the sale-leaseback transactions in 2024 and proceeds from international loans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as of December 31, 2024, was $114.4 million, without regard to unamortized debt issuance costs and discount. As of December 31, 2024, we had $5.4 million outstanding borrowings under the ABL Facility and $15.0 million available for future borrowings under the ABL Facility. This amount of borrowing capacity is net of $10.4 million of outstanding letters of credit at December 31, 2024, which are considered as usage of the ABL Facility.</w:t>
      </w:r>
    </w:p>
    <w:p>
      <w:pPr>
        <w:spacing w:after="0" w:line="7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Term Loan Facility requires quarterly principal payments of $0.4 million with the remaining unpaid principal amount due on the final maturity date of September 22, 2026. We may be required to make additional principal payments annually that are calculated as a percentage of our excess cash flow, as defined by the lender, based on our net leverage ratio. Outstanding borrowings under the Term Loan Facility bear interest at either: 1) one-month, three-month, or six-month Adjusted Term SOFR, subject to a 1.00% floor, plus an applicable margin of 6.875%; or 2) the greater of various benchmark rates plus an applicable margin of 5.875%. Beginning with the second quarter of 2023, interest was increased on a paid-in-kind basis at a rate between 1.00% and</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2.00%, dependent on our net leverage ratio, for the most recently reported fiscal quarter and subject to reduction upon the occurrence of certain conditions as set forth in the credit agreement governing the Term Loan Facility. Based on the interest rate in effect at December 31, 2024, annual cash interest payments would be approximately $13.0 million, with an additional $1.1 million accrued as paid-in-kind interest.</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Facility bears interest on a variable borrowing rate based on either: 1) the one, three or six month SOFR plus 1.50%, plus an adjustment of 0.10% (“Term SOFR Rate”); or 2) the highest of the base commercial lending rate of the lender or various benchmark rates plus an applicable margin of 0.50% or 1.0%, depending on the benchmark. We pay a commitment fee of 0.25% for unused capacity under the ABL Facility.</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December 31, 2024. Both credit facilities allow for optional expansion of available borrowings, subject to certain terms and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6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2024, we entered into several sale-leaseback transactions. We received $16.9 million from the sale and leaseback of three properties, with the net proceeds used to repay a portion of the outstanding borrowings under the Term Loan Facility. The effective interest rate of</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9.715% on this transaction, which terminates in 2044, was lower than the borrowings on the Term Loan Facility. In addition, we received $8.3 million from the sale and leaseback of equipment, with $3.4 million of the net proceeds used to repay a portion of the outstanding borrowings under the Term Loan Facility and the balance used for ongoing operational investments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Including interest accrued on the initial refund amount, we have a $12.3 million tax refund receivable at December 31, 2024, which is in the process of IRS review. The timing of the receipt of the refund is expected in the first half of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Currencies</w:t>
      </w:r>
    </w:p>
    <w:p>
      <w:pPr>
        <w:spacing w:after="0" w:line="6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currently have foreign operations in Brazil, China, France, Mexico, and Poland. The local currency of each foreign facility is also its functional currency.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significant accounting policies, including the assumptions and judgment underlying them, are disclosed in Note 1 of the Notes to Consolidated Financial Statements. As disclosed in Note 1,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eliminate disproportionate tax effects from accumulated other comprehensive income (loss) when the circumstances upon which they are premised cease to exist.</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 significant piece of objective negative evidence evaluated is cumulative losses incurred over the three-year period ended December 31, 2024. Such objective evidence limits the ability to consider other subjective evidence, such as our projections for future earnings growth. We have recorded a U.S. deferred tax liability for foreign earnings which are not indefinitely reinvested. We treat global intangible low-taxed income (“GILTI”) as a periodic charge in the year in which it arises and therefore do not record deferred taxes for basis differences associated with GILTI.</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December 31, 2024, we had $114.4 million of principal outstanding under the Term Loan Facility without regard to capitalized debt issuance costs. A one-percent increase in one-month SOFR would have resulted in a net increase in interest expense of $1.1 million on an annualized basis.</w:t>
      </w:r>
    </w:p>
    <w:p>
      <w:pPr>
        <w:spacing w:after="0" w:line="54" w:lineRule="exact"/>
        <w:rPr>
          <w:sz w:val="20"/>
          <w:szCs w:val="20"/>
          <w:color w:val="auto"/>
        </w:rPr>
      </w:pPr>
    </w:p>
    <w:p>
      <w:pPr>
        <w:ind w:right="820"/>
        <w:spacing w:after="0" w:line="375" w:lineRule="auto"/>
        <w:rPr>
          <w:sz w:val="20"/>
          <w:szCs w:val="20"/>
          <w:color w:val="auto"/>
        </w:rPr>
      </w:pPr>
      <w:r>
        <w:rPr>
          <w:rFonts w:ascii="Times New Roman" w:cs="Times New Roman" w:eastAsia="Times New Roman" w:hAnsi="Times New Roman"/>
          <w:sz w:val="18"/>
          <w:szCs w:val="18"/>
          <w:color w:val="auto"/>
        </w:rPr>
        <w:t xml:space="preserve">At December 31, 2024, based on a one-month Term SOFR Rate, the interest rate on outstanding borrowings under the ABL Facility was 5.94%. </w:t>
      </w:r>
      <w:r>
        <w:rPr>
          <w:rFonts w:ascii="Times New Roman" w:cs="Times New Roman" w:eastAsia="Times New Roman" w:hAnsi="Times New Roman"/>
          <w:sz w:val="18"/>
          <w:szCs w:val="18"/>
          <w:b w:val="1"/>
          <w:bCs w:val="1"/>
          <w:color w:val="auto"/>
        </w:rPr>
        <w:t>Foreign Currency Risk</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To help reduce exposure to foreign currency fluctuation, we have incurred debt in euros in the past. Various strategies to manage this risk are available to management, including producing and selling in local currencies and hedging programs. We did not hold a position in any foreign currency derivatives as of December 31,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248)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0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10"/>
        </w:trPr>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280" w:type="dxa"/>
            <w:vAlign w:val="bottom"/>
            <w:tcBorders>
              <w:top w:val="single" w:sz="8" w:color="0000FF"/>
            </w:tcBorders>
            <w:gridSpan w:val="15"/>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9"/>
        </w:trPr>
        <w:tc>
          <w:tcPr>
            <w:tcW w:w="2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802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10"/>
        </w:trPr>
        <w:tc>
          <w:tcPr>
            <w:tcW w:w="109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9"/>
        </w:trPr>
        <w:tc>
          <w:tcPr>
            <w:tcW w:w="31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240" w:type="dxa"/>
            <w:vAlign w:val="bottom"/>
            <w:tcBorders>
              <w:top w:val="single" w:sz="8" w:color="0000FF"/>
            </w:tcBorders>
            <w:gridSpan w:val="6"/>
          </w:tcPr>
          <w:p>
            <w:pPr>
              <w:spacing w:after="0"/>
              <w:rPr>
                <w:sz w:val="18"/>
                <w:szCs w:val="18"/>
                <w:color w:val="auto"/>
              </w:rPr>
            </w:pPr>
          </w:p>
        </w:tc>
        <w:tc>
          <w:tcPr>
            <w:tcW w:w="6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1. Significant Accounting Policies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09"/>
        </w:trPr>
        <w:tc>
          <w:tcPr>
            <w:tcW w:w="220" w:type="dxa"/>
            <w:vAlign w:val="bottom"/>
          </w:tcPr>
          <w:p>
            <w:pPr>
              <w:spacing w:after="0"/>
              <w:rPr>
                <w:sz w:val="18"/>
                <w:szCs w:val="18"/>
                <w:color w:val="auto"/>
              </w:rPr>
            </w:pPr>
          </w:p>
        </w:tc>
        <w:tc>
          <w:tcPr>
            <w:tcW w:w="21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 2. Segment Information</w:t>
            </w:r>
          </w:p>
        </w:tc>
        <w:tc>
          <w:tcPr>
            <w:tcW w:w="740" w:type="dxa"/>
            <w:vAlign w:val="bottom"/>
            <w:tcBorders>
              <w:top w:val="single" w:sz="8" w:color="0000FF"/>
            </w:tcBorders>
            <w:gridSpan w:val="5"/>
          </w:tcPr>
          <w:p>
            <w:pPr>
              <w:spacing w:after="0"/>
              <w:rPr>
                <w:sz w:val="18"/>
                <w:szCs w:val="18"/>
                <w:color w:val="auto"/>
              </w:rPr>
            </w:pPr>
          </w:p>
        </w:tc>
        <w:tc>
          <w:tcPr>
            <w:tcW w:w="782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10"/>
        </w:trPr>
        <w:tc>
          <w:tcPr>
            <w:tcW w:w="220" w:type="dxa"/>
            <w:vAlign w:val="bottom"/>
          </w:tcPr>
          <w:p>
            <w:pPr>
              <w:spacing w:after="0"/>
              <w:rPr>
                <w:sz w:val="18"/>
                <w:szCs w:val="18"/>
                <w:color w:val="auto"/>
              </w:rPr>
            </w:pPr>
          </w:p>
        </w:tc>
        <w:tc>
          <w:tcPr>
            <w:tcW w:w="35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 3. Revenue from Contracts with Customers</w:t>
            </w:r>
          </w:p>
        </w:tc>
        <w:tc>
          <w:tcPr>
            <w:tcW w:w="716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4. Accounts Receivable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46</w:t>
            </w:r>
          </w:p>
        </w:tc>
      </w:tr>
      <w:tr>
        <w:trPr>
          <w:trHeight w:val="210"/>
        </w:trPr>
        <w:tc>
          <w:tcPr>
            <w:tcW w:w="220" w:type="dxa"/>
            <w:vAlign w:val="bottom"/>
          </w:tcPr>
          <w:p>
            <w:pPr>
              <w:spacing w:after="0"/>
              <w:rPr>
                <w:sz w:val="18"/>
                <w:szCs w:val="18"/>
                <w:color w:val="auto"/>
              </w:rPr>
            </w:pPr>
          </w:p>
        </w:tc>
        <w:tc>
          <w:tcPr>
            <w:tcW w:w="2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 5. Inventories</w:t>
            </w:r>
          </w:p>
        </w:tc>
        <w:tc>
          <w:tcPr>
            <w:tcW w:w="858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6. Property, Plant and Equipment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r>
      <w:tr>
        <w:trPr>
          <w:trHeight w:val="209"/>
        </w:trPr>
        <w:tc>
          <w:tcPr>
            <w:tcW w:w="220" w:type="dxa"/>
            <w:vAlign w:val="bottom"/>
          </w:tcPr>
          <w:p>
            <w:pPr>
              <w:spacing w:after="0"/>
              <w:rPr>
                <w:sz w:val="18"/>
                <w:szCs w:val="18"/>
                <w:color w:val="auto"/>
              </w:rPr>
            </w:pPr>
          </w:p>
        </w:tc>
        <w:tc>
          <w:tcPr>
            <w:tcW w:w="27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 7. Intangible Assets</w:t>
            </w:r>
          </w:p>
        </w:tc>
        <w:tc>
          <w:tcPr>
            <w:tcW w:w="790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8. Investment in Joint Venture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r>
      <w:tr>
        <w:trPr>
          <w:trHeight w:val="209"/>
        </w:trPr>
        <w:tc>
          <w:tcPr>
            <w:tcW w:w="220" w:type="dxa"/>
            <w:vAlign w:val="bottom"/>
          </w:tcPr>
          <w:p>
            <w:pPr>
              <w:spacing w:after="0"/>
              <w:rPr>
                <w:sz w:val="18"/>
                <w:szCs w:val="18"/>
                <w:color w:val="auto"/>
              </w:rPr>
            </w:pPr>
          </w:p>
        </w:tc>
        <w:tc>
          <w:tcPr>
            <w:tcW w:w="25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Note 9. Debt</w:t>
            </w:r>
          </w:p>
        </w:tc>
        <w:tc>
          <w:tcPr>
            <w:tcW w:w="812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Note 10. Preferred Stock</w:t>
            </w:r>
          </w:p>
        </w:tc>
        <w:tc>
          <w:tcPr>
            <w:tcW w:w="886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9"/>
        </w:trPr>
        <w:tc>
          <w:tcPr>
            <w:tcW w:w="220" w:type="dxa"/>
            <w:vAlign w:val="bottom"/>
          </w:tcPr>
          <w:p>
            <w:pPr>
              <w:spacing w:after="0"/>
              <w:rPr>
                <w:sz w:val="18"/>
                <w:szCs w:val="18"/>
                <w:color w:val="auto"/>
              </w:rPr>
            </w:pPr>
          </w:p>
        </w:tc>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Note 11. Leases</w:t>
            </w:r>
          </w:p>
        </w:tc>
        <w:tc>
          <w:tcPr>
            <w:tcW w:w="95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12. Commitments and Contingencies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10"/>
        </w:trPr>
        <w:tc>
          <w:tcPr>
            <w:tcW w:w="220" w:type="dxa"/>
            <w:vAlign w:val="bottom"/>
          </w:tcPr>
          <w:p>
            <w:pPr>
              <w:spacing w:after="0"/>
              <w:rPr>
                <w:sz w:val="18"/>
                <w:szCs w:val="18"/>
                <w:color w:val="auto"/>
              </w:rPr>
            </w:pPr>
          </w:p>
        </w:tc>
        <w:tc>
          <w:tcPr>
            <w:tcW w:w="30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 13. Income Taxes</w:t>
            </w:r>
          </w:p>
        </w:tc>
        <w:tc>
          <w:tcPr>
            <w:tcW w:w="762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
        </w:trPr>
        <w:tc>
          <w:tcPr>
            <w:tcW w:w="2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14. Net Income (Loss) Per Common Share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r>
      <w:tr>
        <w:trPr>
          <w:trHeight w:val="209"/>
        </w:trPr>
        <w:tc>
          <w:tcPr>
            <w:tcW w:w="220" w:type="dxa"/>
            <w:vAlign w:val="bottom"/>
          </w:tcPr>
          <w:p>
            <w:pPr>
              <w:spacing w:after="0"/>
              <w:rPr>
                <w:sz w:val="18"/>
                <w:szCs w:val="18"/>
                <w:color w:val="auto"/>
              </w:rPr>
            </w:pPr>
          </w:p>
        </w:tc>
        <w:tc>
          <w:tcPr>
            <w:tcW w:w="34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 15. Share-Based Compensation</w:t>
            </w:r>
          </w:p>
        </w:tc>
        <w:tc>
          <w:tcPr>
            <w:tcW w:w="722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Note 16. Accumulated Other Comprehensive Income</w:t>
            </w:r>
          </w:p>
        </w:tc>
        <w:tc>
          <w:tcPr>
            <w:tcW w:w="68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r>
      <w:tr>
        <w:trPr>
          <w:trHeight w:val="210"/>
        </w:trPr>
        <w:tc>
          <w:tcPr>
            <w:tcW w:w="220" w:type="dxa"/>
            <w:vAlign w:val="bottom"/>
          </w:tcPr>
          <w:p>
            <w:pPr>
              <w:spacing w:after="0"/>
              <w:rPr>
                <w:sz w:val="18"/>
                <w:szCs w:val="18"/>
                <w:color w:val="auto"/>
              </w:rPr>
            </w:pPr>
          </w:p>
        </w:tc>
        <w:tc>
          <w:tcPr>
            <w:tcW w:w="10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17. Fair Value Measurements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10"/>
        </w:trPr>
        <w:tc>
          <w:tcPr>
            <w:tcW w:w="220" w:type="dxa"/>
            <w:vAlign w:val="bottom"/>
          </w:tcPr>
          <w:p>
            <w:pPr>
              <w:spacing w:after="0"/>
              <w:rPr>
                <w:sz w:val="18"/>
                <w:szCs w:val="18"/>
                <w:color w:val="auto"/>
              </w:rPr>
            </w:pPr>
          </w:p>
        </w:tc>
        <w:tc>
          <w:tcPr>
            <w:tcW w:w="25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Note 18. Divestiture</w:t>
            </w:r>
          </w:p>
        </w:tc>
        <w:tc>
          <w:tcPr>
            <w:tcW w:w="818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r>
      <w:tr>
        <w:trPr>
          <w:trHeight w:val="20"/>
        </w:trPr>
        <w:tc>
          <w:tcPr>
            <w:tcW w:w="2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790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 19. Plant Optimization Activities</w:t>
            </w:r>
          </w:p>
        </w:tc>
        <w:tc>
          <w:tcPr>
            <w:tcW w:w="790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NN,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0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March 5, 2025 expressed an unqualified opinion on those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NN, Inc. (a Delaware corporation) and subsidiaries (the “Company”) as of December 31, 2024 and 2023, the related consolidated statements of operations and comprehensive income (loss),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5, 2025 expressed an unqualified opinion.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 net of tax</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Reclassification adjustments included in net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71,563</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 and current maturities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288,874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308,084</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perpetual preferred stock - $0.01 par value per share, 65 shares authorized, issued and outstanding at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90,000 shares authorized, 49,908 and 47,269 shares issued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December 31, 2024 and 2023,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Paid-in-kind interest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Impairments of property, plant and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 loss (gain), net of cash settlements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 net of cash dividends received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30"/>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operating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29"/>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received from sale of business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0" w:type="dxa"/>
            <w:vAlign w:val="bottom"/>
          </w:tcPr>
          <w:p>
            <w:pPr>
              <w:spacing w:after="0"/>
              <w:rPr>
                <w:sz w:val="1"/>
                <w:szCs w:val="1"/>
                <w:color w:val="auto"/>
              </w:rPr>
            </w:pP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(47,958)</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equipment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land and buildings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financing obligations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additions to property, plant and equipment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additions to debt issuance costs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0" w:type="dxa"/>
            <w:vAlign w:val="bottom"/>
          </w:tcPr>
          <w:p>
            <w:pPr>
              <w:spacing w:after="0"/>
              <w:rPr>
                <w:sz w:val="1"/>
                <w:szCs w:val="1"/>
                <w:color w:val="auto"/>
              </w:rPr>
            </w:pPr>
          </w:p>
        </w:tc>
      </w:tr>
      <w:tr>
        <w:trPr>
          <w:trHeight w:val="234"/>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3"/>
                <w:szCs w:val="13"/>
                <w:color w:val="auto"/>
              </w:rPr>
            </w:pPr>
          </w:p>
        </w:tc>
        <w:tc>
          <w:tcPr>
            <w:tcW w:w="11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176"/>
        </w:trPr>
        <w:tc>
          <w:tcPr>
            <w:tcW w:w="46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 incentive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468,143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(245,198)</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tax withholdings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incentive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warrants exercised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incentive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of December 31, 2024, we had 26 facilities in North America, South America, Europe, and China. As used in the Notes to Consolidated Financial Statements, the terms the “Company,” “we,” “our,” or “us” refer to NN, Inc. and its subsidiaries.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(“U.S. GAAP”). Certain prior period amounts have been reclassified to conform to the current year’s presentation. Except for per share data or as otherwise indicated, all U.S. dollar amounts and share counts presented in the tables in these Notes to Consolidated Financial Statements are in thousands.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NN, Inc., and its wholly owned subsidiaries. We own a 49% investment in a joint venture (the “JV”) which we account for using the equity method (see Note 8). All intercompany transactions and balances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Consolidated Financial Statements</w:t>
      </w:r>
    </w:p>
    <w:p>
      <w:pPr>
        <w:spacing w:after="0" w:line="6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use estimates and assumptions that affect the reported amounts of certain assets and liabilities, disclosure of contingent assets and liabilities, and the reported amounts of revenues and expenses. Actual results may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6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Segment Reporting (Topic 832):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requires additional disclosures related to reportable segments,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and other segment items. ASU 2023-07 also permits entities to disclose more than one measure of a segment’s profit or loss and requires quarterly disclosure of certain information that is now only required annually. We have adopted ASU 2023-07 for the year ended December 31, 2024 on a retrospective basis, and will present the required interim disclosures beginning with our March 31, 2025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which requires additional annual income tax disclosures. These include a tabular rate reconciliation comprised of eight specific categories, the disaggregation of income taxes paid between federal, state, and foreign jurisdictions, and to disaggregate income from continuing operations before income tax expense and income tax expense from continuing operations between domestic and foreign. ASU 2023-09 eliminates the disclosure of the nature and estimate of reasonably possible changes to unrecognized tax benefits in the next 12 months or that an estimated range cannot be made. ASU 2023-09 is effective for fiscal years beginning on or after December 15, 2024, with early adoption permitted, and can be applied on a prospective or retrospective basis. We plan to adopt ASU 2023-09 in our Form 10-K for the year ended December 31, 2025 and are in the process of assessing the impact on our disclosures.</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Expense Disaggregation Disclosures (Subtopic 220-40): 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(“ASU 2024-03”), which requires disaggregated disclosures of certain categories of expenses that are included in income statement line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fiscal years beginning on or after December 15, 2026, and interim periods within fiscal years beginning after December 15, 2027. Companies may early adopt and can apply the guidance prospectively or retrospectively. The Company has not yet determined the potential impact of adopting this standard.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and highly liquid investments with original maturities of three months or less. We maintain cash balances in transaction accounts with various financial institutions that are insured by the Federal Deposit Insurance Corporation. Although we maintain balances that exceed the federally insured limit, we have not experienced any losses related to these balances, and we believe credit risk to be minimal. We had $9.0 million and $13.5 million in cash and cash equivalents as of December 31, 2024 and 2023, respectively, held at foreign financial institutions.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their net realizable value. We maintain allowances for estimated losses resulting from the inability of our customers to make required payments. The allowances are based on the amount that we ultimately expect to collect from our customers. We evaluate the collectability of accounts receivable based on a combination of factors including number of days receivables are past due, historical collection experience, current market conditions, and forecasted direction of economic and business environment. Accounts receivable are written off at the time a customer receivable is deemed uncollectible.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6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standard costs, which approximates the average cost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also include tools, molds, and dies in progress that we are producing and will ultimately sell to our customers. These inventories are also carried at the lower of cost or net realizable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improvements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 impairment whenever events or changes in circumstances indicate the carrying amount of an asset may not be recoverable. Property, plant and equipment also includes tools, molds, and dies used in manufacturing.</w:t>
      </w:r>
    </w:p>
    <w:p>
      <w:pPr>
        <w:spacing w:after="0" w:line="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Depreciation is calculated based on historical cost using the straight-line method over the estimated useful lives of the depreciable assets. Estimated useful lives for buildings and land improvements generally range from 10 years to 40 years. Estimated useful lives for machinery and equipment generally range from 3 years to 12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determine whether an arrangement is a lease at inception. Lease right-of-use (“ROU”) assets represent our right to use an underlying asset for the lease term, and lease liabilities represent our obligation to make lease payments arising from the lease. Lease ROU assets and liabilities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lease ROU assets is recognized in expense on a straight-line basis over the lease term.</w:t>
      </w:r>
    </w:p>
    <w:p>
      <w:pPr>
        <w:spacing w:after="0" w:line="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recognize short-term leases, which have a term of twelve months or less, on a straight-line basis and do not record a related lease asset or liability for such leases. Finance lease ROU assets consist primarily of equipment used in the manufacturing process with terms of two years to eight years. Operating lease ROU assets consist of the following:</w:t>
      </w:r>
    </w:p>
    <w:p>
      <w:pPr>
        <w:spacing w:after="0" w:line="1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used in the manufacturing process as well as office equipment with terms of five years;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plants and office facilities with terms of four years to 20 years.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sublease certain leased buildings or portions of leased buildings when no longer needed for our current operational needs. Since we retain the obligation to the lessor, the underlying leases continue to be accounted for as operating leases. Sublease income is recognized on a straight-line basis over the lease term and is recognized in the “Other operating expense (income), net” line in the Consolidated Statements of Operations and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Long-lived tangible and intangible assets subject to depreciation or amortization are tested for recoverability when changes in circumstances indicate the carrying value of these assets, or asset groups, may not be recoverable. A test for recoverability is also performed when management has committed to a plan to dispose of a reporting unit or asset group. Recoverability of a long-lived tangible or intangible asset, or asset group,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equity method investment is subject to a review for impairment if, and when, circumstances indicate that a decline in value below its carrying amount may have occurred. Examples of such circumstances include, but are not limited to, a significant deterioration in the earnings performance or business prospects of the investee; a significant adverse change in the regulatory, economic or technological environment of the investee; a significant adverse change in the general market condition of either the geographic area or the industry in which the investee operates; and recurring negative cash flows from operations. If management considers the decline to be other than temporary, we would write down the investment to its estimated fair market value.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generally transfer control and recognize revenue when we ship the product from our manufacturing facilities to our customer at a point in time, as this is when our customer obtains the ability to direct use of, and obtain substantially all of the remaining benefits from, the product. In limited circumstances, we recognize revenue over time as services are rendered. We have elected to recognize the cost for freight and shipping when control over products has transferred to the customer as a component of cost of sales.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81"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utilize the portfolio approach practical expedient to evaluate sales-related discounts on a portfolio basis to contracts with similar characteristics. The effect on our consolidated financial statements of applying the portfolio approach would not differ materially from evaluation of individual contracts.</w:t>
      </w:r>
    </w:p>
    <w:p>
      <w:pPr>
        <w:spacing w:after="0" w:line="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 we estimate the impact to the transaction price based on an analysis of historical experience.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cost of restricted stock awards, performance share units, and stock options is recognized as compensation expense over the vesting periods based on the grant date fair value, as determined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grant-date fair value of restricted stock awards is based on the closing price of our common stock on the date of grant. We use a Monte Carlo simulation for performance share units that include a market condition. The grant-date fair value of performance share units that include performance conditions is based on the closing price of our common stock on the date of grant and compensation expense is recognized based on the estimated outcome of the performance condition. Stock options are valued using the Black Scholes financial pricing model.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Preferred Stock Dividends</w:t>
      </w:r>
    </w:p>
    <w:p>
      <w:pPr>
        <w:spacing w:after="0" w:line="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Dividends are recorded as a reduction to retained earnings. When we have an accumulated deficit, dividends are recorded as a reduction of additional paid-in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65"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(loss)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are recognized as incurred in the “Other expense (income), net” line in the Consolidated Statements of Operations and Comprehensive Income (Loss). For the years ended December 31, 2024, 2023, and 2022, transaction gains (losses) were $(1.3) million, $0.3 million, and $0.2 million,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6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we allocate earnings or losses to common stockholders and participating securities using the two-class method to compute earnings per share (“EPS”) unless the treasury stock method results in a lower EPS. The two-class method is an earnings allocation formula that treats participating securities as having rights to earnings that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otherwise would have been available to common stockholders. Participating securities may participate in undistributed earnings with common stock whether or not that participation is conditioned upon the occurrence of a specified event. Under the two-class method, our net income (loss) is reduced (or increased) by the amount that has been or will be distributed to our participating security holders. We have elected to allocate undistributed income to participating securities based on year-to-date results. Our participating securities, which include restricted stock awards and preferred stock, do not participate in losses.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allocable to common shares by the weighted average number of common shares outstanding, adjusted for participating securities and certain outstanding warrants. Diluted net income (loss) per common share includes the effect of warrants and stock options unless inclusion would not be dilutive.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treat global intangible low-taxed income (“GILTI”) as a periodic charge in the year in which it arises and therefore do not record deferred taxes for basis differences associated with GILTI. We eliminate disproportionate tax effects from accumulated other comprehensive income (loss) when the circumstances upon which they are premised cease to exist.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Assistance</w:t>
      </w:r>
    </w:p>
    <w:p>
      <w:pPr>
        <w:spacing w:after="0" w:line="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received $1.0 million in grants and other programs from various governments outside of the U.S. These amounts were received as rent abatements and incentives for capital expenditures in specific locations. Amounts received were recognized as reductions to the underlying expense or capital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61" w:lineRule="exact"/>
        <w:rPr>
          <w:sz w:val="20"/>
          <w:szCs w:val="20"/>
          <w:color w:val="auto"/>
        </w:rPr>
      </w:pPr>
    </w:p>
    <w:p>
      <w:pPr>
        <w:ind w:left="660" w:hanging="328"/>
        <w:spacing w:after="0" w:line="253" w:lineRule="auto"/>
        <w:tabs>
          <w:tab w:leader="none" w:pos="653" w:val="left"/>
        </w:tabs>
        <w:numPr>
          <w:ilvl w:val="0"/>
          <w:numId w:val="19"/>
        </w:numPr>
        <w:rPr>
          <w:rFonts w:ascii="Calibri" w:cs="Calibri" w:eastAsia="Calibri" w:hAnsi="Calibri"/>
          <w:sz w:val="20"/>
          <w:szCs w:val="20"/>
          <w:i w:val="1"/>
          <w:iCs w:val="1"/>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Mobile Solutions is focused on growth in the automotive, general industrial, and medical end markets. We have developed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 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80" w:lineRule="exact"/>
        <w:rPr>
          <w:rFonts w:ascii="Calibri" w:cs="Calibri" w:eastAsia="Calibri" w:hAnsi="Calibri"/>
          <w:sz w:val="20"/>
          <w:szCs w:val="20"/>
          <w:i w:val="1"/>
          <w:iCs w:val="1"/>
          <w:color w:val="auto"/>
        </w:rPr>
      </w:pPr>
    </w:p>
    <w:p>
      <w:pPr>
        <w:ind w:left="660" w:right="2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Solutions. </w:t>
      </w:r>
      <w:r>
        <w:rPr>
          <w:rFonts w:ascii="Times New Roman" w:cs="Times New Roman" w:eastAsia="Times New Roman" w:hAnsi="Times New Roman"/>
          <w:sz w:val="18"/>
          <w:szCs w:val="18"/>
          <w:color w:val="auto"/>
        </w:rPr>
        <w:t>Power Solutions is focused on growth in the electrical, general industrial, automotive, and medical end markets. Within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we combine materials science expertise with advanced engineering and production capabilities to design and manufacture a broad range of high-precision metal and plastic components, assemblies, and finished devices used in applications ranging from power control to transportation electrification.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These divisions are considered our two operating segments as each has engaged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 The CODM, who is our President and Chief Executive Officer, uses segment operating income (loss) to evaluate the performance of our segments each quarter and for annual forecasting purposes. Operating income (loss) is used to make key operating decisions, such as the amount and timing of capital expenditures, plant optimization actions, and allocation of management resources. In addition to our two reportable segments, we report a Corporate category which includes corporate costs and unallocated expenses.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segment revenues to consolidated loss before provision for income taxes and share of net income from joint venture.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Loss before provision for income taxes and share of net income from</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(45,434)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joint venture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line="20" w:lineRule="exact"/>
              <w:rPr>
                <w:sz w:val="1"/>
                <w:szCs w:val="1"/>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line="20" w:lineRule="exact"/>
              <w:rPr>
                <w:sz w:val="1"/>
                <w:szCs w:val="1"/>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8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1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Loss before provision for income taxes and share of net income from</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(53,671)</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joint venture</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20" w:type="dxa"/>
            <w:vAlign w:val="bottom"/>
          </w:tcPr>
          <w:p>
            <w:pPr>
              <w:spacing w:after="0"/>
              <w:rPr>
                <w:sz w:val="24"/>
                <w:szCs w:val="24"/>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8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518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Loss before provision for income taxes and share of net income from</w:t>
            </w: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joint venture</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560" w:hanging="390"/>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amortization expense and other operating expenses and income.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13,438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29,381</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23"/>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45,302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0" w:type="dxa"/>
            <w:vAlign w:val="bottom"/>
          </w:tcPr>
          <w:p>
            <w:pPr>
              <w:spacing w:after="0"/>
              <w:rPr>
                <w:sz w:val="1"/>
                <w:szCs w:val="1"/>
                <w:color w:val="auto"/>
              </w:rPr>
            </w:pPr>
          </w:p>
        </w:tc>
      </w:tr>
      <w:tr>
        <w:trPr>
          <w:trHeight w:val="21"/>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total assets by reportable segment.</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Solutions (1)</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329,610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Solutions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00" w:right="800" w:hanging="330"/>
        <w:spacing w:after="0" w:line="282" w:lineRule="auto"/>
        <w:tabs>
          <w:tab w:leader="none" w:pos="6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 Mobile Solutions includes $35.0 million and $32.7 million as of December 31, 2024 and 2023, respectively, related to our investment in the JV.</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long-lived tangible assets by country.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127,186</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France</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24,298</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Poland</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Mexico</w:t>
            </w:r>
          </w:p>
        </w:tc>
        <w:tc>
          <w:tcPr>
            <w:tcW w:w="4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foreign countries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201,351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229,169</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revenue by country, based on our customers’ shipping destination.</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2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301,823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46,790</w:t>
            </w: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During the year ended December 31, 2022, we received equipment from a customer as part of the selling price of goods transferred. This noncash consideration was recognized as revenue equal to the fair value of the equipment received.</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 The other category includes products sold in aerospace, defense, medical, and other industries.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24"/>
                <w:szCs w:val="24"/>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24"/>
                <w:szCs w:val="24"/>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Revenue</w:t>
      </w:r>
    </w:p>
    <w:p>
      <w:pPr>
        <w:spacing w:after="0" w:line="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(e.g. contract liability) on the Consolidated Balance Sheets. These contract liabilities are reported on the Consolidated Balance Sheets on a contract-by-contract basis at the end of each reporting period as deferred revenue, which is reported in the “Other current liabilities” line on the Consolidated Balance Sheets.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Changes in the contract liability balances during the year ended December 31, 2024, were not materially impacted by any other factors. The balance of deferred revenue was $0.2 million, $0.4 million and $0.7</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million as of December 31, 2024, 2023 and 2022, respectively. Revenue recognized for performance obligations satisfied or partially satisfied during the years ended December 31, 2024, 2023 and 2022, included $0.4 million, $0.7 million and $0.5 million, respectively, that was included in deferred revenue as of the prior year-end.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December 31, 2024, unless our contracts meet one of the practical expedients. Our contracts met the practical expedient for a performance obligation that is part of a contract that has an original expected duration of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a Contract</w:t>
      </w:r>
    </w:p>
    <w:p>
      <w:pPr>
        <w:spacing w:after="0" w:line="6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recognize commissions paid to internal sales personnel that are incremental to obtaining customer contracts as an expense when incurred since the amortization period is less than one year. Costs to obtain a contract are expensed as selling, general and administrative expense.</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Sales, VAT, and other taxes we collect concurrent with revenue-producing activities are excluded from revenue. Incidental items that are immaterial in the context of the contract are recognized as expense.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accounted for 10% or more of consolidated net sales, during the years ended December 31, 2024,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impact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one customer represented 11% and 13%, respectively, of our consolidated accounts receivable balance. Amounts due from this customer are primarily related to Mobile Solutions.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During the years ended December 31, 2024, 2023 and 2022, we incurred fees of $1.1 million, $1.1 million and $0.6 million, respectively, related to the sale of receivables which is recorded in the Other expense (income), net line item on the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61,877</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71,563</w:t>
            </w: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comprised of the following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61,007</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339,792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375,352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402,566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439,825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240,532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254,013</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162,034</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185,812</w:t>
            </w:r>
          </w:p>
        </w:tc>
      </w:tr>
      <w:tr>
        <w:trPr>
          <w:trHeight w:val="21"/>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2023, and 2022, we recorded depreciation expense of $31.6 million, $32.0 million, and $31.4 million, respectively. During the year ended 2024, we recognized $0.9 million of accelerated depreciation expense due to changes in the estimated remaining useful life of certain machinery and equipment.</w:t>
      </w:r>
    </w:p>
    <w:p>
      <w:pPr>
        <w:spacing w:after="0" w:line="5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We monitor property, plant and equipment for any indicators of potential impairment. We recognized an impairment of $6.5 million for the year ended December 31, 2024, related to machinery and equipment located at a plant that will close in 2025. The machinery and equipment were adjusted down to their fair value, which was determined based on quoted market prices for similar assets. The impairment loss, which was reported within our Mobile Solutions group, is recognized in the “Other expense (income), net” line in the Consolidated Statements of Operations and Comprehensive Income (Loss). There were no impairment charges for the years ended December 31, 2023, and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Mobile Solutions</w:t>
            </w:r>
          </w:p>
        </w:tc>
        <w:tc>
          <w:tcPr>
            <w:tcW w:w="18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Power Solutions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58,724</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sold (1)</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44,410</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500" w:right="1040" w:hanging="330"/>
        <w:spacing w:after="0" w:line="282" w:lineRule="auto"/>
        <w:tabs>
          <w:tab w:leader="none" w:pos="5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customer relationships associated with the Industrial Molding Corporation business, which was sold during the year ended December 31, 2024 (see Note 18).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cost and accumulated amortization of our intangible assets as of December 31,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14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57,175</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 and trade name</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that are fully amortized are removed and no longer represented in the gross carrying value or accumulated amortization.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estimated future amortization expense for each of the next five years.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2025</w:t>
            </w:r>
          </w:p>
        </w:tc>
        <w:tc>
          <w:tcPr>
            <w:tcW w:w="52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2026</w:t>
            </w:r>
          </w:p>
        </w:tc>
        <w:tc>
          <w:tcPr>
            <w:tcW w:w="5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r>
      <w:tr>
        <w:trPr>
          <w:trHeight w:val="229"/>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2027</w:t>
            </w:r>
          </w:p>
        </w:tc>
        <w:tc>
          <w:tcPr>
            <w:tcW w:w="5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2028</w:t>
            </w:r>
          </w:p>
        </w:tc>
        <w:tc>
          <w:tcPr>
            <w:tcW w:w="5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29"/>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2029</w:t>
            </w:r>
          </w:p>
        </w:tc>
        <w:tc>
          <w:tcPr>
            <w:tcW w:w="5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There were no impairment charges for the years ended December 31, 2024,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Joint Venture</w:t>
      </w:r>
    </w:p>
    <w:p>
      <w:pPr>
        <w:spacing w:after="0" w:line="67"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a joint venture located in Wuxi, China. The JV is jointly controlled and managed, and we account for it under the equity method, with the share of net income from the joint venture recorded in the Mobile Solutions segment.</w:t>
      </w:r>
    </w:p>
    <w:p>
      <w:pPr>
        <w:sectPr>
          <w:pgSz w:w="11900" w:h="16838" w:orient="portrait"/>
          <w:cols w:equalWidth="0" w:num="1">
            <w:col w:w="11240"/>
          </w:cols>
          <w:pgMar w:left="320" w:top="229"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changes in our investment in the JV.</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paid by joint venture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860" w:hanging="853"/>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32,701</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9,571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(6,260)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(1,041)</w:t>
      </w:r>
    </w:p>
    <w:p>
      <w:pPr>
        <w:spacing w:after="0" w:line="31" w:lineRule="exact"/>
        <w:rPr>
          <w:sz w:val="20"/>
          <w:szCs w:val="20"/>
          <w:color w:val="auto"/>
        </w:rPr>
      </w:pPr>
    </w:p>
    <w:p>
      <w:pPr>
        <w:ind w:left="860" w:hanging="853"/>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720"/>
            <w:col w:w="1420"/>
          </w:cols>
          <w:pgMar w:left="320" w:top="22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summarized financial information of the unconsolidated JV.</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06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101,565</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84,654</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22,790</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r>
      <w:tr>
        <w:trPr>
          <w:trHeight w:val="390"/>
        </w:trPr>
        <w:tc>
          <w:tcPr>
            <w:tcW w:w="7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r>
      <w:tr>
        <w:trPr>
          <w:trHeight w:val="23"/>
        </w:trPr>
        <w:tc>
          <w:tcPr>
            <w:tcW w:w="7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gridSpan w:val="2"/>
          </w:tcPr>
          <w:p>
            <w:pPr>
              <w:spacing w:after="0"/>
              <w:rPr>
                <w:sz w:val="16"/>
                <w:szCs w:val="16"/>
                <w:color w:val="auto"/>
              </w:rPr>
            </w:pPr>
          </w:p>
        </w:tc>
        <w:tc>
          <w:tcPr>
            <w:tcW w:w="13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68,508</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77,554</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68,665</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sales to the JV of $0, $0, and $0.1 million during the years ended December 31, 2024,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outstanding on our debt facilities.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114,397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 from sale-leaseback transactions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 (1)</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r>
      <w:tr>
        <w:trPr>
          <w:trHeight w:val="223"/>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148,630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153,279</w:t>
            </w: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580" w:right="200" w:hanging="248"/>
        <w:spacing w:after="0" w:line="282" w:lineRule="auto"/>
        <w:tabs>
          <w:tab w:leader="none" w:pos="5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$1.2 million and $0.5 million related to asset backed credit facilities were recorded in other non-current assets as of December 31, 2024 and 2023, respectively.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$1.2 million, $1.3 million, and $0.6 million in the years ended December 31, 2024, 2023, and 2022, respectively, related to construction in progress.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22, 2021, we entered into a $150.0 million term loan facility (as amended from time to time, the “Term Loan Facility”), on which outstanding borrowings bear interest at either: 1) one-month, three-month, or six-month term secured overnight finance rate (“SOFR”) with a duration adjustment (“Adjusted Term SOFR”), subject to a 1.000% floor, plus an applicable margin of 6.875%, or 2) the greater of various benchmark rates plus an applicable margin of 5.875%. Beginning in</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second quarter of 2023, interest was increased on a paid-in-kind basis at a rate between 1.00% and 2.00% (“PIK interest”), dependent on our net leverage ratio for the most recently reported fiscal quarter and subject to reduction upon the occurrence of certain conditions as set forth in the credit agreement governing the Term Loan Facility. The PIK interest is payable on the loan maturity date of September 22, 2026. At December 31, 2024, the Term Loan Facility bore interest, including PIK interest, based on one-month Adjusted Term SOFR, at 12.332%.</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December 31, 2024.</w:t>
      </w:r>
    </w:p>
    <w:p>
      <w:pPr>
        <w:spacing w:after="0" w:line="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capitalized an additional $5.5 million in new debt issuance costs. These costs are recorded as a direct reduction to the carrying amount of the associated long-term debt and amortized over the term of the debt.</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had an interest rate swap that changed the applicable variable base rate to a fixed rate of 1.291% on $60.0 million of the outstanding balance of the Term Loan Facility. During the first quarter of 2023, we terminated the interest rate swap and received cash proceeds of $2.5 million which was equal to its fair value.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30, 2024, we entered into a new asset backed credit facility (the “ABL Facility”) which provides for a senior secured revolving credit facility in the amount of $50.0 million, of which $15.0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at either: 1) the one, three or six month SOFR plus 1.50%, plus an adjustment of 0.10% (“Term SOFR Rate”); or 2) the highest of the base commercial lending rate of the lender or various benchmark rates plus an applicable margin of 0.50% or 1.00%, depending on the benchmark (“Alternative Base Rate”). At December 31, 2024, based on a one-month Term SOFR Rate, the interest rate on outstanding borrowings under the ABL Facility was 5.94%. We incur a commitment fee of 0.25% for unused capacity under the ABL Facility and a 1.85% fee on the amount of letters of credit outstanding. The final maturity date of the ABL Facility is the earlier of: 1) December 30, 2029; or 2) 91 days prior to the loan maturity date of the Term Loan Facility. We capitalized a total of $1.2 million in new debt issuance costs related to the ABL Facility.</w:t>
      </w:r>
    </w:p>
    <w:p>
      <w:pPr>
        <w:spacing w:after="0" w:line="8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2024, we had $5.4 million outstanding borrowings under the ABL Facility, $10.4 million of outstanding letters of credit, and $15.0 million available for future borrowings under the ABL Facility. The ABL Facility is secured by a perfected lien over substantially all of the Company’s assets. We were in compliance with all requirements under the ABL Facility as of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ABL Facility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22, 2021, we entered into an asset backed credit facility (as amended from time to time, the “2021 ABL Facility”) which provided for a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senior secured revolving credit facility, of which a maximum of $30.0 million was available in the form of letters of credit and a maximum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was available for the issuance of short-term swingline loans. On December 30, 2024, we terminated the 2021 ABL Facility and paid down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million of outstanding borrowings. The availability of credit under the 2021 ABL Facility was limited by a borrowing base calculation derived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and inventory held in the United States. Outstanding borrowings under the 2021 ABL Facility bore interest on a variable rate 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an interest rate spread that was based on the average amount of aggregate revolving commitment available. The variable borrowing rate was either: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Term SOFR plus an applicable margin of 1.75% or 2.00%, depending on availability; or 2) the greater of the federal funds rate or prime, plus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margin of 0.75% or 1.00%, depending on availability. At December 30, 2024, using one-month Adjusted Term SOFR plus a 2.00% margin,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on outstanding borrowings under the 2021 ABL Facility was 6.568%. We incurred a commitment fee of 0.375% for unused capacity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ABL Facility and a 2.125% fee on the amount of letters of credit outstanding. During the year ended December 31, 2024, we recognized a $0.3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loss on extinguishment in connection with the termination of the 2021 ABL Facility.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Transactions</w:t>
      </w:r>
    </w:p>
    <w:p>
      <w:pPr>
        <w:spacing w:after="0" w:line="52"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In March 2024, we sold three of our properties for an aggregate sales price of $16.9 million, with the net proceeds used to repay a portion of the outstanding borrowings under the Term Loan Facility. Concurrent with the sale, we entered into a 20-year lease agreement for these properties. Since the lease agreement allows for us to exercise renewal options that extend for substantially all of the remaining economic life, we have the ability to maintain the risks and rewards of ownership. Since the transaction did not transfer control of the assets, it cannot be accounted for as a sale under ASC 606. As a result, the properties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remain on our Consolidated Balance Sheets and the non-land assets will continue to be depreciated over their remaining useful lives. The $16.9 million of gross proceeds was recognized as a financing obligation as a component of long-term debt. The monthly lease payments, which increase 3.0% each year, are being amortized as principal payments and interest expense based on an effective interest rate of 9.715%. We incurred $0.6 million in debt issuance costs related to this transaction, which are being amortized over the term of the debt.</w:t>
      </w:r>
    </w:p>
    <w:p>
      <w:pPr>
        <w:spacing w:after="0" w:line="7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March 2024, we sold multiple pieces of manufacturing equipment for an aggregate sales price of $4.9 million. Concurrent with the sale, we entered into a 5-year lease agreement that includes a repurchase option for this equipment. In May 2024, we sold additional pieces of manufacturing equipment for an aggregate sales price of $3.4 million and entered into 5-year and 6-year lease agreements for the equipment. Since the three lease agreements allow for us to exercise an early buyout option, we have the ability to maintain the risks and rewards of ownership. Since the transactions did not transfer control of the assets, they cannot be accounted for as sales under ASC 606. As a result, the assets remain on our Consolidated Balance Sheets and will continue to be depreciated over their remaining useful lives. The $8.3 million of gross proceeds was recognized as a financing obligation as a component of long-term debt. The monthly lease payments are being amortized as principal payments and interest expense on a weighted average effective interest rate of 10.540%.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Loans</w:t>
      </w:r>
    </w:p>
    <w:p>
      <w:pPr>
        <w:spacing w:after="0" w:line="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fixed rate debt with various financial institutions in France, Poland and China, with maturity dates between 2025 and 2033. These loans, which were obtained to fund working capital and equipment purchases, had a weighted average interest rate of 2.320% at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aggregate maturities of debt for each of the next five years.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2025</w:t>
            </w:r>
          </w:p>
        </w:tc>
        <w:tc>
          <w:tcPr>
            <w:tcW w:w="51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r>
      <w:tr>
        <w:trPr>
          <w:trHeight w:val="229"/>
        </w:trPr>
        <w:tc>
          <w:tcPr>
            <w:tcW w:w="50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2026</w:t>
            </w:r>
          </w:p>
        </w:tc>
        <w:tc>
          <w:tcPr>
            <w:tcW w:w="5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122,018</w:t>
            </w:r>
          </w:p>
        </w:tc>
      </w:tr>
      <w:tr>
        <w:trPr>
          <w:trHeight w:val="229"/>
        </w:trPr>
        <w:tc>
          <w:tcPr>
            <w:tcW w:w="50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2027</w:t>
            </w:r>
          </w:p>
        </w:tc>
        <w:tc>
          <w:tcPr>
            <w:tcW w:w="5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230"/>
        </w:trPr>
        <w:tc>
          <w:tcPr>
            <w:tcW w:w="50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2028</w:t>
            </w:r>
          </w:p>
        </w:tc>
        <w:tc>
          <w:tcPr>
            <w:tcW w:w="5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r>
      <w:tr>
        <w:trPr>
          <w:trHeight w:val="229"/>
        </w:trPr>
        <w:tc>
          <w:tcPr>
            <w:tcW w:w="50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2029</w:t>
            </w:r>
          </w:p>
        </w:tc>
        <w:tc>
          <w:tcPr>
            <w:tcW w:w="5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Preferred Stock</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22, 2021, we completed a private placement of 65,000 shares of newly designated Series D Perpetual Preferred Stock, with a par value of $0.01 per share (the “Series D Preferred Stock”), at a price of $1,000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 and are limited based on terms and conditions of the Term Loan Agreement.</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spacing w:after="0" w:line="75"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As of December 31, 2024, the carrying value of the Series D Preferred Stock shares was $93.5 million, which included $46.8 million of accumulated unpaid and deemed dividends. The following table presents the change in the Series D Preferred Stock carrying value.</w:t>
      </w: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77,799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93,497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64,701</w:t>
            </w:r>
          </w:p>
        </w:tc>
      </w:tr>
      <w:tr>
        <w:trPr>
          <w:trHeight w:val="20"/>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expense: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4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 (1)</w:t>
            </w:r>
          </w:p>
        </w:tc>
        <w:tc>
          <w:tcPr>
            <w:tcW w:w="3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4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340" w:type="dxa"/>
            <w:vAlign w:val="bottom"/>
            <w:vMerge w:val="continue"/>
          </w:tcPr>
          <w:p>
            <w:pPr>
              <w:spacing w:after="0"/>
              <w:rPr>
                <w:sz w:val="20"/>
                <w:szCs w:val="20"/>
                <w:color w:val="auto"/>
              </w:rPr>
            </w:pPr>
          </w:p>
        </w:tc>
        <w:tc>
          <w:tcPr>
            <w:tcW w:w="3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 Excludes expenses related to leases with a lease term of one month or less.</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lease-related assets and liabilities recorded on the balance sheet.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426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Borders>
              <w:bottom w:val="single" w:sz="8" w:color="CCEEFF"/>
            </w:tcBorders>
          </w:tcPr>
          <w:p>
            <w:pPr>
              <w:spacing w:after="0"/>
              <w:rPr>
                <w:sz w:val="16"/>
                <w:szCs w:val="16"/>
                <w:color w:val="auto"/>
              </w:rPr>
            </w:pPr>
          </w:p>
        </w:tc>
        <w:tc>
          <w:tcPr>
            <w:tcW w:w="4260" w:type="dxa"/>
            <w:vAlign w:val="bottom"/>
            <w:tcBorders>
              <w:bottom w:val="single" w:sz="8" w:color="auto"/>
            </w:tcBorders>
            <w:gridSpan w:val="2"/>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tcPr>
          <w:p>
            <w:pPr>
              <w:spacing w:after="0"/>
              <w:rPr>
                <w:sz w:val="19"/>
                <w:szCs w:val="19"/>
                <w:color w:val="auto"/>
              </w:rPr>
            </w:pP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43,357</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assets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lease assets</w:t>
            </w:r>
          </w:p>
        </w:tc>
        <w:tc>
          <w:tcPr>
            <w:tcW w:w="3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55,896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56,956</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5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59,551</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supplemental cash flow information related to leases.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8,511</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weighted-average discount rate for operating and finance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486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3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years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years</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3160" w:type="dxa"/>
            <w:vAlign w:val="bottom"/>
          </w:tcPr>
          <w:p>
            <w:pPr>
              <w:spacing w:after="0"/>
              <w:rPr>
                <w:sz w:val="19"/>
                <w:szCs w:val="19"/>
                <w:color w:val="auto"/>
              </w:rPr>
            </w:pPr>
          </w:p>
        </w:tc>
        <w:tc>
          <w:tcPr>
            <w:tcW w:w="22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2.6 years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years</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846"/>
        </w:trPr>
        <w:tc>
          <w:tcPr>
            <w:tcW w:w="4860" w:type="dxa"/>
            <w:vAlign w:val="bottom"/>
          </w:tcPr>
          <w:p>
            <w:pPr>
              <w:spacing w:after="0"/>
              <w:rPr>
                <w:sz w:val="24"/>
                <w:szCs w:val="24"/>
                <w:color w:val="auto"/>
              </w:rPr>
            </w:pPr>
          </w:p>
        </w:tc>
        <w:tc>
          <w:tcPr>
            <w:tcW w:w="316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51</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lease liabilities as of December 31, 2024,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Subleases</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entered into subleases for certain leased buildings or portions of leased buildings when no longer needed for our current operational needs. The weighted-average remaining lease term of our subleases is 9.7 years. In June 2023, we began subleasing our Taunton and Irvine sites, under subleases that extend through the lease termination dates of the respective head leases. We are subleasing a portion of our leased corporate headquarters office space under two separate subleases that expire in 2027 and 2029, respectively. The undiscounted cash flows to be received under operating subleases subsequent to December 31, 2024,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We have obtained multiple favorable decisions and one unfavorable decision.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$2.0 million, inclusive of interest and penalties.</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Accordingly, we do not expect such losses, if any, to have a material impact on our business, operations or financial results.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income (loss) before benefit (provision) for income taxes and share of net income from joint venture.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(64,394)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(40,543)</w:t>
            </w: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9,474</w:t>
            </w:r>
          </w:p>
        </w:tc>
      </w:tr>
      <w:tr>
        <w:trPr>
          <w:trHeight w:val="248"/>
        </w:trPr>
        <w:tc>
          <w:tcPr>
            <w:tcW w:w="2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(45,434)</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(53,671)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7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total income tax expense (benefit) recognized in each year.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3"/>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09"/>
        </w:trPr>
        <w:tc>
          <w:tcPr>
            <w:tcW w:w="20" w:type="dxa"/>
            <w:vAlign w:val="bottom"/>
          </w:tcPr>
          <w:p>
            <w:pPr>
              <w:spacing w:after="0"/>
              <w:rPr>
                <w:sz w:val="18"/>
                <w:szCs w:val="18"/>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r>
      <w:tr>
        <w:trPr>
          <w:trHeight w:val="230"/>
        </w:trPr>
        <w:tc>
          <w:tcPr>
            <w:tcW w:w="20" w:type="dxa"/>
            <w:vAlign w:val="bottom"/>
          </w:tcPr>
          <w:p>
            <w:pPr>
              <w:spacing w:after="0"/>
              <w:rPr>
                <w:sz w:val="19"/>
                <w:szCs w:val="19"/>
                <w:color w:val="auto"/>
              </w:rPr>
            </w:pPr>
          </w:p>
        </w:tc>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U.S. federal, state and foreign valuation allowance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10,449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r>
      <w:tr>
        <w:trPr>
          <w:trHeight w:val="223"/>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3"/>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8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income taxes based on the U.S. federal statutory income tax rate.</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exclusive of state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taxes, exclusive of tax reform</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earnings taxed at different rates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true-up</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on CARES Act refund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on unremitted foreign earnings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lending</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revaluation</w:t>
            </w:r>
          </w:p>
        </w:tc>
        <w:tc>
          <w:tcPr>
            <w:tcW w:w="28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2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Our effective tax rate was (5.3)% for the year ended December 31, 2024. The effective tax rate differed from the U.S. federal statutory tax rate of 21% primarily due to the accrual of tax on non-permanently reinvested unremitted earnings of foreign subsidiaries, foreign tax rate differences and the limitation on the amount of tax benefit recorded for losses in certain jurisdictions where we believe it is more likely than not that a future tax benefit may not be realized. Our effective tax rate was (4.3)% and (5.2)% for the years ended December 31, 2023 and 2022, respectively, which differed from the U.S. federal statutory tax rate of 21% primarily due to the impact of our valuation allowance changes during each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(the “CARES Act”). During the years ended December 31, 2024 and 2023, we accrued $0.7 million and $0.6 million, respectively, of interest on the CARES Act refund. Including interest accrued on the initial refund amount, we have a $12.3 million tax refund receivable at December 31, 2024, which is in the process of IRS review. The timing of the receipt of the refund is expected in the first half of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principal components of the deferred tax assets and liabilities.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in excess of book depreciation</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unremitted foreign earnings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3"/>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50,509</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174 research and development costs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personnel accruals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32,043</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9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93,783</w:t>
            </w: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(47,528)</w:t>
            </w:r>
          </w:p>
        </w:tc>
      </w:tr>
      <w:tr>
        <w:trPr>
          <w:trHeight w:val="223"/>
        </w:trPr>
        <w:tc>
          <w:tcPr>
            <w:tcW w:w="78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December 31, 2024, we had a $28.4 million U.S. federal net operating loss (“NOL”) carryover. The federal NOL has an indefinite life, but utilization within any tax year is limited to 80% of taxable income. Management has determined it is more likely than not this NOL will not be realized and has established a full valuation allowance against the deferred tax asset. As of December 31, 2024, we had $16.3 million of tax effected, state NOL carryovers, which begin to expire in 2030. Management has determined it is more likely than not these state NOL’s will not be realized and has established a full valuation allowance against these deferred tax assets. We also have $10.5 million, tax-effected, of foreign NOL carryovers at December 31, 2024. The foreign NOLs have an indefinite life; however, management believes that benefit for certain of the foreign NOLs may not be realized. Therefore, we have established a valuation allowance of $7.7 million to reduce the carrying value of the asset related to foreign NOLs to the amount that has been determined to be more likely than not realized.</w:t>
      </w:r>
    </w:p>
    <w:p>
      <w:pPr>
        <w:spacing w:after="0" w:line="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$0.4 million and $2.7 million of U.S. federal tax credits and tax credits in foreign jurisdictions, respectively, as of December 31, 2024. We have recognized a full valuation allowance against these tax credits. In addition, we have other federal and state deferred tax assets of $11.7 million that we believe it is more likely than not will not be realized for which we have established a full valuation allowance.</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 U.S. federal and state deferred tax asset related to interest expense carryforwards. Management believes it is more likely than not that the benefit for this asset will not be realized. We have established a valuation allowance of $18.6 million to eliminate the carrying value of this asset.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assesses available positive and negative evidence to estimate whether it is more likely than not sufficient future taxable income will be generated to provide use of the existing deferred tax assets. A significant piece of objective negative evidence evaluated is cumulative losses incurred over the three-year period ended December 31, 2024. Such objective evidence limits the ability to consider other subjective evidence, such as our projections for future earnings growth. On the basis of this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evaluation, as of December 31, 2024, a valuation allowance of $59.3 million has been recorded to recognize only the portion of the deferred tax asset that is more likely than not to be realized without consideration of future earnings growth.</w:t>
      </w:r>
    </w:p>
    <w:p>
      <w:pPr>
        <w:spacing w:after="0" w:line="5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Management believes all remaining tax assets will more likely than not be realized. However, the amount of the deferred tax asset realized will change based on future conditions, and the amount considered realizable will be adjusted if objective negative evidence in the form of cumulative losses is no longer present allowing additional weight to be given to subjective evidence such as our projections for growth.</w:t>
      </w:r>
    </w:p>
    <w:p>
      <w:pPr>
        <w:spacing w:after="0" w:line="68"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During 2024, the valuation allowance increased by $11.8 million, primarily due to allowances recorded against U.S. federal net operating loss carryforwards, and carryforwards of disallowed interest expense which are subject to certain annual deduction limitations.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result of the deemed mandatory repatriation provisions in the U.S. Tax Cuts and Jobs Act of 2017 and subsequent recognition in income of GILTI, we do not have material basis differences related to cumulative unremitted earnings for U.S. income tax purposes. However, we continue to evaluate the impact that repatriation of foreign earnings would have on withholding and other taxes. As of December 31, 2024, we have recorded a liability of $4.5 million for the anticipated withholding taxes that would be due upon repatriation of the unremitted earnings of those subsidiaries for which management does not intend to permanently reinvest.</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U.S. federal income tax as well as tax in several foreign jurisdictions. We are also subject to tax by various state authorities. The tax years subject to examination vary by jurisdiction. We are no longer subject to U.S. federal examination for periods before 2021. We regularly assess the outcomes of both ongoing and future examinations for the current or prior years to ensure our provision for income taxes is sufficient. We recognize liabilities based on estimates of whether additional taxes will be due, and we believe our reserves are adequate in relation to any potential assessments. The outcome of any one examination, some of which may conclude during the next twelve months, is not expected to have a material impact on our financial position or results of operations.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federal, state, and foreign income tax matters are recorded as a component of the provision for income taxes in our Consolidated Statements of Operations and Comprehensive Income (Loss). Accrued interest and penalties of $0.5 million and $0.5 million are included in other non-current liabilities as of December 31,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amounts of unrecognized tax benefits, excluding interest and penalties.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14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decrease to unrecognized tax benefits in 2024 is related to the foreign currency remeasurement of previously unrecognized tax benefits. As of December 31, 2024, the unrecognized tax benefits would, if recognized, impact our effective tax rate by $0.7 million, inclusive of the impact of interest and penalties. Management believes that it is reasonably possible that the amount of unrecognized income tax benefits, including interest and penalties, may not decrease during the next twelve months as no statutes are expected to lapse within the period.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preferred stock cumulative dividends and deemed dividends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(36,992)</w:t>
            </w: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43,738</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warrants outstanding (1)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44,680</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55"/>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86" w:lineRule="exact"/>
        <w:rPr>
          <w:sz w:val="20"/>
          <w:szCs w:val="20"/>
          <w:color w:val="auto"/>
        </w:rPr>
      </w:pPr>
    </w:p>
    <w:p>
      <w:pPr>
        <w:ind w:left="900" w:right="340" w:hanging="244"/>
        <w:spacing w:after="0" w:line="282" w:lineRule="auto"/>
        <w:tabs>
          <w:tab w:leader="none" w:pos="9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that are exercisable at an exercise price of $0.01 per share, are included in shares outstanding for calculation of basic earnings per share (see Note 17).</w:t>
      </w:r>
    </w:p>
    <w:p>
      <w:pPr>
        <w:spacing w:after="0" w:line="5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that were excluded from the calculation of diluted net income (loss) per common share because they had an anti-dilutive effect.</w:t>
      </w:r>
    </w:p>
    <w:p>
      <w:pPr>
        <w:ind w:left="8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0"/>
        </w:trPr>
        <w:tc>
          <w:tcPr>
            <w:tcW w:w="7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Stock options excluded from the EPS calculations had a per share exercise price ranging from $7.93 to $25.16 for the year ended December 31, 2024. The 2019 Warrants excluded from the EPS calculations for the year ended December 31, 2024 had a per share exercise price of $11.03 (see Note 17). Performance share units are potentially dilutive when the related performance criterion has been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Share-Based Compensation</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2024, we have 3.4 million shares available that can be issued to employees and non-executive directors under the NN, Inc. 2022 Amended and Restated Omnibus Incentive Plan and prior plans (collectively, the “Incentive Plans”), as options, stock appreciation rights, and other share-based awards. Shares of our common stock delivered upon exercise or vesting may consist of newly issued shares of our common stock or shares acquired in the open market.</w:t>
      </w:r>
    </w:p>
    <w:p>
      <w:pPr>
        <w:spacing w:after="0" w:line="7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Share-based compensation expense is recognized in the “Selling, general, and administrative expense” line in the Consolidated Statements of Operations and Comprehensive Income (Loss). The following table lists the components of share-based compensation expense by type of award.</w:t>
      </w: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0"/>
        </w:trPr>
        <w:tc>
          <w:tcPr>
            <w:tcW w:w="5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unvested awards was $7.4 million as of December 31, 2024, which will be recognized over a weighted-average period of 3.4 years.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we granted 660,000, 3,782,000, and 897,000 shares of restricted stock with weighted average grant-date fair values of $4.25, $1.37, and $3.31 per share, respectively. The total grant-date fair value of restricted stock that vested in the years ended December 31, 2024, 2023, and 2022, was $2.0 million, $4.2 million, and $2.1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December 31, 2024 and changes during the year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2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46"/>
        </w:trPr>
        <w:tc>
          <w:tcPr>
            <w:tcW w:w="784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ind w:right="595"/>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96"/>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granted 390,000 shares of restricted stock to non-executive directors, officers and certain other employees which vest pro-rata over three years for employees and over one year for non-executive directors. In addition, we granted 270,000 shares of restricted stock to new executive officers as inducement grants, during the year ended December 31, 2024, which vest pro-rata over five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vest upon achieving specified performance targets over a performance period, which are based on total shareholder return (“TSR Awards”), return on invested capital (“ROIC Awards”), or on the Company’s stock price meeting specified thresholds (“Inducement Awards”). PSUs cliff-vest at the end of the performance period and expire automatically if the performance metric thresholds are not met during the performance period.</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TSR Awards vest, if at all, upon our achieving a specified relative total shareholder return, which will be measured against the total shareholder return of a specified index, as defined by the Incentive Plans, during the performance periods. The ROIC Awards vest, if at all, upon our achieving a specified average return on invested capital during the performance periods. The performance periods for TSR Awards and ROIC Awards begins on January 1st of the year of grant and ends three years later on December 31st. The Inducement Awards are earned upon our stock price meeting specified thresholds for any 20 consecutive trading days during the five-year performance period.</w:t>
      </w:r>
    </w:p>
    <w:p>
      <w:pPr>
        <w:spacing w:after="0" w:line="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PSUs that vest will be settled by the issuance of shares of our common stock with the actual number of shares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PSUs as of December 31, 2024 and activity during the year then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37"/>
        </w:trPr>
        <w:tc>
          <w:tcPr>
            <w:tcW w:w="7840" w:type="dxa"/>
            <w:vAlign w:val="bottom"/>
          </w:tcPr>
          <w:p>
            <w:pPr>
              <w:spacing w:after="0"/>
              <w:rPr>
                <w:sz w:val="11"/>
                <w:szCs w:val="11"/>
                <w:color w:val="auto"/>
              </w:rPr>
            </w:pPr>
          </w:p>
        </w:tc>
        <w:tc>
          <w:tcPr>
            <w:tcW w:w="16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Nonvested PSU Awards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right"/>
              <w:ind w:right="595"/>
              <w:spacing w:after="0" w:line="137"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granted 175,000 TSR Awards to executive officers under the Incentive Plans for the 2023 to 2025 performance period, and 415,000 Inducement Awards to new executive officers. During the years ended December 31, 2023 and 2022, we granted 3,621,000 and 790,000 PSUs with weighted average grant-date fair values of $1.14 and $2.58 per share, respectively.</w:t>
      </w:r>
    </w:p>
    <w:p>
      <w:pPr>
        <w:spacing w:after="0" w:line="6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total grant-date fair value of PSU’s that vested in the years ended December 31, 2024, 2023, and 2022, was $0.1 million, $0.3 million, and $0,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6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Stock options, which were last granted in 2020, have an exercise price equal to the closing price of our stock on the date of grant, an exercise term of ten years, and a vesting period of three years. The following table presents stock option activity for the year ended December 31, 2024.</w:t>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8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80" w:type="dxa"/>
            <w:vAlign w:val="bottom"/>
            <w:gridSpan w:val="3"/>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tcPr>
          <w:p>
            <w:pPr>
              <w:jc w:val="center"/>
              <w:ind w:right="72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20" w:type="dxa"/>
            <w:vAlign w:val="bottom"/>
            <w:tcBorders>
              <w:top w:val="single" w:sz="8" w:color="auto"/>
            </w:tcBorders>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tcPr>
          <w:p>
            <w:pPr>
              <w:jc w:val="center"/>
              <w:ind w:left="895"/>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2024</w:t>
            </w:r>
          </w:p>
        </w:tc>
        <w:tc>
          <w:tcPr>
            <w:tcW w:w="1420" w:type="dxa"/>
            <w:vAlign w:val="bottom"/>
            <w:tcBorders>
              <w:bottom w:val="single" w:sz="8" w:color="auto"/>
            </w:tcBorders>
            <w:shd w:val="clear" w:color="auto" w:fill="CCEEFF"/>
          </w:tcPr>
          <w:p>
            <w:pPr>
              <w:jc w:val="center"/>
              <w:ind w:left="935"/>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2.6 years  $</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980" w:right="200" w:hanging="324"/>
        <w:spacing w:after="0" w:line="282" w:lineRule="auto"/>
        <w:tabs>
          <w:tab w:leader="none" w:pos="9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December 31, 2024, was greater than the exercise price of any individual option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Income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recognized in interest expense on effective interest rate swap.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certain features of our preferred stock and long-term debt were bifurcated and accounted for as derivatives separately.</w:t>
      </w:r>
    </w:p>
    <w:p>
      <w:pPr>
        <w:spacing w:after="0" w:line="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conjunction with an amendment to our Term Loan in 2023,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 During the year ended December 31, 2024, 500,000 of the 2023 Warrants were exercised on a cashless basis, resulting in the issuance of 499,000 shares.</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conjunction with our placement of the Series D Preferred Stock in 2021, we issued warrants to purchase up to 1.9 million shares of our common stock (the “2021 Warrants”). The 2021 Warrants were exercisable, in full or in part, at an exercise price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of $0.01 per share, subject to anti-dilution adjustments in the event of certain future equity issuances, stock splits, stock dividends, combinations or similar events. During the year ended December 31, 2024, all of the 2021 Warrants were exercised on a cashless basis, resulting in the issuance of 1,896,000 shares.</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conjunction with our placement of the Series B Preferred Stock in 2019, we issued warrants to purchase up to 1.5 million shares of our common stock (the “2019 Warrants”).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liability balance of the embedded derivatives.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1000" w:hanging="328"/>
        <w:spacing w:after="0" w:line="282" w:lineRule="auto"/>
        <w:tabs>
          <w:tab w:leader="none" w:pos="7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embedded derivatives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the 2023 Warrants and 2021 Warrants is determined using the observable market price of a share of our common stock, less the $0.01 per share exercise price (Level 1).</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(Level 3). The probabilities resulted in a weighted average term of 2.0 years as of December 31, 2024 and 2.9 years as of December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applicable variable base rate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fair value of the 2021 Swap. Since the 2021 Swap was an effective cash flow hedge and the forecasted interest payments remain probable of occurring, the gain was recognized as a reduction to interest expense through the original maturity date of July 31, 2024.</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we recognized an interest benefit of $1.0 million, $1.8 million, and $0.4 million, respectively, from gains recognized in interest expense on the effective interest rate swap in the Consolidated Statements of Operations and Comprehensive Income (Loss). As of December 31, 2024 and 2023, we reported $0 and $1.0 million gains, respectively, net of tax, in accumulated other comprehensive loss related to the interest rate swap.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December 31, 2024 and 2023, the carrying values of these financial instruments, except for debt, approximated fair value. The fair value of our debt was $147.8 million and $162.2 million, with a carrying amount of $148.6 million and $153.3 million, as of December 31, 2024 and 2023, respectively. The fair value of debt was calculated by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discounting the future cash flows to its present value using prevailing market interest rates for debt with similar creditworthiness, terms and maturities (Level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Divestiture</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2, 2024, we completed the sale of our Lubbock operations, known as Industrial Molding Corporation (“IMC”), for $17.0 million in cash, subject to customary purchase price adjustments. We received net proceeds of $15.4 million after paying certain transaction costs, which was used to repay a portion of the outstanding borrowings under the Term Loan Facility. We determined that the sale of IMC did not represent a strategic shift that will have a major effect on the consolidated results of operations, therefore the results of this business will continue to be reported within our Power Solutions segment. The gain on sale of business is recognized in the “Other expense (income), net” line in the Consolidated Statements of Operations and Comprehensive Income (Loss).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net gain recognized in connection with the divestiture:</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81"/>
        </w:trPr>
        <w:tc>
          <w:tcPr>
            <w:tcW w:w="9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disposed</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r>
      <w:tr>
        <w:trPr>
          <w:trHeight w:val="22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to sell</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28"/>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Plant Optimization Activities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second half of 2024, we took specific steps to consolidate our footprint by identifying two manufacturing facilities to close due to volume rationalization which will reduce costs and improve operational efficiency. In January 2025, we ceased production activities at our Mobile Solutions plant in Juarez, Mexico. We plan to stop production activity at our Mobile Solutions plant in Dowagiac, Michigan by the end of the first quarter of 2025. In addition, we implemented operational and cost optimization actions to reduce indirect and overhead costs. We expect the facility closures and organizational changes to be completed in the first half of 2025. We estimate incurring $13.6 million in charges which will be recognized in 2024 and 2025. Once fully implemented, we expect to recognize annual benefits of approximately $5.4 million. All costs incurred have been recognized in the Mobile Solutions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costs incurred and amounts accrued during the year ended 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Impairment of</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Costs associated with</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property and</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exit or disposal</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 related</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paid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against assets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Of the $12.6 million incurred during the year ended December 31, 2024, $5.0 million are recognized in the “Cost of sales” line, $1.1 million in the “Selling, general, and administrative expense” line, and $6.5 million in the “Other expense (income), net” line in the Consolidated Statements of Operations and Comprehensive Income (Loss).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Early Retirement Program</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recognized $1.2 million related to an early retirement incentive program (“ERIP”) that was open to to certain U.S. employees that met specified age and service requirements, and who terminated employment in 2024. We plan to recognize an additional $0.5 million under the ERIP for employees that will terminate during the first quarter of 2025. The estimated total cost of the ERIP is $1.7 million with all benefit payments expected to be made in 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6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6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Rules 13a-15(e) and 15d-15(e) of the Exchange Act). Based upon that evaluation, our Chief Executive Officer and Chief Financial Officer concluded that our disclosure controls and procedures were effective as of December 31, 2024,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Management, under the supervision and with the participation of the Chief Executive Officer and Chief Financial Officer, conducted an evaluation of the effectiveness of our internal control over financial reporting as of December 31, 2024, based on the criteria described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determined that the Company's internal control over financial reporting was effective as of December 31, 2024.</w:t>
      </w:r>
    </w:p>
    <w:p>
      <w:pPr>
        <w:spacing w:after="0" w:line="7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Grant Thornton LLP, the independent registered public accounting firm that has audited our consolidated financial statements, has audited the effectiveness of the Company’s internal control over financial reporting as of December 31, 2024, as stated in their report included in Item 8 of this Annual Report.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the Exchange Act Rules 13a-15(f) and 15d-15(f)) that occurred during the quarter ended December 31, 2024,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or Termination of Trading Arrangements</w:t>
      </w:r>
    </w:p>
    <w:p>
      <w:pPr>
        <w:spacing w:after="0" w:line="6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none of the Company’s directors or executive officers adopted or terminated any Rule 10b5-1 trading arrangement or non-Rule 10b5-1 trading arrangement, as defined in Item 408 of Regulation S-K.</w:t>
      </w:r>
    </w:p>
    <w:p>
      <w:pPr>
        <w:spacing w:after="0" w:line="158" w:lineRule="exact"/>
        <w:rPr>
          <w:sz w:val="20"/>
          <w:szCs w:val="20"/>
          <w:color w:val="auto"/>
        </w:rPr>
      </w:pPr>
    </w:p>
    <w:p>
      <w:pPr>
        <w:ind w:right="510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of Form 10-K concerning our directors is contained in our definitive proxy statement to be filed with the Securities and Exchange Commission within 120 days after December 31, 2024 (“our definitive proxy statement”), and in accordance with General Instruction G to Form 10-K, is hereby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Code of Conduct/Ethics Statement, as amended (the “Code”), is applicable to all officers, directors, and employees. The Code is posted on our website at www.nninc.com. Information contained on our website is not part of this Annual Report.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the Company’s stock by its directors, officers and employees that is reasonably designed to promote compliance with insider trading laws, rules and regulations, as well as the NASDAQ Stock Market. A copy of our Insider Trading Policy is furnished as Exhibit 19.1 to this Annual Report.</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of Form 10-K is contained in the sections entitled “Information about the Directors and the Director Nominees – Compensation of Directors” and “Executive Compensation” of our definitive proxy statement and, in accordance with General Instruction G to Form 10-K, is hereby incorporated herein by reference.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6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Item 201(d) of Regulation S-K concerning our equity compensation plans is set forth in the table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57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Table of Equity Compensation Plan Information</w:t>
            </w: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jc w:val="center"/>
              <w:ind w:right="3"/>
              <w:spacing w:after="0" w:line="145" w:lineRule="exact"/>
              <w:rPr>
                <w:sz w:val="20"/>
                <w:szCs w:val="20"/>
                <w:color w:val="auto"/>
              </w:rPr>
            </w:pPr>
            <w:r>
              <w:rPr>
                <w:rFonts w:ascii="Times New Roman" w:cs="Times New Roman" w:eastAsia="Times New Roman" w:hAnsi="Times New Roman"/>
                <w:sz w:val="14"/>
                <w:szCs w:val="14"/>
                <w:color w:val="auto"/>
              </w:rPr>
              <w:t>remaining available for</w:t>
            </w: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 securities 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Weighted-average</w:t>
            </w:r>
          </w:p>
        </w:tc>
        <w:tc>
          <w:tcPr>
            <w:tcW w:w="1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future issuance under</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equity compensation plans</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be issued upon exercise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exercise price of</w:t>
            </w:r>
          </w:p>
        </w:tc>
        <w:tc>
          <w:tcPr>
            <w:tcW w:w="1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(excluding securities reflected</w:t>
            </w: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1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of outstanding options,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60"/>
              <w:spacing w:after="0" w:line="139" w:lineRule="exact"/>
              <w:rPr>
                <w:sz w:val="20"/>
                <w:szCs w:val="20"/>
                <w:color w:val="auto"/>
              </w:rPr>
            </w:pPr>
            <w:r>
              <w:rPr>
                <w:rFonts w:ascii="Times New Roman" w:cs="Times New Roman" w:eastAsia="Times New Roman" w:hAnsi="Times New Roman"/>
                <w:sz w:val="14"/>
                <w:szCs w:val="14"/>
                <w:color w:val="auto"/>
              </w:rPr>
              <w:t>outstanding options,</w:t>
            </w:r>
          </w:p>
        </w:tc>
        <w:tc>
          <w:tcPr>
            <w:tcW w:w="1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in</w:t>
            </w:r>
          </w:p>
        </w:tc>
        <w:tc>
          <w:tcPr>
            <w:tcW w:w="0" w:type="dxa"/>
            <w:vAlign w:val="bottom"/>
          </w:tcPr>
          <w:p>
            <w:pPr>
              <w:spacing w:after="0"/>
              <w:rPr>
                <w:sz w:val="1"/>
                <w:szCs w:val="1"/>
                <w:color w:val="auto"/>
              </w:rPr>
            </w:pPr>
          </w:p>
        </w:tc>
      </w:tr>
      <w:tr>
        <w:trPr>
          <w:trHeight w:val="148"/>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Plan Category</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column (a))</w:t>
            </w:r>
          </w:p>
        </w:tc>
        <w:tc>
          <w:tcPr>
            <w:tcW w:w="0" w:type="dxa"/>
            <w:vAlign w:val="bottom"/>
          </w:tcPr>
          <w:p>
            <w:pPr>
              <w:spacing w:after="0"/>
              <w:rPr>
                <w:sz w:val="1"/>
                <w:szCs w:val="1"/>
                <w:color w:val="auto"/>
              </w:rPr>
            </w:pPr>
          </w:p>
        </w:tc>
      </w:tr>
      <w:tr>
        <w:trPr>
          <w:trHeight w:val="193"/>
        </w:trPr>
        <w:tc>
          <w:tcPr>
            <w:tcW w:w="5480" w:type="dxa"/>
            <w:vAlign w:val="bottom"/>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w w:val="97"/>
              </w:rPr>
              <w:t>(b)</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28"/>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of Form 10-K regarding review, approval, or ratification of transactions with related persons is contained in the section entitled “Certain Relationships and Related Transactions” of our definitive proxy statement and, in accordance with General Instruction G to Form 10-K, is hereby incorporated herein by reference.</w:t>
      </w:r>
    </w:p>
    <w:p>
      <w:pPr>
        <w:spacing w:after="0" w:line="68"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of Form 10-K regarding director independence is contained in the section entitled “Information about the Directors and the Director Nominees” of our definitive proxy statement and, in accordance with General Instruction G to Form 10-K, is hereby incorporated herein by reference.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of Form 10-K concerning our accounting fees and services is contained in the section entitled “Fees Paid to Registered Independent Public Accounting Firm” of our definitive proxy statement and, in accordance with General Instruction G to Form 10-K, is hereby incorporated herein by reference.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67"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1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consolidated financial statements of NN, Inc. filed as part of this Annual Report on Form 10-K begin on the following pages hereof:</w:t>
      </w:r>
    </w:p>
    <w:p>
      <w:pPr>
        <w:spacing w:after="0" w:line="43" w:lineRule="exact"/>
        <w:rPr>
          <w:sz w:val="20"/>
          <w:szCs w:val="20"/>
          <w:color w:val="auto"/>
        </w:rPr>
      </w:pPr>
    </w:p>
    <w:tbl>
      <w:tblPr>
        <w:tblLayout w:type="fixed"/>
        <w:tblInd w:w="13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2"/>
        </w:trPr>
        <w:tc>
          <w:tcPr>
            <w:tcW w:w="6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6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1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280" w:type="dxa"/>
            <w:vAlign w:val="bottom"/>
            <w:tcBorders>
              <w:top w:val="single" w:sz="8" w:color="0000FF"/>
            </w:tcBorders>
            <w:gridSpan w:val="5"/>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9"/>
        </w:trPr>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820" w:type="dxa"/>
            <w:vAlign w:val="bottom"/>
            <w:gridSpan w:val="5"/>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9"/>
        </w:trPr>
        <w:tc>
          <w:tcPr>
            <w:tcW w:w="4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23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10"/>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40" w:type="dxa"/>
            <w:vAlign w:val="bottom"/>
            <w:gridSpan w:val="4"/>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required information is reflected in the Notes to Consolidated Financial Statements within Item 8.</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19" w:lineRule="exact"/>
        <w:rPr>
          <w:sz w:val="20"/>
          <w:szCs w:val="20"/>
          <w:color w:val="auto"/>
        </w:rPr>
      </w:pPr>
    </w:p>
    <w:p>
      <w:pPr>
        <w:ind w:left="1300" w:right="240"/>
        <w:spacing w:after="0" w:line="293" w:lineRule="auto"/>
        <w:rPr>
          <w:sz w:val="20"/>
          <w:szCs w:val="20"/>
          <w:color w:val="auto"/>
        </w:rPr>
      </w:pPr>
      <w:r>
        <w:rPr>
          <w:rFonts w:ascii="Times New Roman" w:cs="Times New Roman" w:eastAsia="Times New Roman" w:hAnsi="Times New Roman"/>
          <w:sz w:val="18"/>
          <w:szCs w:val="18"/>
          <w:color w:val="auto"/>
        </w:rPr>
        <w:t>NN, Inc. will provide without charge to any person, upon the written request of such person, a copy of any of the following Exhibits to this 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1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00" w:type="dxa"/>
            <w:vAlign w:val="bottom"/>
            <w:gridSpan w:val="21"/>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6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0" w:type="dxa"/>
            <w:vAlign w:val="bottom"/>
            <w:gridSpan w:val="21"/>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40" w:type="dxa"/>
            <w:vAlign w:val="bottom"/>
            <w:tcBorders>
              <w:top w:val="single" w:sz="8" w:color="auto"/>
            </w:tcBorders>
            <w:gridSpan w:val="21"/>
          </w:tcPr>
          <w:p>
            <w:pPr>
              <w:spacing w:after="0" w:line="188"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Agreement and Plan of Merger, dated as of July 18, 2014, by</w:t>
              </w:r>
            </w:hyperlink>
          </w:p>
        </w:tc>
        <w:tc>
          <w:tcPr>
            <w:tcW w:w="10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18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center"/>
              <w:ind w:right="31"/>
              <w:spacing w:after="0" w:line="188" w:lineRule="exact"/>
              <w:rPr>
                <w:sz w:val="20"/>
                <w:szCs w:val="20"/>
                <w:color w:val="auto"/>
              </w:rPr>
            </w:pPr>
            <w:r>
              <w:rPr>
                <w:rFonts w:ascii="Times New Roman" w:cs="Times New Roman" w:eastAsia="Times New Roman" w:hAnsi="Times New Roman"/>
                <w:sz w:val="18"/>
                <w:szCs w:val="18"/>
                <w:color w:val="auto"/>
                <w:w w:val="98"/>
              </w:rPr>
              <w:t>July 22, 2014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and among NN, Inc., PMC Global Acquisition Corporation,</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Autocam Corporation, Newport Global Advisors, L.P., and</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John C. Kennedy</w:t>
              </w:r>
            </w:hyperlink>
          </w:p>
        </w:tc>
        <w:tc>
          <w:tcPr>
            <w:tcW w:w="1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Restated Certificate of Incorporation of NN, Inc.</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S-3</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333-89950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June 6,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20, 2019</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Incorporation of NN, Inc. (Declassification).</w:t>
              </w:r>
            </w:hyperlink>
          </w:p>
        </w:tc>
        <w:tc>
          <w:tcPr>
            <w:tcW w:w="52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22"/>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May 20, 2019</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Incorporation of NN, Inc. (Share Increase)</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Amended and Restated By-Laws of NN, Inc.</w:t>
              </w:r>
            </w:hyperlink>
          </w:p>
        </w:tc>
        <w:tc>
          <w:tcPr>
            <w:tcW w:w="1400" w:type="dxa"/>
            <w:vAlign w:val="bottom"/>
            <w:gridSpan w:val="13"/>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January 20, 2023</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Certificate of Designation of Series D Preferred Stock</w:t>
              </w:r>
            </w:hyperlink>
          </w:p>
        </w:tc>
        <w:tc>
          <w:tcPr>
            <w:tcW w:w="740" w:type="dxa"/>
            <w:vAlign w:val="bottom"/>
            <w:gridSpan w:val="9"/>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000-39268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22, 2021</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The specimen stock certificate representing NN, Inc.’s</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S-3</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333-89950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June 6, 2002</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 xml:space="preserve">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w:t>
              </w:r>
            </w:hyperlink>
          </w:p>
        </w:tc>
        <w:tc>
          <w:tcPr>
            <w:tcW w:w="20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22"/>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Stockholders’ Agreement, effective as of August 29, 2014, by</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2, 2014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and between NN, Inc. and John C. Kennedy</w:t>
              </w:r>
            </w:hyperlink>
          </w:p>
        </w:tc>
        <w:tc>
          <w:tcPr>
            <w:tcW w:w="1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Common Stock Purchase Warrant</w:t>
              </w:r>
            </w:hyperlink>
          </w:p>
        </w:tc>
        <w:tc>
          <w:tcPr>
            <w:tcW w:w="1480" w:type="dxa"/>
            <w:vAlign w:val="bottom"/>
            <w:gridSpan w:val="15"/>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December 11, 2019</w:t>
            </w: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Description of Securities</w:t>
              </w:r>
            </w:hyperlink>
          </w:p>
        </w:tc>
        <w:tc>
          <w:tcPr>
            <w:tcW w:w="1620" w:type="dxa"/>
            <w:vAlign w:val="bottom"/>
            <w:gridSpan w:val="16"/>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000-39268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15, 2021</w:t>
            </w: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top w:val="single" w:sz="8" w:color="0000FF"/>
            </w:tcBorders>
            <w:gridSpan w:val="3"/>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Common Stock Warrant</w:t>
              </w:r>
            </w:hyperlink>
          </w:p>
        </w:tc>
        <w:tc>
          <w:tcPr>
            <w:tcW w:w="2860" w:type="dxa"/>
            <w:vAlign w:val="bottom"/>
            <w:gridSpan w:val="19"/>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000-39268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22,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Common Stock Purchase Warrant</w:t>
              </w:r>
            </w:hyperlink>
          </w:p>
        </w:tc>
        <w:tc>
          <w:tcPr>
            <w:tcW w:w="2200" w:type="dxa"/>
            <w:vAlign w:val="bottom"/>
            <w:gridSpan w:val="18"/>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March 7, 2023</w:t>
            </w: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Indemnification Agreement</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S-3/A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333-89950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July 15,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Escrow Agreement, effective as of August 29, 2014, by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2, 2014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among NN, Inc., Newport Global Advisors, L.P., John C.</w:t>
              </w:r>
            </w:hyperlink>
          </w:p>
        </w:tc>
        <w:tc>
          <w:tcPr>
            <w:tcW w:w="3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Kennedy and Computershare Trust Company, N.A.</w:t>
              </w:r>
            </w:hyperlink>
          </w:p>
        </w:tc>
        <w:tc>
          <w:tcPr>
            <w:tcW w:w="520" w:type="dxa"/>
            <w:vAlign w:val="bottom"/>
            <w:gridSpan w:val="7"/>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11"/>
            <w:shd w:val="clear" w:color="auto" w:fill="0000FF"/>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22"/>
          </w:tcPr>
          <w:p>
            <w:pPr>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Indemnity Agreement, effective as of August 29, 2014, by</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2, 2014</w:t>
            </w:r>
          </w:p>
        </w:tc>
        <w:tc>
          <w:tcPr>
            <w:tcW w:w="0" w:type="dxa"/>
            <w:vAlign w:val="bottom"/>
          </w:tcPr>
          <w:p>
            <w:pPr>
              <w:spacing w:after="0"/>
              <w:rPr>
                <w:sz w:val="1"/>
                <w:szCs w:val="1"/>
                <w:color w:val="auto"/>
              </w:rPr>
            </w:pPr>
          </w:p>
        </w:tc>
      </w:tr>
    </w:tbl>
    <w:p>
      <w:pPr>
        <w:ind w:left="1160"/>
        <w:spacing w:after="0" w:line="219"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and among NN, Inc. and each of the shareholders of Autocam</w:t>
        </w:r>
      </w:hyperlink>
    </w:p>
    <w:p>
      <w:pPr>
        <w:ind w:left="116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Corporation identified therein</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160" w:type="dxa"/>
            <w:vAlign w:val="bottom"/>
            <w:gridSpan w:val="38"/>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160" w:type="dxa"/>
            <w:vAlign w:val="bottom"/>
            <w:gridSpan w:val="3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60" w:type="dxa"/>
            <w:vAlign w:val="bottom"/>
            <w:tcBorders>
              <w:top w:val="single" w:sz="8" w:color="auto"/>
              <w:bottom w:val="single" w:sz="8" w:color="0000FF"/>
            </w:tcBorders>
            <w:gridSpan w:val="11"/>
          </w:tcPr>
          <w:p>
            <w:pPr>
              <w:spacing w:after="0" w:line="188"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NN, Inc. 2019 Omnibus Incentive Plan.</w:t>
              </w:r>
            </w:hyperlink>
          </w:p>
        </w:tc>
        <w:tc>
          <w:tcPr>
            <w:tcW w:w="1740" w:type="dxa"/>
            <w:vAlign w:val="bottom"/>
            <w:tcBorders>
              <w:top w:val="single" w:sz="8" w:color="auto"/>
            </w:tcBorders>
            <w:gridSpan w:val="2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Separation Agreement, dated as of April 1, 2017, by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between NN, Inc. and D. Gail Nixon.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Incentive Stock Option Agreement under the 2019</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Omnibus Incentive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Nonqualified Stock Option Agreement under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2019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Restricted Share Award Agreement under the 2019</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Omnibus Incentive Plan.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Performance Share Unit Award Agreement under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2019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Securities Purchase Agreement, dated March 22, 2021, by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between NN, Inc. and the NGTV Nevada Holdings LP</w:t>
              </w:r>
            </w:hyperlink>
          </w:p>
        </w:tc>
        <w:tc>
          <w:tcPr>
            <w:tcW w:w="6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Board Observer Agreement, dated March 22, 2021, by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between NN, Inc. and the NHTV Nevada Holdings LP</w:t>
              </w:r>
            </w:hyperlink>
          </w:p>
        </w:tc>
        <w:tc>
          <w:tcPr>
            <w:tcW w:w="280" w:type="dxa"/>
            <w:vAlign w:val="bottom"/>
            <w:tcBorders>
              <w:top w:val="single" w:sz="8" w:color="0000FF"/>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Term Loan Credit Agreement, dated March 22, 2021, by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among NN, Inc., as borrower, and Oaktree Fund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Administration, LLC, as administrative agent</w:t>
              </w:r>
            </w:hyperlink>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Credit Agreement, dated March 22, 2021, by and among NN,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Inc., as borrower, and JPMorgan Chase Bank,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administrative agent</w:t>
              </w:r>
            </w:hyperlink>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Separation Agreement by and between NN, Inc. and Michael</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 Felcher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Amendment No. 1 to Term Loan Credit Agreement, dated as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w w:val="96"/>
              </w:rPr>
            </w:pPr>
            <w:hyperlink r:id="rId116">
              <w:r>
                <w:rPr>
                  <w:rFonts w:ascii="Times New Roman" w:cs="Times New Roman" w:eastAsia="Times New Roman" w:hAnsi="Times New Roman"/>
                  <w:sz w:val="18"/>
                  <w:szCs w:val="18"/>
                  <w:color w:val="0000FF"/>
                  <w:w w:val="96"/>
                </w:rPr>
                <w:t>of March 3, 2022, by and among NN, Inc., certain subsidiaries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gridSpan w:val="39"/>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of NN, Inc., the lenders party thereto, and Oaktree Fund</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Administration, LLC, as administrative agent.</w:t>
              </w:r>
            </w:hyperlink>
          </w:p>
        </w:tc>
        <w:tc>
          <w:tcPr>
            <w:tcW w:w="720" w:type="dxa"/>
            <w:vAlign w:val="bottom"/>
            <w:tcBorders>
              <w:top w:val="single" w:sz="8" w:color="0000FF"/>
            </w:tcBorders>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2022 Omnibus Incentive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No. 2 to Term Loan Credit Agreement, dated as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w w:val="96"/>
              </w:rPr>
            </w:pPr>
            <w:hyperlink r:id="rId118">
              <w:r>
                <w:rPr>
                  <w:rFonts w:ascii="Times New Roman" w:cs="Times New Roman" w:eastAsia="Times New Roman" w:hAnsi="Times New Roman"/>
                  <w:sz w:val="18"/>
                  <w:szCs w:val="18"/>
                  <w:color w:val="0000FF"/>
                  <w:w w:val="96"/>
                </w:rPr>
                <w:t>of March 3, 2023, by and among NN, Inc., certain subsidiaries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of NN, Inc., the lenders party thereto and Oaktree Fund</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Administration, LLC, as administrative agent</w:t>
              </w:r>
            </w:hyperlink>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1 to Credit Agreement, dated as of March 3,</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2023, by and among NN, Inc., certain subsidiaries of NN,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 the lenders party thereto and JPMorgan Chase Bank,</w:t>
              </w:r>
            </w:hyperlink>
          </w:p>
        </w:tc>
        <w:tc>
          <w:tcPr>
            <w:tcW w:w="14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N.A., as administrative agent</w:t>
              </w:r>
            </w:hyperlink>
          </w:p>
        </w:tc>
        <w:tc>
          <w:tcPr>
            <w:tcW w:w="2020" w:type="dxa"/>
            <w:vAlign w:val="bottom"/>
            <w:tcBorders>
              <w:top w:val="single" w:sz="8" w:color="0000FF"/>
            </w:tcBorders>
            <w:gridSpan w:val="15"/>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Warrant Letter Agreement, dated as of March 3, 2023, by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between NN, Inc. and the affiliates of Oaktree Capital</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Management, L.P. party thereto</w:t>
              </w:r>
            </w:hyperlink>
          </w:p>
        </w:tc>
        <w:tc>
          <w:tcPr>
            <w:tcW w:w="440" w:type="dxa"/>
            <w:vAlign w:val="bottom"/>
            <w:gridSpan w:val="1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1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Letter of Understanding, dated May 8, 2023, by and between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NN, Inc. and Harold Bevis</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40" w:type="dxa"/>
            <w:vAlign w:val="bottom"/>
            <w:gridSpan w:val="1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Restricted Share Award Agreement, by and between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NN, Inc. and Harold Bevis.</w:t>
              </w:r>
            </w:hyperlink>
          </w:p>
        </w:tc>
        <w:tc>
          <w:tcPr>
            <w:tcW w:w="2440" w:type="dxa"/>
            <w:vAlign w:val="bottom"/>
            <w:tcBorders>
              <w:top w:val="single" w:sz="8" w:color="0000FF"/>
            </w:tcBorders>
            <w:gridSpan w:val="25"/>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Performance Share Unit Award Agreement, by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between NN, Inc. and Harold Bevis</w:t>
              </w:r>
              <w:r>
                <w:rPr>
                  <w:rFonts w:ascii="Times New Roman" w:cs="Times New Roman" w:eastAsia="Times New Roman" w:hAnsi="Times New Roman"/>
                  <w:sz w:val="18"/>
                  <w:szCs w:val="18"/>
                  <w:color w:val="000000"/>
                </w:rPr>
                <w:t>.</w:t>
              </w:r>
            </w:hyperlink>
          </w:p>
        </w:tc>
        <w:tc>
          <w:tcPr>
            <w:tcW w:w="18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1920" w:type="dxa"/>
            <w:vAlign w:val="bottom"/>
            <w:gridSpan w:val="2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1"/>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Separation Agreement, by and between NN, Inc.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Harold Bevis</w:t>
              </w:r>
              <w:r>
                <w:rPr>
                  <w:rFonts w:ascii="Times New Roman" w:cs="Times New Roman" w:eastAsia="Times New Roman" w:hAnsi="Times New Roman"/>
                  <w:sz w:val="18"/>
                  <w:szCs w:val="18"/>
                  <w:color w:val="000000"/>
                </w:rPr>
                <w:t>.</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top w:val="single" w:sz="8" w:color="0000FF"/>
            </w:tcBorders>
            <w:gridSpan w:val="2"/>
          </w:tcPr>
          <w:p>
            <w:pPr>
              <w:spacing w:after="0"/>
              <w:rPr>
                <w:sz w:val="24"/>
                <w:szCs w:val="24"/>
                <w:color w:val="auto"/>
              </w:rPr>
            </w:pPr>
          </w:p>
        </w:tc>
        <w:tc>
          <w:tcPr>
            <w:tcW w:w="3660" w:type="dxa"/>
            <w:vAlign w:val="bottom"/>
            <w:gridSpan w:val="39"/>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34544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DEF14A</w:t>
            </w:r>
          </w:p>
        </w:tc>
        <w:tc>
          <w:tcPr>
            <w:tcW w:w="10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Appendix C</w:t>
            </w:r>
          </w:p>
        </w:tc>
        <w:tc>
          <w:tcPr>
            <w:tcW w:w="1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8, 2019</w:t>
            </w:r>
          </w:p>
        </w:tc>
      </w:tr>
      <w:tr>
        <w:trPr>
          <w:trHeight w:val="23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10, 2019</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2021</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2022</w:t>
            </w:r>
          </w:p>
        </w:tc>
      </w:tr>
      <w:tr>
        <w:trPr>
          <w:trHeight w:val="765"/>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Appendix 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2022</w:t>
            </w:r>
          </w:p>
        </w:tc>
      </w:tr>
      <w:tr>
        <w:trPr>
          <w:trHeight w:val="23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r>
      <w:tr>
        <w:trPr>
          <w:trHeight w:val="76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r>
      <w:tr>
        <w:trPr>
          <w:trHeight w:val="77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7, 2023</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2023</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2023</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2023</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2023</w:t>
            </w:r>
          </w:p>
        </w:tc>
      </w:tr>
    </w:tbl>
    <w:p>
      <w:pPr>
        <w:sectPr>
          <w:pgSz w:w="11900" w:h="16838" w:orient="portrait"/>
          <w:cols w:equalWidth="0" w:num="2">
            <w:col w:w="5720" w:space="80"/>
            <w:col w:w="5440"/>
          </w:cols>
          <w:pgMar w:left="320" w:top="22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40" w:type="dxa"/>
            <w:vAlign w:val="bottom"/>
            <w:gridSpan w:val="3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4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4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40" w:type="dxa"/>
            <w:vAlign w:val="bottom"/>
            <w:tcBorders>
              <w:top w:val="single" w:sz="8" w:color="auto"/>
            </w:tcBorders>
            <w:gridSpan w:val="39"/>
          </w:tcPr>
          <w:p>
            <w:pPr>
              <w:spacing w:after="0" w:line="18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Executive Employment Agreement, effective as of August 10,</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tcBorders>
              <w:top w:val="single" w:sz="8" w:color="0000FF"/>
            </w:tcBorders>
            <w:gridSpan w:val="37"/>
          </w:tcPr>
          <w:p>
            <w:pPr>
              <w:spacing w:after="0" w:line="18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2023, by and between NN Canada, Inc. and Tim French.</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Restricted Share Award Agreement, by and between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NN, Inc. and Tim French.</w:t>
              </w:r>
            </w:hyperlink>
          </w:p>
        </w:tc>
        <w:tc>
          <w:tcPr>
            <w:tcW w:w="25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Performance Share Unit Award Agreement, by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between NN, Inc. and Tim French.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Separation Agreement, by and between NN Canada,</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 and Tim French.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Indemnification Agreement, by and between NN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Canada, Inc. and Tim French.</w:t>
              </w:r>
            </w:hyperlink>
          </w:p>
        </w:tc>
        <w:tc>
          <w:tcPr>
            <w:tcW w:w="20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Restricted Share Award Agreement under the 2022</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Omnibus Incentive Plan.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Performance Share Unit Award Agreement under the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2022 Omnibus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Purchase and Sale Agreement and Escrow Agreement, dated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March 5, 2024, by and between NN, Inc. and Tenet Equity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Funding SPE III, LLC.</w:t>
              </w:r>
            </w:hyperlink>
          </w:p>
        </w:tc>
        <w:tc>
          <w:tcPr>
            <w:tcW w:w="260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 3 to Term Loan Credit Agreement, dated</w:t>
              </w:r>
            </w:hyperlink>
          </w:p>
        </w:tc>
        <w:tc>
          <w:tcPr>
            <w:tcW w:w="30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39"/>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March 15, 2024, by and among NN, Inc., certain subsidiaries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of NN, Inc., the lenders party thereto and Oaktree Fund</w:t>
              </w:r>
            </w:hyperlink>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Administration, LLC, as administrative agent.</w:t>
              </w:r>
            </w:hyperlink>
          </w:p>
        </w:tc>
        <w:tc>
          <w:tcPr>
            <w:tcW w:w="660" w:type="dxa"/>
            <w:vAlign w:val="bottom"/>
            <w:tcBorders>
              <w:top w:val="single" w:sz="8" w:color="0000FF"/>
            </w:tcBorders>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No. 2 to Credit Agreement, dated as of March 15,</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2024, by and among NN, Inc., certain subsidiaries of NN,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 the lenders party thereto and JPMorgan Chase Bank,</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N.A., as administrative agent.</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NN, Inc. Amended and Restated 2022 Omnibus Incentive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Plan.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Consulting Agreement by and between NN, Inc. and Michael</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 Felcher.</w:t>
              </w:r>
            </w:hyperlink>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Letter of Understanding by and between NN, Inc.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Christopher H. Bohnert.</w:t>
              </w:r>
            </w:hyperlink>
          </w:p>
        </w:tc>
        <w:tc>
          <w:tcPr>
            <w:tcW w:w="2100" w:type="dxa"/>
            <w:vAlign w:val="bottom"/>
            <w:tcBorders>
              <w:top w:val="single" w:sz="8" w:color="0000FF"/>
            </w:tcBorders>
            <w:gridSpan w:val="9"/>
          </w:tcPr>
          <w:p>
            <w:pPr>
              <w:spacing w:after="0"/>
              <w:rPr>
                <w:sz w:val="13"/>
                <w:szCs w:val="13"/>
                <w:color w:val="auto"/>
              </w:rPr>
            </w:pPr>
          </w:p>
        </w:tc>
        <w:tc>
          <w:tcPr>
            <w:tcW w:w="2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Restricted Share Award Agreement by and between NN, Inc.</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and Christopher H. Bohnert.</w:t>
              </w:r>
            </w:hyperlink>
          </w:p>
        </w:tc>
        <w:tc>
          <w:tcPr>
            <w:tcW w:w="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Performance Share Unit Award Agreement by and between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NN, Inc. and Christopher H. Bohnert.</w:t>
              </w:r>
            </w:hyperlink>
          </w:p>
        </w:tc>
        <w:tc>
          <w:tcPr>
            <w:tcW w:w="1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Separation Agreement by and between NN, Inc. and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Christopher H. Bohnert.</w:t>
              </w:r>
            </w:hyperlink>
          </w:p>
        </w:tc>
        <w:tc>
          <w:tcPr>
            <w:tcW w:w="1980" w:type="dxa"/>
            <w:vAlign w:val="bottom"/>
            <w:tcBorders>
              <w:top w:val="single" w:sz="8" w:color="0000FF"/>
            </w:tcBorders>
            <w:gridSpan w:val="8"/>
          </w:tcPr>
          <w:p>
            <w:pPr>
              <w:spacing w:after="0"/>
              <w:rPr>
                <w:sz w:val="13"/>
                <w:szCs w:val="13"/>
                <w:color w:val="auto"/>
              </w:rPr>
            </w:pPr>
          </w:p>
        </w:tc>
        <w:tc>
          <w:tcPr>
            <w:tcW w:w="3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Indemnification Agreement by and between NN, Inc.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Christopher H. Bohnert.</w:t>
              </w:r>
            </w:hyperlink>
          </w:p>
        </w:tc>
        <w:tc>
          <w:tcPr>
            <w:tcW w:w="2360" w:type="dxa"/>
            <w:vAlign w:val="bottom"/>
            <w:tcBorders>
              <w:top w:val="single" w:sz="8" w:color="0000FF"/>
            </w:tcBorders>
            <w:gridSpan w:val="12"/>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3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4 to Term Loan Credit Agreement, dated as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of August 29, 2024, by and among NN, Inc., certain</w:t>
              </w:r>
            </w:hyperlink>
          </w:p>
        </w:tc>
        <w:tc>
          <w:tcPr>
            <w:tcW w:w="8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12"/>
            <w:shd w:val="clear" w:color="auto" w:fill="0000FF"/>
          </w:tcPr>
          <w:p>
            <w:pPr>
              <w:spacing w:after="0" w:line="20" w:lineRule="exact"/>
              <w:rPr>
                <w:sz w:val="1"/>
                <w:szCs w:val="1"/>
                <w:color w:val="auto"/>
              </w:rPr>
            </w:pPr>
          </w:p>
        </w:tc>
        <w:tc>
          <w:tcPr>
            <w:tcW w:w="580" w:type="dxa"/>
            <w:vAlign w:val="bottom"/>
            <w:tcBorders>
              <w:left w:val="single" w:sz="8" w:color="0000FF"/>
            </w:tcBorders>
            <w:gridSpan w:val="13"/>
          </w:tcPr>
          <w:p>
            <w:pPr>
              <w:spacing w:after="0" w:line="20" w:lineRule="exact"/>
              <w:rPr>
                <w:sz w:val="1"/>
                <w:szCs w:val="1"/>
                <w:color w:val="auto"/>
              </w:rPr>
            </w:pPr>
          </w:p>
        </w:tc>
        <w:tc>
          <w:tcPr>
            <w:tcW w:w="1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gridSpan w:val="39"/>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subsidiaries of NN, Inc., the lenders party thereto and Oaktree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Fund Administration, LLC, as administrative agent.</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12"/>
            <w:shd w:val="clear" w:color="auto" w:fill="0000FF"/>
          </w:tcPr>
          <w:p>
            <w:pPr>
              <w:spacing w:after="0" w:line="20" w:lineRule="exact"/>
              <w:rPr>
                <w:sz w:val="1"/>
                <w:szCs w:val="1"/>
                <w:color w:val="auto"/>
              </w:rPr>
            </w:pPr>
          </w:p>
        </w:tc>
        <w:tc>
          <w:tcPr>
            <w:tcW w:w="580" w:type="dxa"/>
            <w:vAlign w:val="bottom"/>
            <w:gridSpan w:val="13"/>
          </w:tcPr>
          <w:p>
            <w:pPr>
              <w:spacing w:after="0" w:line="20" w:lineRule="exact"/>
              <w:rPr>
                <w:sz w:val="1"/>
                <w:szCs w:val="1"/>
                <w:color w:val="auto"/>
              </w:rPr>
            </w:pPr>
          </w:p>
        </w:tc>
        <w:tc>
          <w:tcPr>
            <w:tcW w:w="16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Amendment No. 3 to Credit Agreement, dated as of August</w:t>
              </w:r>
            </w:hyperlink>
          </w:p>
        </w:tc>
        <w:tc>
          <w:tcPr>
            <w:tcW w:w="24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bottom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29, 2024, by and among NN, Inc., certain subsidiaries of NN,</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ind w:left="1160" w:right="420"/>
        <w:spacing w:after="0" w:line="226"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Inc., the lenders party thereto and JPMorgan Chase Bank,</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N.A., as administrative agent.</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3454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2023</w:t>
            </w:r>
          </w:p>
        </w:tc>
      </w:tr>
      <w:tr>
        <w:trPr>
          <w:trHeight w:val="45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2023</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2023</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2023</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2023</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2024</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2024</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8, 2024</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15, 2024</w:t>
            </w:r>
          </w:p>
        </w:tc>
      </w:tr>
      <w:tr>
        <w:trPr>
          <w:trHeight w:val="76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15, 2024</w:t>
            </w:r>
          </w:p>
        </w:tc>
      </w:tr>
      <w:tr>
        <w:trPr>
          <w:trHeight w:val="76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Appendix A</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2024</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30, 2024</w:t>
            </w:r>
          </w:p>
        </w:tc>
      </w:tr>
      <w:tr>
        <w:trPr>
          <w:trHeight w:val="76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30, 2024</w:t>
            </w:r>
          </w:p>
        </w:tc>
      </w:tr>
    </w:tbl>
    <w:p>
      <w:pPr>
        <w:sectPr>
          <w:pgSz w:w="11900" w:h="16838" w:orient="portrait"/>
          <w:cols w:equalWidth="0" w:num="2">
            <w:col w:w="5720" w:space="80"/>
            <w:col w:w="5440"/>
          </w:cols>
          <w:pgMar w:left="320" w:top="22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1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160" w:type="dxa"/>
            <w:vAlign w:val="bottom"/>
            <w:gridSpan w:val="17"/>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4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60" w:type="dxa"/>
            <w:vAlign w:val="bottom"/>
            <w:gridSpan w:val="17"/>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20" w:type="dxa"/>
            <w:vAlign w:val="bottom"/>
            <w:tcBorders>
              <w:top w:val="single" w:sz="8" w:color="auto"/>
            </w:tcBorders>
            <w:gridSpan w:val="17"/>
          </w:tcPr>
          <w:p>
            <w:pPr>
              <w:spacing w:after="0" w:line="188"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Revolving Credit and Security Agreement, dated as of</w:t>
              </w:r>
            </w:hyperlink>
          </w:p>
        </w:tc>
        <w:tc>
          <w:tcPr>
            <w:tcW w:w="10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18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right="95"/>
              <w:spacing w:after="0" w:line="188" w:lineRule="exact"/>
              <w:rPr>
                <w:sz w:val="20"/>
                <w:szCs w:val="20"/>
                <w:color w:val="auto"/>
              </w:rPr>
            </w:pPr>
            <w:r>
              <w:rPr>
                <w:rFonts w:ascii="Times New Roman" w:cs="Times New Roman" w:eastAsia="Times New Roman" w:hAnsi="Times New Roman"/>
                <w:sz w:val="18"/>
                <w:szCs w:val="18"/>
                <w:color w:val="auto"/>
              </w:rPr>
              <w:t>January 2, 2025</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December 30, 2024, by and among NN, Inc., certain</w:t>
              </w:r>
            </w:hyperlink>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gridSpan w:val="18"/>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subsidiaries of NN, Inc., the lenders party thereto and PNC</w:t>
              </w:r>
            </w:hyperlink>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Bank, National Association., as administrative agent.</w:t>
              </w:r>
            </w:hyperlink>
          </w:p>
        </w:tc>
        <w:tc>
          <w:tcPr>
            <w:tcW w:w="420" w:type="dxa"/>
            <w:vAlign w:val="bottom"/>
            <w:tcBorders>
              <w:top w:val="single" w:sz="8" w:color="0000FF"/>
            </w:tcBorders>
            <w:gridSpan w:val="6"/>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18"/>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Amendment No. 5 to Term Loan Credit Agreement, dated as</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rPr>
              <w:t>January 2, 2025</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of December 30, 2024, by and between NN, Inc., certain</w:t>
              </w:r>
            </w:hyperlink>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5"/>
              </w:rPr>
            </w:pPr>
            <w:hyperlink r:id="rId145">
              <w:r>
                <w:rPr>
                  <w:rFonts w:ascii="Times New Roman" w:cs="Times New Roman" w:eastAsia="Times New Roman" w:hAnsi="Times New Roman"/>
                  <w:sz w:val="18"/>
                  <w:szCs w:val="18"/>
                  <w:color w:val="0000FF"/>
                  <w:w w:val="95"/>
                </w:rPr>
                <w:t>subsidiaries of NN, Inc. and Oaktree Fund Administration,</w:t>
              </w:r>
            </w:hyperlink>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tcPr>
          <w:p>
            <w:pPr>
              <w:spacing w:after="0"/>
              <w:rPr>
                <w:sz w:val="14"/>
                <w:szCs w:val="14"/>
                <w:color w:val="auto"/>
              </w:rPr>
            </w:pPr>
          </w:p>
        </w:tc>
        <w:tc>
          <w:tcPr>
            <w:tcW w:w="200" w:type="dxa"/>
            <w:vAlign w:val="bottom"/>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13"/>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LLC, as administrative agent and collateral agent.</w:t>
              </w:r>
            </w:hyperlink>
          </w:p>
        </w:tc>
        <w:tc>
          <w:tcPr>
            <w:tcW w:w="200" w:type="dxa"/>
            <w:vAlign w:val="bottom"/>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NN, Inc. Amended and Restated Insider Trading Policy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 of NN, Inc.</w:t>
            </w:r>
          </w:p>
        </w:tc>
        <w:tc>
          <w:tcPr>
            <w:tcW w:w="1720" w:type="dxa"/>
            <w:vAlign w:val="bottom"/>
            <w:tcBorders>
              <w:top w:val="single" w:sz="8" w:color="0000FF"/>
            </w:tcBorders>
            <w:gridSpan w:val="7"/>
          </w:tcPr>
          <w:p>
            <w:pPr>
              <w:spacing w:after="0"/>
              <w:rPr>
                <w:sz w:val="18"/>
                <w:szCs w:val="18"/>
                <w:color w:val="auto"/>
              </w:rPr>
            </w:pPr>
          </w:p>
        </w:tc>
        <w:tc>
          <w:tcPr>
            <w:tcW w:w="640" w:type="dxa"/>
            <w:vAlign w:val="bottom"/>
            <w:gridSpan w:val="8"/>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Consent of Grant Thornton LLP, Independent Registered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360" w:type="dxa"/>
            <w:vAlign w:val="bottom"/>
            <w:tcBorders>
              <w:top w:val="single" w:sz="8" w:color="0000FF"/>
            </w:tcBorders>
            <w:gridSpan w:val="10"/>
          </w:tcPr>
          <w:p>
            <w:pPr>
              <w:spacing w:after="0"/>
              <w:rPr>
                <w:sz w:val="13"/>
                <w:szCs w:val="13"/>
                <w:color w:val="auto"/>
              </w:rPr>
            </w:pPr>
          </w:p>
        </w:tc>
        <w:tc>
          <w:tcPr>
            <w:tcW w:w="32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Section 302 of Sarbanes-Oxley Act</w:t>
            </w:r>
          </w:p>
        </w:tc>
        <w:tc>
          <w:tcPr>
            <w:tcW w:w="660" w:type="dxa"/>
            <w:vAlign w:val="bottom"/>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Section 302 of Sarbanes-Oxley Act</w:t>
            </w:r>
          </w:p>
        </w:tc>
        <w:tc>
          <w:tcPr>
            <w:tcW w:w="760" w:type="dxa"/>
            <w:vAlign w:val="bottom"/>
            <w:gridSpan w:val="10"/>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Section 906 of Sarbanes-Oxley Act</w:t>
            </w:r>
          </w:p>
        </w:tc>
        <w:tc>
          <w:tcPr>
            <w:tcW w:w="660" w:type="dxa"/>
            <w:vAlign w:val="bottom"/>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Section 906 of Sarbanes-Oxley Act</w:t>
            </w:r>
          </w:p>
        </w:tc>
        <w:tc>
          <w:tcPr>
            <w:tcW w:w="760" w:type="dxa"/>
            <w:vAlign w:val="bottom"/>
            <w:gridSpan w:val="10"/>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1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Incentive Compensation Recoupment</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rPr>
              <w:t>March 12, 2024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46">
              <w:r>
                <w:rPr>
                  <w:rFonts w:ascii="Times New Roman" w:cs="Times New Roman" w:eastAsia="Times New Roman" w:hAnsi="Times New Roman"/>
                  <w:sz w:val="18"/>
                  <w:szCs w:val="18"/>
                  <w:color w:val="0000FF"/>
                  <w:w w:val="95"/>
                </w:rPr>
                <w:t>Policy</w:t>
              </w:r>
            </w:hyperlink>
          </w:p>
        </w:tc>
        <w:tc>
          <w:tcPr>
            <w:tcW w:w="3960" w:type="dxa"/>
            <w:vAlign w:val="bottom"/>
            <w:tcBorders>
              <w:top w:val="single" w:sz="8" w:color="0000FF"/>
            </w:tcBorders>
            <w:gridSpan w:val="15"/>
          </w:tcPr>
          <w:p>
            <w:pPr>
              <w:spacing w:after="0"/>
              <w:rPr>
                <w:sz w:val="13"/>
                <w:szCs w:val="13"/>
                <w:color w:val="auto"/>
              </w:rPr>
            </w:pPr>
          </w:p>
        </w:tc>
        <w:tc>
          <w:tcPr>
            <w:tcW w:w="20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18"/>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7" w:lineRule="exact"/>
        <w:rPr>
          <w:sz w:val="20"/>
          <w:szCs w:val="20"/>
          <w:color w:val="auto"/>
        </w:rPr>
      </w:pPr>
    </w:p>
    <w:p>
      <w:pPr>
        <w:ind w:left="680" w:hanging="654"/>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3" w:lineRule="exact"/>
        <w:rPr>
          <w:sz w:val="20"/>
          <w:szCs w:val="20"/>
          <w:color w:val="auto"/>
        </w:rPr>
      </w:pPr>
    </w:p>
    <w:p>
      <w:pPr>
        <w:ind w:left="680" w:right="300" w:hanging="654"/>
        <w:spacing w:after="0" w:line="229"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Annual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filings.</w:t>
      </w:r>
    </w:p>
    <w:p>
      <w:pPr>
        <w:spacing w:after="0" w:line="2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67" w:lineRule="exact"/>
        <w:rPr>
          <w:sz w:val="20"/>
          <w:szCs w:val="20"/>
          <w:color w:val="auto"/>
        </w:rPr>
      </w:pPr>
    </w:p>
    <w:p>
      <w:pPr>
        <w:ind w:left="1020" w:right="19"/>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97" w:lineRule="exact"/>
        <w:rPr>
          <w:sz w:val="20"/>
          <w:szCs w:val="20"/>
          <w:color w:val="auto"/>
        </w:rPr>
      </w:pPr>
    </w:p>
    <w:p>
      <w:pPr>
        <w:ind w:left="1020"/>
        <w:spacing w:after="0"/>
        <w:tabs>
          <w:tab w:leader="none" w:pos="1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34290</wp:posOffset>
            </wp:positionV>
            <wp:extent cx="26142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5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Harold C. Bevis</w:t>
      </w:r>
    </w:p>
    <w:p>
      <w:pPr>
        <w:spacing w:after="0" w:line="4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08" w:lineRule="exact"/>
        <w:rPr>
          <w:sz w:val="20"/>
          <w:szCs w:val="20"/>
          <w:color w:val="auto"/>
        </w:rPr>
      </w:pPr>
    </w:p>
    <w:p>
      <w:pPr>
        <w:ind w:left="1020"/>
        <w:spacing w:after="0"/>
        <w:tabs>
          <w:tab w:leader="none" w:pos="1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5, 2025</w:t>
      </w:r>
    </w:p>
    <w:p>
      <w:pPr>
        <w:spacing w:after="0" w:line="387" w:lineRule="exact"/>
        <w:rPr>
          <w:sz w:val="20"/>
          <w:szCs w:val="20"/>
          <w:color w:val="auto"/>
        </w:rPr>
      </w:pPr>
    </w:p>
    <w:p>
      <w:pPr>
        <w:ind w:left="1020" w:right="459"/>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59" w:lineRule="exact"/>
        <w:rPr>
          <w:sz w:val="20"/>
          <w:szCs w:val="20"/>
          <w:color w:val="auto"/>
        </w:rPr>
      </w:pPr>
    </w:p>
    <w:p>
      <w:pPr>
        <w:ind w:left="2000"/>
        <w:spacing w:after="0"/>
        <w:tabs>
          <w:tab w:leader="none" w:pos="6300" w:val="left"/>
          <w:tab w:leader="none" w:pos="9340" w:val="left"/>
        </w:tabs>
        <w:rPr>
          <w:sz w:val="20"/>
          <w:szCs w:val="20"/>
          <w:color w:val="auto"/>
        </w:rPr>
      </w:pPr>
      <w:r>
        <w:rPr>
          <w:rFonts w:ascii="Times New Roman" w:cs="Times New Roman" w:eastAsia="Times New Roman" w:hAnsi="Times New Roman"/>
          <w:sz w:val="14"/>
          <w:szCs w:val="14"/>
          <w:b w:val="1"/>
          <w:bCs w:val="1"/>
          <w:color w:val="auto"/>
        </w:rPr>
        <w:t>Name and 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33655</wp:posOffset>
            </wp:positionV>
            <wp:extent cx="5854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9">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85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Harold C. Bevis</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24765</wp:posOffset>
            </wp:positionV>
            <wp:extent cx="20485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55"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Jeri J.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85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Jeri J. Harman</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Raynard D. Benvenuti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8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0"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Christina E.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85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João Faria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85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João Faria</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Rajeev Gautam,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85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Rajeev Gautam, Ph.D.</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Thomas H. Wilson,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85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Thomas H. Wilson,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8"/>
          <w:szCs w:val="18"/>
          <w:color w:val="auto"/>
        </w:rPr>
        <w:t>March 5, 2025</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96"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Senior Vice President and Chief Financial Officer</w:t>
      </w:r>
      <w:r>
        <w:rPr>
          <w:sz w:val="20"/>
          <w:szCs w:val="20"/>
          <w:color w:val="auto"/>
        </w:rPr>
        <w:tab/>
      </w:r>
      <w:r>
        <w:rPr>
          <w:rFonts w:ascii="Times New Roman" w:cs="Times New Roman" w:eastAsia="Times New Roman" w:hAnsi="Times New Roman"/>
          <w:sz w:val="18"/>
          <w:szCs w:val="18"/>
          <w:color w:val="auto"/>
        </w:rPr>
        <w:t>March 5, 2025</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Non-Executive Chairman, Director</w:t>
      </w:r>
      <w:r>
        <w:rPr>
          <w:sz w:val="20"/>
          <w:szCs w:val="20"/>
          <w:color w:val="auto"/>
        </w:rPr>
        <w:tab/>
      </w: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390"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5,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5, 2025</w:t>
      </w:r>
    </w:p>
    <w:p>
      <w:pPr>
        <w:spacing w:after="0" w:line="510" w:lineRule="exact"/>
        <w:rPr>
          <w:sz w:val="20"/>
          <w:szCs w:val="20"/>
          <w:color w:val="auto"/>
        </w:rPr>
      </w:pPr>
    </w:p>
    <w:p>
      <w:pPr>
        <w:sectPr>
          <w:pgSz w:w="11900" w:h="16838" w:orient="portrait"/>
          <w:cols w:equalWidth="0" w:num="2">
            <w:col w:w="3860" w:space="720"/>
            <w:col w:w="5559"/>
          </w:cols>
          <w:pgMar w:left="320" w:top="2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139"/>
          </w:cols>
          <w:pgMar w:left="320" w:top="229" w:right="1440" w:bottom="1440" w:gutter="0" w:footer="0" w:header="0"/>
          <w:type w:val="continuous"/>
        </w:sectPr>
      </w:pPr>
    </w:p>
    <w:bookmarkStart w:id="67" w:name="page68"/>
    <w:bookmarkEnd w:id="67"/>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040" w:type="dxa"/>
            <w:vAlign w:val="bottom"/>
            <w:tcBorders>
              <w:top w:val="single" w:sz="8" w:color="auto"/>
              <w:left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spacing w:after="0"/>
              <w:rPr>
                <w:sz w:val="20"/>
                <w:szCs w:val="20"/>
                <w:color w:val="auto"/>
              </w:rPr>
            </w:pPr>
          </w:p>
        </w:tc>
        <w:tc>
          <w:tcPr>
            <w:tcW w:w="1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Policy</w:t>
            </w:r>
          </w:p>
        </w:tc>
        <w:tc>
          <w:tcPr>
            <w:tcW w:w="23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Legal and Compliance</w:t>
            </w:r>
          </w:p>
        </w:tc>
        <w:tc>
          <w:tcPr>
            <w:tcW w:w="1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Effective Date:</w:t>
            </w:r>
          </w:p>
        </w:tc>
        <w:tc>
          <w:tcPr>
            <w:tcW w:w="230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01/07/03</w:t>
            </w:r>
          </w:p>
        </w:tc>
        <w:tc>
          <w:tcPr>
            <w:tcW w:w="0" w:type="dxa"/>
            <w:vAlign w:val="bottom"/>
          </w:tcPr>
          <w:p>
            <w:pPr>
              <w:spacing w:after="0"/>
              <w:rPr>
                <w:sz w:val="1"/>
                <w:szCs w:val="1"/>
                <w:color w:val="auto"/>
              </w:rPr>
            </w:pPr>
          </w:p>
        </w:tc>
      </w:tr>
      <w:tr>
        <w:trPr>
          <w:trHeight w:val="248"/>
        </w:trPr>
        <w:tc>
          <w:tcPr>
            <w:tcW w:w="3040" w:type="dxa"/>
            <w:vAlign w:val="bottom"/>
            <w:tcBorders>
              <w:lef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Grouping:</w:t>
            </w:r>
          </w:p>
        </w:tc>
        <w:tc>
          <w:tcPr>
            <w:tcW w:w="2380" w:type="dxa"/>
            <w:vAlign w:val="bottom"/>
            <w:tcBorders>
              <w:right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23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Rev. 11/20/24</w:t>
            </w:r>
          </w:p>
        </w:tc>
        <w:tc>
          <w:tcPr>
            <w:tcW w:w="0" w:type="dxa"/>
            <w:vAlign w:val="bottom"/>
          </w:tcPr>
          <w:p>
            <w:pPr>
              <w:spacing w:after="0"/>
              <w:rPr>
                <w:sz w:val="1"/>
                <w:szCs w:val="1"/>
                <w:color w:val="auto"/>
              </w:rPr>
            </w:pPr>
          </w:p>
        </w:tc>
      </w:tr>
      <w:tr>
        <w:trPr>
          <w:trHeight w:val="27"/>
        </w:trPr>
        <w:tc>
          <w:tcPr>
            <w:tcW w:w="3040" w:type="dxa"/>
            <w:vAlign w:val="bottom"/>
            <w:tcBorders>
              <w:lef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40" w:type="dxa"/>
            <w:vAlign w:val="bottom"/>
            <w:tcBorders>
              <w:lef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Subject:</w:t>
            </w:r>
          </w:p>
        </w:tc>
        <w:tc>
          <w:tcPr>
            <w:tcW w:w="2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Insider Trading Policy</w:t>
            </w:r>
          </w:p>
        </w:tc>
        <w:tc>
          <w:tcPr>
            <w:tcW w:w="1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Index:</w:t>
            </w:r>
          </w:p>
        </w:tc>
        <w:tc>
          <w:tcPr>
            <w:tcW w:w="23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013.005</w:t>
            </w:r>
          </w:p>
        </w:tc>
        <w:tc>
          <w:tcPr>
            <w:tcW w:w="0" w:type="dxa"/>
            <w:vAlign w:val="bottom"/>
          </w:tcPr>
          <w:p>
            <w:pPr>
              <w:spacing w:after="0"/>
              <w:rPr>
                <w:sz w:val="1"/>
                <w:szCs w:val="1"/>
                <w:color w:val="auto"/>
              </w:rPr>
            </w:pPr>
          </w:p>
        </w:tc>
      </w:tr>
      <w:tr>
        <w:trPr>
          <w:trHeight w:val="234"/>
        </w:trPr>
        <w:tc>
          <w:tcPr>
            <w:tcW w:w="304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2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Amended and Restated</w:t>
            </w:r>
          </w:p>
        </w:tc>
        <w:tc>
          <w:tcPr>
            <w:tcW w:w="154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Borders>
              <w:left w:val="single" w:sz="8" w:color="auto"/>
            </w:tcBorders>
            <w:vMerge w:val="restart"/>
          </w:tcPr>
          <w:p>
            <w:pPr>
              <w:ind w:left="1280"/>
              <w:spacing w:after="0"/>
              <w:rPr>
                <w:sz w:val="20"/>
                <w:szCs w:val="20"/>
                <w:color w:val="auto"/>
              </w:rPr>
            </w:pPr>
            <w:r>
              <w:rPr>
                <w:rFonts w:ascii="Times New Roman" w:cs="Times New Roman" w:eastAsia="Times New Roman" w:hAnsi="Times New Roman"/>
                <w:sz w:val="36"/>
                <w:szCs w:val="36"/>
                <w:b w:val="1"/>
                <w:bCs w:val="1"/>
                <w:color w:val="auto"/>
              </w:rPr>
              <w:t>NN, Inc.</w:t>
            </w:r>
          </w:p>
        </w:tc>
        <w:tc>
          <w:tcPr>
            <w:tcW w:w="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Approvals:</w:t>
            </w:r>
          </w:p>
        </w:tc>
        <w:tc>
          <w:tcPr>
            <w:tcW w:w="62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APPROVED BY THE BOARD OF DIRECTORS OF NN, INC.</w:t>
            </w:r>
          </w:p>
        </w:tc>
        <w:tc>
          <w:tcPr>
            <w:tcW w:w="0" w:type="dxa"/>
            <w:vAlign w:val="bottom"/>
          </w:tcPr>
          <w:p>
            <w:pPr>
              <w:spacing w:after="0"/>
              <w:rPr>
                <w:sz w:val="1"/>
                <w:szCs w:val="1"/>
                <w:color w:val="auto"/>
              </w:rPr>
            </w:pPr>
          </w:p>
        </w:tc>
      </w:tr>
      <w:tr>
        <w:trPr>
          <w:trHeight w:val="236"/>
        </w:trPr>
        <w:tc>
          <w:tcPr>
            <w:tcW w:w="3040" w:type="dxa"/>
            <w:vAlign w:val="bottom"/>
            <w:tcBorders>
              <w:left w:val="single" w:sz="8" w:color="auto"/>
            </w:tcBorders>
            <w:vMerge w:val="continue"/>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3040" w:type="dxa"/>
            <w:vAlign w:val="bottom"/>
            <w:tcBorders>
              <w:left w:val="single" w:sz="8" w:color="auto"/>
            </w:tcBorders>
          </w:tcPr>
          <w:p>
            <w:pPr>
              <w:spacing w:after="0"/>
              <w:rPr>
                <w:sz w:val="24"/>
                <w:szCs w:val="24"/>
                <w:color w:val="auto"/>
              </w:rPr>
            </w:pPr>
          </w:p>
        </w:tc>
        <w:tc>
          <w:tcPr>
            <w:tcW w:w="5920" w:type="dxa"/>
            <w:vAlign w:val="bottom"/>
            <w:gridSpan w:val="4"/>
          </w:tcPr>
          <w:p>
            <w:pPr>
              <w:ind w:left="460"/>
              <w:spacing w:after="0"/>
              <w:rPr>
                <w:sz w:val="20"/>
                <w:szCs w:val="20"/>
                <w:color w:val="auto"/>
              </w:rPr>
            </w:pPr>
            <w:r>
              <w:rPr>
                <w:rFonts w:ascii="Times New Roman" w:cs="Times New Roman" w:eastAsia="Times New Roman" w:hAnsi="Times New Roman"/>
                <w:sz w:val="29"/>
                <w:szCs w:val="29"/>
                <w:b w:val="1"/>
                <w:bCs w:val="1"/>
                <w:color w:val="auto"/>
              </w:rPr>
              <w:t>Corporate Policies and Procedures</w:t>
            </w:r>
          </w:p>
        </w:tc>
        <w:tc>
          <w:tcPr>
            <w:tcW w:w="2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04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-1242695</wp:posOffset>
            </wp:positionV>
            <wp:extent cx="1859915" cy="4889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185991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i w:val="1"/>
          <w:iCs w:val="1"/>
          <w:color w:val="auto"/>
        </w:rPr>
        <w:t>This Policy can only be amended by approval of the NN, Inc. Board of Directors</w:t>
      </w:r>
    </w:p>
    <w:p>
      <w:pPr>
        <w:spacing w:after="0" w:line="213" w:lineRule="exact"/>
        <w:rPr>
          <w:sz w:val="20"/>
          <w:szCs w:val="20"/>
          <w:color w:val="auto"/>
        </w:rPr>
      </w:pPr>
    </w:p>
    <w:p>
      <w:pPr>
        <w:ind w:left="72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w:t>
      </w:r>
      <w:r>
        <w:rPr>
          <w:sz w:val="20"/>
          <w:szCs w:val="20"/>
          <w:color w:val="auto"/>
        </w:rPr>
        <w:tab/>
      </w:r>
      <w:r>
        <w:rPr>
          <w:rFonts w:ascii="Times New Roman" w:cs="Times New Roman" w:eastAsia="Times New Roman" w:hAnsi="Times New Roman"/>
          <w:sz w:val="19"/>
          <w:szCs w:val="19"/>
          <w:b w:val="1"/>
          <w:bCs w:val="1"/>
          <w:color w:val="auto"/>
        </w:rPr>
        <w:t>Purpose:</w:t>
      </w:r>
    </w:p>
    <w:p>
      <w:pPr>
        <w:spacing w:after="0" w:line="26" w:lineRule="exact"/>
        <w:rPr>
          <w:sz w:val="20"/>
          <w:szCs w:val="20"/>
          <w:color w:val="auto"/>
        </w:rPr>
      </w:pPr>
    </w:p>
    <w:p>
      <w:pPr>
        <w:ind w:left="1300" w:right="340"/>
        <w:spacing w:after="0" w:line="260" w:lineRule="auto"/>
        <w:rPr>
          <w:sz w:val="20"/>
          <w:szCs w:val="20"/>
          <w:color w:val="auto"/>
        </w:rPr>
      </w:pPr>
      <w:r>
        <w:rPr>
          <w:rFonts w:ascii="Times New Roman" w:cs="Times New Roman" w:eastAsia="Times New Roman" w:hAnsi="Times New Roman"/>
          <w:sz w:val="20"/>
          <w:szCs w:val="20"/>
          <w:color w:val="auto"/>
        </w:rPr>
        <w:t>To prescribe corporate policy regarding the trading the of Company’s securities under Securities and Exchange Act Rules 10b-5, 10b5-1 and 10b5-2.</w:t>
      </w:r>
    </w:p>
    <w:p>
      <w:pPr>
        <w:spacing w:after="0" w:line="178" w:lineRule="exact"/>
        <w:rPr>
          <w:sz w:val="20"/>
          <w:szCs w:val="20"/>
          <w:color w:val="auto"/>
        </w:rPr>
      </w:pPr>
    </w:p>
    <w:p>
      <w:pPr>
        <w:ind w:left="1060" w:hanging="404"/>
        <w:spacing w:after="0"/>
        <w:tabs>
          <w:tab w:leader="none" w:pos="106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w:t>
      </w:r>
    </w:p>
    <w:p>
      <w:pPr>
        <w:spacing w:after="0" w:line="26" w:lineRule="exact"/>
        <w:rPr>
          <w:sz w:val="20"/>
          <w:szCs w:val="20"/>
          <w:color w:val="auto"/>
        </w:rPr>
      </w:pPr>
    </w:p>
    <w:p>
      <w:pPr>
        <w:ind w:left="1300" w:right="340"/>
        <w:spacing w:after="0" w:line="249" w:lineRule="auto"/>
        <w:rPr>
          <w:sz w:val="20"/>
          <w:szCs w:val="20"/>
          <w:color w:val="auto"/>
        </w:rPr>
      </w:pPr>
      <w:r>
        <w:rPr>
          <w:rFonts w:ascii="Times New Roman" w:cs="Times New Roman" w:eastAsia="Times New Roman" w:hAnsi="Times New Roman"/>
          <w:sz w:val="20"/>
          <w:szCs w:val="20"/>
          <w:color w:val="auto"/>
        </w:rPr>
        <w:t>This policy applies to all “Insiders” including officers, directors, shareholders holding significant amounts of Company stock, employees, and consultants of the NN, Inc. and its divisions and subsidiaries. Also see the NN, Inc. Code of Ethics (CP&amp;P 1.010).</w:t>
      </w:r>
    </w:p>
    <w:p>
      <w:pPr>
        <w:spacing w:after="0" w:line="190" w:lineRule="exact"/>
        <w:rPr>
          <w:sz w:val="20"/>
          <w:szCs w:val="20"/>
          <w:color w:val="auto"/>
        </w:rPr>
      </w:pPr>
    </w:p>
    <w:p>
      <w:pPr>
        <w:ind w:left="72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III.</w:t>
      </w:r>
      <w:r>
        <w:rPr>
          <w:sz w:val="20"/>
          <w:szCs w:val="20"/>
          <w:color w:val="auto"/>
        </w:rPr>
        <w:tab/>
      </w:r>
      <w:r>
        <w:rPr>
          <w:rFonts w:ascii="Times New Roman" w:cs="Times New Roman" w:eastAsia="Times New Roman" w:hAnsi="Times New Roman"/>
          <w:sz w:val="19"/>
          <w:szCs w:val="19"/>
          <w:b w:val="1"/>
          <w:bCs w:val="1"/>
          <w:color w:val="auto"/>
        </w:rPr>
        <w:t>Forms:</w:t>
      </w:r>
    </w:p>
    <w:p>
      <w:pPr>
        <w:spacing w:after="0" w:line="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See attached policy.</w:t>
      </w:r>
    </w:p>
    <w:p>
      <w:pPr>
        <w:spacing w:after="0" w:line="196" w:lineRule="exact"/>
        <w:rPr>
          <w:sz w:val="20"/>
          <w:szCs w:val="20"/>
          <w:color w:val="auto"/>
        </w:rPr>
      </w:pPr>
    </w:p>
    <w:p>
      <w:pPr>
        <w:ind w:left="72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IV.</w:t>
        <w:tab/>
        <w:t>Definitions:</w:t>
      </w:r>
    </w:p>
    <w:p>
      <w:pPr>
        <w:spacing w:after="0" w:line="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None.</w:t>
      </w:r>
    </w:p>
    <w:p>
      <w:pPr>
        <w:spacing w:after="0" w:line="196" w:lineRule="exact"/>
        <w:rPr>
          <w:sz w:val="20"/>
          <w:szCs w:val="20"/>
          <w:color w:val="auto"/>
        </w:rPr>
      </w:pPr>
    </w:p>
    <w:p>
      <w:pPr>
        <w:ind w:left="72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VI.</w:t>
        <w:tab/>
        <w:t>Responsibility:</w:t>
      </w:r>
    </w:p>
    <w:p>
      <w:pPr>
        <w:spacing w:after="0" w:line="32" w:lineRule="exact"/>
        <w:rPr>
          <w:sz w:val="20"/>
          <w:szCs w:val="20"/>
          <w:color w:val="auto"/>
        </w:rPr>
      </w:pPr>
    </w:p>
    <w:p>
      <w:pPr>
        <w:ind w:left="1300" w:right="880"/>
        <w:spacing w:after="0" w:line="267" w:lineRule="auto"/>
        <w:rPr>
          <w:sz w:val="20"/>
          <w:szCs w:val="20"/>
          <w:color w:val="auto"/>
        </w:rPr>
      </w:pPr>
      <w:r>
        <w:rPr>
          <w:rFonts w:ascii="Times New Roman" w:cs="Times New Roman" w:eastAsia="Times New Roman" w:hAnsi="Times New Roman"/>
          <w:sz w:val="20"/>
          <w:szCs w:val="20"/>
          <w:color w:val="auto"/>
        </w:rPr>
        <w:t>All directors, officers, employees, and consultants of NN, Inc., its subsidiaries and divisions and shareholders with significant amounts of Company Stock, are responsible for adherence to this policy.</w:t>
      </w:r>
    </w:p>
    <w:p>
      <w:pPr>
        <w:spacing w:after="0" w:line="157" w:lineRule="exact"/>
        <w:rPr>
          <w:sz w:val="20"/>
          <w:szCs w:val="20"/>
          <w:color w:val="auto"/>
        </w:rPr>
      </w:pPr>
    </w:p>
    <w:p>
      <w:pPr>
        <w:ind w:left="1080" w:hanging="359"/>
        <w:spacing w:after="0"/>
        <w:tabs>
          <w:tab w:leader="none" w:pos="108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Instructions:</w:t>
      </w:r>
    </w:p>
    <w:p>
      <w:pPr>
        <w:spacing w:after="0" w:line="32" w:lineRule="exact"/>
        <w:rPr>
          <w:rFonts w:ascii="Times New Roman" w:cs="Times New Roman" w:eastAsia="Times New Roman" w:hAnsi="Times New Roman"/>
          <w:sz w:val="20"/>
          <w:szCs w:val="20"/>
          <w:b w:val="1"/>
          <w:bCs w:val="1"/>
          <w:color w:val="auto"/>
        </w:rPr>
      </w:pPr>
    </w:p>
    <w:p>
      <w:pPr>
        <w:ind w:left="13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None.</w:t>
      </w:r>
    </w:p>
    <w:p>
      <w:pPr>
        <w:sectPr>
          <w:pgSz w:w="11900" w:h="16838" w:orient="portrait"/>
          <w:cols w:equalWidth="0" w:num="1">
            <w:col w:w="11260"/>
          </w:cols>
          <w:pgMar w:left="320" w:top="100"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Date: November 20, 2024</w:t>
      </w:r>
    </w:p>
    <w:p>
      <w:pPr>
        <w:spacing w:after="0" w:line="224"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2"/>
          <w:szCs w:val="22"/>
          <w:color w:val="auto"/>
        </w:rPr>
        <w:t>The purchase or sale of securities while aware of material nonpublic information, or the disclosure of material nonpublic information to others who then trade in NN, Inc.’s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securities, is prohibited by the federal securities laws. Regulatory authorities, such as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and the Department of Justice, concentrate their efforts on the individuals who trade, or who tip inside information to others who trade as well as the companies and other controlling persons who fail to take reasonable steps to prevent insider trading by company personnel.</w:t>
      </w:r>
    </w:p>
    <w:p>
      <w:pPr>
        <w:spacing w:after="0" w:line="179" w:lineRule="exact"/>
        <w:rPr>
          <w:sz w:val="20"/>
          <w:szCs w:val="20"/>
          <w:color w:val="auto"/>
        </w:rPr>
      </w:pPr>
    </w:p>
    <w:p>
      <w:pPr>
        <w:jc w:val="both"/>
        <w:ind w:right="60" w:firstLine="648"/>
        <w:spacing w:after="0" w:line="251" w:lineRule="auto"/>
        <w:rPr>
          <w:sz w:val="20"/>
          <w:szCs w:val="20"/>
          <w:color w:val="auto"/>
        </w:rPr>
      </w:pPr>
      <w:r>
        <w:rPr>
          <w:rFonts w:ascii="Times New Roman" w:cs="Times New Roman" w:eastAsia="Times New Roman" w:hAnsi="Times New Roman"/>
          <w:sz w:val="22"/>
          <w:szCs w:val="22"/>
          <w:color w:val="auto"/>
        </w:rPr>
        <w:t>The SEC and Department of Justice have made the civil and criminal prosecution of insider trading violations a top priority. Enforcement remedies available to the government and others under the federal securities laws include administrative sanctions; civil injunctions; damage awards to private plaintiffs; disgorgement of all profits; civil fines of up to three times the amount of profit gained or loss avoided; criminal fines of up to $5,000,000; jail sentences of up to 20 years; civil fines for the employer or other controlling person of a violator of up to the greater of $2,300,000 or three times the amount of profit gained or loss avoided by the violator; and criminal fines for the employer or other controlling person of up to $25,000,000.</w:t>
      </w:r>
    </w:p>
    <w:p>
      <w:pPr>
        <w:spacing w:after="0" w:line="181" w:lineRule="exact"/>
        <w:rPr>
          <w:sz w:val="20"/>
          <w:szCs w:val="20"/>
          <w:color w:val="auto"/>
        </w:rPr>
      </w:pPr>
    </w:p>
    <w:p>
      <w:pPr>
        <w:jc w:val="both"/>
        <w:ind w:right="80" w:firstLine="648"/>
        <w:spacing w:after="0" w:line="263" w:lineRule="auto"/>
        <w:rPr>
          <w:sz w:val="20"/>
          <w:szCs w:val="20"/>
          <w:color w:val="auto"/>
        </w:rPr>
      </w:pPr>
      <w:r>
        <w:rPr>
          <w:rFonts w:ascii="Times New Roman" w:cs="Times New Roman" w:eastAsia="Times New Roman" w:hAnsi="Times New Roman"/>
          <w:sz w:val="22"/>
          <w:szCs w:val="22"/>
          <w:color w:val="auto"/>
        </w:rPr>
        <w:t>Penalties for insider trading, therefore, can extend significantly beyond any profits made or losses avoided both for individuals engaging in such unlawful conduct and their employers. Insider trading can also violate other federal and state civil or criminal laws, such as mail and wire fraud statutes.</w:t>
      </w:r>
    </w:p>
    <w:p>
      <w:pPr>
        <w:spacing w:after="0" w:line="167" w:lineRule="exact"/>
        <w:rPr>
          <w:sz w:val="20"/>
          <w:szCs w:val="20"/>
          <w:color w:val="auto"/>
        </w:rPr>
      </w:pPr>
    </w:p>
    <w:p>
      <w:pPr>
        <w:jc w:val="both"/>
        <w:ind w:right="60" w:firstLine="648"/>
        <w:spacing w:after="0" w:line="251" w:lineRule="auto"/>
        <w:rPr>
          <w:sz w:val="20"/>
          <w:szCs w:val="20"/>
          <w:color w:val="auto"/>
        </w:rPr>
      </w:pPr>
      <w:r>
        <w:rPr>
          <w:rFonts w:ascii="Times New Roman" w:cs="Times New Roman" w:eastAsia="Times New Roman" w:hAnsi="Times New Roman"/>
          <w:sz w:val="22"/>
          <w:szCs w:val="22"/>
          <w:color w:val="auto"/>
        </w:rPr>
        <w:t>The Board of Directors of the Company has adopted this Insider Trading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 prevent insider trading as well as to help Company personnel avoid the consequences and penalties associated with a violation of the insider trading laws. Since anyone analyzing a transaction involving the Company’s securities by any employee of the Company will be doing so with perfect hindsight, this Policy is intended to prevent even the appearance of improper conduct on the part of any employee, or any other individual associated with the Company. If you have any questions after reviewing this Policy, you should consult the Company’s General Counsel.</w:t>
      </w:r>
    </w:p>
    <w:p>
      <w:pPr>
        <w:spacing w:after="0" w:line="177" w:lineRule="exact"/>
        <w:rPr>
          <w:sz w:val="20"/>
          <w:szCs w:val="20"/>
          <w:color w:val="auto"/>
        </w:rPr>
      </w:pPr>
    </w:p>
    <w:p>
      <w:pPr>
        <w:ind w:left="660" w:right="8000" w:hanging="652"/>
        <w:spacing w:after="0" w:line="456" w:lineRule="auto"/>
        <w:tabs>
          <w:tab w:leader="none" w:pos="36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 xml:space="preserve">Explanation of Insider Trading </w:t>
      </w: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right="60" w:firstLine="648"/>
        <w:spacing w:after="0" w:line="252" w:lineRule="auto"/>
        <w:rPr>
          <w:sz w:val="20"/>
          <w:szCs w:val="20"/>
          <w:color w:val="auto"/>
        </w:rPr>
      </w:pPr>
      <w:r>
        <w:rPr>
          <w:rFonts w:ascii="Times New Roman" w:cs="Times New Roman" w:eastAsia="Times New Roman" w:hAnsi="Times New Roman"/>
          <w:sz w:val="22"/>
          <w:szCs w:val="22"/>
          <w:color w:val="auto"/>
        </w:rPr>
        <w:t>Under Rules 10b-5, 10b5-1 and 10b5-2 under the Securities Exchange Act of 1934, no person who, by virtue of his or her position or relationship to the Company, has access to material nonpublic information concerning the Company or its prospects shall buy or sell stock of the Company or otherwise use the information to his or her own advantage or pass the information on, directly or indirectly, to others who engage in such transactions. Rules 10b-5, 10b5-1 and 10b5-2 prohibit: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8" w:right="339" w:bottom="1440" w:gutter="0" w:footer="0" w:header="0"/>
        </w:sectPr>
      </w:pPr>
    </w:p>
    <w:bookmarkStart w:id="69" w:name="page70"/>
    <w:bookmarkEnd w:id="69"/>
    <w:p>
      <w:pPr>
        <w:ind w:left="1220" w:hanging="580"/>
        <w:spacing w:after="0"/>
        <w:tabs>
          <w:tab w:leader="none" w:pos="12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Trading by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xml:space="preserve"> while in possession or aware of </w:t>
      </w:r>
      <w:r>
        <w:rPr>
          <w:rFonts w:ascii="Times New Roman" w:cs="Times New Roman" w:eastAsia="Times New Roman" w:hAnsi="Times New Roman"/>
          <w:sz w:val="22"/>
          <w:szCs w:val="22"/>
          <w:u w:val="single" w:color="auto"/>
          <w:color w:val="auto"/>
        </w:rPr>
        <w:t>material nonpublic</w:t>
      </w:r>
      <w:r>
        <w:rPr>
          <w:rFonts w:ascii="Times New Roman" w:cs="Times New Roman" w:eastAsia="Times New Roman" w:hAnsi="Times New Roman"/>
          <w:sz w:val="22"/>
          <w:szCs w:val="22"/>
          <w:color w:val="auto"/>
        </w:rPr>
        <w:t xml:space="preserve"> information;</w:t>
      </w:r>
    </w:p>
    <w:p>
      <w:pPr>
        <w:spacing w:after="0" w:line="125" w:lineRule="exact"/>
        <w:rPr>
          <w:rFonts w:ascii="Times New Roman" w:cs="Times New Roman" w:eastAsia="Times New Roman" w:hAnsi="Times New Roman"/>
          <w:sz w:val="20"/>
          <w:szCs w:val="20"/>
          <w:color w:val="auto"/>
        </w:rPr>
      </w:pPr>
    </w:p>
    <w:p>
      <w:pPr>
        <w:ind w:left="1220" w:right="280" w:hanging="580"/>
        <w:spacing w:after="0" w:line="257" w:lineRule="auto"/>
        <w:tabs>
          <w:tab w:leader="none" w:pos="121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Trading by </w:t>
      </w:r>
      <w:r>
        <w:rPr>
          <w:rFonts w:ascii="Times New Roman" w:cs="Times New Roman" w:eastAsia="Times New Roman" w:hAnsi="Times New Roman"/>
          <w:sz w:val="22"/>
          <w:szCs w:val="22"/>
          <w:u w:val="single" w:color="auto"/>
          <w:color w:val="auto"/>
        </w:rPr>
        <w:t>persons other than insiders</w:t>
      </w:r>
      <w:r>
        <w:rPr>
          <w:rFonts w:ascii="Times New Roman" w:cs="Times New Roman" w:eastAsia="Times New Roman" w:hAnsi="Times New Roman"/>
          <w:sz w:val="22"/>
          <w:szCs w:val="22"/>
          <w:color w:val="auto"/>
        </w:rPr>
        <w:t xml:space="preserve"> while in possession or aware of </w:t>
      </w:r>
      <w:r>
        <w:rPr>
          <w:rFonts w:ascii="Times New Roman" w:cs="Times New Roman" w:eastAsia="Times New Roman" w:hAnsi="Times New Roman"/>
          <w:sz w:val="22"/>
          <w:szCs w:val="22"/>
          <w:u w:val="single" w:color="auto"/>
          <w:color w:val="auto"/>
        </w:rPr>
        <w:t>material nonpublic</w:t>
      </w:r>
      <w:r>
        <w:rPr>
          <w:rFonts w:ascii="Times New Roman" w:cs="Times New Roman" w:eastAsia="Times New Roman" w:hAnsi="Times New Roman"/>
          <w:sz w:val="22"/>
          <w:szCs w:val="22"/>
          <w:color w:val="auto"/>
        </w:rPr>
        <w:t xml:space="preserve"> information where the information either was communicated in breach of an insider’s fiduciary duty to keep it confidential or was misappropriated; and</w:t>
      </w:r>
    </w:p>
    <w:p>
      <w:pPr>
        <w:spacing w:after="0" w:line="78" w:lineRule="exact"/>
        <w:rPr>
          <w:rFonts w:ascii="Times New Roman" w:cs="Times New Roman" w:eastAsia="Times New Roman" w:hAnsi="Times New Roman"/>
          <w:sz w:val="20"/>
          <w:szCs w:val="20"/>
          <w:color w:val="auto"/>
        </w:rPr>
      </w:pPr>
    </w:p>
    <w:p>
      <w:pPr>
        <w:ind w:left="1220" w:hanging="580"/>
        <w:spacing w:after="0" w:line="271" w:lineRule="auto"/>
        <w:tabs>
          <w:tab w:leader="none" w:pos="121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Communicating </w:t>
      </w:r>
      <w:r>
        <w:rPr>
          <w:rFonts w:ascii="Times New Roman" w:cs="Times New Roman" w:eastAsia="Times New Roman" w:hAnsi="Times New Roman"/>
          <w:sz w:val="22"/>
          <w:szCs w:val="22"/>
          <w:u w:val="single" w:color="auto"/>
          <w:color w:val="auto"/>
        </w:rPr>
        <w:t>material nonpublic</w:t>
      </w:r>
      <w:r>
        <w:rPr>
          <w:rFonts w:ascii="Times New Roman" w:cs="Times New Roman" w:eastAsia="Times New Roman" w:hAnsi="Times New Roman"/>
          <w:sz w:val="22"/>
          <w:szCs w:val="22"/>
          <w:color w:val="auto"/>
        </w:rPr>
        <w:t xml:space="preserve"> information to others who have no need to know, or “tipping,” including recommending the purchase or sale of a security while in possession of such information.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Buying or selling the Company’s stock while in possession or aware of such information, regardless of whether the transaction would have taken place even if the individual did not possess or become aware of undisclosed material information, may give rise to a variety of individual or derivative civil claims, as well as to SEC injunctive action and, in some circumstances, criminal penalties. In addition, litigation involving charges of this nature can result in a good deal of adverse publicity and embarrassment for the Company and those who manage it.</w:t>
      </w:r>
    </w:p>
    <w:p>
      <w:pPr>
        <w:spacing w:after="0" w:line="17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Materiality of Information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Insider trading restrictions come into play only if the information you possess is “material.” Materiality, 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Information dealing with the following subjects is reasonably likely to be found material in particular situations:</w:t>
      </w:r>
    </w:p>
    <w:p>
      <w:pPr>
        <w:spacing w:after="0" w:line="112" w:lineRule="exact"/>
        <w:rPr>
          <w:sz w:val="20"/>
          <w:szCs w:val="20"/>
          <w:color w:val="auto"/>
        </w:rPr>
      </w:pPr>
    </w:p>
    <w:p>
      <w:pPr>
        <w:ind w:left="1620" w:right="780" w:hanging="964"/>
        <w:spacing w:after="0" w:line="284" w:lineRule="auto"/>
        <w:tabs>
          <w:tab w:leader="none" w:pos="160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significant changes in the Company’s prospects, including the gain or loss of a substantial customer or supplier;</w:t>
      </w:r>
    </w:p>
    <w:p>
      <w:pPr>
        <w:spacing w:after="0" w:line="3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award or loss of a significant contract;</w:t>
      </w:r>
    </w:p>
    <w:p>
      <w:pPr>
        <w:spacing w:after="0" w:line="12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significant write-downs in assets or increases in reserves;</w:t>
      </w:r>
    </w:p>
    <w:p>
      <w:pPr>
        <w:spacing w:after="0" w:line="111"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material impairments, write-offs or restructurings;</w:t>
      </w:r>
    </w:p>
    <w:p>
      <w:pPr>
        <w:spacing w:after="0" w:line="12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Company, competitor or supplier bankruptcies or liquidity concerns or material developments;</w:t>
      </w:r>
    </w:p>
    <w:p>
      <w:pPr>
        <w:spacing w:after="0" w:line="12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financial results (expected or unexpected) or information including earnings, forecasts or targets;</w:t>
      </w:r>
    </w:p>
    <w:p>
      <w:pPr>
        <w:spacing w:after="0" w:line="111"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major changes in senior management, board of directors or a change in control of the Company;</w:t>
      </w:r>
    </w:p>
    <w:p>
      <w:pPr>
        <w:spacing w:after="0" w:line="12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stock splits or changes in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70" w:name="page71"/>
    <w:bookmarkEnd w:id="70"/>
    <w:p>
      <w:pPr>
        <w:ind w:left="1620" w:right="40" w:hanging="964"/>
        <w:spacing w:after="0" w:line="284" w:lineRule="auto"/>
        <w:tabs>
          <w:tab w:leader="none" w:pos="16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significant borrowing or financing developments, including liquidity concerns, defaults under debt obligations, or the failure to maintain financial covenants under the Company’s credit facilities;</w:t>
      </w:r>
    </w:p>
    <w:p>
      <w:pPr>
        <w:spacing w:after="0" w:line="3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changes in debt ratings;</w:t>
      </w:r>
    </w:p>
    <w:p>
      <w:pPr>
        <w:spacing w:after="0" w:line="111"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change of independent registered public accounting firm;</w:t>
      </w:r>
    </w:p>
    <w:p>
      <w:pPr>
        <w:spacing w:after="0" w:line="12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major changes in accounting methods or policies;</w:t>
      </w:r>
    </w:p>
    <w:p>
      <w:pPr>
        <w:spacing w:after="0" w:line="12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material weakness in internal controls of financial reporting;</w:t>
      </w:r>
    </w:p>
    <w:p>
      <w:pPr>
        <w:spacing w:after="0" w:line="111"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significant product defects, modifications or recalls;</w:t>
      </w:r>
    </w:p>
    <w:p>
      <w:pPr>
        <w:spacing w:after="0" w:line="125" w:lineRule="exact"/>
        <w:rPr>
          <w:rFonts w:ascii="Times New Roman" w:cs="Times New Roman" w:eastAsia="Times New Roman" w:hAnsi="Times New Roman"/>
          <w:sz w:val="20"/>
          <w:szCs w:val="20"/>
          <w:color w:val="auto"/>
        </w:rPr>
      </w:pPr>
    </w:p>
    <w:p>
      <w:pPr>
        <w:ind w:left="1620" w:right="400" w:hanging="964"/>
        <w:spacing w:after="0" w:line="295" w:lineRule="auto"/>
        <w:tabs>
          <w:tab w:leader="none" w:pos="16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proposals, plans or agreements, even if preliminary in nature, involving mergers, acquisitions, divestitures, recapitalizations, strategic alliances, licensing arrangements or purchases or sales of substantial assets;</w:t>
      </w:r>
    </w:p>
    <w:p>
      <w:pPr>
        <w:spacing w:after="0" w:line="40" w:lineRule="exact"/>
        <w:rPr>
          <w:rFonts w:ascii="Times New Roman" w:cs="Times New Roman" w:eastAsia="Times New Roman" w:hAnsi="Times New Roman"/>
          <w:sz w:val="19"/>
          <w:szCs w:val="19"/>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sale of a significant subsidiary;</w:t>
      </w:r>
    </w:p>
    <w:p>
      <w:pPr>
        <w:spacing w:after="0" w:line="111"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proposed offerings of Company securities;</w:t>
      </w:r>
    </w:p>
    <w:p>
      <w:pPr>
        <w:spacing w:after="0" w:line="125"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cybersecurity risks and incidents, including vulnerability and breaches;</w:t>
      </w:r>
    </w:p>
    <w:p>
      <w:pPr>
        <w:spacing w:after="0" w:line="111" w:lineRule="exact"/>
        <w:rPr>
          <w:rFonts w:ascii="Times New Roman" w:cs="Times New Roman" w:eastAsia="Times New Roman" w:hAnsi="Times New Roman"/>
          <w:sz w:val="20"/>
          <w:szCs w:val="20"/>
          <w:color w:val="auto"/>
        </w:rPr>
      </w:pPr>
    </w:p>
    <w:p>
      <w:pPr>
        <w:ind w:left="1620" w:hanging="964"/>
        <w:spacing w:after="0"/>
        <w:tabs>
          <w:tab w:leader="none" w:pos="16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major environmental incidents; and</w:t>
      </w:r>
    </w:p>
    <w:p>
      <w:pPr>
        <w:spacing w:after="0" w:line="125" w:lineRule="exact"/>
        <w:rPr>
          <w:rFonts w:ascii="Times New Roman" w:cs="Times New Roman" w:eastAsia="Times New Roman" w:hAnsi="Times New Roman"/>
          <w:sz w:val="20"/>
          <w:szCs w:val="20"/>
          <w:color w:val="auto"/>
        </w:rPr>
      </w:pPr>
    </w:p>
    <w:p>
      <w:pPr>
        <w:ind w:left="1620" w:right="940" w:hanging="964"/>
        <w:spacing w:after="0" w:line="284" w:lineRule="auto"/>
        <w:tabs>
          <w:tab w:leader="none" w:pos="16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significant legal or regulatory developments, including significant litigation or governmental agency investigations.</w:t>
      </w:r>
    </w:p>
    <w:p>
      <w:pPr>
        <w:spacing w:after="0" w:line="3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t>
      </w:r>
      <w:r>
        <w:rPr>
          <w:rFonts w:ascii="Times New Roman" w:cs="Times New Roman" w:eastAsia="Times New Roman" w:hAnsi="Times New Roman"/>
          <w:sz w:val="22"/>
          <w:szCs w:val="22"/>
          <w:b w:val="1"/>
          <w:bCs w:val="1"/>
          <w:color w:val="auto"/>
        </w:rPr>
        <w:t>When in doubt about whether particular non-public information is material,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should presume it is material. If you are unsure whether information is material, you should consult the General Counsel before making any decision to disclose such information (other than to persons who need to know it) or to trade in or recommend securities to which that information relates.</w:t>
      </w:r>
    </w:p>
    <w:p>
      <w:pPr>
        <w:spacing w:after="0" w:line="185" w:lineRule="exact"/>
        <w:rPr>
          <w:sz w:val="20"/>
          <w:szCs w:val="20"/>
          <w:color w:val="auto"/>
        </w:rPr>
      </w:pPr>
    </w:p>
    <w:p>
      <w:pPr>
        <w:ind w:left="1680" w:hanging="376"/>
        <w:spacing w:after="0"/>
        <w:tabs>
          <w:tab w:leader="none" w:pos="16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Information is “nonpublic” when it is not available to the general public. For information to be considered public, it must be widely disseminated by the Company through appropriate channels in a manner that makes it generally available to all investors, usually through a press release, a filing with the SEC, or a widely disseminated statement from a senior officer. The circulation of rumors, even if accurate and reported in the media, does not in itself constitute effective public dissemination.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71" w:name="page72"/>
    <w:bookmarkEnd w:id="7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addition, even after a public announcement, a reasonable period of time must lapse before trading in order for the market to react to newly announced information. While technological advances have resulted in rapid dissemination of corporate information, in general one should allow a waiting period of at least 48 hours prior to trading following publication.</w:t>
      </w:r>
    </w:p>
    <w:p>
      <w:pPr>
        <w:spacing w:after="0" w:line="186" w:lineRule="exact"/>
        <w:rPr>
          <w:sz w:val="20"/>
          <w:szCs w:val="20"/>
          <w:color w:val="auto"/>
        </w:rPr>
      </w:pPr>
    </w:p>
    <w:p>
      <w:pPr>
        <w:ind w:left="1680" w:hanging="376"/>
        <w:spacing w:after="0"/>
        <w:tabs>
          <w:tab w:leader="none" w:pos="16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 is an Insider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“Insiders” include officers, directors, shareholders holding a significant amount of Company stock, employees, and consultants of a company. An “insider” may become a “non-insider” for several reasons, including, but not limited to: (1) changing positions within the Company, such that that person is no longer an officer, director, shareholder holding a significant amount of Company stock, employee, or consultant of the Company, or (2) terminating employment with the Company.</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Insiders have independent fiduciary duties to their company and its stockholders not to trade on material nonpublic information relating to the Company’s securities. </w:t>
      </w:r>
      <w:r>
        <w:rPr>
          <w:rFonts w:ascii="Times New Roman" w:cs="Times New Roman" w:eastAsia="Times New Roman" w:hAnsi="Times New Roman"/>
          <w:sz w:val="22"/>
          <w:szCs w:val="22"/>
          <w:b w:val="1"/>
          <w:bCs w:val="1"/>
          <w:color w:val="auto"/>
        </w:rPr>
        <w:t>All employees and directors of the Company should consider themselves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insiders with respect to material nonpublic information about the Company and must not trade any securities of the Company while in possession of material nonpublic information relating to the Company nor “tip” (i.e., communicate, except on a need-to-know basis) such information to others. </w:t>
      </w:r>
      <w:r>
        <w:rPr>
          <w:rFonts w:ascii="Times New Roman" w:cs="Times New Roman" w:eastAsia="Times New Roman" w:hAnsi="Times New Roman"/>
          <w:sz w:val="22"/>
          <w:szCs w:val="22"/>
          <w:color w:val="auto"/>
        </w:rPr>
        <w:t>Furthermore, if you are in possession of material non-public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when your employment terminates, you may not trade in Company securities nor “tip” until that information has become public or is no longer material.</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Persons can become temporary insiders by virtue of having access to confidential information about a company with which they have a special confidential relationship. Temporary insiders acquire fiduciary duties to the stockholders of that company not to trade when in possession of material nonpublic information relating to that company or its securities. An outsider can become and remain a temporary insider with respect to all material nonpublic information received from a company during consideration of a possible transaction, even if the transaction is not ultimately consummated. Temporary insiders can include, among others, lawyers, accountants, consultants, public relations personnel, and investment bankers. For example, it is possible that the Company or employees or directors of the Company may be considered temporary insiders of another company with which the Company has a business relationship such as franchisees, suppliers, joint venture partners or others.</w:t>
      </w:r>
    </w:p>
    <w:p>
      <w:pPr>
        <w:spacing w:after="0" w:line="173" w:lineRule="exact"/>
        <w:rPr>
          <w:sz w:val="20"/>
          <w:szCs w:val="20"/>
          <w:color w:val="auto"/>
        </w:rPr>
      </w:pPr>
    </w:p>
    <w:p>
      <w:pPr>
        <w:ind w:left="1680" w:hanging="376"/>
        <w:spacing w:after="0"/>
        <w:tabs>
          <w:tab w:leader="none" w:pos="16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Tipping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An insider may be liable for tipping by communicating on other than a need-to-know basis material nonpublic information in his or her possession to third parties or recommending the purchase or sale of a security while in possession of such information, particularly if the insider receives a direct or indirect personal benefit from the tip. The benefit received need not be in the form of a monetary gain - it also can be in the form of a gift to friends or relatives, a reputational benefit or a relationship which suggests an exchange of benefits. Because of these rules, an insider may be in violation of this Policy and applicable law for trading by members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the insider’s immediate family or personal household or entities over which the insider exercises control.</w:t>
      </w:r>
    </w:p>
    <w:p>
      <w:pPr>
        <w:spacing w:after="0" w:line="220" w:lineRule="exact"/>
        <w:rPr>
          <w:sz w:val="20"/>
          <w:szCs w:val="20"/>
          <w:color w:val="auto"/>
        </w:rPr>
      </w:pPr>
    </w:p>
    <w:p>
      <w:pPr>
        <w:ind w:left="1680" w:hanging="376"/>
        <w:spacing w:after="0"/>
        <w:tabs>
          <w:tab w:leader="none" w:pos="16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by Persons Other Than Insiders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“Tippees” are persons who obtain material nonpublic information by, among other things, receiving overt tips from insiders or others or overhearing conversations at social, business or other gatherings. Tippees generally inherit an insider’s duties and are liable for trading on material nonpublic information illegally tipped to them. Just as insiders are liable for the trading of their tippees, tippees may be liable for passing information along to others who trade.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Moreover, virtually anyone can be liable for illegal trading when material nonpublic information is misappropriated from a person or entity to which a duty of trust and confidence is owed. Any material nonpublic information acquired as a result of the relationship of trust and confidence, such as between an employer and its employees, which is subsequently traded on, or tipped, to one’s own advantage in abuse of that relationship, constitutes misappropriation. Therefore, even absent a fiduciary duty to stockholders, a person can be liable for insider trading when a relationship of trust and confidence exists with another.</w:t>
      </w:r>
    </w:p>
    <w:p>
      <w:pPr>
        <w:spacing w:after="0" w:line="164" w:lineRule="exact"/>
        <w:rPr>
          <w:sz w:val="20"/>
          <w:szCs w:val="20"/>
          <w:color w:val="auto"/>
        </w:rPr>
      </w:pPr>
    </w:p>
    <w:p>
      <w:pPr>
        <w:ind w:left="1680" w:hanging="376"/>
        <w:spacing w:after="0"/>
        <w:tabs>
          <w:tab w:leader="none" w:pos="16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Examples of Insider Trading.</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Securities and Exchange Commission has identified and taken action involving the following examples of insider trading:</w:t>
      </w:r>
    </w:p>
    <w:p>
      <w:pPr>
        <w:spacing w:after="0" w:line="63" w:lineRule="exact"/>
        <w:rPr>
          <w:sz w:val="20"/>
          <w:szCs w:val="20"/>
          <w:color w:val="auto"/>
        </w:rPr>
      </w:pPr>
    </w:p>
    <w:p>
      <w:pPr>
        <w:ind w:left="1620" w:hanging="705"/>
        <w:spacing w:after="0" w:line="271" w:lineRule="auto"/>
        <w:tabs>
          <w:tab w:leader="none" w:pos="1611"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corporate officers, directors, and employees who traded the corporation’s securities after learning of significant confidential corporate developments;</w:t>
      </w:r>
    </w:p>
    <w:p>
      <w:pPr>
        <w:spacing w:after="0" w:line="49" w:lineRule="exact"/>
        <w:rPr>
          <w:rFonts w:ascii="Times New Roman" w:cs="Times New Roman" w:eastAsia="Times New Roman" w:hAnsi="Times New Roman"/>
          <w:sz w:val="20"/>
          <w:szCs w:val="20"/>
          <w:color w:val="auto"/>
        </w:rPr>
      </w:pPr>
    </w:p>
    <w:p>
      <w:pPr>
        <w:ind w:left="1620" w:hanging="705"/>
        <w:spacing w:after="0" w:line="284" w:lineRule="auto"/>
        <w:tabs>
          <w:tab w:leader="none" w:pos="1611"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friends, business associates, family members, and other tippees of such officers, directors, and employees, who traded the securities after receiving such information;</w:t>
      </w:r>
    </w:p>
    <w:p>
      <w:pPr>
        <w:spacing w:after="0" w:line="35" w:lineRule="exact"/>
        <w:rPr>
          <w:rFonts w:ascii="Times New Roman" w:cs="Times New Roman" w:eastAsia="Times New Roman" w:hAnsi="Times New Roman"/>
          <w:sz w:val="20"/>
          <w:szCs w:val="20"/>
          <w:color w:val="auto"/>
        </w:rPr>
      </w:pPr>
    </w:p>
    <w:p>
      <w:pPr>
        <w:ind w:left="1620" w:hanging="705"/>
        <w:spacing w:after="0" w:line="284" w:lineRule="auto"/>
        <w:tabs>
          <w:tab w:leader="none" w:pos="1611"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employees of law, banking, brokerage, and printing firms who were given such information in order to provide services to the corporation whose securities they traded;</w:t>
      </w:r>
    </w:p>
    <w:p>
      <w:pPr>
        <w:spacing w:after="0" w:line="35" w:lineRule="exact"/>
        <w:rPr>
          <w:rFonts w:ascii="Times New Roman" w:cs="Times New Roman" w:eastAsia="Times New Roman" w:hAnsi="Times New Roman"/>
          <w:sz w:val="20"/>
          <w:szCs w:val="20"/>
          <w:color w:val="auto"/>
        </w:rPr>
      </w:pPr>
    </w:p>
    <w:p>
      <w:pPr>
        <w:ind w:left="1620" w:hanging="705"/>
        <w:spacing w:after="0"/>
        <w:tabs>
          <w:tab w:leader="none" w:pos="1620"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government employees who learned of such information in the course of their employment; and</w:t>
      </w:r>
    </w:p>
    <w:p>
      <w:pPr>
        <w:spacing w:after="0" w:line="125" w:lineRule="exact"/>
        <w:rPr>
          <w:rFonts w:ascii="Times New Roman" w:cs="Times New Roman" w:eastAsia="Times New Roman" w:hAnsi="Times New Roman"/>
          <w:sz w:val="20"/>
          <w:szCs w:val="20"/>
          <w:color w:val="auto"/>
        </w:rPr>
      </w:pPr>
    </w:p>
    <w:p>
      <w:pPr>
        <w:ind w:left="1620" w:hanging="705"/>
        <w:spacing w:after="0" w:line="271" w:lineRule="auto"/>
        <w:tabs>
          <w:tab w:leader="none" w:pos="1611"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other persons who misappropriated, and took advantage of, confidential information learned from their employers.</w:t>
      </w:r>
    </w:p>
    <w:p>
      <w:pPr>
        <w:spacing w:after="0" w:line="153"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Policy Statement</w:t>
      </w:r>
    </w:p>
    <w:p>
      <w:pPr>
        <w:spacing w:after="0" w:line="237"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Prohibiting Insider Trading.</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No insider shall, directly or indirectly, purchase or sell any security issued by the Company or any other entity, including any company with which the Company has any business relationship (other than pursuant to a pre-approved trading plan that complies with SEC Rule 10b5-1), such as, for example, customers, suppliers, or joint venture partners, while in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49" w:lineRule="auto"/>
        <w:rPr>
          <w:sz w:val="20"/>
          <w:szCs w:val="20"/>
          <w:color w:val="auto"/>
        </w:rPr>
      </w:pPr>
      <w:r>
        <w:rPr>
          <w:rFonts w:ascii="Times New Roman" w:cs="Times New Roman" w:eastAsia="Times New Roman" w:hAnsi="Times New Roman"/>
          <w:sz w:val="22"/>
          <w:szCs w:val="22"/>
          <w:color w:val="auto"/>
        </w:rPr>
        <w:t>of material nonpublic information relating to the security or its issuer. “Directly or indirectly” includes trading for oneself, for the Company, or for anyone else, including another employee, friend, or family member. No insider shall directly or indirectly communicate or otherwise disclose material nonpublic information to anyone, either inside or outside of the Company, except as required on a need-to-know basis consistent with this Policy, nor recommend to anyone the purchase or sale of a security with regard to which he or she is aware of any material nonpublic information (decisions regarding the timing and substance of public disclosure of material nonpublic information concerning the Company will be made only by the Board of Directors or appropriate duly authorized officers). Any activities in violation of this Policy could result in the Company imposing serious sanctions, including immediate dismissal from employment and in criminal and civil fines and penalties.</w:t>
      </w:r>
    </w:p>
    <w:p>
      <w:pPr>
        <w:spacing w:after="0" w:line="195" w:lineRule="exact"/>
        <w:rPr>
          <w:sz w:val="20"/>
          <w:szCs w:val="20"/>
          <w:color w:val="auto"/>
        </w:rPr>
      </w:pPr>
    </w:p>
    <w:p>
      <w:pPr>
        <w:jc w:val="both"/>
        <w:ind w:left="980" w:hanging="324"/>
        <w:spacing w:after="0" w:line="250" w:lineRule="auto"/>
        <w:tabs>
          <w:tab w:leader="none" w:pos="121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insider </w:t>
      </w:r>
      <w:r>
        <w:rPr>
          <w:rFonts w:ascii="Times New Roman" w:cs="Times New Roman" w:eastAsia="Times New Roman" w:hAnsi="Times New Roman"/>
          <w:sz w:val="22"/>
          <w:szCs w:val="22"/>
          <w:u w:val="single" w:color="auto"/>
          <w:color w:val="auto"/>
        </w:rPr>
        <w:t>may</w:t>
      </w:r>
      <w:r>
        <w:rPr>
          <w:rFonts w:ascii="Times New Roman" w:cs="Times New Roman" w:eastAsia="Times New Roman" w:hAnsi="Times New Roman"/>
          <w:sz w:val="22"/>
          <w:szCs w:val="22"/>
          <w:color w:val="auto"/>
        </w:rPr>
        <w:t xml:space="preserve"> sell or purchase Company securities at a time when he or she possesses material nonpublic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insider had entered into a pre-approved binding contract to trade or adopted a written plan (such contract or plan, a “</w:t>
      </w:r>
      <w:r>
        <w:rPr>
          <w:rFonts w:ascii="Times New Roman" w:cs="Times New Roman" w:eastAsia="Times New Roman" w:hAnsi="Times New Roman"/>
          <w:sz w:val="22"/>
          <w:szCs w:val="22"/>
          <w:u w:val="single" w:color="auto"/>
          <w:color w:val="auto"/>
        </w:rPr>
        <w:t>Rule 10b5-1 Sale Plan</w:t>
      </w:r>
      <w:r>
        <w:rPr>
          <w:rFonts w:ascii="Times New Roman" w:cs="Times New Roman" w:eastAsia="Times New Roman" w:hAnsi="Times New Roman"/>
          <w:sz w:val="22"/>
          <w:szCs w:val="22"/>
          <w:color w:val="auto"/>
        </w:rPr>
        <w:t>”), which has been pre-approved by the General Counsel and Chief Executive Officer (together, the “</w:t>
      </w:r>
      <w:r>
        <w:rPr>
          <w:rFonts w:ascii="Times New Roman" w:cs="Times New Roman" w:eastAsia="Times New Roman" w:hAnsi="Times New Roman"/>
          <w:sz w:val="22"/>
          <w:szCs w:val="22"/>
          <w:u w:val="single" w:color="auto"/>
          <w:color w:val="auto"/>
        </w:rPr>
        <w:t>Approving Officers</w:t>
      </w:r>
      <w:r>
        <w:rPr>
          <w:rFonts w:ascii="Times New Roman" w:cs="Times New Roman" w:eastAsia="Times New Roman" w:hAnsi="Times New Roman"/>
          <w:sz w:val="22"/>
          <w:szCs w:val="22"/>
          <w:color w:val="auto"/>
        </w:rPr>
        <w:t>”) (or, if revised or amended, such proposed revisions or amendments have been reviewed and pre-approved by the Approving Officers), and such Rule 10b5-1 Sale Plan:</w:t>
      </w:r>
    </w:p>
    <w:p>
      <w:pPr>
        <w:spacing w:after="0" w:line="72" w:lineRule="exact"/>
        <w:rPr>
          <w:rFonts w:ascii="Times New Roman" w:cs="Times New Roman" w:eastAsia="Times New Roman" w:hAnsi="Times New Roman"/>
          <w:sz w:val="22"/>
          <w:szCs w:val="22"/>
          <w:color w:val="auto"/>
        </w:rPr>
      </w:pPr>
    </w:p>
    <w:p>
      <w:pPr>
        <w:ind w:left="1540" w:hanging="560"/>
        <w:spacing w:after="0" w:line="284" w:lineRule="auto"/>
        <w:tabs>
          <w:tab w:leader="none" w:pos="158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that no trades may occur until the expiration of the applicable cooling-off period specified in Rule 10b5-1(c)(ii)(B), and no trades occur until that time;</w:t>
      </w:r>
    </w:p>
    <w:p>
      <w:pPr>
        <w:spacing w:after="0" w:line="35" w:lineRule="exact"/>
        <w:rPr>
          <w:rFonts w:ascii="Times New Roman" w:cs="Times New Roman" w:eastAsia="Times New Roman" w:hAnsi="Times New Roman"/>
          <w:sz w:val="22"/>
          <w:szCs w:val="22"/>
          <w:color w:val="auto"/>
        </w:rPr>
      </w:pPr>
    </w:p>
    <w:p>
      <w:pPr>
        <w:jc w:val="both"/>
        <w:ind w:left="1540" w:hanging="560"/>
        <w:spacing w:after="0" w:line="252" w:lineRule="auto"/>
        <w:tabs>
          <w:tab w:leader="none" w:pos="153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entered into in good faith by the insider, and not as part of a plan or scheme to evade the prohibitions of Rule 10b5-1, at a time when the covered person is not in possession of material non-public information; and, if the insider is a director or officer, the Rule 10b5-1 Sale Plan must include representations by the insider certifying to that effect;</w:t>
      </w:r>
    </w:p>
    <w:p>
      <w:pPr>
        <w:spacing w:after="0" w:line="84" w:lineRule="exact"/>
        <w:rPr>
          <w:rFonts w:ascii="Times New Roman" w:cs="Times New Roman" w:eastAsia="Times New Roman" w:hAnsi="Times New Roman"/>
          <w:sz w:val="22"/>
          <w:szCs w:val="22"/>
          <w:color w:val="auto"/>
        </w:rPr>
      </w:pPr>
    </w:p>
    <w:p>
      <w:pPr>
        <w:jc w:val="both"/>
        <w:ind w:left="1540" w:hanging="560"/>
        <w:spacing w:after="0" w:line="252" w:lineRule="auto"/>
        <w:tabs>
          <w:tab w:leader="none" w:pos="149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(i) gives a third party discretionary authority to execute such purchases or sales, outside the control of the insider, so long as such third party does not possess any material non-public information about the Company; or (ii) explicitly specifies the security or securities to be purchased or sold, the number of shares, the prices and/or dates of transactions, or other formula(s) describing such transactions; </w:t>
      </w:r>
      <w:r>
        <w:rPr>
          <w:rFonts w:ascii="Times New Roman" w:cs="Times New Roman" w:eastAsia="Times New Roman" w:hAnsi="Times New Roman"/>
          <w:sz w:val="22"/>
          <w:szCs w:val="22"/>
          <w:u w:val="single" w:color="auto"/>
          <w:color w:val="auto"/>
        </w:rPr>
        <w:t>and</w:t>
      </w:r>
    </w:p>
    <w:p>
      <w:pPr>
        <w:spacing w:after="0" w:line="71" w:lineRule="exact"/>
        <w:rPr>
          <w:rFonts w:ascii="Times New Roman" w:cs="Times New Roman" w:eastAsia="Times New Roman" w:hAnsi="Times New Roman"/>
          <w:sz w:val="22"/>
          <w:szCs w:val="22"/>
          <w:color w:val="auto"/>
        </w:rPr>
      </w:pPr>
    </w:p>
    <w:p>
      <w:pPr>
        <w:ind w:left="1540" w:hanging="560"/>
        <w:spacing w:after="0" w:line="284" w:lineRule="auto"/>
        <w:tabs>
          <w:tab w:leader="none" w:pos="155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only outstanding Rule 10b5-1 Sale Plan entered into by the insider (subject to the exceptions set out in Rule 10b5-1(c)(ii)(D)).</w:t>
      </w: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i w:val="1"/>
          <w:iCs w:val="1"/>
          <w:color w:val="auto"/>
        </w:rPr>
        <w:t>No Rule 10b5-1 Sale Plan may be adopted during an Event-Specific Black Out Period.</w:t>
      </w:r>
    </w:p>
    <w:p>
      <w:pPr>
        <w:spacing w:after="0" w:line="112" w:lineRule="exact"/>
        <w:rPr>
          <w:sz w:val="20"/>
          <w:szCs w:val="20"/>
          <w:color w:val="auto"/>
        </w:rPr>
      </w:pPr>
    </w:p>
    <w:p>
      <w:pPr>
        <w:jc w:val="both"/>
        <w:ind w:left="980"/>
        <w:spacing w:after="0" w:line="259" w:lineRule="auto"/>
        <w:rPr>
          <w:sz w:val="20"/>
          <w:szCs w:val="20"/>
          <w:color w:val="auto"/>
        </w:rPr>
      </w:pPr>
      <w:r>
        <w:rPr>
          <w:rFonts w:ascii="Times New Roman" w:cs="Times New Roman" w:eastAsia="Times New Roman" w:hAnsi="Times New Roman"/>
          <w:sz w:val="22"/>
          <w:szCs w:val="22"/>
          <w:i w:val="1"/>
          <w:iCs w:val="1"/>
          <w:color w:val="auto"/>
        </w:rPr>
        <w:t>If you are considering entering into, modifying or terminating a Rule 10b5-1 Sale Plan or have any questions regarding Rule 10b5-1 Sale Plans, please contact the Approving Officers. You should consult your own legal and tax advisors before entering into, or modifying or terminating, a Rule 10b5-1 Sale Plan. A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74" w:name="page75"/>
    <w:bookmarkEnd w:id="74"/>
    <w:p>
      <w:pPr>
        <w:ind w:left="980"/>
        <w:spacing w:after="0" w:line="275" w:lineRule="auto"/>
        <w:rPr>
          <w:sz w:val="20"/>
          <w:szCs w:val="20"/>
          <w:color w:val="auto"/>
        </w:rPr>
      </w:pPr>
      <w:r>
        <w:rPr>
          <w:rFonts w:ascii="Times New Roman" w:cs="Times New Roman" w:eastAsia="Times New Roman" w:hAnsi="Times New Roman"/>
          <w:sz w:val="22"/>
          <w:szCs w:val="22"/>
          <w:i w:val="1"/>
          <w:iCs w:val="1"/>
          <w:color w:val="auto"/>
        </w:rPr>
        <w:t>contract, instruction or arrangement will not qualify as a Rule 10b5-1 Sale Plan without the prior review and approval of the Approving Officers as described above.</w:t>
      </w:r>
    </w:p>
    <w:p>
      <w:pPr>
        <w:spacing w:after="0" w:line="45" w:lineRule="exact"/>
        <w:rPr>
          <w:sz w:val="20"/>
          <w:szCs w:val="20"/>
          <w:color w:val="auto"/>
        </w:rPr>
      </w:pPr>
    </w:p>
    <w:p>
      <w:pPr>
        <w:ind w:left="980" w:right="440" w:hanging="324"/>
        <w:spacing w:after="0" w:line="284" w:lineRule="auto"/>
        <w:tabs>
          <w:tab w:leader="none" w:pos="103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Insiders should purchase securities of the Company, if at all, for investment purposes only, and not for short-term trading or speculation. The following do not violate this Policy:</w:t>
      </w:r>
    </w:p>
    <w:p>
      <w:pPr>
        <w:spacing w:after="0" w:line="35" w:lineRule="exact"/>
        <w:rPr>
          <w:rFonts w:ascii="Times New Roman" w:cs="Times New Roman" w:eastAsia="Times New Roman" w:hAnsi="Times New Roman"/>
          <w:sz w:val="22"/>
          <w:szCs w:val="22"/>
          <w:color w:val="auto"/>
        </w:rPr>
      </w:pPr>
    </w:p>
    <w:p>
      <w:pPr>
        <w:ind w:left="1540" w:right="20" w:hanging="560"/>
        <w:spacing w:after="0" w:line="252" w:lineRule="auto"/>
        <w:tabs>
          <w:tab w:leader="none" w:pos="148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Exercises of stock options or other equity awards or the surrender of shares to the Company in payment of the stock option exercise price or in satisfaction of any tax withholding obligations in a manner permitted by the applicable equity award, or vesting of equity-based awards, that in each case do not involve a market sale of the Company securities.</w:t>
      </w:r>
    </w:p>
    <w:p>
      <w:pPr>
        <w:spacing w:after="0" w:line="84" w:lineRule="exact"/>
        <w:rPr>
          <w:rFonts w:ascii="Times New Roman" w:cs="Times New Roman" w:eastAsia="Times New Roman" w:hAnsi="Times New Roman"/>
          <w:sz w:val="22"/>
          <w:szCs w:val="22"/>
          <w:color w:val="auto"/>
        </w:rPr>
      </w:pPr>
    </w:p>
    <w:p>
      <w:pPr>
        <w:ind w:left="1540" w:right="820" w:hanging="560"/>
        <w:spacing w:after="0" w:line="271" w:lineRule="auto"/>
        <w:tabs>
          <w:tab w:leader="none" w:pos="146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Acquisitions or dispositions of Company securities under the Company’s 401(k) plan or the Company’s employee stock purchase plan.</w:t>
      </w:r>
    </w:p>
    <w:p>
      <w:pPr>
        <w:spacing w:after="0" w:line="49" w:lineRule="exact"/>
        <w:rPr>
          <w:rFonts w:ascii="Times New Roman" w:cs="Times New Roman" w:eastAsia="Times New Roman" w:hAnsi="Times New Roman"/>
          <w:sz w:val="22"/>
          <w:szCs w:val="22"/>
          <w:color w:val="auto"/>
        </w:rPr>
      </w:pPr>
    </w:p>
    <w:p>
      <w:pPr>
        <w:ind w:left="1480" w:hanging="500"/>
        <w:spacing w:after="0"/>
        <w:tabs>
          <w:tab w:leader="none" w:pos="14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purchases of securities from the Company or sales of securities to the Company.</w:t>
      </w:r>
    </w:p>
    <w:p>
      <w:pPr>
        <w:spacing w:after="0" w:line="220"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 Out Periods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Additionally, the Company has adopted the procedures listed below to help prevent insider trading by officers, directors, and certain other insiders:</w:t>
      </w:r>
    </w:p>
    <w:p>
      <w:pPr>
        <w:spacing w:after="0" w:line="171" w:lineRule="exact"/>
        <w:rPr>
          <w:sz w:val="20"/>
          <w:szCs w:val="20"/>
          <w:color w:val="auto"/>
        </w:rPr>
      </w:pPr>
    </w:p>
    <w:p>
      <w:pPr>
        <w:ind w:left="980" w:hanging="324"/>
        <w:spacing w:after="0" w:line="271" w:lineRule="auto"/>
        <w:tabs>
          <w:tab w:leader="none" w:pos="113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officers, directors or other insiders described generally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or designated by an Approving Officer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shall trade in the Company’s securities during the following Event-Specific Black Out Periods:</w:t>
      </w:r>
    </w:p>
    <w:p>
      <w:pPr>
        <w:spacing w:after="0" w:line="49" w:lineRule="exact"/>
        <w:rPr>
          <w:rFonts w:ascii="Times New Roman" w:cs="Times New Roman" w:eastAsia="Times New Roman" w:hAnsi="Times New Roman"/>
          <w:sz w:val="22"/>
          <w:szCs w:val="22"/>
          <w:color w:val="auto"/>
        </w:rPr>
      </w:pPr>
    </w:p>
    <w:p>
      <w:pPr>
        <w:jc w:val="both"/>
        <w:ind w:left="1540" w:hanging="560"/>
        <w:spacing w:after="0" w:line="256" w:lineRule="auto"/>
        <w:tabs>
          <w:tab w:leader="none" w:pos="153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beginning Seven (7) days prior to the end of a fiscal quarter or fiscal year through (i) the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business day after the public dissemination of earnings for that period if such dissemination occurs </w:t>
      </w:r>
      <w:r>
        <w:rPr>
          <w:rFonts w:ascii="Times New Roman" w:cs="Times New Roman" w:eastAsia="Times New Roman" w:hAnsi="Times New Roman"/>
          <w:sz w:val="22"/>
          <w:szCs w:val="22"/>
          <w:u w:val="single" w:color="auto"/>
          <w:color w:val="auto"/>
        </w:rPr>
        <w:t>before</w:t>
      </w:r>
      <w:r>
        <w:rPr>
          <w:rFonts w:ascii="Times New Roman" w:cs="Times New Roman" w:eastAsia="Times New Roman" w:hAnsi="Times New Roman"/>
          <w:sz w:val="22"/>
          <w:szCs w:val="22"/>
          <w:color w:val="auto"/>
        </w:rPr>
        <w:t xml:space="preserve"> the opening of the market, or (ii) the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business day after the public dissemination of earnings for that period if such dissemination occurs </w:t>
      </w:r>
      <w:r>
        <w:rPr>
          <w:rFonts w:ascii="Times New Roman" w:cs="Times New Roman" w:eastAsia="Times New Roman" w:hAnsi="Times New Roman"/>
          <w:sz w:val="22"/>
          <w:szCs w:val="22"/>
          <w:u w:val="single" w:color="auto"/>
          <w:color w:val="auto"/>
        </w:rPr>
        <w:t>after</w:t>
      </w:r>
      <w:r>
        <w:rPr>
          <w:rFonts w:ascii="Times New Roman" w:cs="Times New Roman" w:eastAsia="Times New Roman" w:hAnsi="Times New Roman"/>
          <w:sz w:val="22"/>
          <w:szCs w:val="22"/>
          <w:color w:val="auto"/>
        </w:rPr>
        <w:t xml:space="preserve"> the opening of the market; and</w:t>
      </w:r>
    </w:p>
    <w:p>
      <w:pPr>
        <w:spacing w:after="0" w:line="68" w:lineRule="exact"/>
        <w:rPr>
          <w:rFonts w:ascii="Times New Roman" w:cs="Times New Roman" w:eastAsia="Times New Roman" w:hAnsi="Times New Roman"/>
          <w:sz w:val="22"/>
          <w:szCs w:val="22"/>
          <w:color w:val="auto"/>
        </w:rPr>
      </w:pPr>
    </w:p>
    <w:p>
      <w:pPr>
        <w:ind w:left="1480" w:hanging="500"/>
        <w:spacing w:after="0"/>
        <w:tabs>
          <w:tab w:leader="none" w:pos="14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period of time designated by the Company in a written notice.</w:t>
      </w:r>
    </w:p>
    <w:p>
      <w:pPr>
        <w:spacing w:after="0" w:line="111" w:lineRule="exact"/>
        <w:rPr>
          <w:rFonts w:ascii="Times New Roman" w:cs="Times New Roman" w:eastAsia="Times New Roman" w:hAnsi="Times New Roman"/>
          <w:sz w:val="22"/>
          <w:szCs w:val="22"/>
          <w:color w:val="auto"/>
        </w:rPr>
      </w:pPr>
    </w:p>
    <w:p>
      <w:pPr>
        <w:jc w:val="both"/>
        <w:ind w:left="1060" w:hanging="404"/>
        <w:spacing w:after="0" w:line="251" w:lineRule="auto"/>
        <w:tabs>
          <w:tab w:leader="none" w:pos="10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Covered Person, and no family members of a Covered Person shall trade in the Company’s securities without first having obtained clearance from the Approving Officers. All individuals described in this paragraph must obtain clearance from the Approving Officers, regardless of whether such individuals possess or are aware of inside information, prior to: (1) exercising options; or (2) trading Company securities on behalf of themselves or others.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is the Pre-Clearance Form which specifies the information that must be submitted when requesting pre-clearance of any such transaction.</w:t>
      </w:r>
    </w:p>
    <w:p>
      <w:pPr>
        <w:spacing w:after="0" w:line="73" w:lineRule="exact"/>
        <w:rPr>
          <w:rFonts w:ascii="Times New Roman" w:cs="Times New Roman" w:eastAsia="Times New Roman" w:hAnsi="Times New Roman"/>
          <w:sz w:val="22"/>
          <w:szCs w:val="22"/>
          <w:color w:val="auto"/>
        </w:rPr>
      </w:pPr>
    </w:p>
    <w:p>
      <w:pPr>
        <w:jc w:val="both"/>
        <w:ind w:left="1540" w:right="140" w:hanging="560"/>
        <w:spacing w:after="0" w:line="257" w:lineRule="auto"/>
        <w:tabs>
          <w:tab w:leader="none" w:pos="155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Pre-Clearance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must be submitted to the Approving Officers at least forty-eight (48) hours prior to any transaction requiring such pre-clearance. The Approving Officers are under no obligation to approve a trade submitted for pre-clearance and may determine not to permit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8" w:right="339" w:bottom="1440" w:gutter="0" w:footer="0" w:header="0"/>
        </w:sectPr>
      </w:pPr>
    </w:p>
    <w:bookmarkStart w:id="75" w:name="page76"/>
    <w:bookmarkEnd w:id="75"/>
    <w:p>
      <w:pPr>
        <w:jc w:val="both"/>
        <w:ind w:left="884" w:right="140" w:hanging="560"/>
        <w:spacing w:after="0" w:line="256" w:lineRule="auto"/>
        <w:tabs>
          <w:tab w:leader="none" w:pos="849"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clearance by the Approving Officers only applies to the transaction described in the Pre-Clearance Form and will only be effective for seventy-two (72) hours unless either of the Approving Officers revokes the pre-clearance prior to the expiration of the seventy-two (72) hour period. Even if the Approving Officers clear a transaction, the Covered Person has the ultimate responsibility for complying with this Policy.</w:t>
      </w:r>
    </w:p>
    <w:p>
      <w:pPr>
        <w:spacing w:after="0" w:line="68" w:lineRule="exact"/>
        <w:rPr>
          <w:rFonts w:ascii="Times New Roman" w:cs="Times New Roman" w:eastAsia="Times New Roman" w:hAnsi="Times New Roman"/>
          <w:sz w:val="22"/>
          <w:szCs w:val="22"/>
          <w:color w:val="auto"/>
        </w:rPr>
      </w:pPr>
    </w:p>
    <w:p>
      <w:pPr>
        <w:jc w:val="both"/>
        <w:ind w:left="884" w:right="140" w:hanging="560"/>
        <w:spacing w:after="0" w:line="248" w:lineRule="auto"/>
        <w:tabs>
          <w:tab w:leader="none" w:pos="96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Approving Officers will not approve any transaction that would violate this Policy. In addition, the Approving Officers will not approve a proposed transaction in the following instances: (i) when there exists significant inside information that is deemed to be material; (ii) during a blackout period corresponding to the announcement of earnings; and (iii) during any event which is material to the Company and is known by only a few officers or executives (an “</w:t>
      </w:r>
      <w:r>
        <w:rPr>
          <w:rFonts w:ascii="Times New Roman" w:cs="Times New Roman" w:eastAsia="Times New Roman" w:hAnsi="Times New Roman"/>
          <w:sz w:val="22"/>
          <w:szCs w:val="22"/>
          <w:u w:val="single" w:color="auto"/>
          <w:color w:val="auto"/>
        </w:rPr>
        <w:t>Event-Specific Black Out Period</w:t>
      </w:r>
      <w:r>
        <w:rPr>
          <w:rFonts w:ascii="Times New Roman" w:cs="Times New Roman" w:eastAsia="Times New Roman" w:hAnsi="Times New Roman"/>
          <w:sz w:val="22"/>
          <w:szCs w:val="22"/>
          <w:color w:val="auto"/>
        </w:rPr>
        <w:t>”). The SEC has implemented rules which prohibit directors and executive officers from trading in the Company’s securities during a pension plan blackout period that prevents plan participants or beneficiaries from engaging in equity securities transactions, if the equity security was acquired in connection with the director’s or executive officer’s service or employment as a director or executive officer. The Approving Officers will not approve any transaction that would violate these rules. In any of these instances, the pre-clearance applicant may not be informed of the reasons that the proposed transaction is disapproved.</w:t>
      </w:r>
    </w:p>
    <w:p>
      <w:pPr>
        <w:spacing w:after="0" w:line="80" w:lineRule="exact"/>
        <w:rPr>
          <w:rFonts w:ascii="Times New Roman" w:cs="Times New Roman" w:eastAsia="Times New Roman" w:hAnsi="Times New Roman"/>
          <w:sz w:val="22"/>
          <w:szCs w:val="22"/>
          <w:color w:val="auto"/>
        </w:rPr>
      </w:pPr>
    </w:p>
    <w:p>
      <w:pPr>
        <w:ind w:left="404" w:right="120" w:hanging="404"/>
        <w:spacing w:after="0" w:line="271" w:lineRule="auto"/>
        <w:tabs>
          <w:tab w:leader="none" w:pos="37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Approving Officers may, on a case-by-case basis, authorize trading in Company securities during the applicable Event-Specific Black Out Period in writing due to financial hardship or other hardships only if:</w:t>
      </w:r>
    </w:p>
    <w:p>
      <w:pPr>
        <w:spacing w:after="0" w:line="49" w:lineRule="exact"/>
        <w:rPr>
          <w:rFonts w:ascii="Times New Roman" w:cs="Times New Roman" w:eastAsia="Times New Roman" w:hAnsi="Times New Roman"/>
          <w:sz w:val="22"/>
          <w:szCs w:val="22"/>
          <w:color w:val="auto"/>
        </w:rPr>
      </w:pPr>
    </w:p>
    <w:p>
      <w:pPr>
        <w:ind w:left="884" w:right="140" w:hanging="560"/>
        <w:spacing w:after="0" w:line="271" w:lineRule="auto"/>
        <w:tabs>
          <w:tab w:leader="none" w:pos="86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Person has notified the Approving Officers in writing, at least forty-eight (48) hours prior to the transaction, of the circumstance of the hardship and the amount and nature of the proposed trade(s); and</w:t>
      </w:r>
    </w:p>
    <w:p>
      <w:pPr>
        <w:spacing w:after="0" w:line="63" w:lineRule="exact"/>
        <w:rPr>
          <w:rFonts w:ascii="Times New Roman" w:cs="Times New Roman" w:eastAsia="Times New Roman" w:hAnsi="Times New Roman"/>
          <w:sz w:val="22"/>
          <w:szCs w:val="22"/>
          <w:color w:val="auto"/>
        </w:rPr>
      </w:pPr>
    </w:p>
    <w:p>
      <w:pPr>
        <w:jc w:val="both"/>
        <w:ind w:left="884" w:right="140" w:hanging="560"/>
        <w:spacing w:after="0" w:line="257" w:lineRule="auto"/>
        <w:tabs>
          <w:tab w:leader="none" w:pos="8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Person trading has certified to the Approving Officers in writing no earlier than two (2) business days prior to the proposed trade(s) that he or she is not in possession of material nonpublic information concerning the Company.</w:t>
      </w:r>
    </w:p>
    <w:p>
      <w:pPr>
        <w:spacing w:after="0" w:line="61" w:lineRule="exact"/>
        <w:rPr>
          <w:sz w:val="20"/>
          <w:szCs w:val="20"/>
          <w:color w:val="auto"/>
        </w:rPr>
      </w:pPr>
    </w:p>
    <w:p>
      <w:pPr>
        <w:ind w:left="584" w:right="140"/>
        <w:spacing w:after="0" w:line="275" w:lineRule="auto"/>
        <w:rPr>
          <w:sz w:val="20"/>
          <w:szCs w:val="20"/>
          <w:color w:val="auto"/>
        </w:rPr>
      </w:pPr>
      <w:r>
        <w:rPr>
          <w:rFonts w:ascii="Times New Roman" w:cs="Times New Roman" w:eastAsia="Times New Roman" w:hAnsi="Times New Roman"/>
          <w:sz w:val="22"/>
          <w:szCs w:val="22"/>
          <w:i w:val="1"/>
          <w:iCs w:val="1"/>
          <w:color w:val="auto"/>
        </w:rPr>
        <w:t>It is highly unlikely the Approving Officers will grant a hardship exemption under this Policy during an Event-Specific Black Out Period.</w:t>
      </w:r>
    </w:p>
    <w:p>
      <w:pPr>
        <w:spacing w:after="0" w:line="59" w:lineRule="exact"/>
        <w:rPr>
          <w:sz w:val="20"/>
          <w:szCs w:val="20"/>
          <w:color w:val="auto"/>
        </w:rPr>
      </w:pPr>
    </w:p>
    <w:p>
      <w:pPr>
        <w:jc w:val="both"/>
        <w:ind w:left="404" w:right="140" w:hanging="404"/>
        <w:spacing w:after="0" w:line="257" w:lineRule="auto"/>
        <w:tabs>
          <w:tab w:leader="none" w:pos="38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the foregoing approval procedures does not in any way obligate the Approving Officers to approve of any trade requested by any of the individuals included above. The Approving Officers may reject any trading requests in his or her sole discretion.</w:t>
      </w:r>
    </w:p>
    <w:p>
      <w:pPr>
        <w:spacing w:after="0" w:line="64" w:lineRule="exact"/>
        <w:rPr>
          <w:rFonts w:ascii="Times New Roman" w:cs="Times New Roman" w:eastAsia="Times New Roman" w:hAnsi="Times New Roman"/>
          <w:sz w:val="22"/>
          <w:szCs w:val="22"/>
          <w:color w:val="auto"/>
        </w:rPr>
      </w:pPr>
    </w:p>
    <w:p>
      <w:pPr>
        <w:jc w:val="both"/>
        <w:ind w:left="404" w:right="140" w:hanging="404"/>
        <w:spacing w:after="0" w:line="257" w:lineRule="auto"/>
        <w:tabs>
          <w:tab w:leader="none" w:pos="4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considers it improper for any Covered Person to engage in short-term or speculative transactions in the Company’s securities. It therefore is the Company’s policy that Covered Persons may not engage in any of the following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4"/>
          </w:cols>
          <w:pgMar w:left="976" w:top="1422" w:right="339" w:bottom="1440" w:gutter="0" w:footer="0" w:header="0"/>
        </w:sectPr>
      </w:pPr>
    </w:p>
    <w:bookmarkStart w:id="76" w:name="page77"/>
    <w:bookmarkEnd w:id="76"/>
    <w:p>
      <w:pPr>
        <w:ind w:left="1540" w:right="60" w:hanging="560"/>
        <w:spacing w:after="0" w:line="271" w:lineRule="auto"/>
        <w:tabs>
          <w:tab w:leader="none" w:pos="152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Short-term Trading</w:t>
      </w:r>
      <w:r>
        <w:rPr>
          <w:rFonts w:ascii="Times New Roman" w:cs="Times New Roman" w:eastAsia="Times New Roman" w:hAnsi="Times New Roman"/>
          <w:sz w:val="22"/>
          <w:szCs w:val="22"/>
          <w:color w:val="auto"/>
        </w:rPr>
        <w:t>. Any Covered Person who purchases Company securities in the open market may not sell any Company securities of the same class during the six months following the purchase.</w:t>
      </w:r>
    </w:p>
    <w:p>
      <w:pPr>
        <w:spacing w:after="0" w:line="49" w:lineRule="exact"/>
        <w:rPr>
          <w:rFonts w:ascii="Times New Roman" w:cs="Times New Roman" w:eastAsia="Times New Roman" w:hAnsi="Times New Roman"/>
          <w:sz w:val="22"/>
          <w:szCs w:val="22"/>
          <w:color w:val="auto"/>
        </w:rPr>
      </w:pPr>
    </w:p>
    <w:p>
      <w:pPr>
        <w:ind w:left="1480" w:hanging="500"/>
        <w:spacing w:after="0"/>
        <w:tabs>
          <w:tab w:leader="none" w:pos="14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Short sales of the Company’s securities are prohibited by this Policy.</w:t>
      </w:r>
    </w:p>
    <w:p>
      <w:pPr>
        <w:spacing w:after="0" w:line="125" w:lineRule="exact"/>
        <w:rPr>
          <w:rFonts w:ascii="Times New Roman" w:cs="Times New Roman" w:eastAsia="Times New Roman" w:hAnsi="Times New Roman"/>
          <w:sz w:val="22"/>
          <w:szCs w:val="22"/>
          <w:color w:val="auto"/>
        </w:rPr>
      </w:pPr>
    </w:p>
    <w:p>
      <w:pPr>
        <w:ind w:left="1540" w:right="80" w:hanging="560"/>
        <w:spacing w:after="0" w:line="271" w:lineRule="auto"/>
        <w:tabs>
          <w:tab w:leader="none" w:pos="147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Publicly Traded Options</w:t>
      </w:r>
      <w:r>
        <w:rPr>
          <w:rFonts w:ascii="Times New Roman" w:cs="Times New Roman" w:eastAsia="Times New Roman" w:hAnsi="Times New Roman"/>
          <w:sz w:val="22"/>
          <w:szCs w:val="22"/>
          <w:color w:val="auto"/>
        </w:rPr>
        <w:t>. Transactions in puts, call or other derivative securities, on an exchange or in any other organized market, are prohibited under this Policy.</w:t>
      </w:r>
    </w:p>
    <w:p>
      <w:pPr>
        <w:spacing w:after="0" w:line="49" w:lineRule="exact"/>
        <w:rPr>
          <w:rFonts w:ascii="Times New Roman" w:cs="Times New Roman" w:eastAsia="Times New Roman" w:hAnsi="Times New Roman"/>
          <w:sz w:val="22"/>
          <w:szCs w:val="22"/>
          <w:color w:val="auto"/>
        </w:rPr>
      </w:pPr>
    </w:p>
    <w:p>
      <w:pPr>
        <w:jc w:val="both"/>
        <w:ind w:left="1540" w:right="60" w:hanging="560"/>
        <w:spacing w:after="0" w:line="256" w:lineRule="auto"/>
        <w:tabs>
          <w:tab w:leader="none" w:pos="158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 Transactions</w:t>
      </w:r>
      <w:r>
        <w:rPr>
          <w:rFonts w:ascii="Times New Roman" w:cs="Times New Roman" w:eastAsia="Times New Roman" w:hAnsi="Times New Roman"/>
          <w:sz w:val="22"/>
          <w:szCs w:val="22"/>
          <w:color w:val="auto"/>
        </w:rPr>
        <w:t>. Certain forms of hedging or monetization transactions, such as zero-cost collars and forward sale contracts, allow a person to lock in much of the value of his or her stock holdings, often in exchange for all or part of the potential for upside appreciation in the stock. Covered Persons are prohibited from engaging in such transactions.</w:t>
      </w:r>
    </w:p>
    <w:p>
      <w:pPr>
        <w:spacing w:after="0" w:line="68" w:lineRule="exact"/>
        <w:rPr>
          <w:rFonts w:ascii="Times New Roman" w:cs="Times New Roman" w:eastAsia="Times New Roman" w:hAnsi="Times New Roman"/>
          <w:sz w:val="22"/>
          <w:szCs w:val="22"/>
          <w:color w:val="auto"/>
        </w:rPr>
      </w:pPr>
    </w:p>
    <w:p>
      <w:pPr>
        <w:jc w:val="both"/>
        <w:ind w:left="1060" w:right="60" w:hanging="404"/>
        <w:spacing w:after="0" w:line="257" w:lineRule="auto"/>
        <w:tabs>
          <w:tab w:leader="none" w:pos="111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Accounts and Pledges</w:t>
      </w:r>
      <w:r>
        <w:rPr>
          <w:rFonts w:ascii="Times New Roman" w:cs="Times New Roman" w:eastAsia="Times New Roman" w:hAnsi="Times New Roman"/>
          <w:sz w:val="22"/>
          <w:szCs w:val="22"/>
          <w:color w:val="auto"/>
        </w:rPr>
        <w:t>. Any Covered Person who wishes to pledge Company securities as collateral for a loan must submit a request for approval to the Approving Officers at least two (2) weeks prior to the proposed execution of documents evidencing the proposed pledge.</w:t>
      </w:r>
    </w:p>
    <w:p>
      <w:pPr>
        <w:spacing w:after="0" w:line="64" w:lineRule="exact"/>
        <w:rPr>
          <w:rFonts w:ascii="Times New Roman" w:cs="Times New Roman" w:eastAsia="Times New Roman" w:hAnsi="Times New Roman"/>
          <w:sz w:val="22"/>
          <w:szCs w:val="22"/>
          <w:color w:val="auto"/>
        </w:rPr>
      </w:pPr>
    </w:p>
    <w:p>
      <w:pPr>
        <w:jc w:val="both"/>
        <w:ind w:left="1060" w:right="60" w:hanging="404"/>
        <w:spacing w:after="0" w:line="263" w:lineRule="auto"/>
        <w:tabs>
          <w:tab w:leader="none" w:pos="10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requires that a Covered Person and/or the Covered Person’s broker promptly provide to the General Counsel any and all information necessary for the completion and timely filing of a Form 4 with respect to any transaction that involves the trading of the Company’s securities by such Covered Person.</w:t>
      </w:r>
    </w:p>
    <w:p>
      <w:pPr>
        <w:spacing w:after="0" w:line="16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Information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22"/>
          <w:szCs w:val="22"/>
          <w:color w:val="auto"/>
        </w:rPr>
        <w:t>All insiders are expected to maintain the confidentiality of nonpublic information acquired in the course of their employment, whether about the Company or any other company. Such information should not be disclosed to any person, inside or outside the Company, except as required on a need-to-know basis. The Company is required under Regulation FD of the federal securities laws to avoid the selective disclosure of material nonpublic information. The Company has established procedures for releasing material information in a manner that is designed to achieve broad public dissemination of the information immediately upon its release. You may not, therefore, disclose information to anyone outside the Company, including family members and friends, other than in accordance with those procedures. You also may not discuss the Company or its business in an Internet “chat room” or similar Internet-based forum.</w:t>
      </w:r>
    </w:p>
    <w:p>
      <w:pPr>
        <w:spacing w:after="0" w:line="187" w:lineRule="exact"/>
        <w:rPr>
          <w:sz w:val="20"/>
          <w:szCs w:val="20"/>
          <w:color w:val="auto"/>
        </w:rPr>
      </w:pPr>
    </w:p>
    <w:p>
      <w:pPr>
        <w:jc w:val="both"/>
        <w:ind w:firstLine="713"/>
        <w:spacing w:after="0" w:line="265" w:lineRule="auto"/>
        <w:rPr>
          <w:sz w:val="20"/>
          <w:szCs w:val="20"/>
          <w:color w:val="auto"/>
        </w:rPr>
      </w:pPr>
      <w:r>
        <w:rPr>
          <w:rFonts w:ascii="Times New Roman" w:cs="Times New Roman" w:eastAsia="Times New Roman" w:hAnsi="Times New Roman"/>
          <w:sz w:val="21"/>
          <w:szCs w:val="21"/>
          <w:color w:val="auto"/>
        </w:rPr>
        <w:t>The utmost care must be taken at all times with regard to conversations or handling of documents in public places, such as in restaurants, elevators, or airplanes. Insiders should be sensitive to the risk of inadvertent disclosure. For example, telephone conversations or meetings in which confidential information is discussed should be conducted behind closed doors. The individual in charge of a confidential matter should impose the security measures he/she deems necessary and appropriate under the circumstances to minimize the risk of premature or inadvertent disclosure and should caution other persons with access to the confidential materials about the sensitive nature of the material and remind them of their obligations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77" w:name="page78"/>
    <w:bookmarkEnd w:id="7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procedures for confidential material should include, but are not limited to, the following:</w:t>
      </w:r>
    </w:p>
    <w:p>
      <w:pPr>
        <w:spacing w:after="0" w:line="220" w:lineRule="exact"/>
        <w:rPr>
          <w:sz w:val="20"/>
          <w:szCs w:val="20"/>
          <w:color w:val="auto"/>
        </w:rPr>
      </w:pPr>
    </w:p>
    <w:p>
      <w:pPr>
        <w:ind w:left="1040" w:hanging="384"/>
        <w:spacing w:after="0"/>
        <w:tabs>
          <w:tab w:leader="none" w:pos="10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being transported inside or outside the premises should be kept in envelopes or folders.</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Envelopes or folders marked “Personal” or “Confidential” are only to be opened by the addressee.</w:t>
      </w:r>
    </w:p>
    <w:p>
      <w:pPr>
        <w:spacing w:after="0" w:line="219" w:lineRule="exact"/>
        <w:rPr>
          <w:rFonts w:ascii="Times New Roman" w:cs="Times New Roman" w:eastAsia="Times New Roman" w:hAnsi="Times New Roman"/>
          <w:sz w:val="22"/>
          <w:szCs w:val="22"/>
          <w:color w:val="auto"/>
        </w:rPr>
      </w:pPr>
    </w:p>
    <w:p>
      <w:pPr>
        <w:jc w:val="both"/>
        <w:ind w:left="1060" w:hanging="404"/>
        <w:spacing w:after="0" w:line="253" w:lineRule="auto"/>
        <w:tabs>
          <w:tab w:leader="none" w:pos="113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particularly sensitive information is involved, additional precautions should be taken, including (a) sealing such information in envelopes marked “Confidential” when transmitted by mail or messenger inside or outside the premises; (b) keeping such information in locked cabinets, drawers, or other secure places, especially when one is not in the office; (c) shredding confidential materials when no longer needed, including superseded drafts; (d) imposing restrictions on access to computer files; and (e) arranging for special handling of sensitive files.</w:t>
      </w:r>
    </w:p>
    <w:p>
      <w:pPr>
        <w:spacing w:after="0" w:line="17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Duplication and circulation of documents containing confidential information should be held to a minimum.</w:t>
      </w:r>
    </w:p>
    <w:p>
      <w:pPr>
        <w:spacing w:after="0" w:line="233" w:lineRule="exact"/>
        <w:rPr>
          <w:rFonts w:ascii="Times New Roman" w:cs="Times New Roman" w:eastAsia="Times New Roman" w:hAnsi="Times New Roman"/>
          <w:sz w:val="22"/>
          <w:szCs w:val="22"/>
          <w:color w:val="auto"/>
        </w:rPr>
      </w:pPr>
    </w:p>
    <w:p>
      <w:pPr>
        <w:ind w:left="1060" w:hanging="404"/>
        <w:spacing w:after="0" w:line="271" w:lineRule="auto"/>
        <w:tabs>
          <w:tab w:leader="none" w:pos="110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Visitors to the Company premises should be escorted to and from the reception area and should not be allowed to wander through the offices at any time.</w:t>
      </w:r>
    </w:p>
    <w:p>
      <w:pPr>
        <w:spacing w:after="0" w:line="158"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Policy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This Policy applies to all insiders (see Section I, B.2 for the definition of an insider), their spouses, all individuals living in the insider’s household, and any family members who do not live in the insider’s household but whose transactions in Company securities are directed by the insider or are subject to his or her influence or control (such as parents or children of the insider who consult with the insider before they trade in Company securities). In addition, this Policy continues to apply to all of these parties’ transactions in Company stock for a period of six (6) months after the insider has become a non-insider for any reasons, including, but not limited to: changing employment positions within the Company or terminating his or her employment with the Company. Each insider and non-insider is responsible for compliance with this Policy by these related persons.</w:t>
      </w:r>
    </w:p>
    <w:p>
      <w:pPr>
        <w:spacing w:after="0" w:line="16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Individuals are encouraged to contact the Company’s General Counsel or Chief Executive Officer if they suspect a violation of this Policy has occurred or is occurring.</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Any person who has a question about this Policy or its application to any proposed transaction may obtain additional guidance from the General Counsel. </w:t>
      </w:r>
      <w:r>
        <w:rPr>
          <w:rFonts w:ascii="Times New Roman" w:cs="Times New Roman" w:eastAsia="Times New Roman" w:hAnsi="Times New Roman"/>
          <w:sz w:val="22"/>
          <w:szCs w:val="22"/>
          <w:b w:val="1"/>
          <w:bCs w:val="1"/>
          <w:color w:val="auto"/>
        </w:rPr>
        <w:t>Ultimately, however, the responsibility for adhering to this Policy and avoiding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unlawful transactions rests with the individual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180" w:type="dxa"/>
            <w:vAlign w:val="bottom"/>
            <w:tcBorders>
              <w:top w:val="single" w:sz="8" w:color="auto"/>
              <w:left w:val="single" w:sz="8" w:color="auto"/>
            </w:tcBorders>
          </w:tcPr>
          <w:p>
            <w:pPr>
              <w:spacing w:after="0"/>
              <w:rPr>
                <w:sz w:val="22"/>
                <w:szCs w:val="22"/>
                <w:color w:val="auto"/>
              </w:rPr>
            </w:pPr>
          </w:p>
        </w:tc>
        <w:tc>
          <w:tcPr>
            <w:tcW w:w="2480" w:type="dxa"/>
            <w:vAlign w:val="bottom"/>
            <w:tcBorders>
              <w:top w:val="single" w:sz="8" w:color="auto"/>
              <w:right w:val="single" w:sz="8" w:color="auto"/>
            </w:tcBorders>
            <w:gridSpan w:val="2"/>
          </w:tcPr>
          <w:p>
            <w:pPr>
              <w:jc w:val="center"/>
              <w:ind w:right="1200"/>
              <w:spacing w:after="0"/>
              <w:rPr>
                <w:sz w:val="20"/>
                <w:szCs w:val="20"/>
                <w:color w:val="auto"/>
              </w:rPr>
            </w:pPr>
            <w:r>
              <w:rPr>
                <w:rFonts w:ascii="Times New Roman" w:cs="Times New Roman" w:eastAsia="Times New Roman" w:hAnsi="Times New Roman"/>
                <w:sz w:val="22"/>
                <w:szCs w:val="22"/>
                <w:b w:val="1"/>
                <w:bCs w:val="1"/>
                <w:color w:val="auto"/>
                <w:w w:val="98"/>
              </w:rPr>
              <w:t>Revision Date</w:t>
            </w:r>
          </w:p>
        </w:tc>
        <w:tc>
          <w:tcPr>
            <w:tcW w:w="3700" w:type="dxa"/>
            <w:vAlign w:val="bottom"/>
            <w:tcBorders>
              <w:top w:val="single" w:sz="8" w:color="auto"/>
              <w:right w:val="single" w:sz="8" w:color="auto"/>
            </w:tcBorders>
            <w:gridSpan w:val="3"/>
          </w:tcPr>
          <w:p>
            <w:pPr>
              <w:ind w:left="800"/>
              <w:spacing w:after="0"/>
              <w:rPr>
                <w:sz w:val="20"/>
                <w:szCs w:val="20"/>
                <w:color w:val="auto"/>
              </w:rPr>
            </w:pPr>
            <w:r>
              <w:rPr>
                <w:rFonts w:ascii="Times New Roman" w:cs="Times New Roman" w:eastAsia="Times New Roman" w:hAnsi="Times New Roman"/>
                <w:sz w:val="22"/>
                <w:szCs w:val="22"/>
                <w:b w:val="1"/>
                <w:bCs w:val="1"/>
                <w:color w:val="auto"/>
              </w:rPr>
              <w:t>Description of Change</w:t>
            </w:r>
          </w:p>
        </w:tc>
        <w:tc>
          <w:tcPr>
            <w:tcW w:w="3700" w:type="dxa"/>
            <w:vAlign w:val="bottom"/>
            <w:tcBorders>
              <w:top w:val="single" w:sz="8" w:color="auto"/>
              <w:right w:val="single" w:sz="8" w:color="auto"/>
            </w:tcBorders>
            <w:gridSpan w:val="3"/>
          </w:tcPr>
          <w:p>
            <w:pPr>
              <w:ind w:left="700"/>
              <w:spacing w:after="0"/>
              <w:rPr>
                <w:sz w:val="20"/>
                <w:szCs w:val="20"/>
                <w:color w:val="auto"/>
              </w:rPr>
            </w:pPr>
            <w:r>
              <w:rPr>
                <w:rFonts w:ascii="Times New Roman" w:cs="Times New Roman" w:eastAsia="Times New Roman" w:hAnsi="Times New Roman"/>
                <w:sz w:val="22"/>
                <w:szCs w:val="22"/>
                <w:b w:val="1"/>
                <w:bCs w:val="1"/>
                <w:color w:val="auto"/>
              </w:rPr>
              <w:t>Authored By/Revised By</w:t>
            </w:r>
          </w:p>
        </w:tc>
      </w:tr>
      <w:tr>
        <w:trPr>
          <w:trHeight w:val="48"/>
        </w:trPr>
        <w:tc>
          <w:tcPr>
            <w:tcW w:w="1180" w:type="dxa"/>
            <w:vAlign w:val="bottom"/>
            <w:tcBorders>
              <w:left w:val="single" w:sz="8" w:color="auto"/>
              <w:bottom w:val="single" w:sz="8" w:color="auto"/>
            </w:tcBorders>
          </w:tcPr>
          <w:p>
            <w:pPr>
              <w:spacing w:after="0"/>
              <w:rPr>
                <w:sz w:val="4"/>
                <w:szCs w:val="4"/>
                <w:color w:val="auto"/>
              </w:rPr>
            </w:pPr>
          </w:p>
        </w:tc>
        <w:tc>
          <w:tcPr>
            <w:tcW w:w="1280" w:type="dxa"/>
            <w:vAlign w:val="bottom"/>
            <w:tcBorders>
              <w:top w:val="single" w:sz="8" w:color="auto"/>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80" w:type="dxa"/>
            <w:vAlign w:val="bottom"/>
            <w:tcBorders>
              <w:top w:val="single" w:sz="8" w:color="auto"/>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80" w:type="dxa"/>
            <w:vAlign w:val="bottom"/>
            <w:tcBorders>
              <w:top w:val="single" w:sz="8" w:color="auto"/>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r>
      <w:tr>
        <w:trPr>
          <w:trHeight w:val="298"/>
        </w:trPr>
        <w:tc>
          <w:tcPr>
            <w:tcW w:w="2460" w:type="dxa"/>
            <w:vAlign w:val="bottom"/>
            <w:tcBorders>
              <w:left w:val="single" w:sz="8" w:color="auto"/>
              <w:bottom w:val="single" w:sz="8" w:color="auto"/>
            </w:tcBorders>
            <w:gridSpan w:val="2"/>
          </w:tcPr>
          <w:p>
            <w:pPr>
              <w:jc w:val="center"/>
              <w:ind w:left="1092"/>
              <w:spacing w:after="0"/>
              <w:rPr>
                <w:sz w:val="20"/>
                <w:szCs w:val="20"/>
                <w:color w:val="auto"/>
              </w:rPr>
            </w:pPr>
            <w:r>
              <w:rPr>
                <w:rFonts w:ascii="Times New Roman" w:cs="Times New Roman" w:eastAsia="Times New Roman" w:hAnsi="Times New Roman"/>
                <w:sz w:val="22"/>
                <w:szCs w:val="22"/>
                <w:color w:val="auto"/>
                <w:w w:val="99"/>
              </w:rPr>
              <w:t>01/07/03</w:t>
            </w:r>
          </w:p>
        </w:tc>
        <w:tc>
          <w:tcPr>
            <w:tcW w:w="12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Initial Policy</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Unknown</w:t>
            </w:r>
          </w:p>
        </w:tc>
      </w:tr>
      <w:tr>
        <w:trPr>
          <w:trHeight w:val="304"/>
        </w:trPr>
        <w:tc>
          <w:tcPr>
            <w:tcW w:w="2460" w:type="dxa"/>
            <w:vAlign w:val="bottom"/>
            <w:tcBorders>
              <w:left w:val="single" w:sz="8" w:color="auto"/>
              <w:bottom w:val="single" w:sz="8" w:color="auto"/>
            </w:tcBorders>
            <w:gridSpan w:val="2"/>
          </w:tcPr>
          <w:p>
            <w:pPr>
              <w:jc w:val="center"/>
              <w:ind w:left="1092"/>
              <w:spacing w:after="0"/>
              <w:rPr>
                <w:sz w:val="20"/>
                <w:szCs w:val="20"/>
                <w:color w:val="auto"/>
              </w:rPr>
            </w:pPr>
            <w:r>
              <w:rPr>
                <w:rFonts w:ascii="Times New Roman" w:cs="Times New Roman" w:eastAsia="Times New Roman" w:hAnsi="Times New Roman"/>
                <w:sz w:val="22"/>
                <w:szCs w:val="22"/>
                <w:color w:val="auto"/>
                <w:w w:val="99"/>
              </w:rPr>
              <w:t>01/21/16</w:t>
            </w:r>
          </w:p>
        </w:tc>
        <w:tc>
          <w:tcPr>
            <w:tcW w:w="12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Revision</w:t>
            </w: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Matthew S. Heiter</w:t>
            </w:r>
          </w:p>
        </w:tc>
      </w:tr>
      <w:tr>
        <w:trPr>
          <w:trHeight w:val="270"/>
        </w:trPr>
        <w:tc>
          <w:tcPr>
            <w:tcW w:w="2460" w:type="dxa"/>
            <w:vAlign w:val="bottom"/>
            <w:tcBorders>
              <w:left w:val="single" w:sz="8" w:color="auto"/>
            </w:tcBorders>
            <w:gridSpan w:val="2"/>
          </w:tcPr>
          <w:p>
            <w:pPr>
              <w:jc w:val="center"/>
              <w:ind w:left="1072"/>
              <w:spacing w:after="0"/>
              <w:rPr>
                <w:sz w:val="20"/>
                <w:szCs w:val="20"/>
                <w:color w:val="auto"/>
              </w:rPr>
            </w:pPr>
            <w:r>
              <w:rPr>
                <w:rFonts w:ascii="Times New Roman" w:cs="Times New Roman" w:eastAsia="Times New Roman" w:hAnsi="Times New Roman"/>
                <w:sz w:val="22"/>
                <w:szCs w:val="22"/>
                <w:color w:val="auto"/>
                <w:w w:val="97"/>
              </w:rPr>
              <w:t>11/29/23</w:t>
            </w:r>
          </w:p>
        </w:tc>
        <w:tc>
          <w:tcPr>
            <w:tcW w:w="12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Add reference to general counsel</w:t>
            </w: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Richard Mattern (Bass Berry Sims -</w:t>
            </w:r>
          </w:p>
        </w:tc>
      </w:tr>
      <w:tr>
        <w:trPr>
          <w:trHeight w:val="257"/>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Revise definitions of “material</w:t>
            </w: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outside counsel)</w:t>
            </w:r>
          </w:p>
        </w:tc>
      </w:tr>
      <w:tr>
        <w:trPr>
          <w:trHeight w:val="270"/>
        </w:trPr>
        <w:tc>
          <w:tcPr>
            <w:tcW w:w="1180" w:type="dxa"/>
            <w:vAlign w:val="bottom"/>
            <w:tcBorders>
              <w:lef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information,” “nonpublic</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r>
      <w:tr>
        <w:trPr>
          <w:trHeight w:val="257"/>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information,” include immediate</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57"/>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family members to “insider”</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57"/>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definition.</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56"/>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Expand details of “Statement of Policy</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70"/>
        </w:trPr>
        <w:tc>
          <w:tcPr>
            <w:tcW w:w="1180" w:type="dxa"/>
            <w:vAlign w:val="bottom"/>
            <w:tcBorders>
              <w:lef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Prohibiting Insider Trading,” that</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r>
      <w:tr>
        <w:trPr>
          <w:trHeight w:val="257"/>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require pre-approval of sell or</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91"/>
        </w:trPr>
        <w:tc>
          <w:tcPr>
            <w:tcW w:w="1180" w:type="dxa"/>
            <w:vAlign w:val="bottom"/>
            <w:tcBorders>
              <w:left w:val="single" w:sz="8" w:color="auto"/>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purchase company securities.</w:t>
            </w: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r>
        <w:trPr>
          <w:trHeight w:val="270"/>
        </w:trPr>
        <w:tc>
          <w:tcPr>
            <w:tcW w:w="2460" w:type="dxa"/>
            <w:vAlign w:val="bottom"/>
            <w:tcBorders>
              <w:left w:val="single" w:sz="8" w:color="auto"/>
            </w:tcBorders>
            <w:gridSpan w:val="2"/>
          </w:tcPr>
          <w:p>
            <w:pPr>
              <w:jc w:val="center"/>
              <w:ind w:left="1072"/>
              <w:spacing w:after="0"/>
              <w:rPr>
                <w:sz w:val="20"/>
                <w:szCs w:val="20"/>
                <w:color w:val="auto"/>
              </w:rPr>
            </w:pPr>
            <w:r>
              <w:rPr>
                <w:rFonts w:ascii="Times New Roman" w:cs="Times New Roman" w:eastAsia="Times New Roman" w:hAnsi="Times New Roman"/>
                <w:sz w:val="22"/>
                <w:szCs w:val="22"/>
                <w:color w:val="auto"/>
                <w:w w:val="97"/>
              </w:rPr>
              <w:t>11/20/24</w:t>
            </w:r>
          </w:p>
        </w:tc>
        <w:tc>
          <w:tcPr>
            <w:tcW w:w="12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Insider Trading Policy will be filed as</w:t>
            </w: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Jami Statham</w:t>
            </w:r>
          </w:p>
        </w:tc>
      </w:tr>
      <w:tr>
        <w:trPr>
          <w:trHeight w:val="256"/>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an exhibit to 10K.</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70"/>
        </w:trPr>
        <w:tc>
          <w:tcPr>
            <w:tcW w:w="1180" w:type="dxa"/>
            <w:vAlign w:val="bottom"/>
            <w:tcBorders>
              <w:lef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Clarifies approving officers.</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r>
      <w:tr>
        <w:trPr>
          <w:trHeight w:val="257"/>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Allows use of pre-clearance form</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57"/>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(Exhibit A to policy)</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56"/>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Removes certification requirement by</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57"/>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all employees.</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70"/>
        </w:trPr>
        <w:tc>
          <w:tcPr>
            <w:tcW w:w="1180" w:type="dxa"/>
            <w:vAlign w:val="bottom"/>
            <w:tcBorders>
              <w:lef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Expands definition of Covered Person</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r>
      <w:tr>
        <w:trPr>
          <w:trHeight w:val="256"/>
        </w:trPr>
        <w:tc>
          <w:tcPr>
            <w:tcW w:w="1180" w:type="dxa"/>
            <w:vAlign w:val="bottom"/>
            <w:tcBorders>
              <w:left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3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that require pre-clearance and subject</w:t>
            </w:r>
          </w:p>
        </w:tc>
        <w:tc>
          <w:tcPr>
            <w:tcW w:w="7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291"/>
        </w:trPr>
        <w:tc>
          <w:tcPr>
            <w:tcW w:w="1180" w:type="dxa"/>
            <w:vAlign w:val="bottom"/>
            <w:tcBorders>
              <w:left w:val="single" w:sz="8" w:color="auto"/>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to event specific blackout periods.</w:t>
            </w: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420" w:top="1440" w:right="339" w:bottom="1440" w:gutter="0" w:footer="0" w:header="0"/>
        </w:sectPr>
      </w:pPr>
    </w:p>
    <w:bookmarkStart w:id="79" w:name="page80"/>
    <w:bookmarkEnd w:id="79"/>
    <w:p>
      <w:pPr>
        <w:ind w:left="43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Directors of the Company</w:t>
      </w:r>
    </w:p>
    <w:p>
      <w:pPr>
        <w:spacing w:after="0" w:line="220" w:lineRule="exact"/>
        <w:rPr>
          <w:sz w:val="20"/>
          <w:szCs w:val="20"/>
          <w:color w:val="auto"/>
        </w:rPr>
      </w:pPr>
    </w:p>
    <w:p>
      <w:pPr>
        <w:ind w:right="1520"/>
        <w:spacing w:after="0" w:line="454" w:lineRule="auto"/>
        <w:rPr>
          <w:sz w:val="20"/>
          <w:szCs w:val="20"/>
          <w:color w:val="auto"/>
        </w:rPr>
      </w:pPr>
      <w:r>
        <w:rPr>
          <w:rFonts w:ascii="Times New Roman" w:cs="Times New Roman" w:eastAsia="Times New Roman" w:hAnsi="Times New Roman"/>
          <w:sz w:val="22"/>
          <w:szCs w:val="22"/>
          <w:color w:val="auto"/>
        </w:rPr>
        <w:t>Executive Officers of the Company who are subject to SEC Section 16(b) short swing profit prohibitions Vice Presidents of the Company</w:t>
      </w:r>
    </w:p>
    <w:p>
      <w:pPr>
        <w:spacing w:after="0" w:line="1" w:lineRule="exact"/>
        <w:rPr>
          <w:sz w:val="20"/>
          <w:szCs w:val="20"/>
          <w:color w:val="auto"/>
        </w:rPr>
      </w:pPr>
    </w:p>
    <w:p>
      <w:pPr>
        <w:ind w:right="240"/>
        <w:spacing w:after="0" w:line="448" w:lineRule="auto"/>
        <w:rPr>
          <w:sz w:val="20"/>
          <w:szCs w:val="20"/>
          <w:color w:val="auto"/>
        </w:rPr>
      </w:pPr>
      <w:r>
        <w:rPr>
          <w:rFonts w:ascii="Times New Roman" w:cs="Times New Roman" w:eastAsia="Times New Roman" w:hAnsi="Times New Roman"/>
          <w:sz w:val="22"/>
          <w:szCs w:val="22"/>
          <w:color w:val="auto"/>
        </w:rPr>
        <w:t>Certain designated employees in the Finance and Accounting Department, Legal Department, and Treasury Department Any other person designated by the Company on the basis of their functional role</w:t>
      </w:r>
    </w:p>
    <w:p>
      <w:pPr>
        <w:spacing w:after="0" w:line="1" w:lineRule="exact"/>
        <w:rPr>
          <w:sz w:val="20"/>
          <w:szCs w:val="20"/>
          <w:color w:val="auto"/>
        </w:rPr>
      </w:pPr>
    </w:p>
    <w:p>
      <w:pPr>
        <w:ind w:right="4160"/>
        <w:spacing w:after="0" w:line="510" w:lineRule="auto"/>
        <w:rPr>
          <w:sz w:val="20"/>
          <w:szCs w:val="20"/>
          <w:color w:val="auto"/>
        </w:rPr>
      </w:pPr>
      <w:r>
        <w:rPr>
          <w:rFonts w:ascii="Times New Roman" w:cs="Times New Roman" w:eastAsia="Times New Roman" w:hAnsi="Times New Roman"/>
          <w:sz w:val="21"/>
          <w:szCs w:val="21"/>
          <w:color w:val="auto"/>
        </w:rPr>
        <w:t>Executive Administrative Assistants of any of the above-listed individuals The spouse, parent, sibling or child of any of the persons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980" w:top="1418" w:right="339" w:bottom="1440" w:gutter="0" w:footer="0" w:header="0"/>
        </w:sectPr>
      </w:pPr>
    </w:p>
    <w:bookmarkStart w:id="80" w:name="page81"/>
    <w:bookmarkEnd w:id="80"/>
    <w:p>
      <w:pPr>
        <w:jc w:val="center"/>
        <w:ind w:right="-3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PRE-CLEARANCE OF TRADING IN</w:t>
      </w:r>
    </w:p>
    <w:p>
      <w:pPr>
        <w:spacing w:after="0" w:line="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NN, INC. SECURITIES</w:t>
      </w:r>
    </w:p>
    <w:p>
      <w:pPr>
        <w:spacing w:after="0" w:line="29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This information may be provided by filling out this form and forwarding it to the Approving Officers or by sending an email to the Approving Officers which contains all of the information required by this form.</w:t>
      </w:r>
    </w:p>
    <w:p>
      <w:pPr>
        <w:spacing w:after="0" w:line="171"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______________________________</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DESCRIPTION OF PROPOSED</w:t>
      </w:r>
    </w:p>
    <w:p>
      <w:pPr>
        <w:spacing w:after="0" w:line="14"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2"/>
          <w:szCs w:val="22"/>
          <w:color w:val="auto"/>
        </w:rPr>
        <w:t>TRANSACTION:</w:t>
      </w:r>
      <w:r>
        <w:rPr>
          <w:sz w:val="20"/>
          <w:szCs w:val="20"/>
          <w:color w:val="auto"/>
        </w:rPr>
        <w:tab/>
      </w:r>
      <w:r>
        <w:rPr>
          <w:rFonts w:ascii="Times New Roman" w:cs="Times New Roman" w:eastAsia="Times New Roman" w:hAnsi="Times New Roman"/>
          <w:sz w:val="22"/>
          <w:szCs w:val="22"/>
          <w:color w:val="auto"/>
        </w:rPr>
        <w:t>______________________________</w:t>
      </w:r>
    </w:p>
    <w:p>
      <w:pPr>
        <w:spacing w:after="0" w:line="1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00" w:lineRule="exact"/>
        <w:rPr>
          <w:sz w:val="20"/>
          <w:szCs w:val="20"/>
          <w:color w:val="auto"/>
        </w:rPr>
      </w:pPr>
    </w:p>
    <w:p>
      <w:pPr>
        <w:spacing w:after="0" w:line="303"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(Open Market Purchase or Sale, Gift, Transfer to a Trust, Changes in Ownership, Transactions in Employee Benefit Plans, etc.)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TO BE</w:t>
      </w:r>
    </w:p>
    <w:p>
      <w:pPr>
        <w:spacing w:after="0" w:line="14"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color w:val="auto"/>
        </w:rPr>
        <w:t>PURCHASED/SOLD:</w:t>
      </w:r>
      <w:r>
        <w:rPr>
          <w:sz w:val="20"/>
          <w:szCs w:val="20"/>
          <w:color w:val="auto"/>
        </w:rPr>
        <w:tab/>
      </w:r>
      <w:r>
        <w:rPr>
          <w:rFonts w:ascii="Times New Roman" w:cs="Times New Roman" w:eastAsia="Times New Roman" w:hAnsi="Times New Roman"/>
          <w:sz w:val="22"/>
          <w:szCs w:val="22"/>
          <w:color w:val="auto"/>
        </w:rPr>
        <w:t>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 SHARES TO BE DISPOSED OF OR</w:t>
      </w:r>
    </w:p>
    <w:p>
      <w:pPr>
        <w:spacing w:after="0" w:line="14"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2"/>
          <w:szCs w:val="22"/>
          <w:color w:val="auto"/>
        </w:rPr>
        <w:t>ACQUIRED ARE TITLED:</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 DISPOSITION, THE DATE YOU</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ORIGINALLY ACQUIRED THE SHARES:______________________________</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TRANSACTION IN THE LAST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SIX MONTHS? IF SO, PLEASE DESCRIBE: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WHERE WE CAN REACH YOU IN THE NEXT FEW DAYS TO ASK QUESTIONS OR OBTAIN YOUR SIGNATURE:</w:t>
      </w:r>
    </w:p>
    <w:p>
      <w:pPr>
        <w:spacing w:after="0" w:line="27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Address</w:t>
      </w:r>
    </w:p>
    <w:p>
      <w:pPr>
        <w:spacing w:after="0" w:line="2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Telephone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Submitted to General Counsel and Chief Executive Officer this ____ day of _____________, 20__.</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0760"/>
          </w:cols>
          <w:pgMar w:left="400" w:top="770" w:right="7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68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848"/>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 of NN, Inc.</w:t>
            </w:r>
          </w:p>
        </w:tc>
        <w:tc>
          <w:tcPr>
            <w:tcW w:w="2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3"/>
        </w:trPr>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1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Precision Products, Inc.</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(China) Automotive Components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do Brasil Usinagem, Ltda.</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Equipment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Equipment,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Europe, B.V.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France, S.A.R.L.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International,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Poland Sp. z.o.o.</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South Carolina,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Autocam-Pax,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Bouverat Industries, S.A.S.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 (Foshan) Precision Engineered Products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 de Mexico, S.A. de C.V.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Brainin-Advance Industries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Caprock Enclosures,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Caprock Manufacturing,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Metal Finishing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Holmed,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HowesTemco,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Canada,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Power Solutions,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Power Solutions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Precision Plastics,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PMC USA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Polymetallurgical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Precision Metal Components Mexico S. de R.L. de C.V.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Premco,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Profiles Incorporated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Southern California Technical Arts,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Wauconda Tool &amp; Engineering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Whirlaway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w w:val="99"/>
              </w:rPr>
              <w:t>Ohio</w:t>
            </w:r>
          </w:p>
        </w:tc>
      </w:tr>
    </w:tbl>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have issued our reports dated March 5, 2025, with respect to the consolidated financial statements and internal control over financial reporting included in the Annual Report of NN, Inc. on Form 10-K for the year ended December 31, 2024. We consent to the incorporation by reference of said reports in the Registration Statements of NN, Inc. on Forms S-8 (File Nos. 333-130395, 333-174519, 333-216739, 333-232258, 333-265893, and 333-279500).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THORNTON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Charlotte, North Carolina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5, 2025</w:t>
      </w:r>
    </w:p>
    <w:p>
      <w:pPr>
        <w:sectPr>
          <w:pgSz w:w="11900" w:h="16838" w:orient="portrait"/>
          <w:cols w:equalWidth="0" w:num="1">
            <w:col w:w="11240"/>
          </w:cols>
          <w:pgMar w:left="320" w:top="77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C. Bevis, certify that:</w:t>
      </w:r>
    </w:p>
    <w:p>
      <w:pPr>
        <w:spacing w:after="0" w:line="171"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H. Bohnert, certify that:</w:t>
      </w:r>
    </w:p>
    <w:p>
      <w:pPr>
        <w:spacing w:after="0" w:line="171"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2025</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NN, Inc. (the “Company”) on Form 10-K for the annual period ended December 31,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2025</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NN, Inc. (the “Company”) on Form 10-K for the annual period ended December 31,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2025</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4"/>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lvl w:ilvl="1">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lowerLetter"/>
      <w:start w:val="1"/>
    </w:lvl>
    <w:lvl w:ilvl="1">
      <w:lvlJc w:val="left"/>
      <w:lvlText w:val="%2."/>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upperLetter"/>
      <w:start w:val="35"/>
    </w:lvl>
  </w:abstractNum>
  <w:abstractNum w:abstractNumId="33">
    <w:nsid w:val="542289EC"/>
    <w:multiLevelType w:val="hybridMultilevel"/>
    <w:lvl w:ilvl="0">
      <w:lvlJc w:val="left"/>
      <w:lvlText w:val="%1."/>
      <w:numFmt w:val="upperLetter"/>
      <w:start w:val="22"/>
    </w:lvl>
  </w:abstractNum>
  <w:abstractNum w:abstractNumId="34">
    <w:nsid w:val="6DE91B18"/>
    <w:multiLevelType w:val="hybridMultilevel"/>
    <w:lvl w:ilvl="0">
      <w:lvlJc w:val="left"/>
      <w:lvlText w:val="%1."/>
      <w:numFmt w:val="upperLetter"/>
      <w:start w:val="9"/>
    </w:lvl>
    <w:lvl w:ilvl="1">
      <w:lvlJc w:val="left"/>
      <w:lvlText w:val="%2"/>
      <w:numFmt w:val="upperLetter"/>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upperLetter"/>
      <w:start w:val="2"/>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2"/>
    </w:lvl>
  </w:abstractNum>
  <w:abstractNum w:abstractNumId="41">
    <w:nsid w:val="3DC240FB"/>
    <w:multiLevelType w:val="hybridMultilevel"/>
    <w:lvl w:ilvl="0">
      <w:lvlJc w:val="left"/>
      <w:lvlText w:val="%1."/>
      <w:numFmt w:val="decimal"/>
      <w:start w:val="3"/>
    </w:lvl>
  </w:abstractNum>
  <w:abstractNum w:abstractNumId="42">
    <w:nsid w:val="1BA026FA"/>
    <w:multiLevelType w:val="hybridMultilevel"/>
    <w:lvl w:ilvl="0">
      <w:lvlJc w:val="left"/>
      <w:lvlText w:val="%1."/>
      <w:numFmt w:val="decimal"/>
      <w:start w:val="4"/>
    </w:lvl>
  </w:abstractNum>
  <w:abstractNum w:abstractNumId="43">
    <w:nsid w:val="79A1DEAA"/>
    <w:multiLevelType w:val="hybridMultilevel"/>
    <w:lvl w:ilvl="0">
      <w:lvlJc w:val="left"/>
      <w:lvlText w:val="%1."/>
      <w:numFmt w:val="decimal"/>
      <w:start w:val="5"/>
    </w:lvl>
  </w:abstractNum>
  <w:abstractNum w:abstractNumId="44">
    <w:nsid w:val="75C6C33A"/>
    <w:multiLevelType w:val="hybridMultilevel"/>
    <w:lvl w:ilvl="0">
      <w:lvlJc w:val="left"/>
      <w:lvlText w:val="%1."/>
      <w:numFmt w:val="upperLetter"/>
      <w:start w:val="34"/>
    </w:lvl>
    <w:lvl w:ilvl="1">
      <w:lvlJc w:val="left"/>
      <w:lvlText w:val="%2"/>
      <w:numFmt w:val="upperLetter"/>
      <w:start w:val="1"/>
    </w:lvl>
    <w:lvl w:ilvl="2">
      <w:lvlJc w:val="left"/>
      <w:lvlText w:val="•"/>
      <w:numFmt w:val="bullet"/>
      <w:start w:val="1"/>
    </w:lvl>
  </w:abstractNum>
  <w:abstractNum w:abstractNumId="45">
    <w:nsid w:val="12E685FB"/>
    <w:multiLevelType w:val="hybridMultilevel"/>
    <w:lvl w:ilvl="0">
      <w:lvlJc w:val="left"/>
      <w:lvlText w:val="%1."/>
      <w:numFmt w:val="decimal"/>
      <w:start w:val="1"/>
    </w:lvl>
    <w:lvl w:ilvl="1">
      <w:lvlJc w:val="left"/>
      <w:lvlText w:val="(%2)"/>
      <w:numFmt w:val="upperLetter"/>
      <w:start w:val="1"/>
    </w:lvl>
  </w:abstractNum>
  <w:abstractNum w:abstractNumId="46">
    <w:nsid w:val="70C6A529"/>
    <w:multiLevelType w:val="hybridMultilevel"/>
    <w:lvl w:ilvl="0">
      <w:lvlJc w:val="left"/>
      <w:lvlText w:val="%1."/>
      <w:numFmt w:val="decimal"/>
      <w:start w:val="2"/>
    </w:lvl>
    <w:lvl w:ilvl="1">
      <w:lvlJc w:val="left"/>
      <w:lvlText w:val="(%2)"/>
      <w:numFmt w:val="upperLetter"/>
      <w:start w:val="1"/>
    </w:lvl>
  </w:abstractNum>
  <w:abstractNum w:abstractNumId="47">
    <w:nsid w:val="520EEDD1"/>
    <w:multiLevelType w:val="hybridMultilevel"/>
    <w:lvl w:ilvl="0">
      <w:lvlJc w:val="left"/>
      <w:lvlText w:val="%1."/>
      <w:numFmt w:val="upperLetter"/>
      <w:start w:val="2"/>
    </w:lvl>
  </w:abstractNum>
  <w:abstractNum w:abstractNumId="48">
    <w:nsid w:val="374A3FE6"/>
    <w:multiLevelType w:val="hybridMultilevel"/>
    <w:lvl w:ilvl="0">
      <w:lvlJc w:val="left"/>
      <w:lvlText w:val="%1."/>
      <w:numFmt w:val="decimal"/>
      <w:start w:val="1"/>
    </w:lvl>
    <w:lvl w:ilvl="1">
      <w:lvlJc w:val="left"/>
      <w:lvlText w:val="(%2)"/>
      <w:numFmt w:val="upperLetter"/>
      <w:start w:val="1"/>
    </w:lvl>
  </w:abstractNum>
  <w:abstractNum w:abstractNumId="49">
    <w:nsid w:val="4F4EF005"/>
    <w:multiLevelType w:val="hybridMultilevel"/>
    <w:lvl w:ilvl="0">
      <w:lvlJc w:val="left"/>
      <w:lvlText w:val="%1"/>
      <w:numFmt w:val="decimal"/>
      <w:start w:val="1"/>
    </w:lvl>
    <w:lvl w:ilvl="1">
      <w:lvlJc w:val="left"/>
      <w:lvlText w:val="(%2)"/>
      <w:numFmt w:val="upperLetter"/>
      <w:start w:val="2"/>
    </w:lvl>
  </w:abstractNum>
  <w:abstractNum w:abstractNumId="50">
    <w:nsid w:val="23F9C13C"/>
    <w:multiLevelType w:val="hybridMultilevel"/>
    <w:lvl w:ilvl="0">
      <w:lvlJc w:val="left"/>
      <w:lvlText w:val="%1."/>
      <w:numFmt w:val="decimal"/>
      <w:start w:val="3"/>
    </w:lvl>
    <w:lvl w:ilvl="1">
      <w:lvlJc w:val="left"/>
      <w:lvlText w:val="(%2)"/>
      <w:numFmt w:val="upperLetter"/>
      <w:start w:val="1"/>
    </w:lvl>
  </w:abstractNum>
  <w:abstractNum w:abstractNumId="51">
    <w:nsid w:val="649BB77C"/>
    <w:multiLevelType w:val="hybridMultilevel"/>
    <w:lvl w:ilvl="0">
      <w:lvlJc w:val="left"/>
      <w:lvlText w:val="%1."/>
      <w:numFmt w:val="decimal"/>
      <w:start w:val="4"/>
    </w:lvl>
  </w:abstractNum>
  <w:abstractNum w:abstractNumId="52">
    <w:nsid w:val="275AC794"/>
    <w:multiLevelType w:val="hybridMultilevel"/>
    <w:lvl w:ilvl="0">
      <w:lvlJc w:val="left"/>
      <w:lvlText w:val="%1"/>
      <w:numFmt w:val="decimal"/>
      <w:start w:val="1"/>
    </w:lvl>
    <w:lvl w:ilvl="1">
      <w:lvlJc w:val="left"/>
      <w:lvlText w:val="(%2)"/>
      <w:numFmt w:val="upperLetter"/>
      <w:start w:val="1"/>
    </w:lvl>
  </w:abstractNum>
  <w:abstractNum w:abstractNumId="53">
    <w:nsid w:val="39386575"/>
    <w:multiLevelType w:val="hybridMultilevel"/>
    <w:lvl w:ilvl="0">
      <w:lvlJc w:val="left"/>
      <w:lvlText w:val="%1."/>
      <w:numFmt w:val="decimal"/>
      <w:start w:val="6"/>
    </w:lvl>
    <w:lvl w:ilvl="1">
      <w:lvlJc w:val="left"/>
      <w:lvlText w:val="%2"/>
      <w:numFmt w:val="upperLetter"/>
      <w:start w:val="1"/>
    </w:lvl>
  </w:abstractNum>
  <w:abstractNum w:abstractNumId="54">
    <w:nsid w:val="1CF10FD8"/>
    <w:multiLevelType w:val="hybridMultilevel"/>
    <w:lvl w:ilvl="0">
      <w:lvlJc w:val="left"/>
      <w:lvlText w:val="%1."/>
      <w:numFmt w:val="upperLetter"/>
      <w:start w:val="3"/>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upperLetter"/>
      <w:start w:val="4"/>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10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7" Type="http://schemas.openxmlformats.org/officeDocument/2006/relationships/image" Target="media/image86.png"/><Relationship Id="rId148" Type="http://schemas.openxmlformats.org/officeDocument/2006/relationships/image" Target="media/image87.png"/><Relationship Id="rId149"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153" Type="http://schemas.openxmlformats.org/officeDocument/2006/relationships/image" Target="media/image92.png"/><Relationship Id="rId154"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jpeg"/><Relationship Id="rId44" Type="http://schemas.openxmlformats.org/officeDocument/2006/relationships/hyperlink" Target="https://www.sec.gov/ix?doc=/Archives/edgar/data/918541/000091854124000020/nnbr-20231231.htm" TargetMode="External"/><Relationship Id="rId89" Type="http://schemas.openxmlformats.org/officeDocument/2006/relationships/hyperlink" Target="http://www.sec.gov/Archives/edgar/data/918541/000119312514275202/d759459dex21.htm" TargetMode="External"/><Relationship Id="rId90" Type="http://schemas.openxmlformats.org/officeDocument/2006/relationships/hyperlink" Target="http://www.sec.gov/Archives/edgar/data/918541/000095016802001631/dex31.txt" TargetMode="External"/><Relationship Id="rId91" Type="http://schemas.openxmlformats.org/officeDocument/2006/relationships/hyperlink" Target="http://www.sec.gov/Archives/edgar/data/918541/000119312519151712/d750456dex31.htm" TargetMode="External"/><Relationship Id="rId92" Type="http://schemas.openxmlformats.org/officeDocument/2006/relationships/hyperlink" Target="http://www.sec.gov/Archives/edgar/data/918541/000119312519151712/d750456dex32.htm" TargetMode="External"/><Relationship Id="rId93" Type="http://schemas.openxmlformats.org/officeDocument/2006/relationships/hyperlink" Target="http://www.sec.gov/Archives/edgar/data/918541/000091854123000004/amendedandrestatedbylaws20.htm" TargetMode="External"/><Relationship Id="rId94" Type="http://schemas.openxmlformats.org/officeDocument/2006/relationships/hyperlink" Target="http://www.sec.gov/Archives/edgar/data/0000918541/000119312521089609/d162543dex31.htm" TargetMode="External"/><Relationship Id="rId95" Type="http://schemas.openxmlformats.org/officeDocument/2006/relationships/hyperlink" Target="http://www.sec.gov/Archives/edgar/data/918541/000095016802001631/dex41.txt" TargetMode="External"/><Relationship Id="rId96" Type="http://schemas.openxmlformats.org/officeDocument/2006/relationships/hyperlink" Target="http://www.sec.gov/Archives/edgar/data/918541/000119312514328980/d785003dex41.htm" TargetMode="External"/><Relationship Id="rId97" Type="http://schemas.openxmlformats.org/officeDocument/2006/relationships/hyperlink" Target="http://www.sec.gov/Archives/edgar/data/918541/000119312519311505/d775548dex41.htm" TargetMode="External"/><Relationship Id="rId98" Type="http://schemas.openxmlformats.org/officeDocument/2006/relationships/hyperlink" Target="http://www.sec.gov/Archives/edgar/data/918541/000091854121000003/q42020ex45.htm" TargetMode="External"/><Relationship Id="rId99" Type="http://schemas.openxmlformats.org/officeDocument/2006/relationships/hyperlink" Target="http://www.sec.gov/Archives/edgar/data/0000918541/000119312521089609/d162543dex41.htm" TargetMode="External"/><Relationship Id="rId100" Type="http://schemas.openxmlformats.org/officeDocument/2006/relationships/hyperlink" Target="http://www.sec.gov/Archives/edgar/data/918541/000114036123010522/brhc10049390_ex4-1.htm" TargetMode="External"/><Relationship Id="rId101" Type="http://schemas.openxmlformats.org/officeDocument/2006/relationships/hyperlink" Target="http://www.sec.gov/Archives/edgar/data/918541/000095013102002704/dex106.txt" TargetMode="External"/><Relationship Id="rId102" Type="http://schemas.openxmlformats.org/officeDocument/2006/relationships/hyperlink" Target="http://www.sec.gov/Archives/edgar/data/918541/000119312514328980/d785003dex103.htm" TargetMode="External"/><Relationship Id="rId103" Type="http://schemas.openxmlformats.org/officeDocument/2006/relationships/hyperlink" Target="http://www.sec.gov/Archives/edgar/data/918541/000119312514328980/d785003dex104.htm" TargetMode="External"/><Relationship Id="rId105" Type="http://schemas.openxmlformats.org/officeDocument/2006/relationships/hyperlink" Target="http://www.sec.gov/Archives/edgar/data/918541/000119312519100697/d716172ddef14a.htm" TargetMode="External"/><Relationship Id="rId106" Type="http://schemas.openxmlformats.org/officeDocument/2006/relationships/hyperlink" Target="http://www.sec.gov/Archives/edgar/data/918541/000162828019006509/q12019ex101.htm" TargetMode="External"/><Relationship Id="rId107" Type="http://schemas.openxmlformats.org/officeDocument/2006/relationships/hyperlink" Target="http://www.sec.gov/Archives/edgar/data/918541/000162828019010554/q22019ex104.htm" TargetMode="External"/><Relationship Id="rId108" Type="http://schemas.openxmlformats.org/officeDocument/2006/relationships/hyperlink" Target="http://www.sec.gov/Archives/edgar/data/918541/000162828019010554/q22019ex105.htm" TargetMode="External"/><Relationship Id="rId109" Type="http://schemas.openxmlformats.org/officeDocument/2006/relationships/hyperlink" Target="http://www.sec.gov/Archives/edgar/data/918541/000162828019010554/q22019ex106.htm" TargetMode="External"/><Relationship Id="rId110" Type="http://schemas.openxmlformats.org/officeDocument/2006/relationships/hyperlink" Target="http://www.sec.gov/Archives/edgar/data/918541/000162828019010554/q22019ex107.htm" TargetMode="External"/><Relationship Id="rId111" Type="http://schemas.openxmlformats.org/officeDocument/2006/relationships/hyperlink" Target="http://www.sec.gov/Archives/edgar/data/0000918541/000119312521089609/d162543dex101.htm" TargetMode="External"/><Relationship Id="rId112" Type="http://schemas.openxmlformats.org/officeDocument/2006/relationships/hyperlink" Target="http://www.sec.gov/Archives/edgar/data/0000918541/000119312521089609/d162543dex102.htm" TargetMode="External"/><Relationship Id="rId113" Type="http://schemas.openxmlformats.org/officeDocument/2006/relationships/hyperlink" Target="http://www.sec.gov/Archives/edgar/data/0000918541/000119312521089609/d162543dex103.htm" TargetMode="External"/><Relationship Id="rId114" Type="http://schemas.openxmlformats.org/officeDocument/2006/relationships/hyperlink" Target="http://www.sec.gov/Archives/edgar/data/0000918541/000119312521089609/d162543dex104.htm" TargetMode="External"/><Relationship Id="rId115" Type="http://schemas.openxmlformats.org/officeDocument/2006/relationships/hyperlink" Target="http://www.sec.gov/Archives/edgar/data/918541/000091854121000016/ex102-formofseparationagre.htm" TargetMode="External"/><Relationship Id="rId116" Type="http://schemas.openxmlformats.org/officeDocument/2006/relationships/hyperlink" Target="http://www.sec.gov/Archives/edgar/data/918541/000091854122000030/exhibit101amendmentno1.htm" TargetMode="External"/><Relationship Id="rId117" Type="http://schemas.openxmlformats.org/officeDocument/2006/relationships/hyperlink" Target="http://www.sec.gov/Archives/edgar/data/918541/000091854122000072/proxystatement2022.htm" TargetMode="External"/><Relationship Id="rId118" Type="http://schemas.openxmlformats.org/officeDocument/2006/relationships/hyperlink" Target="http://www.sec.gov/Archives/edgar/data/918541/000114036123010522/brhc10049390_ex10-1.htm" TargetMode="External"/><Relationship Id="rId119" Type="http://schemas.openxmlformats.org/officeDocument/2006/relationships/hyperlink" Target="http://www.sec.gov/Archives/edgar/data/918541/000114036123010522/brhc10049390_ex10-2.htm" TargetMode="External"/><Relationship Id="rId120" Type="http://schemas.openxmlformats.org/officeDocument/2006/relationships/hyperlink" Target="http://www.sec.gov/Archives/edgar/data/918541/000114036123010522/brhc10049390_ex10-3.htm" TargetMode="External"/><Relationship Id="rId121" Type="http://schemas.openxmlformats.org/officeDocument/2006/relationships/hyperlink" Target="http://www.sec.gov/Archives/edgar/data/918541/000091854123000086/exhibit101letterofundersta.htm" TargetMode="External"/><Relationship Id="rId122" Type="http://schemas.openxmlformats.org/officeDocument/2006/relationships/hyperlink" Target="http://www.sec.gov/Archives/edgar/data/918541/000091854123000086/exhibit102rsuaward2023-05.htm" TargetMode="External"/><Relationship Id="rId123" Type="http://schemas.openxmlformats.org/officeDocument/2006/relationships/hyperlink" Target="http://www.sec.gov/Archives/edgar/data/918541/000091854123000086/exhibit103psuaward2023-05.htm" TargetMode="External"/><Relationship Id="rId124" Type="http://schemas.openxmlformats.org/officeDocument/2006/relationships/hyperlink" Target="http://www.sec.gov/Archives/edgar/data/918541/000091854123000086/exhibit104separationagreem.htm" TargetMode="External"/><Relationship Id="rId127" Type="http://schemas.openxmlformats.org/officeDocument/2006/relationships/hyperlink" Target="http://www.sec.gov/Archives/edgar/data/918541/000091854123000126/exhibit101executiveagreeme.htm" TargetMode="External"/><Relationship Id="rId128" Type="http://schemas.openxmlformats.org/officeDocument/2006/relationships/hyperlink" Target="http://www.sec.gov/Archives/edgar/data/918541/000091854124000020/exhibit1031rsuaward.htm" TargetMode="External"/><Relationship Id="rId129" Type="http://schemas.openxmlformats.org/officeDocument/2006/relationships/hyperlink" Target="http://www.sec.gov/Archives/edgar/data/918541/000091854124000020/exhibit1032psuaward.htm" TargetMode="External"/><Relationship Id="rId130" Type="http://schemas.openxmlformats.org/officeDocument/2006/relationships/hyperlink" Target="https://www.sec.gov/Archives/edgar/data/918541/000091854124000012/purchaseandsaleagreement20.htm" TargetMode="External"/><Relationship Id="rId131" Type="http://schemas.openxmlformats.org/officeDocument/2006/relationships/hyperlink" Target="https://www.sec.gov/Archives/edgar/data/918541/000119312524069193/d105983dex101.htm" TargetMode="External"/><Relationship Id="rId132" Type="http://schemas.openxmlformats.org/officeDocument/2006/relationships/hyperlink" Target="https://www.sec.gov/Archives/edgar/data/918541/000119312524069193/d105983dex102.htm" TargetMode="External"/><Relationship Id="rId133" Type="http://schemas.openxmlformats.org/officeDocument/2006/relationships/hyperlink" Target="https://www.sec.gov/Archives/edgar/data/918541/000091854124000056/proxystatement2024.htm" TargetMode="External"/><Relationship Id="rId134" Type="http://schemas.openxmlformats.org/officeDocument/2006/relationships/hyperlink" Target="https://www.sec.gov/Archives/edgar/data/918541/000119312524167079/d838374dex101.htm" TargetMode="External"/><Relationship Id="rId135" Type="http://schemas.openxmlformats.org/officeDocument/2006/relationships/hyperlink" Target="https://www.sec.gov/Archives/edgar/data/918541/000119312524167079/d838374dex102.htm" TargetMode="External"/><Relationship Id="rId136" Type="http://schemas.openxmlformats.org/officeDocument/2006/relationships/hyperlink" Target="https://www.sec.gov/Archives/edgar/data/918541/000119312524167079/d838374dex103.htm" TargetMode="External"/><Relationship Id="rId137" Type="http://schemas.openxmlformats.org/officeDocument/2006/relationships/hyperlink" Target="https://www.sec.gov/Archives/edgar/data/918541/000119312524167079/d838374dex104.htm" TargetMode="External"/><Relationship Id="rId138" Type="http://schemas.openxmlformats.org/officeDocument/2006/relationships/hyperlink" Target="https://www.sec.gov/Archives/edgar/data/918541/000119312524167079/d838374dex105.htm" TargetMode="External"/><Relationship Id="rId139" Type="http://schemas.openxmlformats.org/officeDocument/2006/relationships/hyperlink" Target="https://www.sec.gov/Archives/edgar/data/918541/000119312524167079/d838374dex106.htm" TargetMode="External"/><Relationship Id="rId140" Type="http://schemas.openxmlformats.org/officeDocument/2006/relationships/hyperlink" Target="http://www.sec.gov/Archives/edgar/data/918541/000091854124000129/oaktreetermloanfourthamend.htm" TargetMode="External"/><Relationship Id="rId141" Type="http://schemas.openxmlformats.org/officeDocument/2006/relationships/hyperlink" Target="http://www.sec.gov/Archives/edgar/data/918541/000091854124000129/jpmablagreementthirdamendm.htm" TargetMode="External"/><Relationship Id="rId144" Type="http://schemas.openxmlformats.org/officeDocument/2006/relationships/hyperlink" Target="https://www.sec.gov/Archives/edgar/data/918541/000091854125000003/exhibit101creditagreementp.htm" TargetMode="External"/><Relationship Id="rId145" Type="http://schemas.openxmlformats.org/officeDocument/2006/relationships/hyperlink" Target="https://www.sec.gov/Archives/edgar/data/918541/000091854125000003/exhibit102termloanfifthame.htm" TargetMode="External"/><Relationship Id="rId146" Type="http://schemas.openxmlformats.org/officeDocument/2006/relationships/hyperlink" Target="http://www.sec.gov/Archives/edgar/data/918541/000091854124000020/exhibit971recoupment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2025-03-06T05:27:03Z</dcterms:created>
  <dcterms:modified xsi:type="dcterms:W3CDTF">2025-03-06T05:27:03Z</dcterms:modified>
</cp:coreProperties>
</file>