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285115</wp:posOffset>
            </wp:positionH>
            <wp:positionV relativeFrom="page">
              <wp:posOffset>671830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697230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55245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86995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4" w:lineRule="exact"/>
        <w:rPr>
          <w:sz w:val="24"/>
          <w:szCs w:val="24"/>
          <w:color w:val="auto"/>
        </w:rPr>
      </w:pPr>
    </w:p>
    <w:p>
      <w:pPr>
        <w:ind w:left="1320" w:hanging="336"/>
        <w:spacing w:after="0"/>
        <w:tabs>
          <w:tab w:leader="none" w:pos="13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6" w:lineRule="exact"/>
        <w:rPr>
          <w:sz w:val="24"/>
          <w:szCs w:val="24"/>
          <w:color w:val="auto"/>
        </w:rPr>
      </w:pPr>
    </w:p>
    <w:p>
      <w:pPr>
        <w:ind w:left="1320" w:hanging="336"/>
        <w:spacing w:after="0"/>
        <w:tabs>
          <w:tab w:leader="none" w:pos="1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001-39268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71120</wp:posOffset>
            </wp:positionV>
            <wp:extent cx="2597150"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90170</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sectPr>
      </w:pPr>
    </w:p>
    <w:p>
      <w:pPr>
        <w:spacing w:after="0" w:line="269"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54" w:lineRule="exact"/>
        <w:rPr>
          <w:sz w:val="24"/>
          <w:szCs w:val="24"/>
          <w:color w:val="auto"/>
        </w:rPr>
      </w:pPr>
    </w:p>
    <w:p>
      <w:pPr>
        <w:sectPr>
          <w:pgSz w:w="11900" w:h="16838" w:orient="portrait"/>
          <w:cols w:equalWidth="0" w:num="2">
            <w:col w:w="6880" w:space="720"/>
            <w:col w:w="3500"/>
          </w:cols>
          <w:pgMar w:left="320" w:top="1276" w:right="47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ind w:left="218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(I.R.S. Employer</w:t>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80" w:lineRule="exact"/>
        <w:rPr>
          <w:sz w:val="24"/>
          <w:szCs w:val="24"/>
          <w:color w:val="auto"/>
        </w:rPr>
      </w:pPr>
    </w:p>
    <w:p>
      <w:pPr>
        <w:sectPr>
          <w:pgSz w:w="11900" w:h="16838" w:orient="portrait"/>
          <w:cols w:equalWidth="0" w:num="2">
            <w:col w:w="6640" w:space="720"/>
            <w:col w:w="3740"/>
          </w:cols>
          <w:pgMar w:left="320" w:top="1276" w:right="47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11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1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100"/>
          </w:cols>
          <w:pgMar w:left="320" w:top="1276" w:right="479" w:bottom="1440" w:gutter="0" w:footer="0" w:header="0"/>
          <w:type w:val="continuous"/>
        </w:sectPr>
      </w:pPr>
    </w:p>
    <w:p>
      <w:pPr>
        <w:spacing w:after="0" w:line="45"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71" w:lineRule="exact"/>
        <w:rPr>
          <w:sz w:val="24"/>
          <w:szCs w:val="24"/>
          <w:color w:val="auto"/>
        </w:rPr>
      </w:pPr>
    </w:p>
    <w:p>
      <w:pPr>
        <w:sectPr>
          <w:pgSz w:w="11900" w:h="16838" w:orient="portrait"/>
          <w:cols w:equalWidth="0" w:num="3">
            <w:col w:w="4480" w:space="720"/>
            <w:col w:w="1520" w:space="720"/>
            <w:col w:w="3660"/>
          </w:cols>
          <w:pgMar w:left="320" w:top="1276" w:right="4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80" w:space="720"/>
            <w:col w:w="1380" w:space="720"/>
            <w:col w:w="3600"/>
          </w:cols>
          <w:pgMar w:left="320" w:top="1276" w:right="479" w:bottom="1440" w:gutter="0" w:footer="0" w:header="0"/>
          <w:type w:val="continuous"/>
        </w:sectPr>
      </w:pPr>
    </w:p>
    <w:p>
      <w:pPr>
        <w:spacing w:after="0" w:line="27"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8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58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2024, there were 50,004,845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117" w:lineRule="exact"/>
        <w:rPr>
          <w:sz w:val="20"/>
          <w:szCs w:val="20"/>
          <w:color w:val="auto"/>
        </w:rPr>
      </w:pPr>
    </w:p>
    <w:p>
      <w:pPr>
        <w:ind w:left="1380"/>
        <w:spacing w:after="0"/>
        <w:tabs>
          <w:tab w:leader="none" w:pos="23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0000FF"/>
        </w:rPr>
        <w:t>Financial Statements</w:t>
      </w:r>
    </w:p>
    <w:p>
      <w:pPr>
        <w:spacing w:after="0" w:line="1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and Comprehensive Income (Loss)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(Unaudited)</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Equity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 (Unaudited)</w:t>
      </w:r>
    </w:p>
    <w:p>
      <w:pPr>
        <w:spacing w:after="0" w:line="5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 Interim Financial Statements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2. Segment Information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3. Revenue from Contracts with Customers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4. Inventories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5. Intangible Assets, Net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6. Investment in Joint Venture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7. Debt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8. Preferred Stock</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9. Leases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10. Commitments and Contingencies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11. Income Taxes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12. Net Loss Per Common Share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13. Share-Based Compensation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14. Accumulated Other Comprehensive Income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15. Fair Value Measurements</w:t>
      </w:r>
    </w:p>
    <w:p>
      <w:pPr>
        <w:spacing w:after="0" w:line="131" w:lineRule="exact"/>
        <w:rPr>
          <w:sz w:val="20"/>
          <w:szCs w:val="20"/>
          <w:color w:val="auto"/>
        </w:rPr>
      </w:pPr>
    </w:p>
    <w:p>
      <w:pPr>
        <w:jc w:val="right"/>
        <w:ind w:right="140"/>
        <w:spacing w:after="0"/>
        <w:tabs>
          <w:tab w:leader="none" w:pos="65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10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21"/>
                <w:szCs w:val="21"/>
                <w:color w:val="auto"/>
              </w:rPr>
            </w:pPr>
          </w:p>
        </w:tc>
        <w:tc>
          <w:tcPr>
            <w:tcW w:w="3020" w:type="dxa"/>
            <w:vAlign w:val="bottom"/>
            <w:gridSpan w:val="3"/>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2580" w:type="dxa"/>
            <w:vAlign w:val="bottom"/>
            <w:gridSpan w:val="2"/>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4"/>
          </w:tcPr>
          <w:p>
            <w:pPr>
              <w:spacing w:after="0"/>
              <w:rPr>
                <w:sz w:val="21"/>
                <w:szCs w:val="2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20</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20</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23</w:t>
      </w:r>
    </w:p>
    <w:p>
      <w:pPr>
        <w:sectPr>
          <w:pgSz w:w="11900" w:h="16838" w:orient="portrait"/>
          <w:cols w:equalWidth="0" w:num="2">
            <w:col w:w="8980" w:space="720"/>
            <w:col w:w="520"/>
          </w:cols>
          <w:pgMar w:left="320" w:top="477" w:right="1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127,088</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108,421</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rate swap:</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Change in fair value, net of tax</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8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Reclassification adjustments included in net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45,309</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$1,626 and $1,241 at March 31, 2024 and December 31, 2023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71,563</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182,554</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$260,340 and $254,013 at March 31, 2024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 and current maturities of 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308,084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D perpetual preferred stock - $0.01 par value per share, 65 shares authorized, issued and outstanding at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90,000 shares authorized, 49,520 and 47,269 shares issued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outstanding at March 31, 2024 and December 31, 2023</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Paid-in-kind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 loss, net of cash settlements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 net of cash dividends received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(17,832)</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land and buildings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financing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10,545</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3"/>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tcPr>
          <w:p>
            <w:pPr>
              <w:jc w:val="right"/>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380" w:type="dxa"/>
            <w:vAlign w:val="bottom"/>
            <w:gridSpan w:val="4"/>
          </w:tcPr>
          <w:p>
            <w:pPr>
              <w:jc w:val="right"/>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warrants exercised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left="353"/>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184"/>
        </w:trPr>
        <w:tc>
          <w:tcPr>
            <w:tcW w:w="45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Restricted shares surrendered for tax withholdings under</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incentive plans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left="353"/>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8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5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468,143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(245,198)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(37,120)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186,264</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center"/>
              <w:ind w:left="293"/>
              <w:spacing w:after="0"/>
              <w:rPr>
                <w:sz w:val="20"/>
                <w:szCs w:val="20"/>
                <w:color w:val="auto"/>
              </w:rPr>
            </w:pPr>
            <w:r>
              <w:rPr>
                <w:rFonts w:ascii="Times New Roman" w:cs="Times New Roman" w:eastAsia="Times New Roman" w:hAnsi="Times New Roman"/>
                <w:sz w:val="18"/>
                <w:szCs w:val="18"/>
                <w:color w:val="auto"/>
              </w:rPr>
              <w:t>(10,175)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175"/>
        </w:trPr>
        <w:tc>
          <w:tcPr>
            <w:tcW w:w="552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w:t>
            </w:r>
          </w:p>
        </w:tc>
        <w:tc>
          <w:tcPr>
            <w:tcW w:w="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465,377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(255,373)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(35,978)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primarily for a variety of end markets on a global basis. As of March 31, 2024, we had 27 facilities in North America, Europe, South America, and Asia.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The Condensed Consolidated Balance Sheet as of December 31, 2023, was derived from the audited consolidated financial statements included in our Annual Report on Form 10-K for the year ended December 31, 2023 (the “2023 Annual Report”), which we filed with the U.S. Securities and Exchange Commission (the “SEC”) on March 12, 2024. In management’s opinion, the accompanying unaudited condensed consolidated financial statements reflect all adjustments necessary to fairly state our results of operations for the three months ended March 31, 2024 and 2023; financial position as of March 31, 2024 and December 31, 2023; and cash flows for the three months ended March 31, 2024 and 2023, on a basis consistent with our audited consolidated financial statements. These adjustments are of a normal recurring nature and are, in the opinion of management, necessary to state fairly the Company’s financial position and operating results for the interim periods.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2023 Annual Report. The results for the three months ended March 31, 2024, are not necessarily indicative of results for the year ending December 31, 2024, or any other future periods.</w:t>
      </w:r>
    </w:p>
    <w:p>
      <w:pPr>
        <w:spacing w:after="0" w:line="7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6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Segment Reporting (Topic 832):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requires additional disclosures related to reportable segments,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and other segment items. ASU 2023-07 also permits entities to disclose more than one measure of a segment’s profit or loss and requires quarterly disclosure of certain information that is now only required annually. The new segment disclosures are effective for fiscal years beginning after December 15, 2023, and interim periods within fiscal years beginning after December 15, 2024. We plan to adopt ASU 2023-07 in our Form 10-K for the year ended December 31, 2024 on a retrospective basis and are in the process of assessing the impact on our disclosures.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During the three months ended March 31, 2024 and 2023, we incurred fees of $0.3 million and $0.2 million, respectively, related to the sale of receivables, which is recorded in the Other expense (income), net line item on the Condensed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6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Solutions, which is focused on growth in the automotive, general industrial, and medical end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Solutions, which is focused on growth in the electrical, general industrial, automotive, and medical end markets.</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reportable segment.</w:t>
      </w:r>
    </w:p>
    <w:p>
      <w:pPr>
        <w:spacing w:after="0" w:line="43"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sales eliminations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0" w:type="dxa"/>
            <w:vAlign w:val="bottom"/>
          </w:tcPr>
          <w:p>
            <w:pPr>
              <w:spacing w:after="0"/>
              <w:rPr>
                <w:sz w:val="1"/>
                <w:szCs w:val="1"/>
                <w:color w:val="auto"/>
              </w:rPr>
            </w:pPr>
          </w:p>
        </w:tc>
      </w:tr>
      <w:tr>
        <w:trPr>
          <w:trHeight w:val="223"/>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 The other category includes products sold in aerospace, defense, medical, and other industries.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The balance of deferred revenue was $0.3 million and $0.4 million as of March 31, 2024 and December 31, 2023, respectively. Revenue recognized for performance obligations satisfied or partially satisfied during the three months ended March 31, 2024 included $0.4 million that was included in deferred revenue as of December 31, 2023.</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6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March 31, 2024, unless our contracts meet one of the practical expedients. Our contracts met the practical expedient for a performance obligation that is part of a contract that has an original expected duration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25,456</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22,942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23,165</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72,718</w:t>
            </w:r>
          </w:p>
        </w:tc>
        <w:tc>
          <w:tcPr>
            <w:tcW w:w="1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71,563</w:t>
            </w:r>
          </w:p>
        </w:tc>
        <w:tc>
          <w:tcPr>
            <w:tcW w:w="0" w:type="dxa"/>
            <w:vAlign w:val="bottom"/>
          </w:tcPr>
          <w:p>
            <w:pPr>
              <w:spacing w:after="0"/>
              <w:rPr>
                <w:sz w:val="1"/>
                <w:szCs w:val="1"/>
                <w:color w:val="auto"/>
              </w:rPr>
            </w:pPr>
          </w:p>
        </w:tc>
      </w:tr>
      <w:tr>
        <w:trPr>
          <w:trHeight w:val="21"/>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39,721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58,724</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37,103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55,268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There were no impairment charges for the three months ended March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 in Joint Venture</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 with the share of net income from the joint venture recorded in the Mobile Solutions segment.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changes in our investment in the JV.</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9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earnings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34,409</w:t>
            </w: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March 22, 2021, we entered into a $150.0 million term loan facility (as amended from time to time, the “Term Loan Facility”) and a $50.0 million asset backed credit facility (as amended from time to time, the “ABL Facility”). On March 3, 2023, we amended the Term Loan Facility (the “Term Loan Amendment”) and ABL Facility to adjust certain covenants under the agreements, as well as to replace references to LIBOR with Secured Overnight Financing Rate (“SOFR”) for interest rate calculations. The following table presents the outstanding debt balances.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 from sale-leaseback transactions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loans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 (1)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r>
      <w:tr>
        <w:trPr>
          <w:trHeight w:val="24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420" w:right="760" w:hanging="250"/>
        <w:spacing w:after="0" w:line="282" w:lineRule="auto"/>
        <w:tabs>
          <w:tab w:leader="none" w:pos="4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$0.5 million and $0.5 million related to the ABL Facility were recorded in other non-current assets as of March 31, 2024 and December 31, 2023,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capitalized interest costs of $0.5 million and $0.3 million in the three months ended March 31, 2024 and 2023, respectively, related to construction in progress.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Term Loan Facility bear interest at either: 1) one-month, three-month, or six-month SOFR with a duration adjustment (“Adjusted SOFR”), subject to a 1.000% floor, plus an applicable margin of 6.875%; or 2) the greater of various benchmark rates plus an applicable margin of 5.875%. Beginning in the second quarter of 2023, interest was increased on a paid-in-kind basis at a rate between 1.00% and 2.00% (“PIK interest”), dependent on the our leverage ratio. The PIK interest is payable on the loan maturity date of September 22, 2026. At March 31, 2024, the Term Loan Facility bore interest, including PIK interest, based on one-month Adjusted SOFR, at 14.305%.</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domestic assets, other than accounts receivable and inventory and has a second lien on domestic accounts receivable and inventory. We were in compliance with all requirements under the Term Loan Facility as of March 31, 2024.</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$3.8 million discount and we have capitalized an additional $5.5 million in debt issuance costs. These costs are recorded as a direct reduction to the carrying amount of the associated long-term debt and amortized over the term of the debt.</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had an interest rate swap that changed the one-month LIBOR to a fixed rate of 1.291% on $60.0 million of the outstanding balance of the Term Loan Facility. During the first quarter of 2023, we terminated the interest rate swap and received cash proceeds of $2.5 million, which was equal to its then fair value.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6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ABL Facility provides for a senior secured revolving credit facility, with an original commitment amount of $50.0 million, of which a maximum of $30.0 million is available in the form of letters of credit and a maximum of $5.0 million is available for the issuance of short-term swingline loans. The availability of credit under the ABL Facility is limited by a borrowing base calculation derived from accounts receivable and inventory held in the United States. The maximum commitment amount may be increased or decreased from time to time based on the terms of conditions of the ABL Facility. Outstanding borrowings under the ABL Facility bear interest on a variable rate structure plus an interest rate spread that is based on the average amount of aggregate revolving commitment available. The variable borrowing rate is either: 1) Adjusted SOFR plus an applicable margin of 1.75% or 2.00%, depending on availability; or 2) the greater of the federal funds rate or prime, plus an applicable margin of 0.75% or 1.00%, depending on availability. We may elect whether to use one-month, three-month, or six-month Adjusted SOFR. At March 31, 2024, using one-month Adjusted SOFR plus a 2.00% margin, the interest rate on outstanding borrowings under the ABL Facility would have been 7.418%. We pay a commitment fee of 0.375% for unused capacity under the ABL Facility and a 2.125% fee on the amount of letters of credit outstanding. The final maturity date of the ABL Facility is March 22, 2026.</w:t>
      </w:r>
    </w:p>
    <w:p>
      <w:pPr>
        <w:spacing w:after="0" w:line="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2024, we had no outstanding borrowings under the ABL Facility, $9.9 million of outstanding letters of credit, and $26.4 million available for future borrowings under the ABL Facility. The ABL Facility has a first lien on domestic accounts receivable and inventory. We were in compliance with all requirements under the ABL Facility as of March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we sold three of our properties for an aggregate sales price of $16.9 million, with the net proceeds used to repay a portion of the outstanding borrowings under the Term Loan Facility. Concurrent with the sale, we entered into a 20-year lease agreement for these properties. Since the lease agreement allows for us to exercise renewal options that extend for substantially all of the remaining economic life, the transaction is accounted for as a failed sale-leaseback. As a result, the properties remain on our Condensed Consolidated Balance Sheets and the non-land assets will continue to be depreciated over their remaining useful lives. The $16.9 million of gross proceeds was recognized as a financing obligation as a component of long-term debt. The monthly lease payments, which increase 3.0% each year, will be amortized as principal payments and interest expense based on an effective interest rate of 9.715%. We incurred $0.6 million in debt issuance costs related to this transaction which will be amortized over the term of the debt.</w:t>
      </w:r>
    </w:p>
    <w:p>
      <w:pPr>
        <w:spacing w:after="0" w:line="6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In March 2024, we sold multiple pieces of manufacturing equipment for an aggregate sales price of $4.9 million. Concurrent with the sale, we entered into a 5-year lease agreement that includes a repurchase option for this equipment. Since the lease agreement allows for us to exercise an early buyout option, the transaction is accounted for as a failed sale-leaseback. As a result, the assets remain on our Condensed Consolidated Balance Sheets and will continue to be depreciated over their remaining useful lives. The $4.9 million of gross proceeds was recognized as a financing obligation as a component of long-term debt. The monthly lease payments will be amortized as principal payments and interest expense on an effective interest rate of 10.475%.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Preferred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Perpetual Preferred Stock</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22, 2021, we completed a private placement of 65,000 shares of newly designated Series D Perpetual Preferred Stock, with a par value of $0.01 per share (the “Series D Preferred Stock”), at a price of $1,000 per share, together with detachable warrants (the “2021 Warrants”) to purchase up to</w:t>
      </w:r>
    </w:p>
    <w:p>
      <w:pPr>
        <w:ind w:right="60"/>
        <w:spacing w:after="0" w:line="253" w:lineRule="auto"/>
        <w:rPr>
          <w:sz w:val="20"/>
          <w:szCs w:val="20"/>
          <w:color w:val="auto"/>
        </w:rPr>
      </w:pPr>
      <w:r>
        <w:rPr>
          <w:rFonts w:ascii="Times New Roman" w:cs="Times New Roman" w:eastAsia="Times New Roman" w:hAnsi="Times New Roman"/>
          <w:sz w:val="18"/>
          <w:szCs w:val="18"/>
          <w:color w:val="auto"/>
        </w:rPr>
        <w:t>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Beginning March 22, 2026, the cash dividend rate and in-kind dividend rate increase by 2.5% per year. Cash dividends are required beginning on September 30, 2027.</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additional paid-in capital due to the absence of retained earnings.</w:t>
      </w:r>
    </w:p>
    <w:p>
      <w:pPr>
        <w:spacing w:after="0" w:line="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15 discusses the accounting for these features.</w:t>
      </w:r>
    </w:p>
    <w:p>
      <w:pPr>
        <w:spacing w:after="0" w:line="5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March 31, 2024, the carrying value of the Series D Preferred Stock shares was $81.5 million, which included $34.8 million of accumulated unpaid and deemed dividends. The following table presents the change in the Series D Preferred Stock carrying value during the three months ended March 31, 2024.</w:t>
      </w:r>
    </w:p>
    <w:p>
      <w:pPr>
        <w:sectPr>
          <w:pgSz w:w="11900" w:h="16838" w:orient="portrait"/>
          <w:cols w:equalWidth="0" w:num="1">
            <w:col w:w="11240"/>
          </w:cols>
          <w:pgMar w:left="320" w:top="47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contains supplemental cash flow information related to leases.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860" w:hanging="1285"/>
        <w:spacing w:after="0"/>
        <w:tabs>
          <w:tab w:leader="none" w:pos="18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77,799</w:t>
      </w:r>
    </w:p>
    <w:p>
      <w:pPr>
        <w:spacing w:after="0" w:line="38" w:lineRule="exact"/>
        <w:rPr>
          <w:rFonts w:ascii="Times New Roman" w:cs="Times New Roman" w:eastAsia="Times New Roman" w:hAnsi="Times New Roman"/>
          <w:sz w:val="17"/>
          <w:szCs w:val="17"/>
          <w:color w:val="auto"/>
        </w:rPr>
      </w:pPr>
    </w:p>
    <w:p>
      <w:pPr>
        <w:ind w:left="1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2,714</w:t>
      </w:r>
    </w:p>
    <w:p>
      <w:pPr>
        <w:spacing w:after="0" w:line="34" w:lineRule="exact"/>
        <w:rPr>
          <w:rFonts w:ascii="Times New Roman" w:cs="Times New Roman" w:eastAsia="Times New Roman" w:hAnsi="Times New Roman"/>
          <w:sz w:val="17"/>
          <w:szCs w:val="17"/>
          <w:color w:val="auto"/>
        </w:rPr>
      </w:pPr>
    </w:p>
    <w:p>
      <w:pPr>
        <w:ind w:left="2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21590</wp:posOffset>
            </wp:positionV>
            <wp:extent cx="11830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3" w:lineRule="exact"/>
        <w:rPr>
          <w:sz w:val="20"/>
          <w:szCs w:val="20"/>
          <w:color w:val="auto"/>
        </w:rPr>
      </w:pPr>
    </w:p>
    <w:p>
      <w:pPr>
        <w:ind w:left="1860" w:hanging="1285"/>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24765</wp:posOffset>
            </wp:positionV>
            <wp:extent cx="11830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50165</wp:posOffset>
            </wp:positionV>
            <wp:extent cx="1183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22225</wp:posOffset>
            </wp:positionV>
            <wp:extent cx="19030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8100" w:space="720"/>
            <w:col w:w="2420"/>
          </w:cols>
          <w:pgMar w:left="320" w:top="47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sublease income of $0.9 million and $0.1 million in the three months ended March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March 31,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effective tax rate was (3.5)% and (14.2)% for the three months ended March 31, 2024 and 2023, respectively. The effective tax rates for the three months ended March 31, 2024 differ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that a portion of the future tax benefit may not be realized. In addition, the effective tax rate was unfavorably impacted by the U.S. tax on the earnings of foreign subsidiaries under the global intangible low-taxed income regime.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w:t>
      </w:r>
    </w:p>
    <w:p>
      <w:pPr>
        <w:spacing w:after="0" w:line="43"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preferred stock cumulative dividends and deemed dividends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r>
      <w:tr>
        <w:trPr>
          <w:trHeight w:val="216"/>
        </w:trPr>
        <w:tc>
          <w:tcPr>
            <w:tcW w:w="8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43,847</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participating securities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warrants outstanding (1)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980" w:right="160" w:hanging="324"/>
        <w:spacing w:after="0" w:line="282" w:lineRule="auto"/>
        <w:tabs>
          <w:tab w:leader="none" w:pos="10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that are exercisable at an exercise price of $0.01 per share, are included in shares outstanding for calculation of basic earnings per share (see Note 15).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color w:val="auto"/>
        </w:rPr>
        <w:t>The following table presents securities that could be potentially dilutive in the future that were excluded from the calculation of diluted net loss per common share because they had an anti-dilutive effect.</w:t>
      </w:r>
    </w:p>
    <w:p>
      <w:pPr>
        <w:ind w:left="9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2019 Warrants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0"/>
        </w:trPr>
        <w:tc>
          <w:tcPr>
            <w:tcW w:w="8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Stock options excluded from the calculations of diluted net loss per share had a per share exercise price ranging from $7.93 to $25.16 for the three months ended March 31, 2024. The 2019 Warrants excluded from the calculation of diluted net loss per share had a per share exercise price of $11.03. Performance share units are potentially dilutive when the related performance criterion has been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Share-Based Compensation</w:t>
      </w:r>
    </w:p>
    <w:p>
      <w:pPr>
        <w:spacing w:after="0" w:line="121" w:lineRule="exact"/>
        <w:rPr>
          <w:sz w:val="20"/>
          <w:szCs w:val="20"/>
          <w:color w:val="auto"/>
        </w:rPr>
      </w:pPr>
    </w:p>
    <w:p>
      <w:pPr>
        <w:ind w:right="700"/>
        <w:spacing w:after="0" w:line="293" w:lineRule="auto"/>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p>
      <w:pPr>
        <w:spacing w:after="0" w:line="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March 31, 2024, and activity during the three months then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16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37"/>
        </w:trPr>
        <w:tc>
          <w:tcPr>
            <w:tcW w:w="7820" w:type="dxa"/>
            <w:vAlign w:val="bottom"/>
          </w:tcPr>
          <w:p>
            <w:pPr>
              <w:spacing w:after="0"/>
              <w:rPr>
                <w:sz w:val="11"/>
                <w:szCs w:val="11"/>
                <w:color w:val="auto"/>
              </w:rPr>
            </w:pPr>
          </w:p>
        </w:tc>
        <w:tc>
          <w:tcPr>
            <w:tcW w:w="1160" w:type="dxa"/>
            <w:vAlign w:val="bottom"/>
          </w:tcPr>
          <w:p>
            <w:pPr>
              <w:jc w:val="center"/>
              <w:ind w:left="428"/>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90"/>
        </w:trPr>
        <w:tc>
          <w:tcPr>
            <w:tcW w:w="7820" w:type="dxa"/>
            <w:vAlign w:val="bottom"/>
          </w:tcPr>
          <w:p>
            <w:pPr>
              <w:spacing w:after="0"/>
              <w:rPr>
                <w:sz w:val="16"/>
                <w:szCs w:val="16"/>
                <w:color w:val="auto"/>
              </w:rPr>
            </w:pPr>
          </w:p>
        </w:tc>
        <w:tc>
          <w:tcPr>
            <w:tcW w:w="116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2024</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8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March 31, 2024</w:t>
            </w:r>
          </w:p>
        </w:tc>
        <w:tc>
          <w:tcPr>
            <w:tcW w:w="11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7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granted 374,000 shares of restricted stock to non-executive directors, officers and certain other employees under the NN, Inc. 2022 Omnibus Incentive Plan (“2022 Omnibus Plan”). The shares of restricted stock vest pro-rata generally over three years for employees and over one year for non-executive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grant date fair value of restricted stock that vested in the three months ended March 31, 2024, was $0.3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65"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The following table presents the status of unvested PSUs as of March 31, 2024, and activity during the three months then ended.</w:t>
      </w:r>
    </w:p>
    <w:tbl>
      <w:tblPr>
        <w:tblLayout w:type="fixed"/>
        <w:tblInd w:w="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Nonvested PSU Awards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ind w:right="597"/>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40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48"/>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40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4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13</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38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granted 143,000 PSUs to certain executive officers. These units vest, if at all, upon our achieving a specified relative total shareholder return, which will be measured against the total shareholder return of a specified index during the three-year performance period that ends December 31, 2026.</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We estimated the grant date fair value of the PSU awards using the Monte Carlo simulation model, as the total shareholder return metric and changes in stock price are considered market conditions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(“AOCI”).</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left="79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9"/>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9"/>
              </w:rPr>
              <w:t>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left="792"/>
              <w:spacing w:after="0"/>
              <w:rPr>
                <w:sz w:val="20"/>
                <w:szCs w:val="20"/>
                <w:color w:val="auto"/>
              </w:rPr>
            </w:pPr>
            <w:r>
              <w:rPr>
                <w:rFonts w:ascii="Times New Roman" w:cs="Times New Roman" w:eastAsia="Times New Roman" w:hAnsi="Times New Roman"/>
                <w:sz w:val="18"/>
                <w:szCs w:val="18"/>
                <w:color w:val="auto"/>
                <w:w w:val="99"/>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17" w:lineRule="exact"/>
        <w:rPr>
          <w:sz w:val="20"/>
          <w:szCs w:val="20"/>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changes in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 recognized in interest expense on effective interest rate swap.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2023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6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certain features of our preferred stock and long-term debt were bifurcated and accounted for as derivatives separately.</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conjunction with the Term Loan Amendment, we issued warrants to purchase up to 2.0 million shares of our common stock at an exercise price of $0.01 per share (the “2023 Warrants”). The 2023 Warrants are exercisable, in full or in part, at any time prior to June 30, 2033. The 2023 Warrants include anti-dilution adjustments in the event of certain future equity issuances, stock splits, stock dividends, combinations or similar events. On April 12, 2024, 500,000 of the 2023 Warrants were exercised on a cashless basis, resulting in the issuance of 499,000 shares.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conjunction with our placement of the Series D Preferred Stock, we issued the 2021 Warrants to purchase up to 1.9 million shares of our common stock. The 2021 Warrants, are exercisable, in full or in part, at any time prior to March 22, 2027, at an exercise price of $0.01 per share, subject to anti-dilution adjustments in the event of certain future equity issuances, stock splits, stock dividends, combinations or similar events. During the three months ended March 31, 2024, all of the 2021 Warrants were exercised on a cashless basis, resulting in the issuance of 1,896,000 shares.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conjunction with our placement of the Series B Preferred Stock, we issued the 2019 Warrants to purchase up to 1.5 million shares of our common stock.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the liability balance of the embedded derivatives during the three months ended March 31, 2024.</w:t>
      </w:r>
    </w:p>
    <w:p>
      <w:pPr>
        <w:sectPr>
          <w:pgSz w:w="11900" w:h="16838" w:orient="portrait"/>
          <w:cols w:equalWidth="0" w:num="1">
            <w:col w:w="11240"/>
          </w:cols>
          <w:pgMar w:left="320" w:top="477"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860" w:hanging="853"/>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16,556</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1" w:lineRule="exact"/>
        <w:rPr>
          <w:sz w:val="20"/>
          <w:szCs w:val="20"/>
          <w:color w:val="auto"/>
        </w:rPr>
      </w:pPr>
    </w:p>
    <w:p>
      <w:pPr>
        <w:ind w:left="860" w:hanging="853"/>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086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9100" w:space="720"/>
            <w:col w:w="1420"/>
          </w:cols>
          <w:pgMar w:left="320" w:top="477" w:right="339" w:bottom="1440" w:gutter="0" w:footer="0" w:header="0"/>
          <w:type w:val="continuous"/>
        </w:sectPr>
      </w:pPr>
    </w:p>
    <w:p>
      <w:pPr>
        <w:ind w:left="660" w:right="160" w:hanging="328"/>
        <w:spacing w:after="0" w:line="282" w:lineRule="auto"/>
        <w:tabs>
          <w:tab w:leader="none" w:pos="7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expense (income), net” line in the Condensed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embedded derivatives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42"/>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62"/>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24"/>
                <w:szCs w:val="24"/>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20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the 2023 Warrants and 2021 Warrants is determined using the observable market price of a share of our common stock, less the $0.01 per share exercise price (Level 1).</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(Level 3). The probabilities resulted in a weighted average term of 2.9 years as of March 31, 2024 and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then fair value of the 2021 Swap. Since the 2021 Swap was an effective cash flow hedge and the forecasted interest payments remaining probable of occurring, the gain will be recognized as a reduction to interest expense through the original maturity date of July 31, 2024.</w:t>
      </w:r>
    </w:p>
    <w:p>
      <w:pPr>
        <w:spacing w:after="0" w:line="79"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effects of the interest rate swap on the Condensed Consolidated Statements of Operations and Comprehensive Income (Loss).</w:t>
      </w:r>
    </w:p>
    <w:p>
      <w:pPr>
        <w:ind w:left="9200"/>
        <w:spacing w:after="0" w:line="228" w:lineRule="auto"/>
        <w:rPr>
          <w:sz w:val="20"/>
          <w:szCs w:val="20"/>
          <w:color w:val="auto"/>
        </w:rPr>
      </w:pPr>
      <w:r>
        <w:rPr>
          <w:rFonts w:ascii="Times New Roman" w:cs="Times New Roman" w:eastAsia="Times New Roman" w:hAnsi="Times New Roman"/>
          <w:sz w:val="14"/>
          <w:szCs w:val="14"/>
          <w:b w:val="1"/>
          <w:bCs w:val="1"/>
          <w:color w:val="auto"/>
        </w:rPr>
        <w:t>Three Months Ended</w:t>
      </w: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benefit (1)</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Represents gain recognized in interest expense on effective interest rate swap.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Disclosures</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and debt. As of March 31, 2024 and December 31, 2023, the carrying values of these financial instruments, except for debt, approximated fair value. The fair value of our debt was $161.2 million and $162.2 million, with a carrying amount of $158.5 million and $153.3 million, as of March 31, 2024 and December 31, 2023, respectively. The fair value of debt was calculated by discounting the future cash flows to its present value using prevailing market interest rates for debt with similar creditworthiness, terms and maturities (Level 3).</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intended to help the reader understand the results of operations and financial condition of NN, Inc. and its consolidated subsidiaries for the three months ended March 31, 2024. The financial information as of March 31, 2024, should be read in conjunction with the consolidated financial statements for the year ended December 31, 2023, contained in our 2023 Annual Report, and the Condensed Consolidated Financial Statements included in this Quarterly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Quarterly Report, the terms “NN,” the “Company,” “we,” “our,” or “us” refer to NN, Inc. and its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as amended (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new laws and governmental regulations; the impact of climate change on our operations; and cyber liability or potential liability for breaches of our or our service providers’ information technology systems or business operations disruptions. Any forward-looking statement speaks only as of the date of this Quarterly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sections titled “Item 1A. Risk Factors” in the 2023 Annual Report and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three months ended March 31, 2024, that management believes are important to provide an understanding of the business and results of operations or that may influence operations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ongoing military conflicts, inflationary cost pressures, elevated interest rates, supply chain disruptions, and labor shortages and disruptions.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Ongoing military conflicts continue to create volatility in global financial and energy markets, creating energy and supply chain shortages, which has added to the inflationary pressures experienced by the global economy. We continue to actively work with</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suppliers to minimize impacts of supply shortages on our manufacturing capabilities. Although our business has not been materially impacted by these ongoing military conflicts as of the date of this filing, we cannot reasonably predict the extent to which our operations, or those of our customers or suppliers, will be impacted in the future, or the ways in which the conflicts may impact our business, financial condition, results of operations and cash flows.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U.S. economy has experienced inflationary increases and elevated interest rates, as well as supply issues in materials, services, and labor due to economic policy, the COVID-19 pandemic and military conflicts. We cannot predict the future impact on our end-markets or input costs nor our ability to recover cost increases through pricing.</w:t>
      </w:r>
    </w:p>
    <w:p>
      <w:pPr>
        <w:spacing w:after="0" w:line="120" w:lineRule="exact"/>
        <w:rPr>
          <w:sz w:val="20"/>
          <w:szCs w:val="20"/>
          <w:color w:val="auto"/>
        </w:rPr>
      </w:pPr>
    </w:p>
    <w:p>
      <w:pPr>
        <w:ind w:right="4580"/>
        <w:spacing w:after="0" w:line="334" w:lineRule="auto"/>
        <w:rPr>
          <w:sz w:val="20"/>
          <w:szCs w:val="20"/>
          <w:color w:val="auto"/>
        </w:rPr>
      </w:pPr>
      <w:r>
        <w:rPr>
          <w:rFonts w:ascii="Times New Roman" w:cs="Times New Roman" w:eastAsia="Times New Roman" w:hAnsi="Times New Roman"/>
          <w:sz w:val="18"/>
          <w:szCs w:val="18"/>
          <w:i w:val="1"/>
          <w:iCs w:val="1"/>
          <w:color w:val="auto"/>
        </w:rPr>
        <w:t xml:space="preserve">Three Months Ended March 31, 2024 compared to the Three Months Ended March 31, 2023 </w:t>
      </w:r>
      <w:r>
        <w:rPr>
          <w:rFonts w:ascii="Times New Roman" w:cs="Times New Roman" w:eastAsia="Times New Roman" w:hAnsi="Times New Roman"/>
          <w:sz w:val="18"/>
          <w:szCs w:val="18"/>
          <w:u w:val="single" w:color="auto"/>
          <w:color w:val="auto"/>
        </w:rPr>
        <w:t>Consolidated Results</w:t>
      </w: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$5.9 million, or 4.6%, during the three months ended March 31, 2024, compared to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lower customer pricing, rationalized volume at plants undergoing turnarounds, and the absence of premium pricing received during the first quarter of 2023.</w:t>
      </w:r>
    </w:p>
    <w:p>
      <w:pPr>
        <w:spacing w:after="0" w:line="65"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$7.3 million, or 6.8%, during the three months ended March 31,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primarily due to a reduction in indirect manufacturing costs related to actions taken in 2023 to optimize plant operations as well as the impact of lower sales volume .</w:t>
      </w:r>
    </w:p>
    <w:p>
      <w:pPr>
        <w:spacing w:after="0" w:line="65"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$0.2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compared to the three months ended March 31, 2023, primarily due higher travel, marketing and stock compensation expense, partially offset by lower wages due to headcount reductions.</w:t>
      </w:r>
    </w:p>
    <w:p>
      <w:pPr>
        <w:spacing w:after="0" w:line="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Other operating expense (income), net changed favorably by $2.1 million during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2023, primarily due to sublease income related to the facilities that closed during the second quarter of 2023 and losses on sales of machinery and equipment during the first quarter of 2023.</w:t>
      </w:r>
    </w:p>
    <w:p>
      <w:pPr>
        <w:spacing w:after="0" w:line="65"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$1.1 million during the three months ended March 31,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primarily due to higher interest rates during the current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4,619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on interest rate swap</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4,288</w:t>
            </w:r>
          </w:p>
        </w:tc>
      </w:tr>
      <w:tr>
        <w:trPr>
          <w:trHeight w:val="21"/>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(income), net changed unfavorably by $6.4 million during the three months ended March 31,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March 31, 2023, primarily due to higher noncash derivative mark-to-market gains recognized during the current quarter compared to the first quarter of 2023.</w:t>
      </w:r>
    </w:p>
    <w:p>
      <w:pPr>
        <w:spacing w:after="0" w:line="6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Benefit (Provision) For Income Taxes</w:t>
      </w:r>
      <w:r>
        <w:rPr>
          <w:rFonts w:ascii="Times New Roman" w:cs="Times New Roman" w:eastAsia="Times New Roman" w:hAnsi="Times New Roman"/>
          <w:sz w:val="18"/>
          <w:szCs w:val="18"/>
          <w:color w:val="auto"/>
        </w:rPr>
        <w:t>. Our effective tax rate was (3.5)% for the three months ended March 31, 2024, compared to (14.2)%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 The rate for the three months ended March 31, 2024 was unfavorably impacted due to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The effective tax rate was unfavorably impacted by the U.S. tax on the earnings of foreign subsidiaries under the global intangible low-taxed income regime.</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increased by $2.0 million during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2023, primarily due to higher sales partially offset by higher income tax expense in the current quarter. The JV, in which we own a 49% investment, recognized net sales of $31.1 million and $20.6 million for the three months ended March 31, 2024 and 2023,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73,060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78,018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(3,319)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r>
    </w:tbl>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sales decreased by $5.0 million, or 6.4%, during the three months ended March 31, 2024, compared to the three months ended March 31, 2023, primarily due to lower volume at facilities undergoing turnarounds and contractual reduction in customer pricing, partially offset by organic growth volume and favorable foreign exchange effects.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Loss from operations decreased by $1.2 million during the three months ended March 31, 2024, compared to the same period in the prior year, primarily due to a reduction in indirect manufacturing costs related to actions taken in 2023 to optimize plant operations. These reductions were partially offset by the impact of lower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r>
    </w:tbl>
    <w:p>
      <w:pPr>
        <w:spacing w:after="0" w:line="15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Net sales decreased by $0.8 million, or 1.7%, during the three months ended March 31, 2024 compared to the three months ended March 31, 2023, primarily due to premium pricing received during the first quarter of 2023, partially offset by higher volume during the current quarter.</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Income from operations increased by $2.2 million during the three months ended March 31, 2024 compared to the same period in the prior year, primarily due to lower costs associated with the facilities that closed in 2023 and sublease income earned on the closed facilities, partially offset by premium pricing received during the first quarter of 2023.</w:t>
      </w:r>
    </w:p>
    <w:p>
      <w:pPr>
        <w:spacing w:after="0" w:line="172" w:lineRule="exact"/>
        <w:rPr>
          <w:sz w:val="20"/>
          <w:szCs w:val="20"/>
          <w:color w:val="auto"/>
        </w:rPr>
      </w:pPr>
    </w:p>
    <w:p>
      <w:pPr>
        <w:ind w:right="544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2023 to March 31, 2024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From December 31, 2023 to March 31, 2024, total assets increased by $1.9 million primarily due to increases in accounts receivable, inventory and other current assets, partially offset by decreases property, plant and equipment and intangible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December 31, 2023 to March 31, 2024, total liabilities increased by $7.1 million, primarily due to increases in accounts payable and long-term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partially offset by a decrease in other non-current liabilities due to the exercise of warrants in the first quarter of 2024.</w:t>
      </w:r>
    </w:p>
    <w:p>
      <w:pPr>
        <w:spacing w:after="0" w:line="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$98.7 million as of March 31, 2024, compared to $100.9 million as of December 31, 2023. The decrease in working capital was primarily due to increases in accounts payable, accrued salaries and wages and current maturities of long-term debt. This was partially offset by increases in accounts receivable and inventory.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provided by operations increased by $0.5 million primarily due to an increase in accounts payable which was partially offset by increases in accounts receivable and inventory during the three months ended March 31, 2023.</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by $1.4 million primarily due to the proceeds from the sale of equipment at the Taunton and Irvine facilities in the first quarter of 2023.</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increased by $2.3 million primarily due to proceeds from the sale-leaseback transactions, partially offset by higher repayments of long-term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6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as of March 31, 2024, was $132.5 million, without regard to unamortized debt issuance costs and discount. As of March 31, 2024, we had $26.4 million available for future borrowings under the ABL Facility. This amount of borrowing capacity is net of $9.9 million of outstanding letters of credit at March 31, 2024, which are considered as usage of the ABL Facility.</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We may be required to make additional principal payments annually that are calculated as a percentage of our excess cash flow, as defined by the lender, based on our net leverage ratio. Outstanding borrowings under the Term Loan Facility bear interest at either: 1) one-month, three-month, or six-month Adjusted SOFR, subject to a 1.000% floor, plus an applicable margin of 6.875%; or 2) the greater of various benchmark rates plus an applicable margin of 5.875%. Beginning with the second quarter of 2023, interest is increased on a paid-in-kind basis at a rate between 1.00% and 2.00%, dependent on the our leverage ratio. Based on the interest rate in effect at March 31, 2024, annual cash interest payments would be approximately $16.3 million.</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ABL Facility bears interest on a variable borrowing rate based on either: 1) Adjusted SOFR plus an applicable margin of 1.75% or 2.00%, depending on availability; or 2) the greater of the federal funds rate or prime, plus an applicable margin of 0.75% or 1.00%, depending on availability. We pay a commitment fee of 0.375% for unused capacity under the ABL Facility.</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were in compliance with all requirements under our Term Loan Facility and ABL Facility as of March 31, 2024. Both credit facilities allow for optional expansion of available borrowings, subject to certain terms and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5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During the three months ended March 31, 2024, we entered into two separate sale-leaseback transactions. We received $16.9 million from the sale and leaseback of three properties, with the net proceeds used to repay a portion of the outstanding borrowings under the Term Loan Facility. The effective interest rate of the transaction, which terminates in 20 years, is lower than the current borrowings on the Term Loan Facility. We received $4.9 million from the sale and leaseback of equipment, with the net proceeds used for ongoing operational investments.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at the same or lower interest rates as available on our ABL Facility.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2021, we filed a refund claim with the IRS as a result of the Coronavirus Aid, Relief, and Economic Security Act. Including interest accrued on the initial refund amount, we have a $11.7 million tax refund receivable at March 31, 2024, which is in the process of IRS review and approval. The timing of the receipt of the refund remains uncertain.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2023 Annual Report, including those policies as discussed in Note 1 to the Notes to Consolidated Financial Statements included in the 2023 Annual Report. There have been no material changes to these policies during the three months ended March 31, 2024.</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March 31, 2024, we had $132.5 million of principal outstanding under the Term Loan Facility without regard to capitalized debt issuance costs. A one-percent increase in one-month SOFR would have resulted in a net increase in interest expense of $1.3 million on an annualized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using Adjusted SOFR plus a 2.00% spread, any borrowings under the ABL Facility would have been at a 7.418% interest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To help reduce exposure to foreign currency fluctuation, we have incurred debt in euros in the past. Various strategies to manage this risk are available to management, including producing and selling in local currencies and hedging programs. We did not hold a position in any foreign currency derivatives as of March 31, 2024.</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March 31, 2024,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6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disclosed in Note 10 in the Notes to Condensed Consolidated Financial Statements included in this Quarterly Report, we are engaged in certain legal proceedings, and the disclosure set forth in Note 10 relating to legal proceedings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2023 Annual Report under Item 1A, “Risk Factors.”</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we made during the quarter ended March 31, 2024.</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186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Purchased</w:t>
            </w:r>
          </w:p>
        </w:tc>
        <w:tc>
          <w:tcPr>
            <w:tcW w:w="1860" w:type="dxa"/>
            <w:vAlign w:val="bottom"/>
          </w:tcPr>
          <w:p>
            <w:pPr>
              <w:jc w:val="center"/>
              <w:ind w:left="228"/>
              <w:spacing w:after="0" w:line="145"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3400" w:type="dxa"/>
            <w:vAlign w:val="bottom"/>
            <w:vMerge w:val="restart"/>
          </w:tcPr>
          <w:p>
            <w:pPr>
              <w:jc w:val="center"/>
              <w:ind w:left="1608"/>
              <w:spacing w:after="0"/>
              <w:rPr>
                <w:sz w:val="20"/>
                <w:szCs w:val="20"/>
                <w:color w:val="auto"/>
              </w:rPr>
            </w:pPr>
            <w:r>
              <w:rPr>
                <w:rFonts w:ascii="Times New Roman" w:cs="Times New Roman" w:eastAsia="Times New Roman" w:hAnsi="Times New Roman"/>
                <w:sz w:val="14"/>
                <w:szCs w:val="14"/>
                <w:color w:val="auto"/>
              </w:rPr>
              <w:t>Total Number of</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Average Price Paid</w:t>
            </w:r>
          </w:p>
        </w:tc>
        <w:tc>
          <w:tcPr>
            <w:tcW w:w="1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as Part of Publicly</w:t>
            </w:r>
          </w:p>
        </w:tc>
        <w:tc>
          <w:tcPr>
            <w:tcW w:w="1860" w:type="dxa"/>
            <w:vAlign w:val="bottom"/>
          </w:tcPr>
          <w:p>
            <w:pPr>
              <w:jc w:val="center"/>
              <w:ind w:left="228"/>
              <w:spacing w:after="0" w:line="13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5"/>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34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Announced Plans</w:t>
            </w:r>
          </w:p>
        </w:tc>
        <w:tc>
          <w:tcPr>
            <w:tcW w:w="1860" w:type="dxa"/>
            <w:vAlign w:val="bottom"/>
          </w:tcPr>
          <w:p>
            <w:pPr>
              <w:jc w:val="center"/>
              <w:ind w:left="228"/>
              <w:spacing w:after="0" w:line="14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201"/>
        </w:trPr>
        <w:tc>
          <w:tcPr>
            <w:tcW w:w="2340" w:type="dxa"/>
            <w:vAlign w:val="bottom"/>
            <w:vMerge w:val="continue"/>
          </w:tcPr>
          <w:p>
            <w:pPr>
              <w:spacing w:after="0"/>
              <w:rPr>
                <w:sz w:val="17"/>
                <w:szCs w:val="17"/>
                <w:color w:val="auto"/>
              </w:rPr>
            </w:pPr>
          </w:p>
        </w:tc>
        <w:tc>
          <w:tcPr>
            <w:tcW w:w="3400" w:type="dxa"/>
            <w:vAlign w:val="bottom"/>
          </w:tcPr>
          <w:p>
            <w:pPr>
              <w:jc w:val="center"/>
              <w:ind w:left="1588"/>
              <w:spacing w:after="0" w:line="201" w:lineRule="exact"/>
              <w:rPr>
                <w:sz w:val="20"/>
                <w:szCs w:val="20"/>
                <w:color w:val="auto"/>
              </w:rPr>
            </w:pPr>
            <w:r>
              <w:rPr>
                <w:rFonts w:ascii="Times New Roman" w:cs="Times New Roman" w:eastAsia="Times New Roman" w:hAnsi="Times New Roman"/>
                <w:sz w:val="14"/>
                <w:szCs w:val="14"/>
                <w:color w:val="auto"/>
                <w:w w:val="98"/>
              </w:rPr>
              <w:t xml:space="preserve">Shares Purchased </w:t>
            </w:r>
            <w:r>
              <w:rPr>
                <w:rFonts w:ascii="Times New Roman" w:cs="Times New Roman" w:eastAsia="Times New Roman" w:hAnsi="Times New Roman"/>
                <w:sz w:val="18"/>
                <w:szCs w:val="18"/>
                <w:color w:val="auto"/>
                <w:w w:val="98"/>
                <w:vertAlign w:val="superscript"/>
              </w:rPr>
              <w:t>(1)</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 Share</w:t>
            </w:r>
          </w:p>
        </w:tc>
        <w:tc>
          <w:tcPr>
            <w:tcW w:w="166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color w:val="auto"/>
                <w:w w:val="97"/>
              </w:rPr>
              <w:t xml:space="preserve">or Programs </w:t>
            </w:r>
            <w:r>
              <w:rPr>
                <w:rFonts w:ascii="Times New Roman" w:cs="Times New Roman" w:eastAsia="Times New Roman" w:hAnsi="Times New Roman"/>
                <w:sz w:val="18"/>
                <w:szCs w:val="18"/>
                <w:color w:val="auto"/>
                <w:w w:val="97"/>
                <w:vertAlign w:val="superscript"/>
              </w:rPr>
              <w:t>(1)</w:t>
            </w:r>
          </w:p>
        </w:tc>
        <w:tc>
          <w:tcPr>
            <w:tcW w:w="1860" w:type="dxa"/>
            <w:vAlign w:val="bottom"/>
          </w:tcPr>
          <w:p>
            <w:pPr>
              <w:jc w:val="center"/>
              <w:ind w:left="228"/>
              <w:spacing w:after="0" w:line="201" w:lineRule="exact"/>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3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right="60" w:hanging="328"/>
        <w:spacing w:after="0" w:line="261"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Shares were withheld to pay for tax obligations due upon the vesting of share-based awards held by employees granted under the NN, Inc. 2022 Omnibus Incentive Plan and prior plans (collectively the “Incentive Plans”). The Incentive Plans provides for the withholding of shares or units to satisfy income tax obligations. It does not specify a maximum number of shares or units that can be withheld for this purpose. These shares may be deemed to be “issuer purchases” of shares that are required to be disclosed pursuant to this Item.</w:t>
      </w: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or Termination of Trading Arrangements</w:t>
      </w:r>
    </w:p>
    <w:p>
      <w:pPr>
        <w:spacing w:after="0" w:line="6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none of the Company’s directors or executive officers adopted or terminated any Rule 10b5-1 trading arrangement or non-Rule 10b5-1 trading arrangement, as defined in Item 408 of Regulation S-K.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40" w:type="dxa"/>
            <w:vAlign w:val="bottom"/>
            <w:gridSpan w:val="12"/>
            <w:vMerge w:val="restart"/>
          </w:tcPr>
          <w:p>
            <w:pPr>
              <w:ind w:left="3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40" w:type="dxa"/>
            <w:vAlign w:val="bottom"/>
            <w:gridSpan w:val="1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13"/>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Amendment No. 3 to Term Loan Credit Agreement, dated March 15, 2024, by and among NN, Inc., certain subsidiaries of NN, Inc., the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lenders party thereto and Oaktree Fund Administration, LLC, as administrative agent (Filed as Exhibit 10.1 to the Registrant’s Current</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Report on Form 8-K filed on March 15, 2024 and incorporated herein by reference).</w:t>
              </w:r>
            </w:hyperlink>
          </w:p>
        </w:tc>
        <w:tc>
          <w:tcPr>
            <w:tcW w:w="3620" w:type="dxa"/>
            <w:vAlign w:val="bottom"/>
            <w:tcBorders>
              <w:top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3"/>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Amendment No. 2 to Credit Agreement, dated as of March 15, 2024, by and among NN, Inc., certain subsidiaries of NN, Inc., the lenders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party thereto and JPMorgan Chase Bank, N.A., as administrative agent Filed as Exhibit 10.2 to the Registrant’s Current Report on Form</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8-K filed on March 15, 2024 and incorporated herein by reference).</w:t>
              </w:r>
            </w:hyperlink>
          </w:p>
        </w:tc>
        <w:tc>
          <w:tcPr>
            <w:tcW w:w="492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3"/>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Purchase and Sale Agreement and Escrow Agreement, dated March 5, 2024, by and between NN, Inc. and Tenet Equity Funding SPE III,</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LLC (Filed as Exhibit 10.1 to the Registrant’s Current Report on Form 8-K filed on March 8, 2024 and incorporated herein by reference).</w:t>
              </w:r>
            </w:hyperlink>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40" w:type="dxa"/>
            <w:vAlign w:val="bottom"/>
            <w:tcBorders>
              <w:top w:val="single" w:sz="8" w:color="0000FF"/>
            </w:tcBorders>
          </w:tcPr>
          <w:p>
            <w:pPr>
              <w:spacing w:after="0"/>
              <w:rPr>
                <w:sz w:val="18"/>
                <w:szCs w:val="18"/>
                <w:color w:val="auto"/>
              </w:rPr>
            </w:pPr>
          </w:p>
        </w:tc>
        <w:tc>
          <w:tcPr>
            <w:tcW w:w="24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7"/>
                <w:szCs w:val="17"/>
                <w:color w:val="auto"/>
              </w:rPr>
            </w:pPr>
          </w:p>
        </w:tc>
        <w:tc>
          <w:tcPr>
            <w:tcW w:w="9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2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0"/>
                <w:szCs w:val="20"/>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ind w:left="1140" w:hanging="111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77"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left="1020" w:right="39"/>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4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Date: May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Date: May 7, 2024</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29229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29229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Harold C. Bevis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29229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 Felcher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ectPr>
          <w:pgSz w:w="11900" w:h="16838" w:orient="portrait"/>
          <w:cols w:equalWidth="0" w:num="2">
            <w:col w:w="4920" w:space="720"/>
            <w:col w:w="4499"/>
          </w:cols>
          <w:pgMar w:left="320" w:top="47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477" w:right="1440" w:bottom="1440"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C. Bevis, certify that:</w:t>
      </w:r>
    </w:p>
    <w:p>
      <w:pPr>
        <w:spacing w:after="0" w:line="171"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March 31,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March 31,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0" Type="http://schemas.openxmlformats.org/officeDocument/2006/relationships/hyperlink" Target="https://www.sec.gov/Archives/edgar/data/0000918541/000119312524069193/d105983dex101.htm" TargetMode="External"/><Relationship Id="rId51" Type="http://schemas.openxmlformats.org/officeDocument/2006/relationships/hyperlink" Target="https://www.sec.gov/Archives/edgar/data/0000918541/000119312524069193/d105983dex102.htm" TargetMode="External"/><Relationship Id="rId52" Type="http://schemas.openxmlformats.org/officeDocument/2006/relationships/hyperlink" Target="https://www.sec.gov/Archives/edgar/data/0000918541/000091854124000012/purchaseandsaleagreement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2024-05-07T12:00:10Z</dcterms:created>
  <dcterms:modified xsi:type="dcterms:W3CDTF">2024-05-07T12:00:10Z</dcterms:modified>
</cp:coreProperties>
</file>