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96" w:lineRule="auto"/>
        <w:framePr w:w="1500" w:h="160" w:wrap="auto" w:vAnchor="page" w:hAnchor="page" w:x="5200" w:y="790"/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UNITED STATES</w:t>
      </w:r>
    </w:p>
    <w:p>
      <w:pPr>
        <w:spacing w:after="0" w:line="185" w:lineRule="auto"/>
        <w:framePr w:w="3960" w:h="160" w:wrap="auto" w:vAnchor="page" w:hAnchor="page" w:x="3980" w:y="1006"/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196" w:lineRule="auto"/>
        <w:framePr w:w="2180" w:h="160" w:wrap="auto" w:vAnchor="page" w:hAnchor="page" w:x="4860" w:y="1222"/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DC 20549</w:t>
      </w:r>
    </w:p>
    <w:p>
      <w:pPr>
        <w:spacing w:after="0" w:line="191" w:lineRule="auto"/>
        <w:framePr w:w="1140" w:h="193" w:wrap="auto" w:vAnchor="page" w:hAnchor="page" w:x="5380" w:y="1919"/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FORM 8-K</w:t>
      </w:r>
    </w:p>
    <w:p>
      <w:pPr>
        <w:spacing w:after="0" w:line="196" w:lineRule="auto"/>
        <w:framePr w:w="3080" w:h="160" w:wrap="auto" w:vAnchor="page" w:hAnchor="page" w:x="4420" w:y="2411"/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CURRENT REPORT PURSUANT TO</w:t>
      </w:r>
    </w:p>
    <w:p>
      <w:pPr>
        <w:spacing w:after="0" w:line="185" w:lineRule="auto"/>
        <w:framePr w:w="2600" w:h="160" w:wrap="auto" w:vAnchor="page" w:hAnchor="page" w:x="4660" w:y="2627"/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SECTION 13 OR 15(d) OF THE</w:t>
      </w:r>
    </w:p>
    <w:p>
      <w:pPr>
        <w:spacing w:after="0" w:line="196" w:lineRule="auto"/>
        <w:framePr w:w="3380" w:h="160" w:wrap="auto" w:vAnchor="page" w:hAnchor="page" w:x="4260" w:y="2843"/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EXCHANGE ACT OF 1934</w:t>
      </w:r>
    </w:p>
    <w:p>
      <w:pPr>
        <w:spacing w:after="0" w:line="185" w:lineRule="auto"/>
        <w:framePr w:w="4640" w:h="160" w:wrap="auto" w:vAnchor="page" w:hAnchor="page" w:x="3640" w:y="3545"/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Date of Report (Date of earliest event reported): May 16, 2013</w:t>
      </w:r>
    </w:p>
    <w:p>
      <w:pPr>
        <w:spacing w:after="0" w:line="188" w:lineRule="auto"/>
        <w:framePr w:w="1380" w:h="289" w:wrap="auto" w:vAnchor="page" w:hAnchor="page" w:x="5260" w:y="5712"/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  <w:t>NN, INC.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112395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3467735</wp:posOffset>
            </wp:positionH>
            <wp:positionV relativeFrom="page">
              <wp:posOffset>2696210</wp:posOffset>
            </wp:positionV>
            <wp:extent cx="626110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</w:pPr>
    </w:p>
    <w:p>
      <w:pPr>
        <w:spacing w:after="0" w:line="224" w:lineRule="exact"/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5"/>
          </w:tcPr>
          <w:p>
            <w:pPr>
              <w:jc w:val="center"/>
              <w:ind w:left="1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(Exact name of registrant as specified in its charter)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9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Delaware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gridSpan w:val="3"/>
          </w:tcPr>
          <w:p>
            <w:pPr>
              <w:jc w:val="center"/>
              <w:ind w:righ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0-23486</w:t>
            </w:r>
          </w:p>
        </w:tc>
        <w:tc>
          <w:tcPr>
            <w:tcW w:w="2900" w:type="dxa"/>
            <w:vAlign w:val="bottom"/>
            <w:gridSpan w:val="5"/>
          </w:tcPr>
          <w:p>
            <w:pPr>
              <w:jc w:val="right"/>
              <w:ind w:righ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62-1096725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60" w:type="dxa"/>
            <w:vAlign w:val="bottom"/>
            <w:gridSpan w:val="4"/>
          </w:tcPr>
          <w:p>
            <w:pPr>
              <w:jc w:val="center"/>
              <w:ind w:righ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(State or Other Jurisdiction of Incorporation)</w:t>
            </w:r>
          </w:p>
        </w:tc>
        <w:tc>
          <w:tcPr>
            <w:tcW w:w="3560" w:type="dxa"/>
            <w:vAlign w:val="bottom"/>
            <w:gridSpan w:val="3"/>
          </w:tcPr>
          <w:p>
            <w:pPr>
              <w:jc w:val="center"/>
              <w:ind w:righ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(Commission File Number)</w:t>
            </w:r>
          </w:p>
        </w:tc>
        <w:tc>
          <w:tcPr>
            <w:tcW w:w="2900" w:type="dxa"/>
            <w:vAlign w:val="bottom"/>
            <w:gridSpan w:val="5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(I.R.S. Employer Identification No.)</w:t>
            </w:r>
          </w:p>
        </w:tc>
      </w:tr>
      <w:tr>
        <w:trPr>
          <w:trHeight w:val="392"/>
        </w:trPr>
        <w:tc>
          <w:tcPr>
            <w:tcW w:w="4060" w:type="dxa"/>
            <w:vAlign w:val="bottom"/>
            <w:gridSpan w:val="4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2000 Waters Edge Drive, Johnson City, Tennessee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37604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36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(Address of principal executive offices)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(Zip Code)</w:t>
            </w:r>
          </w:p>
        </w:tc>
      </w:tr>
    </w:tbl>
    <w:p>
      <w:pPr>
        <w:spacing w:after="0" w:line="198" w:lineRule="exact"/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(423) 743-9151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(Registrant's telephone number, including area code)</w:t>
      </w:r>
    </w:p>
    <w:p>
      <w:pPr>
        <w:spacing w:after="0" w:line="207" w:lineRule="exact"/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</w:pPr>
    </w:p>
    <w:p>
      <w:pPr>
        <w:spacing w:after="0" w:line="295" w:lineRule="exact"/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</w:pPr>
    </w:p>
    <w:p>
      <w:pPr>
        <w:ind w:right="60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 if the Form 8-K filing is intended to simultaneously satisfy the filing obligation of the registrant under any of the following provisions (see General Instruction A.2. below):</w:t>
      </w:r>
    </w:p>
    <w:p>
      <w:pPr>
        <w:spacing w:after="0" w:line="189" w:lineRule="exact"/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24" w:lineRule="exact"/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420" w:type="dxa"/>
            <w:vAlign w:val="bottom"/>
            <w:gridSpan w:val="2"/>
          </w:tcPr>
          <w:p>
            <w:pPr>
              <w:jc w:val="right"/>
              <w:ind w:right="175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  <w:w w:val="77"/>
              </w:rPr>
              <w:t>☐</w:t>
            </w:r>
          </w:p>
        </w:tc>
        <w:tc>
          <w:tcPr>
            <w:tcW w:w="8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Pre-commencement communications pursuant to Rule 14d-2(b) under the Exchange Act (17 CFR 240.14d-</w:t>
            </w:r>
          </w:p>
        </w:tc>
        <w:tc>
          <w:tcPr>
            <w:tcW w:w="2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2(b))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175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7"/>
                <w:szCs w:val="17"/>
                <w:color w:val="auto"/>
                <w:w w:val="70"/>
              </w:rPr>
              <w:t>☐</w:t>
            </w:r>
          </w:p>
        </w:tc>
        <w:tc>
          <w:tcPr>
            <w:tcW w:w="8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Pre-commencement communications pursuant to Rule 13e-4(c) under the Exchange Act (17 CFR 240.13e-</w:t>
            </w:r>
          </w:p>
        </w:tc>
        <w:tc>
          <w:tcPr>
            <w:tcW w:w="2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4(c))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3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-535305</wp:posOffset>
            </wp:positionV>
            <wp:extent cx="7250430" cy="450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4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1440" w:right="2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Item 5.07  Submission of Matters to a Vote of Security Holders.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2013 Annual Meeting of the shareholders of NN, Inc.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Company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was held on May 16, 2013. At the Annual Meeting, the following proposals were considered: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left="980" w:hanging="299"/>
        <w:spacing w:after="0"/>
        <w:tabs>
          <w:tab w:leader="none" w:pos="9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election of two Class III directors to serve for a term of three years;</w:t>
      </w:r>
    </w:p>
    <w:p>
      <w:pPr>
        <w:spacing w:after="0" w:line="252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980" w:hanging="299"/>
        <w:spacing w:after="0"/>
        <w:tabs>
          <w:tab w:leader="none" w:pos="9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An advisory resolution to approve executive compensation; and</w:t>
      </w:r>
    </w:p>
    <w:p>
      <w:pPr>
        <w:spacing w:after="0" w:line="252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980" w:hanging="299"/>
        <w:spacing w:after="0" w:line="282" w:lineRule="auto"/>
        <w:tabs>
          <w:tab w:leader="none" w:pos="9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ratification of the selection of PricewaterhouseCoopers LLP as the Company’s registered independent public accounting firm for the fiscal year ending December 31, 2013.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jc w:val="both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Each of the proposals were approved, and the final voting results for each proposal are described below. For beneficial owners holding the Company’s common stock at a bank or brokerage institution, a “broker non-vote” occurred if the owner failed to give voting instructions, and the bank or broker was otherwise restricted from voting on the owner’s behalf.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Proposal 1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Two Class III directors were elected, and the aggregate votes cast for or withheld, and the broker non-votes were as follows: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righ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5"/>
              </w:rPr>
              <w:t>For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Withheld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jc w:val="center"/>
              <w:ind w:left="8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Broker Non-Votes</w:t>
            </w:r>
          </w:p>
        </w:tc>
      </w:tr>
      <w:tr>
        <w:trPr>
          <w:trHeight w:val="20"/>
        </w:trPr>
        <w:tc>
          <w:tcPr>
            <w:tcW w:w="2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Richard G. Fanelli</w:t>
            </w:r>
          </w:p>
        </w:tc>
        <w:tc>
          <w:tcPr>
            <w:tcW w:w="3140" w:type="dxa"/>
            <w:vAlign w:val="bottom"/>
            <w:gridSpan w:val="3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10,080,404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jc w:val="right"/>
              <w:ind w:righ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1,974,583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jc w:val="center"/>
              <w:ind w:left="8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2,983,275</w:t>
            </w:r>
          </w:p>
        </w:tc>
      </w:tr>
      <w:tr>
        <w:trPr>
          <w:trHeight w:val="234"/>
        </w:trPr>
        <w:tc>
          <w:tcPr>
            <w:tcW w:w="2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Michael E. Werner</w:t>
            </w:r>
          </w:p>
        </w:tc>
        <w:tc>
          <w:tcPr>
            <w:tcW w:w="3140" w:type="dxa"/>
            <w:vAlign w:val="bottom"/>
            <w:gridSpan w:val="3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11,336,951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718,036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jc w:val="center"/>
              <w:ind w:left="8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2,983,275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Proposal 2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advisory resolution on the compensation of our named executive officers was approved, and the aggregate votes cast for or against, as well as the abstentions and broker non-votes, were as follows: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tbl>
      <w:tblPr>
        <w:tblLayout w:type="fixed"/>
        <w:tblInd w:w="9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righ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5"/>
              </w:rPr>
              <w:t>For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Against</w:t>
            </w:r>
          </w:p>
        </w:tc>
        <w:tc>
          <w:tcPr>
            <w:tcW w:w="2880" w:type="dxa"/>
            <w:vAlign w:val="bottom"/>
            <w:gridSpan w:val="3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Abstentions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jc w:val="center"/>
              <w:ind w:left="7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Broker Non-Votes</w:t>
            </w:r>
          </w:p>
        </w:tc>
      </w:tr>
      <w:tr>
        <w:trPr>
          <w:trHeight w:val="20"/>
        </w:trPr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1880" w:type="dxa"/>
            <w:vAlign w:val="bottom"/>
            <w:gridSpan w:val="3"/>
          </w:tcPr>
          <w:p>
            <w:pPr>
              <w:jc w:val="right"/>
              <w:ind w:righ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11,286,099</w:t>
            </w:r>
          </w:p>
        </w:tc>
        <w:tc>
          <w:tcPr>
            <w:tcW w:w="2800" w:type="dxa"/>
            <w:vAlign w:val="bottom"/>
            <w:gridSpan w:val="3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691,779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77,109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2,983,275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Proposal 3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Audit Committee’s selection of PricewaterhouseCoopers LLP as the Company’s registered independent public accounting firm for the fiscal year ending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December 31, 2013 was ratified, and the aggregate votes cast for or against and the abstentions, were as follows: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For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300" w:type="dxa"/>
            <w:vAlign w:val="bottom"/>
            <w:gridSpan w:val="3"/>
          </w:tcPr>
          <w:p>
            <w:pPr>
              <w:ind w:left="1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Against</w:t>
            </w:r>
          </w:p>
        </w:tc>
        <w:tc>
          <w:tcPr>
            <w:tcW w:w="2420" w:type="dxa"/>
            <w:vAlign w:val="bottom"/>
            <w:gridSpan w:val="2"/>
          </w:tcPr>
          <w:p>
            <w:pPr>
              <w:jc w:val="center"/>
              <w:ind w:right="1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Abstentions</w:t>
            </w:r>
          </w:p>
        </w:tc>
      </w:tr>
      <w:tr>
        <w:trPr>
          <w:trHeight w:val="20"/>
        </w:trPr>
        <w:tc>
          <w:tcPr>
            <w:tcW w:w="1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700" w:type="dxa"/>
            <w:vAlign w:val="bottom"/>
            <w:gridSpan w:val="3"/>
          </w:tcPr>
          <w:p>
            <w:pPr>
              <w:jc w:val="right"/>
              <w:ind w:right="1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14,394,941</w:t>
            </w:r>
          </w:p>
        </w:tc>
        <w:tc>
          <w:tcPr>
            <w:tcW w:w="5300" w:type="dxa"/>
            <w:vAlign w:val="bottom"/>
            <w:gridSpan w:val="3"/>
          </w:tcPr>
          <w:p>
            <w:pPr>
              <w:ind w:left="1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629,204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14,117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17"/>
        </w:trPr>
        <w:tc>
          <w:tcPr>
            <w:tcW w:w="1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509" w:right="239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May 20, 2013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NN, Inc.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By: 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/s/ William C. Kelly, Jr.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William C. Kelly, Jr.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Vice President and Chief Administrative Officer</w:t>
      </w:r>
    </w:p>
    <w:sectPr>
      <w:pgSz w:w="11900" w:h="16838" w:orient="portrait"/>
      <w:cols w:equalWidth="0" w:num="1">
        <w:col w:w="11220"/>
      </w:cols>
      <w:pgMar w:left="240" w:top="509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(%1)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2019-12-06T11:23:44Z</dcterms:created>
  <dcterms:modified xsi:type="dcterms:W3CDTF">2019-12-06T11:23:44Z</dcterms:modified>
</cp:coreProperties>
</file>