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tbl>
      <w:tblPr>
        <w:tblLayout w:type="fixed"/>
        <w:tblInd w:w="3920" w:type="dxa"/>
        <w:tblCellMar>
          <w:top w:w="0" w:type="dxa"/>
          <w:left w:w="0" w:type="dxa"/>
          <w:bottom w:w="0" w:type="dxa"/>
          <w:right w:w="0" w:type="dxa"/>
        </w:tblCellMar>
      </w:tblPr>
      <w:tr>
        <w:trPr>
          <w:trHeight w:val="228"/>
        </w:trPr>
        <w:tc>
          <w:tcPr>
            <w:tcW w:w="2480" w:type="dxa"/>
            <w:vAlign w:val="bottom"/>
          </w:tcPr>
          <w:p>
            <w:pPr>
              <w:spacing w:after="0"/>
              <w:rPr>
                <w:sz w:val="20"/>
                <w:szCs w:val="20"/>
                <w:color w:val="auto"/>
              </w:rPr>
            </w:pPr>
            <w:r>
              <w:rPr>
                <w:rFonts w:ascii="Arial" w:cs="Arial" w:eastAsia="Arial" w:hAnsi="Arial"/>
                <w:sz w:val="18"/>
                <w:szCs w:val="18"/>
                <w:b w:val="1"/>
                <w:bCs w:val="1"/>
                <w:color w:val="auto"/>
                <w:w w:val="97"/>
              </w:rPr>
              <w:t>For the transition period from</w:t>
            </w:r>
          </w:p>
        </w:tc>
        <w:tc>
          <w:tcPr>
            <w:tcW w:w="580" w:type="dxa"/>
            <w:vAlign w:val="bottom"/>
          </w:tcPr>
          <w:p>
            <w:pPr>
              <w:ind w:left="400"/>
              <w:spacing w:after="0"/>
              <w:rPr>
                <w:sz w:val="20"/>
                <w:szCs w:val="20"/>
                <w:color w:val="auto"/>
              </w:rPr>
            </w:pPr>
            <w:r>
              <w:rPr>
                <w:rFonts w:ascii="Arial" w:cs="Arial" w:eastAsia="Arial" w:hAnsi="Arial"/>
                <w:sz w:val="18"/>
                <w:szCs w:val="18"/>
                <w:b w:val="1"/>
                <w:bCs w:val="1"/>
                <w:color w:val="auto"/>
                <w:w w:val="93"/>
              </w:rPr>
              <w:t>to</w:t>
            </w:r>
          </w:p>
        </w:tc>
      </w:tr>
      <w:tr>
        <w:trPr>
          <w:trHeight w:val="340"/>
        </w:trPr>
        <w:tc>
          <w:tcPr>
            <w:tcW w:w="3060" w:type="dxa"/>
            <w:vAlign w:val="bottom"/>
            <w:gridSpan w:val="2"/>
          </w:tcPr>
          <w:p>
            <w:pPr>
              <w:ind w:left="520"/>
              <w:spacing w:after="0"/>
              <w:rPr>
                <w:sz w:val="20"/>
                <w:szCs w:val="20"/>
                <w:color w:val="auto"/>
              </w:rPr>
            </w:pPr>
            <w:r>
              <w:rPr>
                <w:rFonts w:ascii="Arial" w:cs="Arial" w:eastAsia="Arial" w:hAnsi="Arial"/>
                <w:sz w:val="18"/>
                <w:szCs w:val="18"/>
                <w:b w:val="1"/>
                <w:bCs w:val="1"/>
                <w:color w:val="auto"/>
                <w:w w:val="87"/>
              </w:rPr>
              <w:t>Commission File Number 0-23486</w:t>
            </w:r>
          </w:p>
        </w:tc>
      </w:tr>
      <w:tr>
        <w:trPr>
          <w:trHeight w:val="20"/>
        </w:trPr>
        <w:tc>
          <w:tcPr>
            <w:tcW w:w="2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tbl>
      <w:tblPr>
        <w:tblLayout w:type="fixed"/>
        <w:tblInd w:w="2020" w:type="dxa"/>
        <w:tblCellMar>
          <w:top w:w="0" w:type="dxa"/>
          <w:left w:w="0" w:type="dxa"/>
          <w:bottom w:w="0" w:type="dxa"/>
          <w:right w:w="0" w:type="dxa"/>
        </w:tblCellMar>
      </w:tblPr>
      <w:tr>
        <w:trPr>
          <w:trHeight w:val="529"/>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2"/>
          </w:tcPr>
          <w:p>
            <w:pPr>
              <w:jc w:val="center"/>
              <w:ind w:right="2352"/>
              <w:spacing w:after="0"/>
              <w:rPr>
                <w:sz w:val="20"/>
                <w:szCs w:val="20"/>
                <w:color w:val="auto"/>
              </w:rPr>
            </w:pPr>
            <w:r>
              <w:rPr>
                <w:rFonts w:ascii="Arial" w:cs="Arial" w:eastAsia="Arial" w:hAnsi="Arial"/>
                <w:sz w:val="43"/>
                <w:szCs w:val="43"/>
                <w:b w:val="1"/>
                <w:bCs w:val="1"/>
                <w:color w:val="auto"/>
                <w:w w:val="96"/>
              </w:rPr>
              <w:t>NN, Inc.</w:t>
            </w:r>
          </w:p>
        </w:tc>
      </w:tr>
      <w:tr>
        <w:trPr>
          <w:trHeight w:val="228"/>
        </w:trPr>
        <w:tc>
          <w:tcPr>
            <w:tcW w:w="1760" w:type="dxa"/>
            <w:vAlign w:val="bottom"/>
          </w:tcPr>
          <w:p>
            <w:pPr>
              <w:spacing w:after="0"/>
              <w:rPr>
                <w:sz w:val="19"/>
                <w:szCs w:val="19"/>
                <w:color w:val="auto"/>
              </w:rPr>
            </w:pPr>
          </w:p>
        </w:tc>
        <w:tc>
          <w:tcPr>
            <w:tcW w:w="55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420" w:type="dxa"/>
            <w:vAlign w:val="bottom"/>
          </w:tcPr>
          <w:p>
            <w:pPr>
              <w:spacing w:after="0"/>
              <w:rPr>
                <w:sz w:val="15"/>
                <w:szCs w:val="15"/>
                <w:color w:val="auto"/>
              </w:rPr>
            </w:pPr>
          </w:p>
        </w:tc>
      </w:tr>
      <w:tr>
        <w:trPr>
          <w:trHeight w:val="305"/>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40" w:type="dxa"/>
            <w:vAlign w:val="bottom"/>
            <w:gridSpan w:val="3"/>
          </w:tcPr>
          <w:p>
            <w:pPr>
              <w:jc w:val="center"/>
              <w:ind w:left="4120"/>
              <w:spacing w:after="0"/>
              <w:rPr>
                <w:sz w:val="20"/>
                <w:szCs w:val="20"/>
                <w:color w:val="auto"/>
              </w:rPr>
            </w:pPr>
            <w:r>
              <w:rPr>
                <w:rFonts w:ascii="Arial" w:cs="Arial" w:eastAsia="Arial" w:hAnsi="Arial"/>
                <w:sz w:val="18"/>
                <w:szCs w:val="18"/>
                <w:b w:val="1"/>
                <w:bCs w:val="1"/>
                <w:color w:val="auto"/>
                <w:w w:val="89"/>
              </w:rPr>
              <w:t>62-1096725</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20" w:type="dxa"/>
            <w:vAlign w:val="bottom"/>
          </w:tcPr>
          <w:p>
            <w:pPr>
              <w:jc w:val="center"/>
              <w:ind w:left="101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20" w:type="dxa"/>
            <w:vAlign w:val="bottom"/>
          </w:tcPr>
          <w:p>
            <w:pPr>
              <w:jc w:val="center"/>
              <w:ind w:left="1012"/>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2"/>
          </w:tcPr>
          <w:p>
            <w:pPr>
              <w:jc w:val="center"/>
              <w:ind w:right="2352"/>
              <w:spacing w:after="0"/>
              <w:rPr>
                <w:sz w:val="20"/>
                <w:szCs w:val="20"/>
                <w:color w:val="auto"/>
              </w:rPr>
            </w:pPr>
            <w:r>
              <w:rPr>
                <w:rFonts w:ascii="Arial" w:cs="Arial" w:eastAsia="Arial" w:hAnsi="Arial"/>
                <w:sz w:val="18"/>
                <w:szCs w:val="18"/>
                <w:b w:val="1"/>
                <w:bCs w:val="1"/>
                <w:color w:val="auto"/>
                <w:w w:val="89"/>
              </w:rPr>
              <w:t>2000 Waters Edge Drive</w:t>
            </w: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gridSpan w:val="2"/>
          </w:tcPr>
          <w:p>
            <w:pPr>
              <w:jc w:val="center"/>
              <w:ind w:right="2352"/>
              <w:spacing w:after="0"/>
              <w:rPr>
                <w:sz w:val="20"/>
                <w:szCs w:val="20"/>
                <w:color w:val="auto"/>
              </w:rPr>
            </w:pPr>
            <w:r>
              <w:rPr>
                <w:rFonts w:ascii="Arial" w:cs="Arial" w:eastAsia="Arial" w:hAnsi="Arial"/>
                <w:sz w:val="18"/>
                <w:szCs w:val="18"/>
                <w:b w:val="1"/>
                <w:bCs w:val="1"/>
                <w:color w:val="auto"/>
                <w:w w:val="88"/>
              </w:rPr>
              <w:t>Building C, Suite 12</w:t>
            </w:r>
          </w:p>
        </w:tc>
      </w:tr>
      <w:tr>
        <w:trPr>
          <w:trHeight w:val="218"/>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gridSpan w:val="2"/>
          </w:tcPr>
          <w:p>
            <w:pPr>
              <w:jc w:val="center"/>
              <w:ind w:right="2352"/>
              <w:spacing w:after="0"/>
              <w:rPr>
                <w:sz w:val="20"/>
                <w:szCs w:val="20"/>
                <w:color w:val="auto"/>
              </w:rPr>
            </w:pPr>
            <w:r>
              <w:rPr>
                <w:rFonts w:ascii="Arial" w:cs="Arial" w:eastAsia="Arial" w:hAnsi="Arial"/>
                <w:sz w:val="18"/>
                <w:szCs w:val="18"/>
                <w:b w:val="1"/>
                <w:bCs w:val="1"/>
                <w:color w:val="auto"/>
                <w:w w:val="84"/>
              </w:rPr>
              <w:t>Johnson City, Tennessee 37604</w:t>
            </w:r>
          </w:p>
        </w:tc>
      </w:tr>
      <w:tr>
        <w:trPr>
          <w:trHeight w:val="174"/>
        </w:trPr>
        <w:tc>
          <w:tcPr>
            <w:tcW w:w="1760" w:type="dxa"/>
            <w:vAlign w:val="bottom"/>
          </w:tcPr>
          <w:p>
            <w:pPr>
              <w:spacing w:after="0"/>
              <w:rPr>
                <w:sz w:val="15"/>
                <w:szCs w:val="15"/>
                <w:color w:val="auto"/>
              </w:rPr>
            </w:pPr>
          </w:p>
        </w:tc>
        <w:tc>
          <w:tcPr>
            <w:tcW w:w="5540" w:type="dxa"/>
            <w:vAlign w:val="bottom"/>
            <w:gridSpan w:val="3"/>
          </w:tcPr>
          <w:p>
            <w:pPr>
              <w:jc w:val="center"/>
              <w:ind w:right="1612"/>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r>
      <w:tr>
        <w:trPr>
          <w:trHeight w:val="352"/>
        </w:trPr>
        <w:tc>
          <w:tcPr>
            <w:tcW w:w="1760" w:type="dxa"/>
            <w:vAlign w:val="bottom"/>
          </w:tcPr>
          <w:p>
            <w:pPr>
              <w:spacing w:after="0"/>
              <w:rPr>
                <w:sz w:val="24"/>
                <w:szCs w:val="24"/>
                <w:color w:val="auto"/>
              </w:rPr>
            </w:pPr>
          </w:p>
        </w:tc>
        <w:tc>
          <w:tcPr>
            <w:tcW w:w="3120" w:type="dxa"/>
            <w:vAlign w:val="bottom"/>
            <w:gridSpan w:val="2"/>
          </w:tcPr>
          <w:p>
            <w:pPr>
              <w:jc w:val="center"/>
              <w:ind w:left="660"/>
              <w:spacing w:after="0"/>
              <w:rPr>
                <w:sz w:val="20"/>
                <w:szCs w:val="20"/>
                <w:color w:val="auto"/>
              </w:rPr>
            </w:pPr>
            <w:r>
              <w:rPr>
                <w:rFonts w:ascii="Arial" w:cs="Arial" w:eastAsia="Arial" w:hAnsi="Arial"/>
                <w:sz w:val="18"/>
                <w:szCs w:val="18"/>
                <w:b w:val="1"/>
                <w:bCs w:val="1"/>
                <w:color w:val="auto"/>
                <w:w w:val="89"/>
              </w:rPr>
              <w:t>(423) 743-9151</w:t>
            </w:r>
          </w:p>
        </w:tc>
        <w:tc>
          <w:tcPr>
            <w:tcW w:w="242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5540" w:type="dxa"/>
            <w:vAlign w:val="bottom"/>
            <w:gridSpan w:val="3"/>
          </w:tcPr>
          <w:p>
            <w:pPr>
              <w:jc w:val="center"/>
              <w:ind w:right="161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2012, there were 17,044,132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59"/>
        </w:trPr>
        <w:tc>
          <w:tcPr>
            <w:tcW w:w="1106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1"/>
              </w:rPr>
              <w:t>No.</w:t>
            </w:r>
          </w:p>
        </w:tc>
        <w:tc>
          <w:tcPr>
            <w:tcW w:w="0" w:type="dxa"/>
            <w:vAlign w:val="bottom"/>
          </w:tcPr>
          <w:p>
            <w:pPr>
              <w:spacing w:after="0"/>
              <w:rPr>
                <w:sz w:val="1"/>
                <w:szCs w:val="1"/>
                <w:color w:val="auto"/>
              </w:rPr>
            </w:pPr>
          </w:p>
        </w:tc>
      </w:tr>
      <w:tr>
        <w:trPr>
          <w:trHeight w:val="156"/>
        </w:trPr>
        <w:tc>
          <w:tcPr>
            <w:tcW w:w="11060" w:type="dxa"/>
            <w:vAlign w:val="bottom"/>
            <w:gridSpan w:val="20"/>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580" w:type="dxa"/>
            <w:vAlign w:val="bottom"/>
            <w:gridSpan w:val="11"/>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Comprehensive Income for the three and six months ended June 30, 2012 and 2011 (unaudited)</w:t>
              </w:r>
            </w:hyperlink>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at June 30, 2012 and December 31, 2011 (unaudited)</w:t>
              </w:r>
            </w:hyperlink>
          </w:p>
        </w:tc>
        <w:tc>
          <w:tcPr>
            <w:tcW w:w="348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0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 of Changes in Stockholders’ Equity for the six months ended June 30, 2012 (unaudited)</w:t>
              </w:r>
            </w:hyperlink>
          </w:p>
        </w:tc>
        <w:tc>
          <w:tcPr>
            <w:tcW w:w="140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6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for the six months ended June 30, 2012 and 2011 (unaudited)</w:t>
              </w:r>
            </w:hyperlink>
          </w:p>
        </w:tc>
        <w:tc>
          <w:tcPr>
            <w:tcW w:w="214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Quantitative and Qualitative Disclosures about Market Risk</w:t>
              </w:r>
            </w:hyperlink>
          </w:p>
        </w:tc>
        <w:tc>
          <w:tcPr>
            <w:tcW w:w="5900" w:type="dxa"/>
            <w:vAlign w:val="bottom"/>
            <w:gridSpan w:val="8"/>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Controls and Procedures</w:t>
              </w:r>
            </w:hyperlink>
          </w:p>
        </w:tc>
        <w:tc>
          <w:tcPr>
            <w:tcW w:w="838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22">
              <w:r>
                <w:rPr>
                  <w:rFonts w:ascii="Arial" w:cs="Arial" w:eastAsia="Arial" w:hAnsi="Arial"/>
                  <w:sz w:val="18"/>
                  <w:szCs w:val="18"/>
                  <w:b w:val="1"/>
                  <w:bCs w:val="1"/>
                  <w:color w:val="0000EE"/>
                  <w:w w:val="94"/>
                </w:rPr>
                <w:t>Part II. Other Information</w:t>
              </w:r>
            </w:hyperlink>
          </w:p>
        </w:tc>
        <w:tc>
          <w:tcPr>
            <w:tcW w:w="9040" w:type="dxa"/>
            <w:vAlign w:val="bottom"/>
            <w:gridSpan w:val="15"/>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Legal Proceedings</w:t>
              </w:r>
            </w:hyperlink>
          </w:p>
        </w:tc>
        <w:tc>
          <w:tcPr>
            <w:tcW w:w="8800" w:type="dxa"/>
            <w:vAlign w:val="bottom"/>
            <w:gridSpan w:val="1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Risk Factors</w:t>
              </w:r>
            </w:hyperlink>
          </w:p>
        </w:tc>
        <w:tc>
          <w:tcPr>
            <w:tcW w:w="9220" w:type="dxa"/>
            <w:vAlign w:val="bottom"/>
            <w:gridSpan w:val="1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Unregistered Sales of Equity Securities and Use of Proceeds</w:t>
              </w:r>
            </w:hyperlink>
          </w:p>
        </w:tc>
        <w:tc>
          <w:tcPr>
            <w:tcW w:w="5860" w:type="dxa"/>
            <w:vAlign w:val="bottom"/>
            <w:gridSpan w:val="7"/>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10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Mine Safety Disclosures</w:t>
              </w:r>
            </w:hyperlink>
          </w:p>
        </w:tc>
        <w:tc>
          <w:tcPr>
            <w:tcW w:w="540" w:type="dxa"/>
            <w:vAlign w:val="bottom"/>
            <w:tcBorders>
              <w:top w:val="single" w:sz="8" w:color="0000EE"/>
            </w:tcBorders>
          </w:tcPr>
          <w:p>
            <w:pPr>
              <w:spacing w:after="0"/>
              <w:rPr>
                <w:sz w:val="24"/>
                <w:szCs w:val="24"/>
                <w:color w:val="auto"/>
              </w:rPr>
            </w:pPr>
          </w:p>
        </w:tc>
        <w:tc>
          <w:tcPr>
            <w:tcW w:w="7840" w:type="dxa"/>
            <w:vAlign w:val="bottom"/>
            <w:gridSpan w:val="9"/>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Other Information</w:t>
              </w:r>
            </w:hyperlink>
          </w:p>
        </w:tc>
        <w:tc>
          <w:tcPr>
            <w:tcW w:w="8820" w:type="dxa"/>
            <w:vAlign w:val="bottom"/>
            <w:gridSpan w:val="1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10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gridSpan w:val="13"/>
          </w:tcPr>
          <w:p>
            <w:pPr>
              <w:ind w:left="47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70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5"/>
          </w:tcPr>
          <w:p>
            <w:pPr>
              <w:jc w:val="right"/>
              <w:ind w:right="453"/>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8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4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98,824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115,922</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203,343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227,229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98"/>
              </w:rPr>
              <w:t>Cost of products sold (exclusive of depreciation and amortization shown separately below)</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77,848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94,657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160,817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Loss/(gain) on disposal of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Gain from deconsolidation of a bankrupt subsidiary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18,468</w:t>
            </w:r>
          </w:p>
        </w:tc>
        <w:tc>
          <w:tcPr>
            <w:tcW w:w="0" w:type="dxa"/>
            <w:vAlign w:val="bottom"/>
          </w:tcPr>
          <w:p>
            <w:pPr>
              <w:spacing w:after="0"/>
              <w:rPr>
                <w:sz w:val="1"/>
                <w:szCs w:val="1"/>
                <w:color w:val="auto"/>
              </w:rPr>
            </w:pPr>
          </w:p>
        </w:tc>
      </w:tr>
      <w:tr>
        <w:trPr>
          <w:trHeight w:val="322"/>
        </w:trPr>
        <w:tc>
          <w:tcPr>
            <w:tcW w:w="70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7,876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15,782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14,833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7,038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5,827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12,947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60" w:type="dxa"/>
            <w:vAlign w:val="bottom"/>
            <w:gridSpan w:val="2"/>
          </w:tcPr>
          <w:p>
            <w:pPr>
              <w:ind w:left="1280"/>
              <w:spacing w:after="0"/>
              <w:rPr>
                <w:sz w:val="20"/>
                <w:szCs w:val="20"/>
                <w:color w:val="auto"/>
              </w:rPr>
            </w:pPr>
            <w:r>
              <w:rPr>
                <w:rFonts w:ascii="Arial" w:cs="Arial" w:eastAsia="Arial" w:hAnsi="Arial"/>
                <w:sz w:val="18"/>
                <w:szCs w:val="18"/>
                <w:color w:val="auto"/>
              </w:rPr>
              <w:t>Foreign currency translation gain (loss)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(6,552)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19,828</w:t>
            </w:r>
          </w:p>
        </w:tc>
        <w:tc>
          <w:tcPr>
            <w:tcW w:w="0" w:type="dxa"/>
            <w:vAlign w:val="bottom"/>
          </w:tcPr>
          <w:p>
            <w:pPr>
              <w:spacing w:after="0"/>
              <w:rPr>
                <w:sz w:val="1"/>
                <w:szCs w:val="1"/>
                <w:color w:val="auto"/>
              </w:rPr>
            </w:pPr>
          </w:p>
        </w:tc>
      </w:tr>
      <w:tr>
        <w:trPr>
          <w:trHeight w:val="20"/>
        </w:trPr>
        <w:tc>
          <w:tcPr>
            <w:tcW w:w="70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80" w:type="dxa"/>
            <w:vAlign w:val="bottom"/>
            <w:gridSpan w:val="3"/>
          </w:tcPr>
          <w:p>
            <w:pPr>
              <w:spacing w:after="0"/>
              <w:rPr>
                <w:sz w:val="20"/>
                <w:szCs w:val="20"/>
                <w:color w:val="auto"/>
              </w:rPr>
            </w:pPr>
            <w:r>
              <w:rPr>
                <w:rFonts w:ascii="Arial" w:cs="Arial" w:eastAsia="Arial" w:hAnsi="Arial"/>
                <w:sz w:val="18"/>
                <w:szCs w:val="18"/>
                <w:color w:val="auto"/>
              </w:rPr>
              <w:t>Basic income per common share: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17,026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0"/>
        </w:trPr>
        <w:tc>
          <w:tcPr>
            <w:tcW w:w="70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080" w:type="dxa"/>
            <w:vAlign w:val="bottom"/>
            <w:gridSpan w:val="3"/>
          </w:tcPr>
          <w:p>
            <w:pPr>
              <w:spacing w:after="0"/>
              <w:rPr>
                <w:sz w:val="20"/>
                <w:szCs w:val="20"/>
                <w:color w:val="auto"/>
              </w:rPr>
            </w:pPr>
            <w:r>
              <w:rPr>
                <w:rFonts w:ascii="Arial" w:cs="Arial" w:eastAsia="Arial" w:hAnsi="Arial"/>
                <w:sz w:val="18"/>
                <w:szCs w:val="18"/>
                <w:color w:val="auto"/>
              </w:rPr>
              <w:t>Diluted income per common share: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17,139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954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95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3"/>
              <w:spacing w:after="0" w:line="114" w:lineRule="exact"/>
              <w:rPr>
                <w:sz w:val="20"/>
                <w:szCs w:val="20"/>
                <w:color w:val="auto"/>
              </w:rPr>
            </w:pPr>
            <w:r>
              <w:rPr>
                <w:rFonts w:ascii="Arial" w:cs="Arial" w:eastAsia="Arial" w:hAnsi="Arial"/>
                <w:sz w:val="12"/>
                <w:szCs w:val="12"/>
                <w:b w:val="1"/>
                <w:bCs w:val="1"/>
                <w:color w:val="auto"/>
              </w:rPr>
              <w:t>2012</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14"/>
              <w:spacing w:after="0" w:line="114" w:lineRule="exact"/>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5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$538 and $438,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71,317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134,213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4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118,734</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120,528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264,758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259,461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10,846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gridSpan w:val="2"/>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65,092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74,915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gridSpan w:val="2"/>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154,403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110,355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264,758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259,461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Common Stock</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w:t>
            </w: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Par</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in</w:t>
            </w:r>
          </w:p>
        </w:tc>
        <w:tc>
          <w:tcPr>
            <w:tcW w:w="3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Retained</w:t>
            </w:r>
          </w:p>
        </w:tc>
        <w:tc>
          <w:tcPr>
            <w:tcW w:w="28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80" w:type="dxa"/>
            <w:vAlign w:val="bottom"/>
            <w:gridSpan w:val="3"/>
            <w:vMerge w:val="continue"/>
          </w:tcPr>
          <w:p>
            <w:pPr>
              <w:spacing w:after="0"/>
              <w:rPr>
                <w:sz w:val="13"/>
                <w:szCs w:val="13"/>
                <w:color w:val="auto"/>
              </w:rPr>
            </w:pPr>
          </w:p>
        </w:tc>
        <w:tc>
          <w:tcPr>
            <w:tcW w:w="8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Value</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3"/>
                <w:szCs w:val="13"/>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Earnings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6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40" w:type="dxa"/>
            <w:vAlign w:val="bottom"/>
            <w:tcBorders>
              <w:top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16,949</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$ 55,071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$27,612</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12,947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Shares issued for options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Stock option expense</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stock expense</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loss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(3,158)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17,029</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$170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$ 55,960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81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580" w:type="dxa"/>
            <w:vAlign w:val="bottom"/>
          </w:tcPr>
          <w:p>
            <w:pPr>
              <w:spacing w:after="0"/>
              <w:rPr>
                <w:sz w:val="14"/>
                <w:szCs w:val="14"/>
                <w:color w:val="auto"/>
              </w:rPr>
            </w:pPr>
          </w:p>
        </w:tc>
        <w:tc>
          <w:tcPr>
            <w:tcW w:w="1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8180" w:type="dxa"/>
            <w:vAlign w:val="bottom"/>
            <w:gridSpan w:val="3"/>
            <w:vMerge w:val="continue"/>
          </w:tcPr>
          <w:p>
            <w:pPr>
              <w:spacing w:after="0"/>
              <w:rPr>
                <w:sz w:val="12"/>
                <w:szCs w:val="12"/>
                <w:color w:val="auto"/>
              </w:rPr>
            </w:pPr>
          </w:p>
        </w:tc>
        <w:tc>
          <w:tcPr>
            <w:tcW w:w="2160" w:type="dxa"/>
            <w:vAlign w:val="bottom"/>
            <w:gridSpan w:val="2"/>
          </w:tcPr>
          <w:p>
            <w:pPr>
              <w:jc w:val="right"/>
              <w:ind w:right="76"/>
              <w:spacing w:after="0" w:line="148"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Activities:</w:t>
            </w:r>
          </w:p>
        </w:tc>
        <w:tc>
          <w:tcPr>
            <w:tcW w:w="1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2360" w:type="dxa"/>
            <w:vAlign w:val="bottom"/>
            <w:gridSpan w:val="3"/>
          </w:tcPr>
          <w:p>
            <w:pPr>
              <w:jc w:val="right"/>
              <w:ind w:right="200"/>
              <w:spacing w:after="0"/>
              <w:rPr>
                <w:sz w:val="20"/>
                <w:szCs w:val="20"/>
                <w:color w:val="auto"/>
              </w:rPr>
            </w:pPr>
            <w:r>
              <w:rPr>
                <w:rFonts w:ascii="Arial" w:cs="Arial" w:eastAsia="Arial" w:hAnsi="Arial"/>
                <w:sz w:val="18"/>
                <w:szCs w:val="18"/>
                <w:color w:val="auto"/>
              </w:rPr>
              <w:t>$12,947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640"/>
              <w:spacing w:after="0"/>
              <w:rPr>
                <w:sz w:val="20"/>
                <w:szCs w:val="20"/>
                <w:color w:val="auto"/>
              </w:rPr>
            </w:pPr>
            <w:r>
              <w:rPr>
                <w:rFonts w:ascii="Arial" w:cs="Arial" w:eastAsia="Arial" w:hAnsi="Arial"/>
                <w:sz w:val="18"/>
                <w:szCs w:val="18"/>
                <w:color w:val="auto"/>
              </w:rPr>
              <w:t>Depreciation and amortization</w:t>
            </w:r>
          </w:p>
        </w:tc>
        <w:tc>
          <w:tcPr>
            <w:tcW w:w="2360" w:type="dxa"/>
            <w:vAlign w:val="bottom"/>
            <w:gridSpan w:val="3"/>
          </w:tcPr>
          <w:p>
            <w:pPr>
              <w:jc w:val="right"/>
              <w:ind w:right="200"/>
              <w:spacing w:after="0"/>
              <w:rPr>
                <w:sz w:val="20"/>
                <w:szCs w:val="20"/>
                <w:color w:val="auto"/>
              </w:rPr>
            </w:pPr>
            <w:r>
              <w:rPr>
                <w:rFonts w:ascii="Arial" w:cs="Arial" w:eastAsia="Arial" w:hAnsi="Arial"/>
                <w:sz w:val="18"/>
                <w:szCs w:val="18"/>
                <w:color w:val="auto"/>
              </w:rPr>
              <w:t>8,846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Amortization of debt issuance costs</w:t>
            </w:r>
          </w:p>
        </w:tc>
        <w:tc>
          <w:tcPr>
            <w:tcW w:w="2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640"/>
              <w:spacing w:after="0"/>
              <w:rPr>
                <w:sz w:val="20"/>
                <w:szCs w:val="20"/>
                <w:color w:val="auto"/>
              </w:rPr>
            </w:pPr>
            <w:r>
              <w:rPr>
                <w:rFonts w:ascii="Arial" w:cs="Arial" w:eastAsia="Arial" w:hAnsi="Arial"/>
                <w:sz w:val="18"/>
                <w:szCs w:val="18"/>
                <w:color w:val="auto"/>
              </w:rPr>
              <w:t>Deferred income taxes</w:t>
            </w:r>
          </w:p>
        </w:tc>
        <w:tc>
          <w:tcPr>
            <w:tcW w:w="2360" w:type="dxa"/>
            <w:vAlign w:val="bottom"/>
            <w:gridSpan w:val="3"/>
          </w:tcPr>
          <w:p>
            <w:pPr>
              <w:jc w:val="right"/>
              <w:ind w:right="20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(Gain)/loss on disposal of assets</w:t>
            </w:r>
          </w:p>
        </w:tc>
        <w:tc>
          <w:tcPr>
            <w:tcW w:w="2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640"/>
              <w:spacing w:after="0"/>
              <w:rPr>
                <w:sz w:val="20"/>
                <w:szCs w:val="20"/>
                <w:color w:val="auto"/>
              </w:rPr>
            </w:pPr>
            <w:r>
              <w:rPr>
                <w:rFonts w:ascii="Arial" w:cs="Arial" w:eastAsia="Arial" w:hAnsi="Arial"/>
                <w:sz w:val="18"/>
                <w:szCs w:val="18"/>
                <w:color w:val="auto"/>
              </w:rPr>
              <w:t>Non-cash gain from deconsolidation of bankrupt subsidiary</w:t>
            </w:r>
          </w:p>
        </w:tc>
        <w:tc>
          <w:tcPr>
            <w:tcW w:w="15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Share-based compensation expense</w:t>
            </w:r>
          </w:p>
        </w:tc>
        <w:tc>
          <w:tcPr>
            <w:tcW w:w="2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640"/>
              <w:spacing w:after="0"/>
              <w:rPr>
                <w:sz w:val="20"/>
                <w:szCs w:val="20"/>
                <w:color w:val="auto"/>
              </w:rPr>
            </w:pPr>
            <w:r>
              <w:rPr>
                <w:rFonts w:ascii="Arial" w:cs="Arial" w:eastAsia="Arial" w:hAnsi="Arial"/>
                <w:sz w:val="18"/>
                <w:szCs w:val="18"/>
                <w:color w:val="auto"/>
              </w:rPr>
              <w:t>Change in value of long-term note receivable</w:t>
            </w:r>
          </w:p>
        </w:tc>
        <w:tc>
          <w:tcPr>
            <w:tcW w:w="2360" w:type="dxa"/>
            <w:vAlign w:val="bottom"/>
            <w:gridSpan w:val="3"/>
          </w:tcPr>
          <w:p>
            <w:pPr>
              <w:jc w:val="right"/>
              <w:ind w:right="14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860"/>
              <w:spacing w:after="0"/>
              <w:rPr>
                <w:sz w:val="20"/>
                <w:szCs w:val="20"/>
                <w:color w:val="auto"/>
              </w:rPr>
            </w:pPr>
            <w:r>
              <w:rPr>
                <w:rFonts w:ascii="Arial" w:cs="Arial" w:eastAsia="Arial" w:hAnsi="Arial"/>
                <w:sz w:val="18"/>
                <w:szCs w:val="18"/>
                <w:color w:val="auto"/>
              </w:rPr>
              <w:t>Accounts receivable</w:t>
            </w:r>
          </w:p>
        </w:tc>
        <w:tc>
          <w:tcPr>
            <w:tcW w:w="2360" w:type="dxa"/>
            <w:vAlign w:val="bottom"/>
            <w:gridSpan w:val="3"/>
          </w:tcPr>
          <w:p>
            <w:pPr>
              <w:jc w:val="right"/>
              <w:ind w:right="140"/>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860"/>
              <w:spacing w:after="0"/>
              <w:rPr>
                <w:sz w:val="20"/>
                <w:szCs w:val="20"/>
                <w:color w:val="auto"/>
              </w:rPr>
            </w:pPr>
            <w:r>
              <w:rPr>
                <w:rFonts w:ascii="Arial" w:cs="Arial" w:eastAsia="Arial" w:hAnsi="Arial"/>
                <w:sz w:val="18"/>
                <w:szCs w:val="18"/>
                <w:color w:val="auto"/>
              </w:rPr>
              <w:t>Accounts payable</w:t>
            </w:r>
          </w:p>
        </w:tc>
        <w:tc>
          <w:tcPr>
            <w:tcW w:w="2360" w:type="dxa"/>
            <w:vAlign w:val="bottom"/>
            <w:gridSpan w:val="3"/>
          </w:tcPr>
          <w:p>
            <w:pPr>
              <w:jc w:val="right"/>
              <w:ind w:right="140"/>
              <w:spacing w:after="0"/>
              <w:rPr>
                <w:sz w:val="20"/>
                <w:szCs w:val="20"/>
                <w:color w:val="auto"/>
              </w:rPr>
            </w:pPr>
            <w:r>
              <w:rPr>
                <w:rFonts w:ascii="Arial" w:cs="Arial" w:eastAsia="Arial" w:hAnsi="Arial"/>
                <w:sz w:val="18"/>
                <w:szCs w:val="18"/>
                <w:color w:val="auto"/>
              </w:rPr>
              <w:t>(7,518)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assets and liabilities</w:t>
            </w:r>
          </w:p>
        </w:tc>
        <w:tc>
          <w:tcPr>
            <w:tcW w:w="1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gridSpan w:val="2"/>
            <w:vMerge w:val="restart"/>
          </w:tcPr>
          <w:p>
            <w:pPr>
              <w:ind w:left="1060"/>
              <w:spacing w:after="0"/>
              <w:rPr>
                <w:sz w:val="20"/>
                <w:szCs w:val="20"/>
                <w:color w:val="auto"/>
              </w:rPr>
            </w:pPr>
            <w:r>
              <w:rPr>
                <w:rFonts w:ascii="Arial" w:cs="Arial" w:eastAsia="Arial" w:hAnsi="Arial"/>
                <w:sz w:val="18"/>
                <w:szCs w:val="18"/>
                <w:color w:val="auto"/>
              </w:rPr>
              <w:t>Net cash provided (used) by operating activities</w:t>
            </w:r>
          </w:p>
        </w:tc>
        <w:tc>
          <w:tcPr>
            <w:tcW w:w="1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Acquisition of property, plant and equipment</w:t>
            </w:r>
          </w:p>
        </w:tc>
        <w:tc>
          <w:tcPr>
            <w:tcW w:w="2360" w:type="dxa"/>
            <w:vAlign w:val="bottom"/>
            <w:gridSpan w:val="3"/>
          </w:tcPr>
          <w:p>
            <w:pPr>
              <w:jc w:val="right"/>
              <w:ind w:right="140"/>
              <w:spacing w:after="0"/>
              <w:rPr>
                <w:sz w:val="20"/>
                <w:szCs w:val="20"/>
                <w:color w:val="auto"/>
              </w:rPr>
            </w:pPr>
            <w:r>
              <w:rPr>
                <w:rFonts w:ascii="Arial" w:cs="Arial" w:eastAsia="Arial" w:hAnsi="Arial"/>
                <w:sz w:val="18"/>
                <w:szCs w:val="18"/>
                <w:color w:val="auto"/>
              </w:rPr>
              <w:t>(9,090)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lost on deconsolidation of Eltmann subsidiary</w:t>
            </w:r>
          </w:p>
        </w:tc>
        <w:tc>
          <w:tcPr>
            <w:tcW w:w="1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Proceeds received from long-term note receivable</w:t>
            </w:r>
          </w:p>
        </w:tc>
        <w:tc>
          <w:tcPr>
            <w:tcW w:w="2360" w:type="dxa"/>
            <w:vAlign w:val="bottom"/>
            <w:gridSpan w:val="3"/>
          </w:tcPr>
          <w:p>
            <w:pPr>
              <w:jc w:val="right"/>
              <w:ind w:right="200"/>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disposals of property, plant and equipment</w:t>
            </w:r>
          </w:p>
        </w:tc>
        <w:tc>
          <w:tcPr>
            <w:tcW w:w="15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ind w:left="1060"/>
              <w:spacing w:after="0"/>
              <w:rPr>
                <w:sz w:val="20"/>
                <w:szCs w:val="20"/>
                <w:color w:val="auto"/>
              </w:rPr>
            </w:pPr>
            <w:r>
              <w:rPr>
                <w:rFonts w:ascii="Arial" w:cs="Arial" w:eastAsia="Arial" w:hAnsi="Arial"/>
                <w:sz w:val="18"/>
                <w:szCs w:val="18"/>
                <w:color w:val="auto"/>
              </w:rPr>
              <w:t>Net cash used by investing activities</w:t>
            </w:r>
          </w:p>
        </w:tc>
        <w:tc>
          <w:tcPr>
            <w:tcW w:w="2360" w:type="dxa"/>
            <w:vAlign w:val="bottom"/>
            <w:gridSpan w:val="3"/>
          </w:tcPr>
          <w:p>
            <w:pPr>
              <w:jc w:val="right"/>
              <w:ind w:right="140"/>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(11,046)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Proceeds from short-term debt</w:t>
            </w:r>
          </w:p>
        </w:tc>
        <w:tc>
          <w:tcPr>
            <w:tcW w:w="2360" w:type="dxa"/>
            <w:vAlign w:val="bottom"/>
            <w:gridSpan w:val="3"/>
          </w:tcPr>
          <w:p>
            <w:pPr>
              <w:jc w:val="right"/>
              <w:ind w:right="20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 on capital lease</w:t>
            </w:r>
          </w:p>
        </w:tc>
        <w:tc>
          <w:tcPr>
            <w:tcW w:w="2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Proceeds from long term debt</w:t>
            </w:r>
          </w:p>
        </w:tc>
        <w:tc>
          <w:tcPr>
            <w:tcW w:w="2360" w:type="dxa"/>
            <w:vAlign w:val="bottom"/>
            <w:gridSpan w:val="3"/>
          </w:tcPr>
          <w:p>
            <w:pPr>
              <w:jc w:val="right"/>
              <w:ind w:right="200"/>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stock</w:t>
            </w:r>
          </w:p>
        </w:tc>
        <w:tc>
          <w:tcPr>
            <w:tcW w:w="2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ind w:left="200"/>
              <w:spacing w:after="0"/>
              <w:rPr>
                <w:sz w:val="20"/>
                <w:szCs w:val="20"/>
                <w:color w:val="auto"/>
              </w:rPr>
            </w:pPr>
            <w:r>
              <w:rPr>
                <w:rFonts w:ascii="Arial" w:cs="Arial" w:eastAsia="Arial" w:hAnsi="Arial"/>
                <w:sz w:val="18"/>
                <w:szCs w:val="18"/>
                <w:color w:val="auto"/>
              </w:rPr>
              <w:t>Debt issuance costs paid</w:t>
            </w: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8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flows</w:t>
            </w:r>
          </w:p>
        </w:tc>
        <w:tc>
          <w:tcPr>
            <w:tcW w:w="2360" w:type="dxa"/>
            <w:vAlign w:val="bottom"/>
            <w:gridSpan w:val="3"/>
          </w:tcPr>
          <w:p>
            <w:pPr>
              <w:jc w:val="right"/>
              <w:ind w:right="14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at Beginning of Period</w:t>
            </w:r>
          </w:p>
        </w:tc>
        <w:tc>
          <w:tcPr>
            <w:tcW w:w="15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2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gridSpan w:val="3"/>
            <w:vMerge w:val="continue"/>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0" w:right="1960" w:hanging="215"/>
        <w:spacing w:after="0" w:line="370" w:lineRule="auto"/>
        <w:rPr>
          <w:sz w:val="20"/>
          <w:szCs w:val="20"/>
          <w:color w:val="auto"/>
        </w:rPr>
      </w:pPr>
      <w:r>
        <w:rPr>
          <w:rFonts w:ascii="Arial" w:cs="Arial" w:eastAsia="Arial" w:hAnsi="Arial"/>
          <w:sz w:val="15"/>
          <w:szCs w:val="15"/>
          <w:color w:val="auto"/>
        </w:rPr>
        <w:t>Certain amounts were deconsolidated from the Balance Sheet of NN, Inc. due to the bankruptcy of a subsidiary on January 20, 2011 and are not reflected in the 2011 cash flow statement above (See Note 1 of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1.Interim Financial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condensed consolidated financial statements of NN, Inc. have not been audited, except that the balance sheet at December 31, 2011 was derived from our audited consolidated financial statements. In our opinion, the financial statements reflect all adjustments necessary to fairly state the results of operations for the three and six month periods ended June 30, 2012 and 2011, our financial position at June 30, 2012 and December 31, 2011, and the cash flows for the six month periods ended June 30, 2012 and 2011.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2011 which we filed with the Securities and Exchange Commission on March 15, 2012. The results for the three and six month periods ended June 30, 2012 are not necessarily indicative of results for the year ending December 31, 2012 or any other future periods.</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Due to the impacts of the global economic recession and the resulting reduction in revenue and increased operating losses, our wholly owned German subsidiary, Kugelfertigung Eltmann GbmH (“Eltmann” or “Eltmann Plant”), sustained a significant weakening of its financial condition. As a result, it became insolvent at which point it was required to file for bankruptcy under German bankruptcy law. The filing was made in the bankruptcy court in Germany on January 20, 2011. As of that date, NN lost the ability to control or manage Eltmann as a result of the bankruptcy court trustee taking over effective control and day to day management of this subsidiary. As a result of loss of control of this subsidiary, NN deconsolidated the assets and liabilities of Eltmann from our Consolidated Financial Statements effective January 20, 2011.</w:t>
      </w:r>
    </w:p>
    <w:p>
      <w:pPr>
        <w:spacing w:after="0" w:line="14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were informed in early April 2011, that the bankruptcy trustee had sold the majority of the production assets of Eltmann to a non-affiliated manufacturing company. It is our understanding the remaining assets and liabilities of Eltmann will be liquidated sometime in the future by the bankruptcy court. NN does not expect any further significant impact on our consolidated financial statements as a result of the liquidation of this subsidiary.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4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the effects of the deconsolidation of Eltmann originally reported in the first quarter of 2011: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(3,388)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(2,407)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(1,343)</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ind w:left="1840"/>
              <w:spacing w:after="0"/>
              <w:rPr>
                <w:sz w:val="20"/>
                <w:szCs w:val="20"/>
                <w:color w:val="auto"/>
              </w:rPr>
            </w:pPr>
            <w:r>
              <w:rPr>
                <w:rFonts w:ascii="Arial" w:cs="Arial" w:eastAsia="Arial" w:hAnsi="Arial"/>
                <w:sz w:val="18"/>
                <w:szCs w:val="18"/>
                <w:color w:val="auto"/>
              </w:rPr>
              <w:t>Reduction of total assets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40" w:type="dxa"/>
            <w:vAlign w:val="bottom"/>
            <w:gridSpan w:val="2"/>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(8,310)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84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(1,947)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Accrued salaries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(5,623)</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Reduction of total liabilities and stockholders’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(8,519)</w:t>
            </w:r>
          </w:p>
        </w:tc>
        <w:tc>
          <w:tcPr>
            <w:tcW w:w="0" w:type="dxa"/>
            <w:vAlign w:val="bottom"/>
          </w:tcPr>
          <w:p>
            <w:pPr>
              <w:spacing w:after="0"/>
              <w:rPr>
                <w:sz w:val="1"/>
                <w:szCs w:val="1"/>
                <w:color w:val="auto"/>
              </w:rPr>
            </w:pPr>
          </w:p>
        </w:tc>
      </w:tr>
      <w:tr>
        <w:trPr>
          <w:trHeight w:val="20"/>
        </w:trPr>
        <w:tc>
          <w:tcPr>
            <w:tcW w:w="8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840" w:type="dxa"/>
            <w:vAlign w:val="bottom"/>
            <w:gridSpan w:val="2"/>
          </w:tcPr>
          <w:p>
            <w:pPr>
              <w:ind w:left="1840"/>
              <w:spacing w:after="0"/>
              <w:rPr>
                <w:sz w:val="20"/>
                <w:szCs w:val="20"/>
                <w:color w:val="auto"/>
              </w:rPr>
            </w:pPr>
            <w:r>
              <w:rPr>
                <w:rFonts w:ascii="Arial" w:cs="Arial" w:eastAsia="Arial" w:hAnsi="Arial"/>
                <w:sz w:val="18"/>
                <w:szCs w:val="18"/>
                <w:color w:val="auto"/>
              </w:rPr>
              <w:t>Gain from deconsolidation of bankrupt subsidiary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The amounts above are reflected in the comparative 2011 financial statements. During the fourth quarter of</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40" w:type="dxa"/>
            <w:vAlign w:val="bottom"/>
            <w:gridSpan w:val="2"/>
          </w:tcPr>
          <w:p>
            <w:pPr>
              <w:ind w:left="56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2011, we determined it was more likely than not we would potentially owe an additional $209 in payables related to the Eltmann bankruptcy. As such, we accrued for these potential payables during the fourth quarter of 2011 and as a result have now realized a zero gain on deconsolidation.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2.Long Term Notes Receivable</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property, plant and equipment of the Tempe Plant was sold on August 31, 2010, the day the Tempe Plant ceased operations, to a newly formed company not affiliated with NN in exchange for a promissory note. This note had an original face value of $2,500, a 60 month term, a 7% interest rate, interest only payments for 24 months, principal and interest payments totaling $40 per month for the next 36 months followed by a balloon payment of $1,525. On March 31, 2012, we accepted a $1,945 cash payment to settle the note and relieved the debtor of all future liability for the note. The estimated fair value and carrying value of note prior to the payment was $1,772.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w:t>
            </w:r>
          </w:p>
        </w:tc>
      </w:tr>
      <w:tr>
        <w:trPr>
          <w:trHeight w:val="149"/>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June 30,</w:t>
            </w:r>
          </w:p>
        </w:tc>
        <w:tc>
          <w:tcPr>
            <w:tcW w:w="122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r>
      <w:tr>
        <w:trPr>
          <w:trHeight w:val="161"/>
        </w:trPr>
        <w:tc>
          <w:tcPr>
            <w:tcW w:w="6780" w:type="dxa"/>
            <w:vAlign w:val="bottom"/>
          </w:tcPr>
          <w:p>
            <w:pPr>
              <w:spacing w:after="0"/>
              <w:rPr>
                <w:sz w:val="14"/>
                <w:szCs w:val="14"/>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12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$14,647</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$ 13,855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Work in process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8,833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21,884</w:t>
            </w:r>
          </w:p>
        </w:tc>
        <w:tc>
          <w:tcPr>
            <w:tcW w:w="6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23,743</w:t>
            </w:r>
          </w:p>
        </w:tc>
        <w:tc>
          <w:tcPr>
            <w:tcW w:w="100" w:type="dxa"/>
            <w:vAlign w:val="bottom"/>
            <w:shd w:val="clear" w:color="auto" w:fill="CCEEFF"/>
          </w:tcPr>
          <w:p>
            <w:pPr>
              <w:spacing w:after="0"/>
              <w:rPr>
                <w:sz w:val="18"/>
                <w:szCs w:val="18"/>
                <w:color w:val="auto"/>
              </w:rPr>
            </w:pPr>
          </w:p>
        </w:tc>
      </w:tr>
      <w:tr>
        <w:trPr>
          <w:trHeight w:val="222"/>
        </w:trPr>
        <w:tc>
          <w:tcPr>
            <w:tcW w:w="67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45,364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$ 46,023</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June 30, 2012 and December 31, 2011 totaled $3,201 and $4,156, respectively.</w:t>
      </w:r>
    </w:p>
    <w:p>
      <w:pPr>
        <w:spacing w:after="0" w:line="17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Share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Excluded from the dilutive shares outstanding for the three and six month periods ended June 30, 2012 were 1,201 anti-dilutive options which had exercise prices ranging from $8.86 to $14.13. There were 201 anti-dilutive options with an exercise price of $14.13 excluded from the dilutive shares outstanding for the three and six month period ended June 30, 2011.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5.Segment Information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2011. We evaluate segment performance based on segment net income or loss after income taxes. We account for inter-segment sales and transfers at current market prices. We did not have any significant inter-segment transactions during the three and six month periods ended June 30, 2012 and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Metal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Precision</w:t>
            </w:r>
          </w:p>
        </w:tc>
        <w:tc>
          <w:tcPr>
            <w:tcW w:w="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Plastic and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Bearing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Metal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Rubber</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6"/>
            <w:vMerge w:val="restart"/>
          </w:tcPr>
          <w:p>
            <w:pPr>
              <w:spacing w:after="0"/>
              <w:rPr>
                <w:sz w:val="20"/>
                <w:szCs w:val="20"/>
                <w:color w:val="auto"/>
              </w:rPr>
            </w:pPr>
            <w:r>
              <w:rPr>
                <w:rFonts w:ascii="Arial" w:cs="Arial" w:eastAsia="Arial" w:hAnsi="Arial"/>
                <w:sz w:val="14"/>
                <w:szCs w:val="14"/>
                <w:color w:val="auto"/>
              </w:rPr>
              <w:t>(In Thousands of Dollars)</w:t>
            </w: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Components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Components</w:t>
            </w:r>
          </w:p>
        </w:tc>
        <w:tc>
          <w:tcPr>
            <w:tcW w:w="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10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Corporate and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20" w:type="dxa"/>
            <w:vAlign w:val="bottom"/>
            <w:gridSpan w:val="6"/>
            <w:vMerge w:val="continue"/>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1"/>
              </w:rPr>
              <w:t>Segment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1"/>
              </w:rPr>
              <w:t>Segment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1"/>
              </w:rPr>
              <w:t>Segment</w:t>
            </w:r>
          </w:p>
        </w:tc>
        <w:tc>
          <w:tcPr>
            <w:tcW w:w="100" w:type="dxa"/>
            <w:vAlign w:val="bottom"/>
          </w:tcPr>
          <w:p>
            <w:pPr>
              <w:spacing w:after="0"/>
              <w:rPr>
                <w:sz w:val="13"/>
                <w:szCs w:val="13"/>
                <w:color w:val="auto"/>
              </w:rPr>
            </w:pPr>
          </w:p>
        </w:tc>
        <w:tc>
          <w:tcPr>
            <w:tcW w:w="12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4"/>
              </w:rPr>
              <w:t>Consolidations</w:t>
            </w:r>
          </w:p>
        </w:tc>
        <w:tc>
          <w:tcPr>
            <w:tcW w:w="80" w:type="dxa"/>
            <w:vAlign w:val="bottom"/>
          </w:tcPr>
          <w:p>
            <w:pPr>
              <w:spacing w:after="0"/>
              <w:rPr>
                <w:sz w:val="13"/>
                <w:szCs w:val="13"/>
                <w:color w:val="auto"/>
              </w:rPr>
            </w:pPr>
          </w:p>
        </w:tc>
        <w:tc>
          <w:tcPr>
            <w:tcW w:w="6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Three Months ended June 30, 2012</w:t>
            </w: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2"/>
              </w:rPr>
              <w:t>Revenues from external customers</w:t>
            </w:r>
          </w:p>
        </w:tc>
        <w:tc>
          <w:tcPr>
            <w:tcW w:w="190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gridSpan w:val="3"/>
          </w:tcPr>
          <w:p>
            <w:pPr>
              <w:ind w:left="19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65,768</w:t>
            </w:r>
          </w:p>
        </w:tc>
        <w:tc>
          <w:tcPr>
            <w:tcW w:w="200" w:type="dxa"/>
            <w:vAlign w:val="bottom"/>
            <w:tcBorders>
              <w:top w:val="single" w:sz="8" w:color="CCEEFF"/>
            </w:tcBorders>
            <w:gridSpan w:val="3"/>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22,561</w:t>
            </w:r>
          </w:p>
        </w:tc>
        <w:tc>
          <w:tcPr>
            <w:tcW w:w="18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10,495</w:t>
            </w: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98,824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520" w:type="dxa"/>
            <w:vAlign w:val="bottom"/>
            <w:gridSpan w:val="6"/>
          </w:tcPr>
          <w:p>
            <w:pPr>
              <w:spacing w:after="0"/>
              <w:rPr>
                <w:sz w:val="20"/>
                <w:szCs w:val="20"/>
                <w:color w:val="auto"/>
              </w:rPr>
            </w:pPr>
            <w:r>
              <w:rPr>
                <w:rFonts w:ascii="Arial" w:cs="Arial" w:eastAsia="Arial" w:hAnsi="Arial"/>
                <w:sz w:val="18"/>
                <w:szCs w:val="18"/>
                <w:b w:val="1"/>
                <w:bCs w:val="1"/>
                <w:color w:val="auto"/>
              </w:rPr>
              <w:t>Six Months ended June 30, 2012</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02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137,898</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20" w:type="dxa"/>
            <w:vAlign w:val="bottom"/>
            <w:gridSpan w:val="6"/>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3"/>
          </w:tcPr>
          <w:p>
            <w:pPr>
              <w:ind w:left="19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13,215</w:t>
            </w:r>
          </w:p>
        </w:tc>
        <w:tc>
          <w:tcPr>
            <w:tcW w:w="20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3,550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(5,578)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2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198,615</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41,490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Precision</w:t>
            </w:r>
          </w:p>
        </w:tc>
        <w:tc>
          <w:tcPr>
            <w:tcW w:w="80" w:type="dxa"/>
            <w:vAlign w:val="bottom"/>
          </w:tcPr>
          <w:p>
            <w:pPr>
              <w:spacing w:after="0"/>
              <w:rPr>
                <w:sz w:val="24"/>
                <w:szCs w:val="2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Plastic and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Bearing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Metal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Rubber</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6"/>
            <w:vMerge w:val="restart"/>
          </w:tcPr>
          <w:p>
            <w:pPr>
              <w:spacing w:after="0"/>
              <w:rPr>
                <w:sz w:val="20"/>
                <w:szCs w:val="20"/>
                <w:color w:val="auto"/>
              </w:rPr>
            </w:pPr>
            <w:r>
              <w:rPr>
                <w:rFonts w:ascii="Arial" w:cs="Arial" w:eastAsia="Arial" w:hAnsi="Arial"/>
                <w:sz w:val="14"/>
                <w:szCs w:val="14"/>
                <w:color w:val="auto"/>
              </w:rPr>
              <w:t>(In Thousands of Dollars)</w:t>
            </w: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Components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10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Corporate and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20" w:type="dxa"/>
            <w:vAlign w:val="bottom"/>
            <w:gridSpan w:val="6"/>
            <w:vMerge w:val="continue"/>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4"/>
              </w:rPr>
              <w:t>Segment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4"/>
              </w:rPr>
              <w:t>Segment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1"/>
              </w:rPr>
              <w:t>Segment</w:t>
            </w:r>
          </w:p>
        </w:tc>
        <w:tc>
          <w:tcPr>
            <w:tcW w:w="100" w:type="dxa"/>
            <w:vAlign w:val="bottom"/>
          </w:tcPr>
          <w:p>
            <w:pPr>
              <w:spacing w:after="0"/>
              <w:rPr>
                <w:sz w:val="13"/>
                <w:szCs w:val="13"/>
                <w:color w:val="auto"/>
              </w:rPr>
            </w:pPr>
          </w:p>
        </w:tc>
        <w:tc>
          <w:tcPr>
            <w:tcW w:w="12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4"/>
              </w:rPr>
              <w:t>Consolidations</w:t>
            </w:r>
          </w:p>
        </w:tc>
        <w:tc>
          <w:tcPr>
            <w:tcW w:w="80" w:type="dxa"/>
            <w:vAlign w:val="bottom"/>
          </w:tcPr>
          <w:p>
            <w:pPr>
              <w:spacing w:after="0"/>
              <w:rPr>
                <w:sz w:val="13"/>
                <w:szCs w:val="13"/>
                <w:color w:val="auto"/>
              </w:rPr>
            </w:pPr>
          </w:p>
        </w:tc>
        <w:tc>
          <w:tcPr>
            <w:tcW w:w="6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0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Three Months ended June 30, 2011</w:t>
            </w:r>
          </w:p>
        </w:tc>
        <w:tc>
          <w:tcPr>
            <w:tcW w:w="19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5"/>
          </w:tcPr>
          <w:p>
            <w:pPr>
              <w:spacing w:after="0"/>
              <w:rPr>
                <w:sz w:val="20"/>
                <w:szCs w:val="20"/>
                <w:color w:val="auto"/>
              </w:rPr>
            </w:pPr>
            <w:r>
              <w:rPr>
                <w:rFonts w:ascii="Arial" w:cs="Arial" w:eastAsia="Arial" w:hAnsi="Arial"/>
                <w:sz w:val="18"/>
                <w:szCs w:val="18"/>
                <w:color w:val="auto"/>
              </w:rPr>
              <w:t>Revenues from external customers</w:t>
            </w:r>
          </w:p>
        </w:tc>
        <w:tc>
          <w:tcPr>
            <w:tcW w:w="2020" w:type="dxa"/>
            <w:vAlign w:val="bottom"/>
            <w:gridSpan w:val="3"/>
          </w:tcPr>
          <w:p>
            <w:pPr>
              <w:ind w:left="19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84,827</w:t>
            </w:r>
          </w:p>
        </w:tc>
        <w:tc>
          <w:tcPr>
            <w:tcW w:w="100" w:type="dxa"/>
            <w:vAlign w:val="bottom"/>
          </w:tcPr>
          <w:p>
            <w:pPr>
              <w:spacing w:after="0"/>
              <w:rPr>
                <w:sz w:val="19"/>
                <w:szCs w:val="19"/>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19,534</w:t>
            </w:r>
          </w:p>
        </w:tc>
        <w:tc>
          <w:tcPr>
            <w:tcW w:w="12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11,561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520" w:type="dxa"/>
            <w:vAlign w:val="bottom"/>
            <w:gridSpan w:val="6"/>
          </w:tcPr>
          <w:p>
            <w:pPr>
              <w:spacing w:after="0"/>
              <w:rPr>
                <w:sz w:val="20"/>
                <w:szCs w:val="20"/>
                <w:color w:val="auto"/>
              </w:rPr>
            </w:pPr>
            <w:r>
              <w:rPr>
                <w:rFonts w:ascii="Arial" w:cs="Arial" w:eastAsia="Arial" w:hAnsi="Arial"/>
                <w:sz w:val="18"/>
                <w:szCs w:val="18"/>
                <w:b w:val="1"/>
                <w:bCs w:val="1"/>
                <w:color w:val="auto"/>
              </w:rPr>
              <w:t>Six Months ended June 30, 2011</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02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168,609</w:t>
            </w: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20" w:type="dxa"/>
            <w:vAlign w:val="bottom"/>
            <w:gridSpan w:val="6"/>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3"/>
          </w:tcPr>
          <w:p>
            <w:pPr>
              <w:ind w:left="19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18,729</w:t>
            </w:r>
          </w:p>
        </w:tc>
        <w:tc>
          <w:tcPr>
            <w:tcW w:w="100" w:type="dxa"/>
            <w:vAlign w:val="bottom"/>
          </w:tcPr>
          <w:p>
            <w:pPr>
              <w:spacing w:after="0"/>
              <w:rPr>
                <w:sz w:val="24"/>
                <w:szCs w:val="24"/>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(3,338)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(5,793)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2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208,313</w:t>
            </w:r>
          </w:p>
        </w:tc>
        <w:tc>
          <w:tcPr>
            <w:tcW w:w="1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278,730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6.Pensions and Other Post-Employment Liabilities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Effective January 20, 2011, the defined benefit pension plan covering the employees at our Eltmann Plant came under the control of the bankruptcy trustee and has been or will be taken over by the German government’s pension security fund. The plan is no longer a responsibility of NN, resulting in a reduction of Accrued pension liabilities of $5,623 on January 20, 2011. We have no remaining pension obligations. (See Note 1 of the Notes to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Italian law, we have an unfunded severance plan covering our Pinerolo Plant employees under which all employees at that location are entitled to receive severance indemnities upon termination of their employment. The table below summarizes the changes to the severance indemnity, included in Other non-current liabilities, for the three and six month periods ended June 30, 2012 and 2011: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5"/>
              </w:rPr>
              <w:t>Three months ended</w:t>
            </w:r>
          </w:p>
        </w:tc>
        <w:tc>
          <w:tcPr>
            <w:tcW w:w="16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5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 (7,112)</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$(7,658)</w:t>
            </w: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$(6,922)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(7,115)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Amounts accrued</w:t>
            </w: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(315)</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(311)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Payments to government managed plan</w:t>
            </w:r>
          </w:p>
        </w:tc>
        <w:tc>
          <w:tcPr>
            <w:tcW w:w="780" w:type="dxa"/>
            <w:vAlign w:val="bottom"/>
            <w:gridSpan w:val="4"/>
          </w:tcPr>
          <w:p>
            <w:pPr>
              <w:jc w:val="right"/>
              <w:ind w:right="220"/>
              <w:spacing w:after="0"/>
              <w:rPr>
                <w:sz w:val="20"/>
                <w:szCs w:val="20"/>
                <w:color w:val="auto"/>
              </w:rPr>
            </w:pPr>
            <w:r>
              <w:rPr>
                <w:rFonts w:ascii="Arial" w:cs="Arial" w:eastAsia="Arial" w:hAnsi="Arial"/>
                <w:sz w:val="18"/>
                <w:szCs w:val="18"/>
                <w:color w:val="auto"/>
              </w:rPr>
              <w:t>81</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168</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(6,450)</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(6,450)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certain plans that cover our Veenendaal Plant employees. A plan provides an award for employees who achieve 25 or 40 years of service and another plan is an award for employees upon retirement. These plans are both unfunded and the benefits are based on years of service and rate of compensation at the time the award is paid. The table below summarizes the combined changes in the plans, included in Other non-current liabilities, during the three month and six month periods ended June 30, 2012 and 2011:</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85"/>
              </w:rPr>
              <w:t>Three months ended</w:t>
            </w:r>
          </w:p>
        </w:tc>
        <w:tc>
          <w:tcPr>
            <w:tcW w:w="13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(In Thousands of Dollars)</w:t>
            </w: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Beginning balance</w:t>
            </w:r>
          </w:p>
        </w:tc>
        <w:tc>
          <w:tcPr>
            <w:tcW w:w="5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(829)</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(835)</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$(783)</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$(749)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Service cost</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Benefits paid</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5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80" w:type="dxa"/>
            <w:vAlign w:val="bottom"/>
            <w:vMerge w:val="continue"/>
          </w:tcPr>
          <w:p>
            <w:pPr>
              <w:spacing w:after="0"/>
              <w:rPr>
                <w:sz w:val="19"/>
                <w:szCs w:val="19"/>
                <w:color w:val="auto"/>
              </w:rPr>
            </w:pPr>
          </w:p>
        </w:tc>
        <w:tc>
          <w:tcPr>
            <w:tcW w:w="5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(755)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(840)</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(755)</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7.New Accounting Pronouncements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June 2011, the FASB issued amended accounting guidance related to presentation of comprehensive income. The standards update is intended to help financial statement users better understand the causes of an entity’s change in financial position and results of operation. It is effective for reporting periods beginning after December 15, 2011. We adopted this guidance during the first quarter of 2012. Since this new guidance affected disclosure requirements only, it did not have a material impact on our financial position or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8.Long-Term Debt and Short-Term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June 30, 2012 and December 31, 2011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Borrowings under our $100,000 revolving credit facility bearing interest at a floating rate equal to LIBOR</w:t>
            </w: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(0.25% at June 30, 2012) plus an applicable margin of 3.00% at June 30, 2012, expiring December 21, 2014.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$50,136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440" w:type="dxa"/>
            <w:vAlign w:val="bottom"/>
            <w:gridSpan w:val="2"/>
          </w:tcPr>
          <w:p>
            <w:pPr>
              <w:spacing w:after="0"/>
              <w:rPr>
                <w:sz w:val="20"/>
                <w:szCs w:val="20"/>
                <w:color w:val="auto"/>
              </w:rPr>
            </w:pPr>
            <w:r>
              <w:rPr>
                <w:rFonts w:ascii="Arial" w:cs="Arial" w:eastAsia="Arial" w:hAnsi="Arial"/>
                <w:sz w:val="18"/>
                <w:szCs w:val="18"/>
                <w:color w:val="auto"/>
                <w:w w:val="96"/>
              </w:rPr>
              <w:t>Borrowings under our $40,000 aggregate principal amount of fixed rate notes bearing interest at a fixed rate of</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w w:val="95"/>
              </w:rPr>
              <w:t>5.39% maturing on April 26, 2014. Annual principal payments of $5,714 began on April 26, 2008 and extend</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through the date of maturity.</w:t>
            </w:r>
          </w:p>
        </w:tc>
        <w:tc>
          <w:tcPr>
            <w:tcW w:w="580" w:type="dxa"/>
            <w:vAlign w:val="bottom"/>
          </w:tcPr>
          <w:p>
            <w:pPr>
              <w:jc w:val="right"/>
              <w:spacing w:after="0"/>
              <w:rPr>
                <w:sz w:val="20"/>
                <w:szCs w:val="20"/>
                <w:color w:val="auto"/>
              </w:rPr>
            </w:pPr>
            <w:r>
              <w:rPr>
                <w:rFonts w:ascii="Arial" w:cs="Arial" w:eastAsia="Arial" w:hAnsi="Arial"/>
                <w:sz w:val="18"/>
                <w:szCs w:val="18"/>
                <w:color w:val="auto"/>
              </w:rPr>
              <w:t>11,429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95"/>
              </w:rPr>
              <w:t>Borrowings under our $20,000 aggregate principal amount of fixed rate notes bearing interest at a fixed rate of</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4.64% maturing on December 20, 2018. Annual principal payments of $4,000 will begin on December 22,</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and extend through the date of maturity.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Total debt</w:t>
            </w:r>
          </w:p>
        </w:tc>
        <w:tc>
          <w:tcPr>
            <w:tcW w:w="580" w:type="dxa"/>
            <w:vAlign w:val="bottom"/>
          </w:tcPr>
          <w:p>
            <w:pPr>
              <w:jc w:val="right"/>
              <w:spacing w:after="0"/>
              <w:rPr>
                <w:sz w:val="20"/>
                <w:szCs w:val="20"/>
                <w:color w:val="auto"/>
              </w:rPr>
            </w:pPr>
            <w:r>
              <w:rPr>
                <w:rFonts w:ascii="Arial" w:cs="Arial" w:eastAsia="Arial" w:hAnsi="Arial"/>
                <w:sz w:val="18"/>
                <w:szCs w:val="18"/>
                <w:color w:val="auto"/>
              </w:rPr>
              <w:t>81,565</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current maturities of long-term debt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Long-term debt, excluding current maturities of long-term debt</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74,915</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71,629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December 20, 2011, we borrowed an additional $20,000 in seven-year fixed rate notes from Prudential Capital at a rate of 4.64%. These notes, which mature on December 20, 2018, are interest-only for the first two years followed by five equal annual principal payments. The proceeds were used to repay existing revolving credit bank debt and to fund growth capital projects.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September 30, 2011, we amended our $100 million revolving credit agreement agented by KeyBank and our long-term loan agreement with Prudential Capital in order to adjust the fixed charge coverage ratio covenant to better correlate current and expected levels of capital spending and other fixed charges with earnings before taxes, interest and depreciation (EBITDA). The minimum fixed charge coverage ratio was reduced from “not less than 1.25 to 1.00” to “not to be less than 1.00 to 1.00 as of the last day of any fiscal quarter” for the quarters ending September 30, 2011 through September 30, 2012. Starting October 1, 2012, the minimum fixed charge coverage ratio increases to “not to be less than 1.25 to 1.00 as of the last day of any fiscal quarter”. The amendments also provide that we will assure that the total outstanding under the revolving credit agreement shall be at least $10 million less than the total committed amount of $100 million during the period commencing September 30, 2011 and ending on September 30, 2012.</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$100 million revolving credit agreement interest rate is LIBOR plus a margin of 2.5% to 3.5% (depending on the level of the ratio of debt to EBITDA). The facility may be expanded upon our request with approval of the lenders by up to $35 million, under the same terms and conditions. The loan agreement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our business including a “material adverse change” clause, which if triggered would accelerate the maturity of the debt. The facility has a $10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June 30, 2012, $1,458 of net capitalized loan origination costs related to the revolving credit facility were recorded on the balance sheet within other non-current assets.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original $40,000 fixed rate notes agreement with Prudential Capital has an interest rate of 5.39%, which was reduced from 6.50% on December 20, 2011. The $40,000 and $20,000 fixed rate agreements contain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including a “material adverse change” clause, which if triggered would accelerate the maturity of the debt. We incurred costs as a result of issuing these notes which have been recorded on the balance sheet within other non-current assets and are being amortized over the term of the notes. The unamortized balance at June 30, 2012 was $221.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9.Goodwill,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six month period ended June 30, 2012 are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Metal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Bearing</w:t>
            </w: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3080" w:type="dxa"/>
            <w:vAlign w:val="bottom"/>
            <w:gridSpan w:val="4"/>
          </w:tcPr>
          <w:p>
            <w:pPr>
              <w:jc w:val="center"/>
              <w:ind w:left="2042"/>
              <w:spacing w:after="0" w:line="149" w:lineRule="exact"/>
              <w:rPr>
                <w:sz w:val="20"/>
                <w:szCs w:val="20"/>
                <w:color w:val="auto"/>
              </w:rPr>
            </w:pPr>
            <w:r>
              <w:rPr>
                <w:rFonts w:ascii="Arial" w:cs="Arial" w:eastAsia="Arial" w:hAnsi="Arial"/>
                <w:sz w:val="14"/>
                <w:szCs w:val="14"/>
                <w:b w:val="1"/>
                <w:bCs w:val="1"/>
                <w:color w:val="auto"/>
                <w:w w:val="84"/>
              </w:rPr>
              <w:t>Components</w:t>
            </w:r>
          </w:p>
        </w:tc>
        <w:tc>
          <w:tcPr>
            <w:tcW w:w="0" w:type="dxa"/>
            <w:vAlign w:val="bottom"/>
          </w:tcPr>
          <w:p>
            <w:pPr>
              <w:spacing w:after="0"/>
              <w:rPr>
                <w:sz w:val="1"/>
                <w:szCs w:val="1"/>
                <w:color w:val="auto"/>
              </w:rPr>
            </w:pPr>
          </w:p>
        </w:tc>
      </w:tr>
      <w:tr>
        <w:trPr>
          <w:trHeight w:val="148"/>
        </w:trPr>
        <w:tc>
          <w:tcPr>
            <w:tcW w:w="4680" w:type="dxa"/>
            <w:vAlign w:val="bottom"/>
            <w:gridSpan w:val="3"/>
            <w:vMerge w:val="continue"/>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2012</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Currency translation impacts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2012</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goodwill balance is tested for impairment on an annual basis during the fourth quarter and between annual tests if a triggering event occurs. As of June 30, 2012, there are no indications of impairment at the remaining reporting unit with a goodwill balance.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10.Intangible Assets, Net</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Precision Metal Components Segment has an indefinite lived intangible asset not subject to amortization of $900 related to the value of the trade names of Whirlaway. There are no indicators of impairment for this indefinite lived intangible asset as of June 30,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11.Shared-Based Compensation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and six month periods ended June 30, 2012 and 2011, approximately $525 and $884 in 2012 and $116 and $116 in 2011, respectively, of compensation expense was recognized in selling, general and administrative expense for all share-based awards. During the six month period ended June 30, 2012, there were 75 share awards and 285 option awards granted to non-executive directors, officers and certain other key employees. There were 75 share awards and 201 option awards granted to non-executive directors, officers and certain other key employees during the three and six month periods ended June 30, 2011.</w:t>
      </w:r>
    </w:p>
    <w:p>
      <w:pPr>
        <w:spacing w:after="0" w:line="143"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75 restricted shares granted during the six month period ended June 30, 2012, vest pro-rata over three years. During the six month periods ended June 30, 2012 and 2011, we incurred $365 and $50, respectively, in expense related to restricted stock. The fair value of the shares issued was determined by using the grant date closing price of our common stock.</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incurred $519 and $66 of stock option expense in the six month periods ended June 30, 2012 and 2011, respectively. The fair value of our options cannot be determined by market value, as our options are not traded in an open market. Accordingly, the Black Scholes financial pricing model is utilized to estimate the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six month period ended June 30,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Remaining</w:t>
            </w: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6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0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6360" w:type="dxa"/>
            <w:vAlign w:val="bottom"/>
            <w:gridSpan w:val="3"/>
            <w:vMerge w:val="continue"/>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48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8"/>
              </w:rPr>
              <w:t>($000)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1,141</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10.12</w:t>
            </w: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8.85</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11.69</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9.88</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Exercisable at June 30, 2012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3"/>
            <w:vMerge w:val="continue"/>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979</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9.61</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1,892</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The intrinsic value is the amount by which the market price of our stock was greater than the exercise price of any individual option grant at June 30,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Provision for Income Taxes</w:t>
      </w:r>
    </w:p>
    <w:p>
      <w:pPr>
        <w:spacing w:after="0" w:line="9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As of June 30, 2012, we continued to place a valuation allowance on all of the net deferred tax assets of our U.S. locations, the balance of which approximated $10,300 at June 30, 2012. The ongoing necessity of this valuation allowance is based on the negative financial performance of our U.S. operations during the global economic recession of 2008 and 2009 and the negative financial performance during 2010 from losses incurred at the Precision Metal Components Segment. During the six months ended June 30, 2012, the valuation allowance on a portion of these deferred tax assets was reversed to offset tax expense, as our U.S. based units had a combined pre-tax income of $5,966. While our U.S. entities have generated pre-tax income of $5,966 and $1,633 during the six months ended June 30, 2012 and the year ended December 31, 2011, respectively, the substantial cumulative losses in 2009 and 2010 outweigh the positive evidence of the year to date 2012 and 2011 taxable income. If the profitability of the U.S. entities continues, it is likely that a significant portion of the valuation allowance (except for the valuation allowance on the foreign tax credits of approximately $3,250) will be reversed. This will result in a material benefit to income tax expense and a resulting benefit to net income in the period in which the valuation allowances are reversed.</w:t>
      </w:r>
    </w:p>
    <w:p>
      <w:pPr>
        <w:spacing w:after="0" w:line="120"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For the six month period ended June 30, 2012, the difference between the U.S. federal statutory tax rate of 34% and our effective tax rate of 18% was primarily due to utilization of the fully reserved net operating losses to offset U.S. based taxable income, which lowered tax expense by $2,189. Additionally, the tax rate was impacted by non-U.S. based earnings being taxed at lower rates, which reduced tax expense by $657.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do not foresee any significant changes to our unrecognized tax benefits within the next twelve months.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described more fully in our Form 10-K for 2011, we continue to monitor the remediation efforts at a former waste recycling vendor used by our former Walterboro, South Carolina facility. The costs associated with the remediation, which has been tentatively approved by the EPA, are estimated to be approximately $10,000. Our allocated share is approximately $132 which has been paid in full as of June 30, 2012. While there can be no assurances, we believe that $132 is the maximum amount for which we will be liable under the tentatively accepted remediation plan.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discussed more fully in Note 1 of the Notes to Condensed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4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NN, Inc.</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of Financial Instruments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values of our fixed rate long-term borrowings are calculated by using a discounted cash flow analysis factoring in current market borrowing rates for similar types of borrowing arrangements under our credit profile. The current market borrowing rates are Level 2 inputs under the U.S. GAAP fair value hierarchy. The carrying amounts and fair values of our long-term debt are in the table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6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 2012</w:t>
            </w: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33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Carrying</w:t>
            </w: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Carrying</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55"/>
        </w:trPr>
        <w:tc>
          <w:tcPr>
            <w:tcW w:w="3580" w:type="dxa"/>
            <w:vAlign w:val="bottom"/>
            <w:gridSpan w:val="3"/>
            <w:vMerge w:val="continue"/>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long-term debt</w:t>
            </w:r>
          </w:p>
        </w:tc>
        <w:tc>
          <w:tcPr>
            <w:tcW w:w="4300" w:type="dxa"/>
            <w:vAlign w:val="bottom"/>
            <w:gridSpan w:val="3"/>
            <w:shd w:val="clear" w:color="auto" w:fill="CCEEFF"/>
          </w:tcPr>
          <w:p>
            <w:pPr>
              <w:jc w:val="center"/>
              <w:ind w:left="2832"/>
              <w:spacing w:after="0"/>
              <w:rPr>
                <w:sz w:val="20"/>
                <w:szCs w:val="20"/>
                <w:color w:val="auto"/>
              </w:rPr>
            </w:pPr>
            <w:r>
              <w:rPr>
                <w:rFonts w:ascii="Arial" w:cs="Arial" w:eastAsia="Arial" w:hAnsi="Arial"/>
                <w:sz w:val="18"/>
                <w:szCs w:val="18"/>
                <w:color w:val="auto"/>
                <w:w w:val="89"/>
              </w:rPr>
              <w:t>$50,136</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$50,136</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$40,989</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Fixed rate long-term debt</w:t>
            </w:r>
          </w:p>
        </w:tc>
        <w:tc>
          <w:tcPr>
            <w:tcW w:w="4300" w:type="dxa"/>
            <w:vAlign w:val="bottom"/>
            <w:gridSpan w:val="3"/>
          </w:tcPr>
          <w:p>
            <w:pPr>
              <w:jc w:val="center"/>
              <w:ind w:left="2832"/>
              <w:spacing w:after="0"/>
              <w:rPr>
                <w:sz w:val="20"/>
                <w:szCs w:val="20"/>
                <w:color w:val="auto"/>
              </w:rPr>
            </w:pPr>
            <w:r>
              <w:rPr>
                <w:rFonts w:ascii="Arial" w:cs="Arial" w:eastAsia="Arial" w:hAnsi="Arial"/>
                <w:sz w:val="18"/>
                <w:szCs w:val="18"/>
                <w:color w:val="auto"/>
                <w:w w:val="89"/>
              </w:rPr>
              <w:t>$31,429</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$32,870</w:t>
            </w:r>
          </w:p>
        </w:tc>
        <w:tc>
          <w:tcPr>
            <w:tcW w:w="4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$37,143</w:t>
            </w:r>
          </w:p>
        </w:tc>
        <w:tc>
          <w:tcPr>
            <w:tcW w:w="3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tcPr>
          <w:p>
            <w:pPr>
              <w:jc w:val="right"/>
              <w:ind w:right="1472"/>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our Annual Report on Form 10-K for the year ended December 31, 2011 which we filed with the Securities and Exchange Commission on March 15,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2012 Compared to the Three Months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w w:val="95"/>
              </w:rPr>
              <w:t>Consolidated NN, Inc.</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98,824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115,922</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9"/>
              </w:rPr>
              <w:t>(17,098)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468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products sold (exclusive of depreciation and amortization shown separately below)</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77,848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8"/>
              </w:rPr>
              <w:t>94,657</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9"/>
              </w:rPr>
              <w:t>(16,809)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7,720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849</w:t>
            </w:r>
          </w:p>
        </w:tc>
        <w:tc>
          <w:tcPr>
            <w:tcW w:w="0" w:type="dxa"/>
            <w:vAlign w:val="bottom"/>
          </w:tcPr>
          <w:p>
            <w:pPr>
              <w:spacing w:after="0"/>
              <w:rPr>
                <w:sz w:val="1"/>
                <w:szCs w:val="1"/>
                <w:color w:val="auto"/>
              </w:rPr>
            </w:pPr>
          </w:p>
        </w:tc>
      </w:tr>
      <w:tr>
        <w:trPr>
          <w:trHeight w:val="323"/>
        </w:trPr>
        <w:tc>
          <w:tcPr>
            <w:tcW w:w="67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4,389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4,291</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i w:val="1"/>
                <w:iCs w:val="1"/>
                <w:color w:val="auto"/>
              </w:rPr>
              <w:t>Net increase in depreciation expense</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1,220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8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4"/>
              </w:rPr>
              <w:t>(1,239)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155</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8,398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7,876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522</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2,049</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1,211</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during the second quarter of 2012 from the second quarter of 2011 due to lower sales volumes experienced at our Metal Bearing</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and our Plastics and Rubber Components Segments. These effects were partially offset by increased sales volume in our Precision Metal Components Segment. The majority of the reduction in sales volume was experienced at our units located in Europe, the U.S. and Asia that sold into the European market due to macro-economic issues within the European Union and from overall lower automotive demand in Europe. Additionally, we believe demand for our products was affected by our customers and their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customers adjusting inventory levels, as our sales volume reduction was much greater than the reduction in actual end market demand within the markets we serve. Finally, sales were reduced as the strengthening of the US Dollar caused a lower translated value of Euro denominated sales.</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A large portion of the decrease was from the lower sales volumes,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 and the related reductions in production costs at those units of the Metal Bearing Components Segment that sold product in Europe. Additionally, 2012 cost of products sold was lower in comparison to 2011, as the start-up costs incurred during 2011 for new multi-year sales programs at our Precision Metal Components Segment did not repeat during 2012. The 2012 cost of products sold was further reduced by benefits from specific cost reduction projects undertaken during 2012. Finally, cost of products sold was reduced as the strengthening of the US Dollar caused a lower translated value of Euro denominated costs.</w:t>
      </w:r>
    </w:p>
    <w:p>
      <w:pPr>
        <w:spacing w:after="0" w:line="144"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was primarily due to higher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the carryover effects of depreciation expense generated by 2011 capital expenditures placed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second quarter of 2011.</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Included in other expense(income), net, during the three months ended June 30, 2012, was $1.1 million related to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gains on inter-company loans. During the three months ended June 30, 2011, inter-company loans generated foreign exchange losses of $0.3 million. The gains and losses are a function of the appreciation or depreciation of the Euro versus the U.S. Dollar.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55"/>
        </w:trPr>
        <w:tc>
          <w:tcPr>
            <w:tcW w:w="4720" w:type="dxa"/>
            <w:vAlign w:val="bottom"/>
            <w:gridSpan w:val="3"/>
            <w:vMerge w:val="continue"/>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2"/>
              </w:rPr>
              <w:t>June 30,</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9"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535"/>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32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3"/>
              </w:rPr>
              <w:t>65,768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84,827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875"/>
              <w:spacing w:after="0"/>
              <w:rPr>
                <w:sz w:val="20"/>
                <w:szCs w:val="20"/>
                <w:color w:val="auto"/>
              </w:rPr>
            </w:pPr>
            <w:r>
              <w:rPr>
                <w:rFonts w:ascii="Arial" w:cs="Arial" w:eastAsia="Arial" w:hAnsi="Arial"/>
                <w:sz w:val="18"/>
                <w:szCs w:val="18"/>
                <w:b w:val="1"/>
                <w:bCs w:val="1"/>
                <w:color w:val="auto"/>
                <w:w w:val="86"/>
              </w:rPr>
              <w:t>(19,059)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i w:val="1"/>
                <w:iCs w:val="1"/>
                <w:color w:val="auto"/>
              </w:rPr>
              <w:t>Price/mix</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550</w:t>
            </w:r>
          </w:p>
        </w:tc>
        <w:tc>
          <w:tcPr>
            <w:tcW w:w="0" w:type="dxa"/>
            <w:vAlign w:val="bottom"/>
          </w:tcPr>
          <w:p>
            <w:pPr>
              <w:spacing w:after="0"/>
              <w:rPr>
                <w:sz w:val="1"/>
                <w:szCs w:val="1"/>
                <w:color w:val="auto"/>
              </w:rPr>
            </w:pPr>
          </w:p>
        </w:tc>
      </w:tr>
      <w:tr>
        <w:trPr>
          <w:trHeight w:val="322"/>
        </w:trPr>
        <w:tc>
          <w:tcPr>
            <w:tcW w:w="47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8,898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875"/>
              <w:spacing w:after="0"/>
              <w:rPr>
                <w:sz w:val="20"/>
                <w:szCs w:val="20"/>
                <w:color w:val="auto"/>
              </w:rPr>
            </w:pPr>
            <w:r>
              <w:rPr>
                <w:rFonts w:ascii="Arial" w:cs="Arial" w:eastAsia="Arial" w:hAnsi="Arial"/>
                <w:sz w:val="18"/>
                <w:szCs w:val="18"/>
                <w:b w:val="1"/>
                <w:bCs w:val="1"/>
                <w:color w:val="auto"/>
              </w:rPr>
              <w:t>(2,648)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decrease in sales during the second quarter of 2012 was driven mainly by volume reductions at our European units of this segment; however, all locations experienced sales volume reductions compared to the second quarter of 2011 due largely to lower demand for our products sold into the European market. The reductions were due to European macro-economic issues, much lower automotive demand in Europe and, we believe, overall reductions of inventory levels in the supply chains we serve. Additionally, sales were reduced as the strengthening of the US Dollar caused a lower translated value of Euro denominated sales.</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segment net income in the second quarter of 2012 was negatively impacted by lost profits from much lower sales volumes and related production inefficiencies from lower production levels. These reductions were driven by much lower demand for our products at our European operating units of this segment and at those segment units importing into Europe, as discussed above. Partially offsetting the volume effects were benefits from specific cost reduction projects undertaken during 2012.</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87"/>
              </w:rPr>
              <w:t>Three months ended</w:t>
            </w:r>
          </w:p>
        </w:tc>
        <w:tc>
          <w:tcPr>
            <w:tcW w:w="0" w:type="dxa"/>
            <w:vAlign w:val="bottom"/>
          </w:tcPr>
          <w:p>
            <w:pPr>
              <w:spacing w:after="0"/>
              <w:rPr>
                <w:sz w:val="1"/>
                <w:szCs w:val="1"/>
                <w:color w:val="auto"/>
              </w:rPr>
            </w:pPr>
          </w:p>
        </w:tc>
      </w:tr>
      <w:tr>
        <w:trPr>
          <w:trHeight w:val="155"/>
        </w:trPr>
        <w:tc>
          <w:tcPr>
            <w:tcW w:w="1500" w:type="dxa"/>
            <w:vAlign w:val="bottom"/>
            <w:gridSpan w:val="2"/>
            <w:vMerge w:val="continue"/>
          </w:tcPr>
          <w:p>
            <w:pPr>
              <w:spacing w:after="0"/>
              <w:rPr>
                <w:sz w:val="13"/>
                <w:szCs w:val="13"/>
                <w:color w:val="auto"/>
              </w:rPr>
            </w:pPr>
          </w:p>
        </w:tc>
        <w:tc>
          <w:tcPr>
            <w:tcW w:w="5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center"/>
              <w:ind w:left="324"/>
              <w:spacing w:after="0" w:line="148"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392"/>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22,561</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$19,534</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b w:val="1"/>
                <w:bCs w:val="1"/>
                <w:color w:val="auto"/>
                <w:w w:val="90"/>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8"/>
                <w:szCs w:val="18"/>
                <w:i w:val="1"/>
                <w:iCs w:val="1"/>
                <w:color w:val="auto"/>
              </w:rPr>
              <w:t>Volume</w:t>
            </w: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Price/mix</w:t>
            </w:r>
          </w:p>
        </w:tc>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(43)</w:t>
            </w:r>
          </w:p>
        </w:tc>
        <w:tc>
          <w:tcPr>
            <w:tcW w:w="0" w:type="dxa"/>
            <w:vAlign w:val="bottom"/>
          </w:tcPr>
          <w:p>
            <w:pPr>
              <w:spacing w:after="0"/>
              <w:rPr>
                <w:sz w:val="1"/>
                <w:szCs w:val="1"/>
                <w:color w:val="auto"/>
              </w:rPr>
            </w:pPr>
          </w:p>
        </w:tc>
      </w:tr>
      <w:tr>
        <w:trPr>
          <w:trHeight w:val="322"/>
        </w:trPr>
        <w:tc>
          <w:tcPr>
            <w:tcW w:w="15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1,911</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 (1,130)</w:t>
            </w:r>
          </w:p>
        </w:tc>
        <w:tc>
          <w:tcPr>
            <w:tcW w:w="1380" w:type="dxa"/>
            <w:vAlign w:val="bottom"/>
            <w:gridSpan w:val="2"/>
          </w:tcPr>
          <w:p>
            <w:pPr>
              <w:jc w:val="right"/>
              <w:ind w:right="792"/>
              <w:spacing w:after="0"/>
              <w:rPr>
                <w:sz w:val="20"/>
                <w:szCs w:val="20"/>
                <w:color w:val="auto"/>
              </w:rPr>
            </w:pPr>
            <w:r>
              <w:rPr>
                <w:rFonts w:ascii="Arial" w:cs="Arial" w:eastAsia="Arial" w:hAnsi="Arial"/>
                <w:sz w:val="18"/>
                <w:szCs w:val="18"/>
                <w:b w:val="1"/>
                <w:bCs w:val="1"/>
                <w:color w:val="auto"/>
                <w:w w:val="90"/>
              </w:rPr>
              <w:t>$3,041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majority of the increase in sales at this segment was due to fulfilling sales orders, at the full year run rate, for a new sales program started in 2011. This new sales program was just being launched during the second quarter of 2011 and had much lower sales levels during that period.</w:t>
      </w:r>
    </w:p>
    <w:p>
      <w:pPr>
        <w:spacing w:after="0" w:line="8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segment improved from a net loss to a net income due to profits from increased sales volumes and from the elimination of start-up costs on the new multi-year sales programs incurred during 2011. This segment incurred $2.0 million of operational inefficiencies and additional costs related to ramping up production for the new large multi-year sales programs during the second quarter of 2011 which did not repeat during the second quarter of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55"/>
        </w:trPr>
        <w:tc>
          <w:tcPr>
            <w:tcW w:w="69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rPr>
              <w:t>June 30,</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4"/>
              <w:spacing w:after="0" w:line="14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3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10,495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11,561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87"/>
              </w:rPr>
              <w:t>(1,066)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Price/material pass-through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322"/>
        </w:trPr>
        <w:tc>
          <w:tcPr>
            <w:tcW w:w="69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800</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776"/>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Lower sales volumes were due to expirations of certain sales programs. Segment net income decreased due to the lower sales volumes partially offset by specific cost reduction projects undertaken during 2012.</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2012 Compared to the Six Months Ended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w w:val="93"/>
              </w:rPr>
              <w:t>Consolidated NN, Inc.</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203,343</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227,229</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9"/>
              </w:rPr>
              <w:t>(23,886)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Price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1,497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9"/>
              </w:rPr>
              <w:t>Cost of products sold (exclusive of depreciation and amortization shown separately</w:t>
            </w: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160,817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184,955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vMerge w:val="restart"/>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9"/>
              </w:rPr>
              <w:t>(24,138)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below)</w:t>
            </w:r>
          </w:p>
        </w:tc>
        <w:tc>
          <w:tcPr>
            <w:tcW w:w="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Mix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Inflation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2,712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Increase in spending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1,042</w:t>
            </w:r>
          </w:p>
        </w:tc>
        <w:tc>
          <w:tcPr>
            <w:tcW w:w="0" w:type="dxa"/>
            <w:vAlign w:val="bottom"/>
          </w:tcPr>
          <w:p>
            <w:pPr>
              <w:spacing w:after="0"/>
              <w:rPr>
                <w:sz w:val="1"/>
                <w:szCs w:val="1"/>
                <w:color w:val="auto"/>
              </w:rPr>
            </w:pPr>
          </w:p>
        </w:tc>
      </w:tr>
      <w:tr>
        <w:trPr>
          <w:trHeight w:val="323"/>
        </w:trPr>
        <w:tc>
          <w:tcPr>
            <w:tcW w:w="65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8,846</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8,326</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i w:val="1"/>
                <w:iCs w:val="1"/>
                <w:color w:val="auto"/>
              </w:rPr>
              <w:t>Net increase in depreciation expense</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811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from deconsolidation of bankrupt subsidiary</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2,327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(800)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1,191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(1,991)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15,782</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14,833</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2,835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3,499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12,947</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11,334</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1,613</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during the first half of 2012 from the first half of 2011 primarily due to volume reductions experienced at our European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units of our Metal Bearing Components Segment and to a lesser extent at units importing into Europe. These effects were partially offset by increased sales volume in our Precision Metal Components Segment. The reduction of our sales volumes into the European market was due in part to macro-economic issues within the European Union and from overall lower automotive demand in Europe. Additionally, we believe demand for our products was affected by our customers and their customers adjusting inventory levels, as our sales volume reduction was much greater than the reduction in actual end market demand within the markets we serve. Finally, sales were reduced as the strengthening of the US Dollar caused a lower translated value of Euro denominated sales.</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A large portion of the decrease was from the lower sales volumes,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 and the related reductions in production costs at those units of the Metal Bearing Components Segment that sold into European markets. Additionally, 2012 cost of products sold was lower in comparison to 2011, as the additional start-up costs incurred during 2011 for new multi-year sales programs at our Precision Metal Components Segment did not repeat during 2012. The 2012 cost of products sold was further reduced by benefits from specific cost reduction projects undertaken during 2012. Finally, cost of products sold was reduced as the strengthening of the US Dollar caused a lower translated value of Euro denominated costs.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increase in spending in selling, general and administrative expenses was primarily due to higher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costs.</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was due to the carryover effects of depreciation expense generated by 2011 capital expenditures placed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first half of 2011.</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Other expense(income), net. </w:t>
      </w:r>
      <w:r>
        <w:rPr>
          <w:rFonts w:ascii="Arial" w:cs="Arial" w:eastAsia="Arial" w:hAnsi="Arial"/>
          <w:sz w:val="16"/>
          <w:szCs w:val="16"/>
          <w:color w:val="auto"/>
        </w:rPr>
        <w:t>Included in other expense(income), net, during the six months ended June 30, 2012, was $0.4 million related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gains on inter-company loans. During the six months ended June 30, 2011, inter-company loans generated foreign exchange losses of $1.2 million. The gains and losses are a function of the appreciation or depreciation of the Euro versus the U.S. Dollar. Additionally, 2012 included $0.2 million in gains realized with receipt of the final payment of a note receivable. (See Note 2 of the Notes to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55"/>
        </w:trPr>
        <w:tc>
          <w:tcPr>
            <w:tcW w:w="4640" w:type="dxa"/>
            <w:vAlign w:val="bottom"/>
            <w:gridSpan w:val="3"/>
            <w:vMerge w:val="continue"/>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left="404"/>
              <w:spacing w:after="0" w:line="148"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4"/>
              <w:spacing w:after="0" w:line="149"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515"/>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6"/>
              </w:rPr>
              <w:t>137,898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168,609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shd w:val="clear" w:color="auto" w:fill="CCEEFF"/>
          </w:tcPr>
          <w:p>
            <w:pPr>
              <w:jc w:val="right"/>
              <w:ind w:right="875"/>
              <w:spacing w:after="0"/>
              <w:rPr>
                <w:sz w:val="20"/>
                <w:szCs w:val="20"/>
                <w:color w:val="auto"/>
              </w:rPr>
            </w:pPr>
            <w:r>
              <w:rPr>
                <w:rFonts w:ascii="Arial" w:cs="Arial" w:eastAsia="Arial" w:hAnsi="Arial"/>
                <w:sz w:val="18"/>
                <w:szCs w:val="18"/>
                <w:b w:val="1"/>
                <w:bCs w:val="1"/>
                <w:color w:val="auto"/>
                <w:w w:val="86"/>
              </w:rPr>
              <w:t>(30,711)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i w:val="1"/>
                <w:iCs w:val="1"/>
                <w:color w:val="auto"/>
              </w:rPr>
              <w:t>Foreign exchange effects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Volume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i w:val="1"/>
                <w:iCs w:val="1"/>
                <w:color w:val="auto"/>
              </w:rPr>
              <w:t>Price/mix</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Material inflation pass-through</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1,540</w:t>
            </w:r>
          </w:p>
        </w:tc>
        <w:tc>
          <w:tcPr>
            <w:tcW w:w="0" w:type="dxa"/>
            <w:vAlign w:val="bottom"/>
          </w:tcPr>
          <w:p>
            <w:pPr>
              <w:spacing w:after="0"/>
              <w:rPr>
                <w:sz w:val="1"/>
                <w:szCs w:val="1"/>
                <w:color w:val="auto"/>
              </w:rPr>
            </w:pPr>
          </w:p>
        </w:tc>
      </w:tr>
      <w:tr>
        <w:trPr>
          <w:trHeight w:val="322"/>
        </w:trPr>
        <w:tc>
          <w:tcPr>
            <w:tcW w:w="46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13,215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18,729</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Pr>
          <w:p>
            <w:pPr>
              <w:jc w:val="right"/>
              <w:ind w:right="875"/>
              <w:spacing w:after="0"/>
              <w:rPr>
                <w:sz w:val="20"/>
                <w:szCs w:val="20"/>
                <w:color w:val="auto"/>
              </w:rPr>
            </w:pPr>
            <w:r>
              <w:rPr>
                <w:rFonts w:ascii="Arial" w:cs="Arial" w:eastAsia="Arial" w:hAnsi="Arial"/>
                <w:sz w:val="18"/>
                <w:szCs w:val="18"/>
                <w:b w:val="1"/>
                <w:bCs w:val="1"/>
                <w:color w:val="auto"/>
              </w:rPr>
              <w:t>(5,514)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decrease in sales during the first half of 2012 was driven mainly by volume reductions at our European units of this segment and at those segment units importing into Europe, as discussed above. The reductions were due to European macro-economic issues, much lower automotive demand in Europe and, we believe, overall reductions of inventory levels in the supply chains we serve. Additionally, sales were reduced as the strengthening of the US Dollar caused a lower translated value of Euro denominated sales.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segment net income in the first half of 2012 was negatively impacted by lost profits from much lower sales volumes and related production inefficiencies from lower production levels. These reductions were driven by much lower demand for our products at our European operating units of this segment and at those segment units importing into Europe, as discussed above. Partially offsetting the volume effects were benefits from specific cost reduction projects undertaken in the first half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4"/>
              </w:rPr>
              <w:t>(In Thousands of Dollars)</w:t>
            </w:r>
          </w:p>
        </w:tc>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1500" w:type="dxa"/>
            <w:vAlign w:val="bottom"/>
            <w:gridSpan w:val="2"/>
            <w:vMerge w:val="continue"/>
          </w:tcPr>
          <w:p>
            <w:pPr>
              <w:spacing w:after="0"/>
              <w:rPr>
                <w:sz w:val="13"/>
                <w:szCs w:val="13"/>
                <w:color w:val="auto"/>
              </w:rPr>
            </w:pPr>
          </w:p>
        </w:tc>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w w:val="92"/>
              </w:rPr>
              <w:t>June 30,</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340"/>
              <w:spacing w:after="0" w:line="149"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5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56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3"/>
              </w:rPr>
              <w:t>43,873</w:t>
            </w:r>
          </w:p>
        </w:tc>
        <w:tc>
          <w:tcPr>
            <w:tcW w:w="11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$35,936</w:t>
            </w:r>
          </w:p>
        </w:tc>
        <w:tc>
          <w:tcPr>
            <w:tcW w:w="1340" w:type="dxa"/>
            <w:vAlign w:val="bottom"/>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87"/>
              </w:rPr>
              <w:t>$7,937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8"/>
                <w:szCs w:val="18"/>
                <w:i w:val="1"/>
                <w:iCs w:val="1"/>
                <w:color w:val="auto"/>
              </w:rPr>
              <w:t>Volume</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Price/mix</w:t>
            </w: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5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3,550</w:t>
            </w: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 (3,338)</w:t>
            </w:r>
          </w:p>
        </w:tc>
        <w:tc>
          <w:tcPr>
            <w:tcW w:w="1340" w:type="dxa"/>
            <w:vAlign w:val="bottom"/>
          </w:tcPr>
          <w:p>
            <w:pPr>
              <w:jc w:val="right"/>
              <w:ind w:right="756"/>
              <w:spacing w:after="0"/>
              <w:rPr>
                <w:sz w:val="20"/>
                <w:szCs w:val="20"/>
                <w:color w:val="auto"/>
              </w:rPr>
            </w:pPr>
            <w:r>
              <w:rPr>
                <w:rFonts w:ascii="Arial" w:cs="Arial" w:eastAsia="Arial" w:hAnsi="Arial"/>
                <w:sz w:val="18"/>
                <w:szCs w:val="18"/>
                <w:b w:val="1"/>
                <w:bCs w:val="1"/>
                <w:color w:val="auto"/>
                <w:w w:val="87"/>
              </w:rPr>
              <w:t>$6,888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0" w:type="dxa"/>
            <w:vAlign w:val="bottom"/>
          </w:tcPr>
          <w:p>
            <w:pPr>
              <w:jc w:val="right"/>
              <w:ind w:right="16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majority of the increase in sales at this segment was due to fulfilling sales orders, at the full year run rate, for a new sales program started in 2011. This new sales program was just being launched during the first half of 2011 and had minimal sales levels during that period.</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segment improved from a net loss to a net income due to profits from increased sales volumes and from the elimination of start-up costs on the new multi-year sales programs incurred during 2011. This segment incurred $4.5 million of operational inefficiencies and additional costs related to ramping up production for new large multi-year sales programs during the first half of 2011 which did not repeat during the first half of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55"/>
        </w:trPr>
        <w:tc>
          <w:tcPr>
            <w:tcW w:w="4700" w:type="dxa"/>
            <w:vAlign w:val="bottom"/>
            <w:gridSpan w:val="3"/>
            <w:vMerge w:val="continue"/>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4"/>
              <w:spacing w:after="0" w:line="149"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36"/>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4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7"/>
              </w:rPr>
              <w:t>21,572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3"/>
              </w:rPr>
              <w:t>22,684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87"/>
              </w:rPr>
              <w:t>(1,112)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i w:val="1"/>
                <w:iCs w:val="1"/>
                <w:color w:val="auto"/>
              </w:rPr>
              <w:t>Volume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Price/material pass-through</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238</w:t>
            </w:r>
          </w:p>
        </w:tc>
        <w:tc>
          <w:tcPr>
            <w:tcW w:w="0" w:type="dxa"/>
            <w:vAlign w:val="bottom"/>
          </w:tcPr>
          <w:p>
            <w:pPr>
              <w:spacing w:after="0"/>
              <w:rPr>
                <w:sz w:val="1"/>
                <w:szCs w:val="1"/>
                <w:color w:val="auto"/>
              </w:rPr>
            </w:pPr>
          </w:p>
        </w:tc>
      </w:tr>
      <w:tr>
        <w:trPr>
          <w:trHeight w:val="322"/>
        </w:trPr>
        <w:tc>
          <w:tcPr>
            <w:tcW w:w="47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1,760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1,736</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Pr>
          <w:p>
            <w:pPr>
              <w:jc w:val="right"/>
              <w:ind w:right="836"/>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Lower sales volumes were due to expirations of certain sales programs. Segment net income was impacted by the lower sales volumes offset by specific cost reduction projects undertaken during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From December 31, 2011 to June 30, 2012, our total assets increased $5.3 million and our current assets increased $10.2 million. Excluding foreign exchange effects, total assets and current assets increased approximately $8.7 million and $11.9 million, respectively, from December 31, 2011.</w:t>
      </w:r>
    </w:p>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Excluding the foreign exchange effects, accounts receivable was higher by $5.4 million due to the 9% increase in sales volume experienced in June and May of 2012 from sales levels in December and November of 2011. The days sales outstanding at June 30, 2012 was consistent with days sales outstanding at December 31, 2011. Net overdue receivables were approximately 18% and 19% of total accounts receivable at June 30, 2012 and December 31, 2011, respectively, the vast majority of which were 0-30 days past due.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remainder of the increase in total and current assets was due principally to the $7.5 million increase in cash from the current year net cash flow. The increases in accounts receivable and cash were partially offset by receipt of $1.9 million for the pay off a note receivable.</w:t>
      </w:r>
    </w:p>
    <w:p>
      <w:pPr>
        <w:spacing w:after="0" w:line="132"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From December 31, 2011 to June 30, 2012, our total liabilities decreased $5.4 million. Excluding foreign exchange effects, total liabilities decreased approximately $4.3 million from December 31, 2011. The majority of the reduction was from a $7.5 million accounts payable decrease, excluding foreign exchange effects, driven by timing of payments to certain vendors and lower levels of spending for raw material during June/May of 2012 compared to December/November of 2011.</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which consists principally of accounts receivable and inventories offset by accounts payable and current maturities of long-term debt, was $69.1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at June 30, 2012 as compared to $51.0 million at December 31, 2011. The ratio of current assets to current liabilities increased from 1.70:1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to 2.06:1 at June 30, 2012. The increase in working capital was due primarily to the growth in accounts receivable, the growth in cash and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reduction in accounts payable, all as discussed above.</w:t>
      </w:r>
    </w:p>
    <w:p>
      <w:pPr>
        <w:spacing w:after="0" w:line="16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Cash flow provided by operations was $11.6 million for the first six months of 2012 compared with cash flow used by operations of $2.0 million for the same period in 2011. The favorable variance was principally due to a much smaller increase in accounts receivables experienced during the first half of 2012 than the increase experienced in the first half of 2011 driven by the lower sales volumes in the first half of 2012 versus the first half of 2011.</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Amounts outstanding under our $100.0 million credit facility and our $60.0 million in fixed rate notes as of June 30, 2012 were $50.1 million (including $0.9 million under our swing line of credit) and $31.4 million, respectively. As of June 30, 2012, we can borrow up to an additional $38.9 million under the $100.0 million credit facility (including $9.1 million under our swing line of credit) subject to limitations based on existing financial covenants. The $38.9 million of availability is net of $1.0 million of outstanding letters of credit at June 30, 2012 which are considered as usage of the facility and considers our new liquidity requirement, from the September 30, 2011 amendment, that the total outstanding under the revolving credit agreement shall be at least $10 million less than the total committed amount of $100 million during the period commencing September 30, 2011 and ending on September 30, 2012.</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 compliance with all covenants related to the amended and restated $100.0 million credit facility and the amended and restated $60.0 million in fixed rate notes as of June 30, 2012. The specific covenants to which we are subject and the actual results achieved for the three month period ended June 30, 2012 are stated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Financial Covenants</w:t>
            </w:r>
          </w:p>
        </w:tc>
        <w:tc>
          <w:tcPr>
            <w:tcW w:w="780" w:type="dxa"/>
            <w:vAlign w:val="bottom"/>
          </w:tcPr>
          <w:p>
            <w:pPr>
              <w:spacing w:after="0"/>
              <w:rPr>
                <w:sz w:val="14"/>
                <w:szCs w:val="14"/>
                <w:color w:val="auto"/>
              </w:rPr>
            </w:pPr>
          </w:p>
        </w:tc>
        <w:tc>
          <w:tcPr>
            <w:tcW w:w="628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Required Covenant Level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Actual Level</w:t>
            </w:r>
          </w:p>
        </w:tc>
        <w:tc>
          <w:tcPr>
            <w:tcW w:w="0" w:type="dxa"/>
            <w:vAlign w:val="bottom"/>
          </w:tcPr>
          <w:p>
            <w:pPr>
              <w:spacing w:after="0"/>
              <w:rPr>
                <w:sz w:val="1"/>
                <w:szCs w:val="1"/>
                <w:color w:val="auto"/>
              </w:rPr>
            </w:pPr>
          </w:p>
        </w:tc>
      </w:tr>
      <w:tr>
        <w:trPr>
          <w:trHeight w:val="155"/>
        </w:trPr>
        <w:tc>
          <w:tcPr>
            <w:tcW w:w="236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6280" w:type="dxa"/>
            <w:vAlign w:val="bottom"/>
            <w:gridSpan w:val="2"/>
            <w:vMerge w:val="continue"/>
          </w:tcPr>
          <w:p>
            <w:pPr>
              <w:spacing w:after="0"/>
              <w:rPr>
                <w:sz w:val="13"/>
                <w:szCs w:val="13"/>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Achieved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70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Not to be less than 3.00 to 1.00 as of the last day of any fiscal quarter</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7060" w:type="dxa"/>
            <w:vAlign w:val="bottom"/>
            <w:gridSpan w:val="3"/>
          </w:tcPr>
          <w:p>
            <w:pPr>
              <w:ind w:left="780"/>
              <w:spacing w:after="0"/>
              <w:rPr>
                <w:sz w:val="20"/>
                <w:szCs w:val="20"/>
                <w:color w:val="auto"/>
              </w:rPr>
            </w:pPr>
            <w:r>
              <w:rPr>
                <w:rFonts w:ascii="Arial" w:cs="Arial" w:eastAsia="Arial" w:hAnsi="Arial"/>
                <w:sz w:val="18"/>
                <w:szCs w:val="18"/>
                <w:color w:val="auto"/>
              </w:rPr>
              <w:t>Not to be less than 1.00 to 1.00 as of the last day of any fiscal quarter</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1.31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70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Not to exceed 2.50 to 1.00 for the most recently completed four fiscal quarters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1.74 to 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7060" w:type="dxa"/>
            <w:vAlign w:val="bottom"/>
            <w:gridSpan w:val="3"/>
          </w:tcPr>
          <w:p>
            <w:pPr>
              <w:ind w:left="780"/>
              <w:spacing w:after="0"/>
              <w:rPr>
                <w:sz w:val="20"/>
                <w:szCs w:val="20"/>
                <w:color w:val="auto"/>
              </w:rPr>
            </w:pPr>
            <w:r>
              <w:rPr>
                <w:rFonts w:ascii="Arial" w:cs="Arial" w:eastAsia="Arial" w:hAnsi="Arial"/>
                <w:sz w:val="18"/>
                <w:szCs w:val="18"/>
                <w:color w:val="auto"/>
              </w:rPr>
              <w:t>Not to invest more than $25,524 during the fiscal year 2012</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9,090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Starting October 1, 2012, the minimum fixed charge coverage ratio increases to “not to be less than 1.25 to 1.00 as of the last day of any fiscal quarter”.</w:t>
      </w:r>
    </w:p>
    <w:p>
      <w:pPr>
        <w:spacing w:after="0" w:line="19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Many of our locations use the Euro as their functional currency. In 2012, the fluctuation of the Euro against the U.S. Dollar unfavorably impacted revenue, decreased the value of assets and liabilities of certain foreign subsidiaries and had an unfavorable impact on net income from the translation of net income of certain foreign subsidiaries. As of June 30, 2012, no currency hedges were in place. Changes in value of the U.S. Dollar and/or Euro against foreign currencies could impair our ability to compete with international competitors for foreign as well as domestic sales.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made planned capital expenditures totaling $9.1 million as of June 30, 2012. During 2012, we expect to spend between $15.0 million and $20.0 million on capital expenditures, the majority of which relate to new or expanded business. We believe that funds generated from operations and borrowings from our credit facilities will be sufficient to finance our capital expenditures and working capital needs through June 2013. We base this assertion on our current availability for borrowing of up to $38.9 million and our forecasted positive cash flow from operations for the remaining quarters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2011, including those policies as discussed in Note 1 to the annual report. There have been no changes to these policies during the six month period ended June 30,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are exposed to changes in financial market conditions in the normal course of our business due to use of certain financial instruments as well as transacting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various foreign currencies. To mitigate the exposure to these market risks, we have established policies, procedures and internal processes governing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of financial market risks. We are exposed to changes in interest rates primarily as a result of our borrowing activities. At June 30,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$50.1 million outstanding under our variable rate revolving credit facilities and $31.4 million fixed rate notes outstanding. See Note 8 of the Notes to Condensed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Consolidated Financial Statements. At June 30, 2012, a one-percent increase in the interest rate charged on our outstanding variable rate borrowings would result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interest expense increasing annually by approximately $0.5 million.</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June 30,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June 30, 2012, the end of the period covered by this quarterly report.</w:t>
      </w:r>
    </w:p>
    <w:p>
      <w:pPr>
        <w:spacing w:after="0" w:line="11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There have been no changes in the fiscal quarter ended June 30, 2012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As described more fully in our Form 10-K for 2011, we continue to monitor the remediation efforts at a former waste recycling vendor used by our former Walterboro, South Carolina facility. The costs associated with the remediation, which has been tentatively approved by the EPA, are estimated to be approximately $10 million of which our allocated share is approximately $0.1 million which has been fully paid as of June 30, 2012. While there can be no assurances, we believe that the $0.1 million is the maximum amount for which we will be liable under the tentatively accepted remediation plan.</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discussed more fully in Note 1of the Notes to Condensed Consolidated Financial Statements, the ultimate impact on NN of Eltmann filing for bankruptcy will depend on the findings of the bankruptcy court. However, until such court proceedings are finalized, we will not be able to determine what liabilities and contingent obligations, if any, might remain as the responsibility of NN. Under advice from legal counsel, NN does not expect any further significant impacts on our consolidated financial statements as a result of the liquidation of this subsidiary.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2011 under Item 1.A. “Risk Factors.” There have been no material changes to these risk factors since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Pursuant to Rules 13a-14(a) and 15d-14(a) under the Securities Exchange Act of 1934, as amended.</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Pursuant to Rules 13a-14(a) and 15d-14(a) under the Securities Exchange Act of 1934, as amended.</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117" w:lineRule="exact"/>
        <w:rPr>
          <w:sz w:val="20"/>
          <w:szCs w:val="20"/>
          <w:color w:val="auto"/>
        </w:rPr>
      </w:pPr>
    </w:p>
    <w:p>
      <w:pPr>
        <w:ind w:left="1100" w:hanging="63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 XBRL Instance Document</w:t>
      </w:r>
    </w:p>
    <w:p>
      <w:pPr>
        <w:spacing w:after="0" w:line="117" w:lineRule="exact"/>
        <w:rPr>
          <w:sz w:val="20"/>
          <w:szCs w:val="20"/>
          <w:color w:val="auto"/>
        </w:rPr>
      </w:pPr>
    </w:p>
    <w:p>
      <w:pPr>
        <w:ind w:left="1100" w:hanging="6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 XBRL Taxonomy Extension Schema</w:t>
      </w:r>
    </w:p>
    <w:p>
      <w:pPr>
        <w:spacing w:after="0" w:line="117" w:lineRule="exact"/>
        <w:rPr>
          <w:sz w:val="20"/>
          <w:szCs w:val="20"/>
          <w:color w:val="auto"/>
        </w:rPr>
      </w:pPr>
    </w:p>
    <w:p>
      <w:pPr>
        <w:ind w:left="1100" w:hanging="6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 XBRL Taxonomy Calculation Link base</w:t>
      </w:r>
    </w:p>
    <w:p>
      <w:pPr>
        <w:spacing w:after="0" w:line="117" w:lineRule="exact"/>
        <w:rPr>
          <w:sz w:val="20"/>
          <w:szCs w:val="20"/>
          <w:color w:val="auto"/>
        </w:rPr>
      </w:pPr>
    </w:p>
    <w:p>
      <w:pPr>
        <w:ind w:left="1100" w:hanging="6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 XBRL Taxonomy Label Link base</w:t>
      </w:r>
    </w:p>
    <w:p>
      <w:pPr>
        <w:spacing w:after="0" w:line="117" w:lineRule="exact"/>
        <w:rPr>
          <w:sz w:val="20"/>
          <w:szCs w:val="20"/>
          <w:color w:val="auto"/>
        </w:rPr>
      </w:pPr>
    </w:p>
    <w:p>
      <w:pPr>
        <w:ind w:left="1100" w:hanging="6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 XBRL Presentation Link base Document</w:t>
      </w:r>
    </w:p>
    <w:p>
      <w:pPr>
        <w:spacing w:after="0" w:line="117" w:lineRule="exact"/>
        <w:rPr>
          <w:sz w:val="20"/>
          <w:szCs w:val="20"/>
          <w:color w:val="auto"/>
        </w:rPr>
      </w:pPr>
    </w:p>
    <w:p>
      <w:pPr>
        <w:ind w:left="1100" w:hanging="6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 XBRL Definition Link base Document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3395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40" w:val="left"/>
          <w:tab w:leader="none" w:pos="6500" w:val="left"/>
        </w:tabs>
        <w:rPr>
          <w:sz w:val="20"/>
          <w:szCs w:val="20"/>
          <w:color w:val="auto"/>
        </w:rPr>
      </w:pPr>
      <w:r>
        <w:rPr>
          <w:rFonts w:ascii="Arial" w:cs="Arial" w:eastAsia="Arial" w:hAnsi="Arial"/>
          <w:sz w:val="18"/>
          <w:szCs w:val="18"/>
          <w:color w:val="auto"/>
        </w:rPr>
        <w:t>Date:</w:t>
        <w:tab/>
        <w:t>August 8, 2012</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68948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(Duly Authorized Officer)</w:t>
      </w:r>
    </w:p>
    <w:p>
      <w:pPr>
        <w:spacing w:after="0" w:line="219" w:lineRule="exact"/>
        <w:rPr>
          <w:sz w:val="20"/>
          <w:szCs w:val="20"/>
          <w:color w:val="auto"/>
        </w:rPr>
      </w:pPr>
    </w:p>
    <w:p>
      <w:pPr>
        <w:spacing w:after="0"/>
        <w:tabs>
          <w:tab w:leader="none" w:pos="540" w:val="left"/>
          <w:tab w:leader="none" w:pos="6500" w:val="left"/>
        </w:tabs>
        <w:rPr>
          <w:sz w:val="20"/>
          <w:szCs w:val="20"/>
          <w:color w:val="auto"/>
        </w:rPr>
      </w:pPr>
      <w:r>
        <w:rPr>
          <w:rFonts w:ascii="Arial" w:cs="Arial" w:eastAsia="Arial" w:hAnsi="Arial"/>
          <w:sz w:val="18"/>
          <w:szCs w:val="18"/>
          <w:color w:val="auto"/>
        </w:rPr>
        <w:t>Date:</w:t>
        <w:tab/>
        <w:t>August 8, 2012</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68948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James H. Dorton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Senior Vice President – Corporate Development and Chief Financial</w:t>
      </w:r>
    </w:p>
    <w:p>
      <w:pPr>
        <w:spacing w:after="0" w:line="4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(Duly Authorized Officer)</w:t>
      </w:r>
    </w:p>
    <w:p>
      <w:pPr>
        <w:spacing w:after="0" w:line="219" w:lineRule="exact"/>
        <w:rPr>
          <w:sz w:val="20"/>
          <w:szCs w:val="20"/>
          <w:color w:val="auto"/>
        </w:rPr>
      </w:pPr>
    </w:p>
    <w:p>
      <w:pPr>
        <w:spacing w:after="0"/>
        <w:tabs>
          <w:tab w:leader="none" w:pos="540" w:val="left"/>
          <w:tab w:leader="none" w:pos="6500" w:val="left"/>
        </w:tabs>
        <w:rPr>
          <w:sz w:val="20"/>
          <w:szCs w:val="20"/>
          <w:color w:val="auto"/>
        </w:rPr>
      </w:pPr>
      <w:r>
        <w:rPr>
          <w:rFonts w:ascii="Arial" w:cs="Arial" w:eastAsia="Arial" w:hAnsi="Arial"/>
          <w:sz w:val="18"/>
          <w:szCs w:val="18"/>
          <w:color w:val="auto"/>
        </w:rPr>
        <w:t>Date:</w:t>
        <w:tab/>
        <w:t>August 8, 2012</w:t>
      </w:r>
      <w:r>
        <w:rPr>
          <w:sz w:val="20"/>
          <w:szCs w:val="20"/>
          <w:color w:val="auto"/>
        </w:rPr>
        <w:tab/>
      </w:r>
      <w:r>
        <w:rPr>
          <w:rFonts w:ascii="Arial" w:cs="Arial" w:eastAsia="Arial" w:hAnsi="Arial"/>
          <w:sz w:val="16"/>
          <w:szCs w:val="16"/>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68948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William C. Kelly, Jr.,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Vice President and Chief Administrative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(Duly Authorized Officer)</w:t>
      </w:r>
    </w:p>
    <w:p>
      <w:pPr>
        <w:spacing w:after="0" w:line="219" w:lineRule="exact"/>
        <w:rPr>
          <w:sz w:val="20"/>
          <w:szCs w:val="20"/>
          <w:color w:val="auto"/>
        </w:rPr>
      </w:pPr>
    </w:p>
    <w:p>
      <w:pPr>
        <w:spacing w:after="0"/>
        <w:tabs>
          <w:tab w:leader="none" w:pos="540" w:val="left"/>
          <w:tab w:leader="none" w:pos="6500" w:val="left"/>
        </w:tabs>
        <w:rPr>
          <w:sz w:val="20"/>
          <w:szCs w:val="20"/>
          <w:color w:val="auto"/>
        </w:rPr>
      </w:pPr>
      <w:r>
        <w:rPr>
          <w:rFonts w:ascii="Arial" w:cs="Arial" w:eastAsia="Arial" w:hAnsi="Arial"/>
          <w:sz w:val="18"/>
          <w:szCs w:val="18"/>
          <w:color w:val="auto"/>
        </w:rPr>
        <w:t>Date:</w:t>
        <w:tab/>
        <w:t>August 8, 2012</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68948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Thomas C. Burwell, Jr.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Vice President, Chief Accounting Officer and Corporate Controller</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8, 2012</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1" w:right="239" w:bottom="1440" w:gutter="0" w:footer="0" w:header="0"/>
        </w:sectPr>
      </w:pPr>
    </w:p>
    <w:bookmarkStart w:id="25" w:name="page26"/>
    <w:bookmarkEnd w:id="25"/>
    <w:p>
      <w:pPr>
        <w:ind w:left="8480"/>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CERTIFICATION PURSUANT TO RULES 13a-14(a) AND 15d-14(a)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8, 2012</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H. Dorton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 Corporate Development and Chief Financial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31"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2012,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54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8, 2012</w:t>
      </w:r>
      <w:r>
        <w:rPr>
          <w:sz w:val="20"/>
          <w:szCs w:val="20"/>
          <w:color w:val="auto"/>
        </w:rPr>
        <w:tab/>
      </w:r>
      <w:r>
        <w:rPr>
          <w:rFonts w:ascii="Arial" w:cs="Arial" w:eastAsia="Arial" w:hAnsi="Arial"/>
          <w:sz w:val="16"/>
          <w:szCs w:val="16"/>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President and 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2012,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54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8, 2012</w:t>
      </w:r>
      <w:r>
        <w:rPr>
          <w:sz w:val="20"/>
          <w:szCs w:val="20"/>
          <w:color w:val="auto"/>
        </w:rPr>
        <w:tab/>
      </w:r>
      <w:r>
        <w:rPr>
          <w:rFonts w:ascii="Arial" w:cs="Arial" w:eastAsia="Arial" w:hAnsi="Arial"/>
          <w:sz w:val="15"/>
          <w:szCs w:val="15"/>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H. Dorton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 Corporate Development and Chief Financial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01"/>
    </w:lvl>
  </w:abstractNum>
  <w:abstractNum w:abstractNumId="4">
    <w:nsid w:val="7545E146"/>
    <w:multiLevelType w:val="hybridMultilevel"/>
    <w:lvl w:ilvl="0">
      <w:lvlJc w:val="left"/>
      <w:lvlText w:val="%1."/>
      <w:numFmt w:val="decimal"/>
      <w:start w:val="101"/>
    </w:lvl>
  </w:abstractNum>
  <w:abstractNum w:abstractNumId="5">
    <w:nsid w:val="515F007C"/>
    <w:multiLevelType w:val="hybridMultilevel"/>
    <w:lvl w:ilvl="0">
      <w:lvlJc w:val="left"/>
      <w:lvlText w:val="%1."/>
      <w:numFmt w:val="decimal"/>
      <w:start w:val="10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0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2019-12-09T11:23:15Z</dcterms:created>
  <dcterms:modified xsi:type="dcterms:W3CDTF">2019-12-09T11:23:15Z</dcterms:modified>
</cp:coreProperties>
</file>