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 13d-102)</w:t>
      </w:r>
    </w:p>
    <w:p>
      <w:pPr>
        <w:spacing w:after="0" w:line="202"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INFORMATION TO BE INCLUDED IN STATEMENTS FILED PURSUANT</w:t>
      </w:r>
    </w:p>
    <w:p>
      <w:pPr>
        <w:ind w:left="1280"/>
        <w:spacing w:after="0" w:line="238" w:lineRule="auto"/>
        <w:rPr>
          <w:sz w:val="20"/>
          <w:szCs w:val="20"/>
          <w:color w:val="auto"/>
        </w:rPr>
      </w:pPr>
      <w:r>
        <w:rPr>
          <w:rFonts w:ascii="Courier New" w:cs="Courier New" w:eastAsia="Courier New" w:hAnsi="Courier New"/>
          <w:sz w:val="18"/>
          <w:szCs w:val="18"/>
          <w:color w:val="auto"/>
        </w:rPr>
        <w:t>TO RULES 13d-1(b),(c), AND (d) AND AMENDMENTS THERETO FILED</w:t>
      </w:r>
    </w:p>
    <w:p>
      <w:pPr>
        <w:ind w:left="3060"/>
        <w:spacing w:after="0"/>
        <w:rPr>
          <w:sz w:val="20"/>
          <w:szCs w:val="20"/>
          <w:color w:val="auto"/>
        </w:rPr>
      </w:pPr>
      <w:r>
        <w:rPr>
          <w:rFonts w:ascii="Courier New" w:cs="Courier New" w:eastAsia="Courier New" w:hAnsi="Courier New"/>
          <w:sz w:val="18"/>
          <w:szCs w:val="18"/>
          <w:color w:val="auto"/>
        </w:rPr>
        <w:t>PURSUANT TO RULE 13d-2(b)</w:t>
      </w:r>
    </w:p>
    <w:p>
      <w:pPr>
        <w:ind w:left="3380"/>
        <w:spacing w:after="0" w:line="237" w:lineRule="auto"/>
        <w:rPr>
          <w:sz w:val="20"/>
          <w:szCs w:val="20"/>
          <w:color w:val="auto"/>
        </w:rPr>
      </w:pPr>
      <w:r>
        <w:rPr>
          <w:rFonts w:ascii="Courier New" w:cs="Courier New" w:eastAsia="Courier New" w:hAnsi="Courier New"/>
          <w:sz w:val="18"/>
          <w:szCs w:val="18"/>
          <w:color w:val="auto"/>
        </w:rPr>
        <w:t>(Amendment No. 3)1</w:t>
      </w:r>
    </w:p>
    <w:p>
      <w:pPr>
        <w:spacing w:after="0" w:line="200" w:lineRule="exact"/>
        <w:rPr>
          <w:sz w:val="24"/>
          <w:szCs w:val="24"/>
          <w:color w:val="auto"/>
        </w:rPr>
      </w:pPr>
    </w:p>
    <w:p>
      <w:pPr>
        <w:spacing w:after="0" w:line="204" w:lineRule="exact"/>
        <w:rPr>
          <w:sz w:val="24"/>
          <w:szCs w:val="24"/>
          <w:color w:val="auto"/>
        </w:rPr>
      </w:pPr>
    </w:p>
    <w:p>
      <w:pPr>
        <w:ind w:left="3900"/>
        <w:spacing w:after="0"/>
        <w:rPr>
          <w:sz w:val="20"/>
          <w:szCs w:val="20"/>
          <w:color w:val="auto"/>
        </w:rPr>
      </w:pPr>
      <w:r>
        <w:rPr>
          <w:rFonts w:ascii="Courier New" w:cs="Courier New" w:eastAsia="Courier New" w:hAnsi="Courier New"/>
          <w:sz w:val="18"/>
          <w:szCs w:val="18"/>
          <w:color w:val="auto"/>
        </w:rPr>
        <w:t>NN,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Common Stock</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629337106</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4"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12/31/2003</w:t>
      </w:r>
    </w:p>
    <w:p>
      <w:pPr>
        <w:spacing w:after="0" w:line="4"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10" w:lineRule="exact"/>
        <w:rPr>
          <w:sz w:val="24"/>
          <w:szCs w:val="24"/>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19" w:firstLine="8"/>
        <w:spacing w:after="0" w:line="268" w:lineRule="auto"/>
        <w:tabs>
          <w:tab w:leader="none" w:pos="527"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[_] Rule 13d-1(c)</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[_]  Rule 13d-1(d)</w:t>
      </w:r>
    </w:p>
    <w:p>
      <w:pPr>
        <w:spacing w:after="0" w:line="207" w:lineRule="exact"/>
        <w:rPr>
          <w:sz w:val="24"/>
          <w:szCs w:val="24"/>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18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pacing w:after="0" w:line="203"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(Continued on following pages)</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Page 1 of 7 Pages</w:t>
      </w:r>
    </w:p>
    <w:p>
      <w:pPr>
        <w:sectPr>
          <w:pgSz w:w="11900" w:h="16838"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ind w:left="1060" w:right="120" w:hanging="1052"/>
        <w:spacing w:after="0" w:line="290" w:lineRule="auto"/>
        <w:rPr>
          <w:sz w:val="20"/>
          <w:szCs w:val="20"/>
          <w:color w:val="auto"/>
        </w:rPr>
      </w:pPr>
      <w:r>
        <w:rPr>
          <w:rFonts w:ascii="Courier New" w:cs="Courier New" w:eastAsia="Courier New" w:hAnsi="Courier New"/>
          <w:sz w:val="16"/>
          <w:szCs w:val="16"/>
          <w:color w:val="auto"/>
        </w:rPr>
        <w:t>CUSIP No. 629337106 -----------</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Schedule 13G</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Page 2 of 7 Pages</w:t>
      </w:r>
    </w:p>
    <w:p>
      <w:pPr>
        <w:spacing w:after="0" w:line="420" w:lineRule="exact"/>
        <w:rPr>
          <w:sz w:val="24"/>
          <w:szCs w:val="24"/>
          <w:color w:val="auto"/>
        </w:rPr>
      </w:pPr>
    </w:p>
    <w:p>
      <w:pPr>
        <w:sectPr>
          <w:pgSz w:w="11900" w:h="16838" w:orient="portrait"/>
          <w:cols w:equalWidth="0" w:num="3">
            <w:col w:w="2340" w:space="720"/>
            <w:col w:w="2540" w:space="720"/>
            <w:col w:w="3899"/>
          </w:cols>
          <w:pgMar w:left="240" w:top="244" w:right="1440" w:bottom="0" w:gutter="0" w:footer="0" w:header="0"/>
          <w:type w:val="continuous"/>
        </w:sectPr>
      </w:pPr>
    </w:p>
    <w:p>
      <w:pPr>
        <w:ind w:left="960" w:hanging="952"/>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96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PERSONS (ENTITIES ONLY) Wellington Management Company, LLP</w:t>
      </w:r>
    </w:p>
    <w:p>
      <w:pPr>
        <w:spacing w:after="0" w:line="1" w:lineRule="exact"/>
        <w:rPr>
          <w:rFonts w:ascii="Courier New" w:cs="Courier New" w:eastAsia="Courier New" w:hAnsi="Courier New"/>
          <w:sz w:val="18"/>
          <w:szCs w:val="18"/>
          <w:color w:val="auto"/>
        </w:rPr>
      </w:pP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04-2683227</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THE MEMBER OF A GROUP*</w:t>
      </w:r>
    </w:p>
    <w:p>
      <w:pPr>
        <w:ind w:left="6860"/>
        <w:spacing w:after="0"/>
        <w:tabs>
          <w:tab w:leader="none" w:pos="736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[_]</w:t>
      </w:r>
    </w:p>
    <w:p>
      <w:pPr>
        <w:ind w:left="6860"/>
        <w:spacing w:after="0"/>
        <w:tabs>
          <w:tab w:leader="none" w:pos="736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[_]</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960" w:hanging="952"/>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4"/>
          <w:szCs w:val="24"/>
          <w:color w:val="auto"/>
        </w:rPr>
      </w:pPr>
    </w:p>
    <w:p>
      <w:pPr>
        <w:ind w:left="960" w:right="5479" w:hanging="952"/>
        <w:spacing w:after="0" w:line="235" w:lineRule="auto"/>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Massachusetts</w:t>
      </w:r>
    </w:p>
    <w:p>
      <w:pPr>
        <w:spacing w:after="0" w:line="6" w:lineRule="exact"/>
        <w:rPr>
          <w:sz w:val="24"/>
          <w:szCs w:val="24"/>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740" w:hanging="520"/>
        <w:spacing w:after="0" w:line="238" w:lineRule="auto"/>
        <w:tabs>
          <w:tab w:leader="none" w:pos="274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tbl>
      <w:tblPr>
        <w:tblLayout w:type="fixed"/>
        <w:tblInd w:w="0" w:type="dxa"/>
        <w:tblCellMar>
          <w:top w:w="0" w:type="dxa"/>
          <w:left w:w="0" w:type="dxa"/>
          <w:bottom w:w="0" w:type="dxa"/>
          <w:right w:w="0" w:type="dxa"/>
        </w:tblCellMar>
      </w:tblPr>
      <w:tr>
        <w:trPr>
          <w:trHeight w:val="203"/>
        </w:trPr>
        <w:tc>
          <w:tcPr>
            <w:tcW w:w="700" w:type="dxa"/>
            <w:vAlign w:val="bottom"/>
          </w:tcPr>
          <w:p>
            <w:pPr>
              <w:spacing w:after="0"/>
              <w:rPr>
                <w:sz w:val="20"/>
                <w:szCs w:val="20"/>
                <w:color w:val="auto"/>
              </w:rPr>
            </w:pPr>
            <w:r>
              <w:rPr>
                <w:rFonts w:ascii="Courier New" w:cs="Courier New" w:eastAsia="Courier New" w:hAnsi="Courier New"/>
                <w:sz w:val="18"/>
                <w:szCs w:val="18"/>
                <w:color w:val="auto"/>
              </w:rPr>
              <w:t>NUMBER</w:t>
            </w:r>
          </w:p>
        </w:tc>
        <w:tc>
          <w:tcPr>
            <w:tcW w:w="1000" w:type="dxa"/>
            <w:vAlign w:val="bottom"/>
          </w:tcPr>
          <w:p>
            <w:pPr>
              <w:ind w:left="40"/>
              <w:spacing w:after="0"/>
              <w:rPr>
                <w:sz w:val="20"/>
                <w:szCs w:val="20"/>
                <w:color w:val="auto"/>
              </w:rPr>
            </w:pPr>
            <w:r>
              <w:rPr>
                <w:rFonts w:ascii="Courier New" w:cs="Courier New" w:eastAsia="Courier New" w:hAnsi="Courier New"/>
                <w:sz w:val="18"/>
                <w:szCs w:val="18"/>
                <w:color w:val="auto"/>
              </w:rPr>
              <w:t>OF</w:t>
            </w:r>
          </w:p>
        </w:tc>
        <w:tc>
          <w:tcPr>
            <w:tcW w:w="1040" w:type="dxa"/>
            <w:vAlign w:val="bottom"/>
          </w:tcPr>
          <w:p>
            <w:pPr>
              <w:spacing w:after="0"/>
              <w:rPr>
                <w:sz w:val="17"/>
                <w:szCs w:val="17"/>
                <w:color w:val="auto"/>
              </w:rPr>
            </w:pPr>
          </w:p>
        </w:tc>
        <w:tc>
          <w:tcPr>
            <w:tcW w:w="2000" w:type="dxa"/>
            <w:vAlign w:val="bottom"/>
          </w:tcPr>
          <w:p>
            <w:pPr>
              <w:spacing w:after="0"/>
              <w:rPr>
                <w:sz w:val="20"/>
                <w:szCs w:val="20"/>
                <w:color w:val="auto"/>
              </w:rPr>
            </w:pPr>
            <w:r>
              <w:rPr>
                <w:rFonts w:ascii="Courier New" w:cs="Courier New" w:eastAsia="Courier New" w:hAnsi="Courier New"/>
                <w:sz w:val="18"/>
                <w:szCs w:val="18"/>
                <w:color w:val="auto"/>
              </w:rPr>
              <w:t>0</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1000" w:type="dxa"/>
            <w:vAlign w:val="bottom"/>
          </w:tcPr>
          <w:p>
            <w:pPr>
              <w:spacing w:after="0"/>
              <w:rPr>
                <w:sz w:val="17"/>
                <w:szCs w:val="17"/>
                <w:color w:val="auto"/>
              </w:rPr>
            </w:pPr>
          </w:p>
        </w:tc>
        <w:tc>
          <w:tcPr>
            <w:tcW w:w="304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6"/>
              </w:rPr>
              <w:t>------------------------------------------------------------</w:t>
            </w:r>
          </w:p>
        </w:tc>
      </w:tr>
      <w:tr>
        <w:trPr>
          <w:trHeight w:val="203"/>
        </w:trPr>
        <w:tc>
          <w:tcPr>
            <w:tcW w:w="1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040" w:type="dxa"/>
            <w:vAlign w:val="bottom"/>
          </w:tcPr>
          <w:p>
            <w:pPr>
              <w:jc w:val="right"/>
              <w:ind w:right="229"/>
              <w:spacing w:after="0" w:line="203" w:lineRule="exact"/>
              <w:rPr>
                <w:sz w:val="20"/>
                <w:szCs w:val="20"/>
                <w:color w:val="auto"/>
              </w:rPr>
            </w:pPr>
            <w:r>
              <w:rPr>
                <w:rFonts w:ascii="Courier New" w:cs="Courier New" w:eastAsia="Courier New" w:hAnsi="Courier New"/>
                <w:sz w:val="18"/>
                <w:szCs w:val="18"/>
                <w:color w:val="auto"/>
              </w:rPr>
              <w:t>6.</w:t>
            </w:r>
          </w:p>
        </w:tc>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SHARED VOTING POWER</w:t>
            </w:r>
          </w:p>
        </w:tc>
      </w:tr>
    </w:tbl>
    <w:p>
      <w:pPr>
        <w:sectPr>
          <w:pgSz w:w="11900" w:h="16838" w:orient="portrait"/>
          <w:cols w:equalWidth="0" w:num="1">
            <w:col w:w="10219"/>
          </w:cols>
          <w:pgMar w:left="240" w:top="244" w:right="1440"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40" w:type="dxa"/>
            <w:vAlign w:val="bottom"/>
          </w:tcPr>
          <w:p>
            <w:pPr>
              <w:spacing w:after="0"/>
              <w:rPr>
                <w:sz w:val="20"/>
                <w:szCs w:val="20"/>
                <w:color w:val="auto"/>
              </w:rPr>
            </w:pPr>
            <w:r>
              <w:rPr>
                <w:rFonts w:ascii="Courier New" w:cs="Courier New" w:eastAsia="Courier New" w:hAnsi="Courier New"/>
                <w:sz w:val="18"/>
                <w:szCs w:val="18"/>
                <w:color w:val="auto"/>
              </w:rPr>
              <w:t>OWNED BY</w:t>
            </w:r>
          </w:p>
        </w:tc>
        <w:tc>
          <w:tcPr>
            <w:tcW w:w="1200" w:type="dxa"/>
            <w:vAlign w:val="bottom"/>
          </w:tcPr>
          <w:p>
            <w:pPr>
              <w:spacing w:after="0"/>
              <w:rPr>
                <w:sz w:val="17"/>
                <w:szCs w:val="17"/>
                <w:color w:val="auto"/>
              </w:rPr>
            </w:pPr>
          </w:p>
        </w:tc>
        <w:tc>
          <w:tcPr>
            <w:tcW w:w="2120" w:type="dxa"/>
            <w:vAlign w:val="bottom"/>
          </w:tcPr>
          <w:p>
            <w:pPr>
              <w:spacing w:after="0"/>
              <w:rPr>
                <w:sz w:val="20"/>
                <w:szCs w:val="20"/>
                <w:color w:val="auto"/>
              </w:rPr>
            </w:pPr>
            <w:r>
              <w:rPr>
                <w:rFonts w:ascii="Courier New" w:cs="Courier New" w:eastAsia="Courier New" w:hAnsi="Courier New"/>
                <w:sz w:val="18"/>
                <w:szCs w:val="18"/>
                <w:color w:val="auto"/>
              </w:rPr>
              <w:t>615,300</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332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0"/>
              </w:rPr>
              <w:t>------------------------------------------------------------</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1200" w:type="dxa"/>
            <w:vAlign w:val="bottom"/>
          </w:tcPr>
          <w:p>
            <w:pPr>
              <w:jc w:val="right"/>
              <w:ind w:right="227"/>
              <w:spacing w:after="0" w:line="203" w:lineRule="exact"/>
              <w:rPr>
                <w:sz w:val="20"/>
                <w:szCs w:val="20"/>
                <w:color w:val="auto"/>
              </w:rPr>
            </w:pPr>
            <w:r>
              <w:rPr>
                <w:rFonts w:ascii="Courier New" w:cs="Courier New" w:eastAsia="Courier New" w:hAnsi="Courier New"/>
                <w:sz w:val="18"/>
                <w:szCs w:val="18"/>
                <w:color w:val="auto"/>
              </w:rPr>
              <w:t>7.</w:t>
            </w:r>
          </w:p>
        </w:tc>
        <w:tc>
          <w:tcPr>
            <w:tcW w:w="2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SOLE DISPOTIVE POWER</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1200" w:type="dxa"/>
            <w:vAlign w:val="bottom"/>
          </w:tcPr>
          <w:p>
            <w:pPr>
              <w:spacing w:after="0"/>
              <w:rPr>
                <w:sz w:val="17"/>
                <w:szCs w:val="17"/>
                <w:color w:val="auto"/>
              </w:rPr>
            </w:pPr>
          </w:p>
        </w:tc>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332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0"/>
              </w:rPr>
              <w:t>------------------------------------------------------------</w:t>
            </w:r>
          </w:p>
        </w:tc>
      </w:tr>
    </w:tbl>
    <w:p>
      <w:pPr>
        <w:spacing w:after="0" w:line="4" w:lineRule="exact"/>
        <w:rPr>
          <w:sz w:val="20"/>
          <w:szCs w:val="20"/>
          <w:color w:val="auto"/>
        </w:rPr>
      </w:pPr>
    </w:p>
    <w:p>
      <w:pPr>
        <w:ind w:left="2740" w:right="5159" w:hanging="520"/>
        <w:spacing w:after="0" w:line="235" w:lineRule="auto"/>
        <w:tabs>
          <w:tab w:leader="none" w:pos="274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DISPOTIVE POWER 1,241,000</w:t>
      </w:r>
    </w:p>
    <w:p>
      <w:pPr>
        <w:spacing w:after="0" w:line="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960" w:right="2939" w:hanging="952"/>
        <w:spacing w:after="0" w:line="235" w:lineRule="auto"/>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1,241,000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hanging="952"/>
        <w:spacing w:after="0"/>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AGGREGATE AMOUNT IN ROW (9) EXCLUDES CERTAIN</w:t>
      </w:r>
    </w:p>
    <w:p>
      <w:pPr>
        <w:ind w:left="960"/>
        <w:spacing w:after="0" w:line="238" w:lineRule="auto"/>
        <w:tabs>
          <w:tab w:leader="none" w:pos="652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960" w:right="4319" w:hanging="952"/>
        <w:spacing w:after="0" w:line="235" w:lineRule="auto"/>
        <w:tabs>
          <w:tab w:leader="none" w:pos="9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7.453%</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hanging="952"/>
        <w:spacing w:after="0"/>
        <w:tabs>
          <w:tab w:leader="none" w:pos="9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960"/>
        <w:spacing w:after="0" w:line="238" w:lineRule="auto"/>
        <w:rPr>
          <w:sz w:val="20"/>
          <w:szCs w:val="20"/>
          <w:color w:val="auto"/>
        </w:rPr>
      </w:pPr>
      <w:r>
        <w:rPr>
          <w:rFonts w:ascii="Courier New" w:cs="Courier New" w:eastAsia="Courier New" w:hAnsi="Courier New"/>
          <w:sz w:val="18"/>
          <w:szCs w:val="18"/>
          <w:color w:val="auto"/>
        </w:rPr>
        <w:t>HC,IA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36" w:right="1440" w:bottom="1440" w:gutter="0" w:footer="0" w:header="0"/>
        </w:sectPr>
      </w:pPr>
    </w:p>
    <w:bookmarkStart w:id="2" w:name="page3"/>
    <w:bookmarkEnd w:id="2"/>
    <w:p>
      <w:pPr>
        <w:ind w:left="1060" w:right="120" w:hanging="1052"/>
        <w:spacing w:after="0" w:line="290" w:lineRule="auto"/>
        <w:rPr>
          <w:sz w:val="20"/>
          <w:szCs w:val="20"/>
          <w:color w:val="auto"/>
        </w:rPr>
      </w:pPr>
      <w:r>
        <w:rPr>
          <w:rFonts w:ascii="Courier New" w:cs="Courier New" w:eastAsia="Courier New" w:hAnsi="Courier New"/>
          <w:sz w:val="16"/>
          <w:szCs w:val="16"/>
          <w:color w:val="auto"/>
        </w:rPr>
        <w:t>CUSIP No. 629337106 -----------</w:t>
      </w:r>
    </w:p>
    <w:p>
      <w:pPr>
        <w:spacing w:after="0" w:line="20" w:lineRule="exact"/>
        <w:rPr>
          <w:sz w:val="20"/>
          <w:szCs w:val="20"/>
          <w:color w:val="auto"/>
        </w:rPr>
      </w:pPr>
      <w:r>
        <w:rPr>
          <w:sz w:val="20"/>
          <w:szCs w:val="20"/>
          <w:color w:val="auto"/>
        </w:rPr>
        <w:br w:type="column"/>
      </w:r>
    </w:p>
    <w:p>
      <w:pPr>
        <w:ind w:left="220"/>
        <w:spacing w:after="0"/>
        <w:rPr>
          <w:sz w:val="20"/>
          <w:szCs w:val="20"/>
          <w:color w:val="auto"/>
        </w:rPr>
      </w:pPr>
      <w:r>
        <w:rPr>
          <w:rFonts w:ascii="Courier New" w:cs="Courier New" w:eastAsia="Courier New" w:hAnsi="Courier New"/>
          <w:sz w:val="16"/>
          <w:szCs w:val="16"/>
          <w:color w:val="auto"/>
        </w:rPr>
        <w:t>Schedule 13G</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 3 of 7 Pages</w:t>
      </w:r>
    </w:p>
    <w:p>
      <w:pPr>
        <w:spacing w:after="0" w:line="420" w:lineRule="exact"/>
        <w:rPr>
          <w:sz w:val="20"/>
          <w:szCs w:val="20"/>
          <w:color w:val="auto"/>
        </w:rPr>
      </w:pPr>
    </w:p>
    <w:p>
      <w:pPr>
        <w:sectPr>
          <w:pgSz w:w="11900" w:h="16838" w:orient="portrait"/>
          <w:cols w:equalWidth="0" w:num="3">
            <w:col w:w="2340" w:space="720"/>
            <w:col w:w="2540" w:space="720"/>
            <w:col w:w="3899"/>
          </w:cols>
          <w:pgMar w:left="240" w:top="723" w:right="1440" w:bottom="1440" w:gutter="0" w:footer="0" w:header="0"/>
        </w:sectPr>
      </w:pPr>
    </w:p>
    <w:p>
      <w:pPr>
        <w:spacing w:after="0"/>
        <w:tabs>
          <w:tab w:leader="none" w:pos="13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NN, Inc.</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2000 Waters Edge Drive, Building C, Suite 12</w:t>
      </w:r>
    </w:p>
    <w:p>
      <w:pPr>
        <w:ind w:left="1900"/>
        <w:spacing w:after="0"/>
        <w:tabs>
          <w:tab w:leader="none" w:pos="3780" w:val="left"/>
        </w:tabs>
        <w:rPr>
          <w:sz w:val="20"/>
          <w:szCs w:val="20"/>
          <w:color w:val="auto"/>
        </w:rPr>
      </w:pPr>
      <w:r>
        <w:rPr>
          <w:rFonts w:ascii="Courier New" w:cs="Courier New" w:eastAsia="Courier New" w:hAnsi="Courier New"/>
          <w:sz w:val="18"/>
          <w:szCs w:val="18"/>
          <w:color w:val="auto"/>
        </w:rPr>
        <w:t>Johnson City, TN</w:t>
      </w:r>
      <w:r>
        <w:rPr>
          <w:sz w:val="20"/>
          <w:szCs w:val="20"/>
          <w:color w:val="auto"/>
        </w:rPr>
        <w:tab/>
      </w:r>
      <w:r>
        <w:rPr>
          <w:rFonts w:ascii="Courier New" w:cs="Courier New" w:eastAsia="Courier New" w:hAnsi="Courier New"/>
          <w:sz w:val="16"/>
          <w:szCs w:val="16"/>
          <w:color w:val="auto"/>
        </w:rPr>
        <w:t>37604</w:t>
      </w:r>
    </w:p>
    <w:p>
      <w:pPr>
        <w:spacing w:after="0" w:line="202"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Wellington Management Company, LLP(''WMC'')</w:t>
      </w:r>
    </w:p>
    <w:p>
      <w:pPr>
        <w:spacing w:after="0" w:line="207" w:lineRule="exact"/>
        <w:rPr>
          <w:sz w:val="20"/>
          <w:szCs w:val="20"/>
          <w:color w:val="auto"/>
        </w:rPr>
      </w:pPr>
    </w:p>
    <w:p>
      <w:pPr>
        <w:ind w:left="1380" w:right="3679" w:hanging="1368"/>
        <w:spacing w:after="0" w:line="235" w:lineRule="auto"/>
        <w:tabs>
          <w:tab w:leader="none" w:pos="13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8"/>
          <w:szCs w:val="18"/>
          <w:color w:val="auto"/>
        </w:rPr>
        <w:t>Address of Principal Business Office or, if None, Residence:</w:t>
      </w:r>
    </w:p>
    <w:p>
      <w:pPr>
        <w:spacing w:after="0" w:line="20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75 State St</w:t>
      </w:r>
    </w:p>
    <w:p>
      <w:pPr>
        <w:ind w:left="1900"/>
        <w:spacing w:after="0" w:line="238" w:lineRule="auto"/>
        <w:tabs>
          <w:tab w:leader="none" w:pos="3140" w:val="left"/>
        </w:tabs>
        <w:rPr>
          <w:sz w:val="20"/>
          <w:szCs w:val="20"/>
          <w:color w:val="auto"/>
        </w:rPr>
      </w:pPr>
      <w:r>
        <w:rPr>
          <w:rFonts w:ascii="Courier New" w:cs="Courier New" w:eastAsia="Courier New" w:hAnsi="Courier New"/>
          <w:sz w:val="18"/>
          <w:szCs w:val="18"/>
          <w:color w:val="auto"/>
        </w:rPr>
        <w:t>Boston, MA</w:t>
        <w:tab/>
        <w:t>02109</w:t>
      </w:r>
    </w:p>
    <w:p>
      <w:pPr>
        <w:spacing w:after="0" w:line="202"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Massachusetts</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629337106</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 13d-1(b), or</w:t>
      </w:r>
    </w:p>
    <w:p>
      <w:pPr>
        <w:ind w:left="1380"/>
        <w:spacing w:after="0" w:line="238" w:lineRule="auto"/>
        <w:rPr>
          <w:sz w:val="20"/>
          <w:szCs w:val="20"/>
          <w:color w:val="auto"/>
        </w:rPr>
      </w:pPr>
      <w:r>
        <w:rPr>
          <w:rFonts w:ascii="Courier New" w:cs="Courier New" w:eastAsia="Courier New" w:hAnsi="Courier New"/>
          <w:sz w:val="18"/>
          <w:szCs w:val="18"/>
          <w:color w:val="auto"/>
        </w:rPr>
        <w:t>13d-2(b) or (c), Check Whether the Person Filing is a:</w:t>
      </w:r>
    </w:p>
    <w:p>
      <w:pPr>
        <w:spacing w:after="0" w:line="207" w:lineRule="exact"/>
        <w:rPr>
          <w:sz w:val="20"/>
          <w:szCs w:val="20"/>
          <w:color w:val="auto"/>
        </w:rPr>
      </w:pPr>
    </w:p>
    <w:p>
      <w:pPr>
        <w:ind w:left="1380" w:hanging="529"/>
        <w:spacing w:after="0"/>
        <w:tabs>
          <w:tab w:leader="none" w:pos="138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Broker or dealer registered under Section 15 of the Act.</w:t>
      </w:r>
    </w:p>
    <w:p>
      <w:pPr>
        <w:spacing w:after="0" w:line="218" w:lineRule="exact"/>
        <w:rPr>
          <w:rFonts w:ascii="Courier New" w:cs="Courier New" w:eastAsia="Courier New" w:hAnsi="Courier New"/>
          <w:sz w:val="16"/>
          <w:szCs w:val="16"/>
          <w:color w:val="auto"/>
        </w:rPr>
      </w:pPr>
    </w:p>
    <w:p>
      <w:pPr>
        <w:ind w:left="1380" w:hanging="529"/>
        <w:spacing w:after="0"/>
        <w:tabs>
          <w:tab w:leader="none" w:pos="138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spacing w:after="0" w:line="201" w:lineRule="exact"/>
        <w:rPr>
          <w:rFonts w:ascii="Courier New" w:cs="Courier New" w:eastAsia="Courier New" w:hAnsi="Courier New"/>
          <w:sz w:val="18"/>
          <w:szCs w:val="18"/>
          <w:color w:val="auto"/>
        </w:rPr>
      </w:pPr>
    </w:p>
    <w:p>
      <w:pPr>
        <w:ind w:left="1380" w:hanging="529"/>
        <w:spacing w:after="0"/>
        <w:tabs>
          <w:tab w:leader="none" w:pos="138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w:t>
      </w:r>
    </w:p>
    <w:p>
      <w:pPr>
        <w:ind w:left="1480"/>
        <w:spacing w:after="0" w:line="238" w:lineRule="auto"/>
        <w:rPr>
          <w:sz w:val="20"/>
          <w:szCs w:val="20"/>
          <w:color w:val="auto"/>
        </w:rPr>
      </w:pPr>
      <w:r>
        <w:rPr>
          <w:rFonts w:ascii="Courier New" w:cs="Courier New" w:eastAsia="Courier New" w:hAnsi="Courier New"/>
          <w:sz w:val="18"/>
          <w:szCs w:val="18"/>
          <w:color w:val="auto"/>
        </w:rPr>
        <w:t>the Act.</w:t>
      </w:r>
    </w:p>
    <w:p>
      <w:pPr>
        <w:sectPr>
          <w:pgSz w:w="11900" w:h="16838" w:orient="portrait"/>
          <w:cols w:equalWidth="0" w:num="1">
            <w:col w:w="10219"/>
          </w:cols>
          <w:pgMar w:left="240" w:top="723" w:right="1440" w:bottom="1440" w:gutter="0" w:footer="0" w:header="0"/>
          <w:type w:val="continuous"/>
        </w:sectPr>
      </w:pPr>
    </w:p>
    <w:bookmarkStart w:id="3" w:name="page4"/>
    <w:bookmarkEnd w:id="3"/>
    <w:p>
      <w:pPr>
        <w:ind w:left="1060" w:right="120" w:hanging="1052"/>
        <w:spacing w:after="0" w:line="290" w:lineRule="auto"/>
        <w:rPr>
          <w:sz w:val="20"/>
          <w:szCs w:val="20"/>
          <w:color w:val="auto"/>
        </w:rPr>
      </w:pPr>
      <w:r>
        <w:rPr>
          <w:rFonts w:ascii="Courier New" w:cs="Courier New" w:eastAsia="Courier New" w:hAnsi="Courier New"/>
          <w:sz w:val="16"/>
          <w:szCs w:val="16"/>
          <w:color w:val="auto"/>
        </w:rPr>
        <w:t>CUSIP No. 629337106 -----------</w:t>
      </w:r>
    </w:p>
    <w:p>
      <w:pPr>
        <w:spacing w:after="0" w:line="20" w:lineRule="exact"/>
        <w:rPr>
          <w:sz w:val="20"/>
          <w:szCs w:val="20"/>
          <w:color w:val="auto"/>
        </w:rPr>
      </w:pPr>
      <w:r>
        <w:rPr>
          <w:sz w:val="20"/>
          <w:szCs w:val="20"/>
          <w:color w:val="auto"/>
        </w:rPr>
        <w:br w:type="column"/>
      </w:r>
    </w:p>
    <w:p>
      <w:pPr>
        <w:ind w:left="220"/>
        <w:spacing w:after="0"/>
        <w:rPr>
          <w:sz w:val="20"/>
          <w:szCs w:val="20"/>
          <w:color w:val="auto"/>
        </w:rPr>
      </w:pPr>
      <w:r>
        <w:rPr>
          <w:rFonts w:ascii="Courier New" w:cs="Courier New" w:eastAsia="Courier New" w:hAnsi="Courier New"/>
          <w:sz w:val="16"/>
          <w:szCs w:val="16"/>
          <w:color w:val="auto"/>
        </w:rPr>
        <w:t>Schedule 13G</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 4 of 7 Pages</w:t>
      </w:r>
    </w:p>
    <w:p>
      <w:pPr>
        <w:spacing w:after="0" w:line="426" w:lineRule="exact"/>
        <w:rPr>
          <w:sz w:val="20"/>
          <w:szCs w:val="20"/>
          <w:color w:val="auto"/>
        </w:rPr>
      </w:pPr>
    </w:p>
    <w:p>
      <w:pPr>
        <w:sectPr>
          <w:pgSz w:w="11900" w:h="16838" w:orient="portrait"/>
          <w:cols w:equalWidth="0" w:num="3">
            <w:col w:w="2340" w:space="720"/>
            <w:col w:w="2540" w:space="720"/>
            <w:col w:w="3899"/>
          </w:cols>
          <w:pgMar w:left="240" w:top="723" w:right="1440" w:bottom="1440" w:gutter="0" w:footer="0" w:header="0"/>
        </w:sectPr>
      </w:pPr>
    </w:p>
    <w:p>
      <w:pPr>
        <w:ind w:left="1480" w:right="2939" w:hanging="629"/>
        <w:spacing w:after="0" w:line="235" w:lineRule="auto"/>
        <w:tabs>
          <w:tab w:leader="none" w:pos="1375"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w:t>
      </w:r>
    </w:p>
    <w:p>
      <w:pPr>
        <w:spacing w:after="0" w:line="202" w:lineRule="exact"/>
        <w:rPr>
          <w:rFonts w:ascii="Courier New" w:cs="Courier New" w:eastAsia="Courier New" w:hAnsi="Courier New"/>
          <w:sz w:val="18"/>
          <w:szCs w:val="18"/>
          <w:color w:val="auto"/>
        </w:rPr>
      </w:pPr>
    </w:p>
    <w:p>
      <w:pPr>
        <w:ind w:left="1380" w:hanging="529"/>
        <w:spacing w:after="0"/>
        <w:tabs>
          <w:tab w:leader="none" w:pos="138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w:t>
      </w:r>
    </w:p>
    <w:p>
      <w:pPr>
        <w:ind w:left="1700"/>
        <w:spacing w:after="0" w:line="238" w:lineRule="auto"/>
        <w:rPr>
          <w:sz w:val="20"/>
          <w:szCs w:val="20"/>
          <w:color w:val="auto"/>
        </w:rPr>
      </w:pPr>
      <w:r>
        <w:rPr>
          <w:rFonts w:ascii="Courier New" w:cs="Courier New" w:eastAsia="Courier New" w:hAnsi="Courier New"/>
          <w:sz w:val="18"/>
          <w:szCs w:val="18"/>
          <w:color w:val="auto"/>
        </w:rPr>
        <w:t>Rule 13d-1(b)(1)(ii)(E);</w:t>
      </w:r>
    </w:p>
    <w:p>
      <w:pPr>
        <w:spacing w:after="0" w:line="207" w:lineRule="exact"/>
        <w:rPr>
          <w:sz w:val="20"/>
          <w:szCs w:val="20"/>
          <w:color w:val="auto"/>
        </w:rPr>
      </w:pPr>
    </w:p>
    <w:p>
      <w:pPr>
        <w:ind w:left="1480" w:right="2519" w:hanging="629"/>
        <w:spacing w:after="0" w:line="235" w:lineRule="auto"/>
        <w:tabs>
          <w:tab w:leader="none" w:pos="1375"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Rule 13d-1(b)(1)(ii)(F);</w:t>
      </w:r>
    </w:p>
    <w:p>
      <w:pPr>
        <w:spacing w:after="0" w:line="208" w:lineRule="exact"/>
        <w:rPr>
          <w:rFonts w:ascii="Courier New" w:cs="Courier New" w:eastAsia="Courier New" w:hAnsi="Courier New"/>
          <w:sz w:val="18"/>
          <w:szCs w:val="18"/>
          <w:color w:val="auto"/>
        </w:rPr>
      </w:pPr>
    </w:p>
    <w:p>
      <w:pPr>
        <w:ind w:left="1700" w:right="2519" w:hanging="849"/>
        <w:spacing w:after="0" w:line="235" w:lineRule="auto"/>
        <w:tabs>
          <w:tab w:leader="none" w:pos="1384"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 parent holding company or control person in accordance with Rule 13d-1(b)(1)(ii)(G); see item 7;</w:t>
      </w:r>
    </w:p>
    <w:p>
      <w:pPr>
        <w:spacing w:after="0" w:line="208" w:lineRule="exact"/>
        <w:rPr>
          <w:rFonts w:ascii="Courier New" w:cs="Courier New" w:eastAsia="Courier New" w:hAnsi="Courier New"/>
          <w:sz w:val="18"/>
          <w:szCs w:val="18"/>
          <w:color w:val="auto"/>
        </w:rPr>
      </w:pPr>
    </w:p>
    <w:p>
      <w:pPr>
        <w:ind w:left="1480" w:right="2619" w:hanging="629"/>
        <w:spacing w:after="0" w:line="235" w:lineRule="auto"/>
        <w:tabs>
          <w:tab w:leader="none" w:pos="1375"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 Act;</w:t>
      </w:r>
    </w:p>
    <w:p>
      <w:pPr>
        <w:spacing w:after="0" w:line="208" w:lineRule="exact"/>
        <w:rPr>
          <w:rFonts w:ascii="Courier New" w:cs="Courier New" w:eastAsia="Courier New" w:hAnsi="Courier New"/>
          <w:sz w:val="18"/>
          <w:szCs w:val="18"/>
          <w:color w:val="auto"/>
        </w:rPr>
      </w:pPr>
    </w:p>
    <w:p>
      <w:pPr>
        <w:ind w:left="1480" w:right="2519" w:hanging="629"/>
        <w:spacing w:after="0" w:line="236" w:lineRule="auto"/>
        <w:tabs>
          <w:tab w:leader="none" w:pos="1375"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w:t>
      </w:r>
    </w:p>
    <w:p>
      <w:pPr>
        <w:spacing w:after="0" w:line="203" w:lineRule="exact"/>
        <w:rPr>
          <w:rFonts w:ascii="Courier New" w:cs="Courier New" w:eastAsia="Courier New" w:hAnsi="Courier New"/>
          <w:sz w:val="18"/>
          <w:szCs w:val="18"/>
          <w:color w:val="auto"/>
        </w:rPr>
      </w:pPr>
    </w:p>
    <w:p>
      <w:pPr>
        <w:ind w:left="1380" w:hanging="529"/>
        <w:spacing w:after="0"/>
        <w:tabs>
          <w:tab w:leader="none" w:pos="13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Rule 13d-1(b)(1)(ii)(J).</w:t>
      </w:r>
    </w:p>
    <w:p>
      <w:pPr>
        <w:spacing w:after="0" w:line="207" w:lineRule="exact"/>
        <w:rPr>
          <w:sz w:val="20"/>
          <w:szCs w:val="20"/>
          <w:color w:val="auto"/>
        </w:rPr>
      </w:pPr>
    </w:p>
    <w:p>
      <w:pPr>
        <w:ind w:left="1380" w:right="3259"/>
        <w:spacing w:after="0" w:line="235" w:lineRule="auto"/>
        <w:rPr>
          <w:sz w:val="20"/>
          <w:szCs w:val="20"/>
          <w:color w:val="auto"/>
        </w:rPr>
      </w:pPr>
      <w:r>
        <w:rPr>
          <w:rFonts w:ascii="Courier New" w:cs="Courier New" w:eastAsia="Courier New" w:hAnsi="Courier New"/>
          <w:sz w:val="18"/>
          <w:szCs w:val="18"/>
          <w:color w:val="auto"/>
        </w:rPr>
        <w:t>If this statement is filed pursuant to Rule 13d-1(c), check this box [ ]</w:t>
      </w:r>
    </w:p>
    <w:p>
      <w:pPr>
        <w:spacing w:after="0" w:line="203"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4" w:lineRule="exact"/>
        <w:rPr>
          <w:sz w:val="20"/>
          <w:szCs w:val="20"/>
          <w:color w:val="auto"/>
        </w:rPr>
      </w:pPr>
    </w:p>
    <w:p>
      <w:pPr>
        <w:ind w:left="1380" w:right="231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9" w:lineRule="exact"/>
        <w:rPr>
          <w:sz w:val="20"/>
          <w:szCs w:val="20"/>
          <w:color w:val="auto"/>
        </w:rPr>
      </w:pPr>
    </w:p>
    <w:p>
      <w:pPr>
        <w:ind w:left="1380" w:right="3259" w:hanging="529"/>
        <w:spacing w:after="0" w:line="237" w:lineRule="auto"/>
        <w:tabs>
          <w:tab w:leader="none" w:pos="138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WMC, in its capacity as investment adviser, may be deemed to beneficially own 1,241,000 shares of the Issuer which are held of record by clients of WMC.</w:t>
      </w:r>
    </w:p>
    <w:p>
      <w:pPr>
        <w:spacing w:after="0" w:line="201" w:lineRule="exact"/>
        <w:rPr>
          <w:rFonts w:ascii="Courier New" w:cs="Courier New" w:eastAsia="Courier New" w:hAnsi="Courier New"/>
          <w:sz w:val="18"/>
          <w:szCs w:val="18"/>
          <w:color w:val="auto"/>
        </w:rPr>
      </w:pPr>
    </w:p>
    <w:p>
      <w:pPr>
        <w:ind w:left="1380" w:hanging="529"/>
        <w:spacing w:after="0"/>
        <w:tabs>
          <w:tab w:leader="none" w:pos="138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7.453%</w:t>
      </w:r>
    </w:p>
    <w:p>
      <w:pPr>
        <w:spacing w:after="0" w:line="201" w:lineRule="exact"/>
        <w:rPr>
          <w:rFonts w:ascii="Courier New" w:cs="Courier New" w:eastAsia="Courier New" w:hAnsi="Courier New"/>
          <w:sz w:val="18"/>
          <w:szCs w:val="18"/>
          <w:color w:val="auto"/>
        </w:rPr>
      </w:pPr>
    </w:p>
    <w:p>
      <w:pPr>
        <w:ind w:left="1380" w:hanging="529"/>
        <w:spacing w:after="0"/>
        <w:tabs>
          <w:tab w:leader="none" w:pos="138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2320" w:hanging="732"/>
        <w:spacing w:after="0"/>
        <w:tabs>
          <w:tab w:leader="none" w:pos="232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0</w:t>
      </w:r>
    </w:p>
    <w:p>
      <w:pPr>
        <w:ind w:left="6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320" w:hanging="732"/>
        <w:spacing w:after="0" w:line="238" w:lineRule="auto"/>
        <w:tabs>
          <w:tab w:leader="none" w:pos="232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w:t>
      </w:r>
    </w:p>
    <w:p>
      <w:pPr>
        <w:sectPr>
          <w:pgSz w:w="11900" w:h="16838" w:orient="portrait"/>
          <w:cols w:equalWidth="0" w:num="1">
            <w:col w:w="10219"/>
          </w:cols>
          <w:pgMar w:left="240" w:top="723" w:right="1440" w:bottom="1440" w:gutter="0" w:footer="0" w:header="0"/>
          <w:type w:val="continuous"/>
        </w:sectPr>
      </w:pPr>
    </w:p>
    <w:p>
      <w:pPr>
        <w:spacing w:after="0" w:line="5"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vote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615,300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ectPr>
          <w:pgSz w:w="11900" w:h="16838" w:orient="portrait"/>
          <w:cols w:equalWidth="0" w:num="2">
            <w:col w:w="6020" w:space="720"/>
            <w:col w:w="3479"/>
          </w:cols>
          <w:pgMar w:left="240" w:top="723" w:right="1440" w:bottom="1440" w:gutter="0" w:footer="0" w:header="0"/>
          <w:type w:val="continuous"/>
        </w:sectPr>
      </w:pPr>
    </w:p>
    <w:p>
      <w:pPr>
        <w:ind w:left="2320" w:hanging="732"/>
        <w:spacing w:after="0"/>
        <w:tabs>
          <w:tab w:leader="none" w:pos="232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w:t>
      </w:r>
    </w:p>
    <w:p>
      <w:pPr>
        <w:ind w:left="2320"/>
        <w:spacing w:after="0" w:line="238" w:lineRule="auto"/>
        <w:tabs>
          <w:tab w:leader="none" w:pos="6720" w:val="left"/>
        </w:tabs>
        <w:rPr>
          <w:sz w:val="20"/>
          <w:szCs w:val="20"/>
          <w:color w:val="auto"/>
        </w:rPr>
      </w:pPr>
      <w:r>
        <w:rPr>
          <w:rFonts w:ascii="Courier New" w:cs="Courier New" w:eastAsia="Courier New" w:hAnsi="Courier New"/>
          <w:sz w:val="18"/>
          <w:szCs w:val="18"/>
          <w:color w:val="auto"/>
        </w:rPr>
        <w:t>disposition of</w:t>
      </w:r>
      <w:r>
        <w:rPr>
          <w:sz w:val="20"/>
          <w:szCs w:val="20"/>
          <w:color w:val="auto"/>
        </w:rPr>
        <w:tab/>
      </w:r>
      <w:r>
        <w:rPr>
          <w:rFonts w:ascii="Courier New" w:cs="Courier New" w:eastAsia="Courier New" w:hAnsi="Courier New"/>
          <w:sz w:val="18"/>
          <w:szCs w:val="18"/>
          <w:color w:val="auto"/>
        </w:rPr>
        <w:t>0</w:t>
      </w:r>
    </w:p>
    <w:p>
      <w:pPr>
        <w:spacing w:after="0" w:line="5" w:lineRule="exact"/>
        <w:rPr>
          <w:sz w:val="20"/>
          <w:szCs w:val="20"/>
          <w:color w:val="auto"/>
        </w:rPr>
      </w:pPr>
    </w:p>
    <w:p>
      <w:pPr>
        <w:ind w:left="67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320" w:hanging="732"/>
        <w:spacing w:after="0"/>
        <w:tabs>
          <w:tab w:leader="none" w:pos="232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w:t>
      </w:r>
    </w:p>
    <w:p>
      <w:pPr>
        <w:sectPr>
          <w:pgSz w:w="11900" w:h="16838" w:orient="portrait"/>
          <w:cols w:equalWidth="0" w:num="1">
            <w:col w:w="10219"/>
          </w:cols>
          <w:pgMar w:left="240" w:top="723" w:right="1440" w:bottom="1440" w:gutter="0" w:footer="0" w:header="0"/>
          <w:type w:val="continuous"/>
        </w:sectPr>
      </w:pPr>
    </w:p>
    <w:p>
      <w:pPr>
        <w:spacing w:after="0" w:line="4"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disposition of</w:t>
      </w:r>
    </w:p>
    <w:p>
      <w:pPr>
        <w:spacing w:after="0" w:line="20" w:lineRule="exact"/>
        <w:rPr>
          <w:sz w:val="20"/>
          <w:szCs w:val="20"/>
          <w:color w:val="auto"/>
        </w:rPr>
      </w:pPr>
      <w:r>
        <w:rPr>
          <w:sz w:val="20"/>
          <w:szCs w:val="20"/>
          <w:color w:val="auto"/>
        </w:rPr>
        <w:br w:type="column"/>
      </w:r>
    </w:p>
    <w:p>
      <w:pPr>
        <w:spacing w:after="0" w:line="238" w:lineRule="auto"/>
        <w:rPr>
          <w:sz w:val="20"/>
          <w:szCs w:val="20"/>
          <w:color w:val="auto"/>
        </w:rPr>
      </w:pPr>
      <w:r>
        <w:rPr>
          <w:rFonts w:ascii="Courier New" w:cs="Courier New" w:eastAsia="Courier New" w:hAnsi="Courier New"/>
          <w:sz w:val="18"/>
          <w:szCs w:val="18"/>
          <w:color w:val="auto"/>
        </w:rPr>
        <w:t>1,241,000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2">
            <w:col w:w="6020" w:space="720"/>
            <w:col w:w="3479"/>
          </w:cols>
          <w:pgMar w:left="240" w:top="723" w:right="1440" w:bottom="1440" w:gutter="0" w:footer="0" w:header="0"/>
          <w:type w:val="continuous"/>
        </w:sectPr>
      </w:pPr>
    </w:p>
    <w:bookmarkStart w:id="4" w:name="page5"/>
    <w:bookmarkEnd w:id="4"/>
    <w:p>
      <w:pPr>
        <w:ind w:left="1060" w:right="120" w:hanging="1052"/>
        <w:spacing w:after="0" w:line="290" w:lineRule="auto"/>
        <w:rPr>
          <w:sz w:val="20"/>
          <w:szCs w:val="20"/>
          <w:color w:val="auto"/>
        </w:rPr>
      </w:pPr>
      <w:r>
        <w:rPr>
          <w:rFonts w:ascii="Courier New" w:cs="Courier New" w:eastAsia="Courier New" w:hAnsi="Courier New"/>
          <w:sz w:val="16"/>
          <w:szCs w:val="16"/>
          <w:color w:val="auto"/>
        </w:rPr>
        <w:t>CUSIP No. 629337106 -----------</w:t>
      </w:r>
    </w:p>
    <w:p>
      <w:pPr>
        <w:spacing w:after="0" w:line="20" w:lineRule="exact"/>
        <w:rPr>
          <w:sz w:val="20"/>
          <w:szCs w:val="20"/>
          <w:color w:val="auto"/>
        </w:rPr>
      </w:pPr>
      <w:r>
        <w:rPr>
          <w:sz w:val="20"/>
          <w:szCs w:val="20"/>
          <w:color w:val="auto"/>
        </w:rPr>
        <w:br w:type="column"/>
      </w:r>
    </w:p>
    <w:p>
      <w:pPr>
        <w:ind w:left="220"/>
        <w:spacing w:after="0"/>
        <w:rPr>
          <w:sz w:val="20"/>
          <w:szCs w:val="20"/>
          <w:color w:val="auto"/>
        </w:rPr>
      </w:pPr>
      <w:r>
        <w:rPr>
          <w:rFonts w:ascii="Courier New" w:cs="Courier New" w:eastAsia="Courier New" w:hAnsi="Courier New"/>
          <w:sz w:val="16"/>
          <w:szCs w:val="16"/>
          <w:color w:val="auto"/>
        </w:rPr>
        <w:t>Schedule 13G</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 5 of 7 Pages</w:t>
      </w:r>
    </w:p>
    <w:p>
      <w:pPr>
        <w:spacing w:after="0" w:line="420" w:lineRule="exact"/>
        <w:rPr>
          <w:sz w:val="20"/>
          <w:szCs w:val="20"/>
          <w:color w:val="auto"/>
        </w:rPr>
      </w:pPr>
    </w:p>
    <w:p>
      <w:pPr>
        <w:sectPr>
          <w:pgSz w:w="11900" w:h="16838" w:orient="portrait"/>
          <w:cols w:equalWidth="0" w:num="3">
            <w:col w:w="2340" w:space="720"/>
            <w:col w:w="2540" w:space="720"/>
            <w:col w:w="3899"/>
          </w:cols>
          <w:pgMar w:left="240" w:top="723" w:right="1440" w:bottom="1440" w:gutter="0" w:footer="0" w:header="0"/>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Ownership of Five Percent or Less of Class.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If this statement is being filed to report the fact that as of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hereof the reporting person has ceased to be the beneficial</w:t>
      </w:r>
    </w:p>
    <w:p>
      <w:pPr>
        <w:spacing w:after="0" w:line="4" w:lineRule="exact"/>
        <w:rPr>
          <w:sz w:val="20"/>
          <w:szCs w:val="20"/>
          <w:color w:val="auto"/>
        </w:rPr>
      </w:pPr>
    </w:p>
    <w:p>
      <w:pPr>
        <w:sectPr>
          <w:pgSz w:w="11900" w:h="16838" w:orient="portrait"/>
          <w:cols w:equalWidth="0" w:num="2">
            <w:col w:w="740" w:space="640"/>
            <w:col w:w="8839"/>
          </w:cols>
          <w:pgMar w:left="240" w:top="723" w:right="1440" w:bottom="1440" w:gutter="0" w:footer="0" w:header="0"/>
          <w:type w:val="continuous"/>
        </w:sectPr>
      </w:pPr>
    </w:p>
    <w:p>
      <w:pPr>
        <w:ind w:left="1380" w:right="1999"/>
        <w:spacing w:after="0" w:line="235" w:lineRule="auto"/>
        <w:rPr>
          <w:sz w:val="20"/>
          <w:szCs w:val="20"/>
          <w:color w:val="auto"/>
        </w:rPr>
      </w:pPr>
      <w:r>
        <w:rPr>
          <w:rFonts w:ascii="Courier New" w:cs="Courier New" w:eastAsia="Courier New" w:hAnsi="Courier New"/>
          <w:sz w:val="18"/>
          <w:szCs w:val="18"/>
          <w:color w:val="auto"/>
        </w:rPr>
        <w:t>owner of more than five percent of the class of securities, check the following</w:t>
      </w:r>
    </w:p>
    <w:p>
      <w:pPr>
        <w:spacing w:after="0" w:line="203"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1380" w:right="2939" w:hanging="1368"/>
        <w:spacing w:after="0" w:line="235" w:lineRule="auto"/>
        <w:tabs>
          <w:tab w:leader="none" w:pos="13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Ownership of More than Five Percent on Behalf of Another Person.</w:t>
      </w:r>
    </w:p>
    <w:p>
      <w:pPr>
        <w:spacing w:after="0" w:line="208" w:lineRule="exact"/>
        <w:rPr>
          <w:sz w:val="20"/>
          <w:szCs w:val="20"/>
          <w:color w:val="auto"/>
        </w:rPr>
      </w:pPr>
    </w:p>
    <w:p>
      <w:pPr>
        <w:ind w:left="1380" w:right="3359"/>
        <w:spacing w:after="0" w:line="236" w:lineRule="auto"/>
        <w:rPr>
          <w:sz w:val="20"/>
          <w:szCs w:val="20"/>
          <w:color w:val="auto"/>
        </w:rPr>
      </w:pPr>
      <w:r>
        <w:rPr>
          <w:rFonts w:ascii="Courier New" w:cs="Courier New" w:eastAsia="Courier New" w:hAnsi="Courier New"/>
          <w:sz w:val="18"/>
          <w:szCs w:val="18"/>
          <w:color w:val="auto"/>
        </w:rPr>
        <w:t>The securities as to which this Schedule is filed by WMC, in its capacity as investment adviser, are owned of record by clients of WMC. Those clients</w:t>
      </w:r>
    </w:p>
    <w:p>
      <w:pPr>
        <w:spacing w:after="0" w:line="6" w:lineRule="exact"/>
        <w:rPr>
          <w:sz w:val="20"/>
          <w:szCs w:val="20"/>
          <w:color w:val="auto"/>
        </w:rPr>
      </w:pPr>
    </w:p>
    <w:p>
      <w:pPr>
        <w:ind w:left="1380" w:right="2419"/>
        <w:spacing w:after="0" w:line="237" w:lineRule="auto"/>
        <w:rPr>
          <w:sz w:val="20"/>
          <w:szCs w:val="20"/>
          <w:color w:val="auto"/>
        </w:rPr>
      </w:pPr>
      <w:r>
        <w:rPr>
          <w:rFonts w:ascii="Courier New" w:cs="Courier New" w:eastAsia="Courier New" w:hAnsi="Courier New"/>
          <w:sz w:val="18"/>
          <w:szCs w:val="18"/>
          <w:color w:val="auto"/>
        </w:rPr>
        <w:t>have the right to receive, or the power to direct the receipt of, dividends from, or the proceeds from the sale of, such securities. No such client is known to have such right or power with respect to more than five percent of this class of securities, except as follows:</w:t>
      </w:r>
    </w:p>
    <w:p>
      <w:pPr>
        <w:spacing w:after="0" w:line="203"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None</w:t>
      </w:r>
    </w:p>
    <w:p>
      <w:pPr>
        <w:spacing w:after="0" w:line="207" w:lineRule="exact"/>
        <w:rPr>
          <w:sz w:val="20"/>
          <w:szCs w:val="20"/>
          <w:color w:val="auto"/>
        </w:rPr>
      </w:pPr>
    </w:p>
    <w:p>
      <w:pPr>
        <w:ind w:left="1380" w:right="2419" w:hanging="1368"/>
        <w:spacing w:after="0" w:line="236" w:lineRule="auto"/>
        <w:tabs>
          <w:tab w:leader="none" w:pos="13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203" w:lineRule="exact"/>
        <w:rPr>
          <w:sz w:val="20"/>
          <w:szCs w:val="20"/>
          <w:color w:val="auto"/>
        </w:rPr>
      </w:pPr>
    </w:p>
    <w:p>
      <w:pPr>
        <w:ind w:left="1380"/>
        <w:spacing w:after="0"/>
        <w:tabs>
          <w:tab w:leader="none" w:pos="1880" w:val="left"/>
        </w:tabs>
        <w:rPr>
          <w:sz w:val="20"/>
          <w:szCs w:val="20"/>
          <w:color w:val="auto"/>
        </w:rPr>
      </w:pPr>
      <w:r>
        <w:rPr>
          <w:rFonts w:ascii="Courier New" w:cs="Courier New" w:eastAsia="Courier New" w:hAnsi="Courier New"/>
          <w:sz w:val="18"/>
          <w:szCs w:val="18"/>
          <w:color w:val="auto"/>
        </w:rPr>
        <w:t>See</w:t>
        <w:tab/>
        <w:t>Exhibit A</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7" w:lineRule="exact"/>
        <w:rPr>
          <w:sz w:val="20"/>
          <w:szCs w:val="20"/>
          <w:color w:val="auto"/>
        </w:rPr>
      </w:pPr>
    </w:p>
    <w:p>
      <w:pPr>
        <w:ind w:left="1380" w:right="2419"/>
        <w:spacing w:after="0" w:line="235" w:lineRule="auto"/>
        <w:rPr>
          <w:sz w:val="20"/>
          <w:szCs w:val="20"/>
          <w:color w:val="auto"/>
        </w:rPr>
      </w:pPr>
      <w:r>
        <w:rPr>
          <w:rFonts w:ascii="Courier New" w:cs="Courier New" w:eastAsia="Courier New" w:hAnsi="Courier New"/>
          <w:sz w:val="18"/>
          <w:szCs w:val="18"/>
          <w:color w:val="auto"/>
        </w:rPr>
        <w:t>Not Applicable. This schedule is not being filed pursuant to Rule 13d-1(b)(1)(ii)(J) or Rule 13d-1(d).</w:t>
      </w:r>
    </w:p>
    <w:p>
      <w:pPr>
        <w:spacing w:after="0" w:line="203"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1060" w:right="2199" w:firstLine="1"/>
        <w:spacing w:after="0" w:line="235" w:lineRule="auto"/>
        <w:tabs>
          <w:tab w:leader="none" w:pos="1481"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Rule 13d-1(b):</w:t>
      </w:r>
    </w:p>
    <w:p>
      <w:pPr>
        <w:spacing w:after="0" w:line="208" w:lineRule="exact"/>
        <w:rPr>
          <w:sz w:val="20"/>
          <w:szCs w:val="20"/>
          <w:color w:val="auto"/>
        </w:rPr>
      </w:pPr>
    </w:p>
    <w:p>
      <w:pPr>
        <w:ind w:left="1060" w:right="2739"/>
        <w:spacing w:after="0" w:line="275"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w:t>
      </w:r>
    </w:p>
    <w:p>
      <w:pPr>
        <w:sectPr>
          <w:pgSz w:w="11900" w:h="16838" w:orient="portrait"/>
          <w:cols w:equalWidth="0" w:num="1">
            <w:col w:w="10219"/>
          </w:cols>
          <w:pgMar w:left="240" w:top="723" w:right="1440" w:bottom="1440" w:gutter="0" w:footer="0" w:header="0"/>
          <w:type w:val="continuous"/>
        </w:sectPr>
      </w:pPr>
    </w:p>
    <w:bookmarkStart w:id="5" w:name="page6"/>
    <w:bookmarkEnd w:id="5"/>
    <w:p>
      <w:pPr>
        <w:ind w:left="1060" w:right="120" w:hanging="1052"/>
        <w:spacing w:after="0" w:line="290" w:lineRule="auto"/>
        <w:rPr>
          <w:sz w:val="20"/>
          <w:szCs w:val="20"/>
          <w:color w:val="auto"/>
        </w:rPr>
      </w:pPr>
      <w:r>
        <w:rPr>
          <w:rFonts w:ascii="Courier New" w:cs="Courier New" w:eastAsia="Courier New" w:hAnsi="Courier New"/>
          <w:sz w:val="16"/>
          <w:szCs w:val="16"/>
          <w:color w:val="auto"/>
        </w:rPr>
        <w:t>CUSIP No. 629337106 -----------</w:t>
      </w:r>
    </w:p>
    <w:p>
      <w:pPr>
        <w:spacing w:after="0" w:line="20" w:lineRule="exact"/>
        <w:rPr>
          <w:sz w:val="20"/>
          <w:szCs w:val="20"/>
          <w:color w:val="auto"/>
        </w:rPr>
      </w:pPr>
      <w:r>
        <w:rPr>
          <w:sz w:val="20"/>
          <w:szCs w:val="20"/>
          <w:color w:val="auto"/>
        </w:rPr>
        <w:br w:type="column"/>
      </w:r>
    </w:p>
    <w:p>
      <w:pPr>
        <w:ind w:left="220"/>
        <w:spacing w:after="0"/>
        <w:rPr>
          <w:sz w:val="20"/>
          <w:szCs w:val="20"/>
          <w:color w:val="auto"/>
        </w:rPr>
      </w:pPr>
      <w:r>
        <w:rPr>
          <w:rFonts w:ascii="Courier New" w:cs="Courier New" w:eastAsia="Courier New" w:hAnsi="Courier New"/>
          <w:sz w:val="16"/>
          <w:szCs w:val="16"/>
          <w:color w:val="auto"/>
        </w:rPr>
        <w:t>Schedule 13G</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 6 of 7 Pages</w:t>
      </w:r>
    </w:p>
    <w:p>
      <w:pPr>
        <w:spacing w:after="0" w:line="426" w:lineRule="exact"/>
        <w:rPr>
          <w:sz w:val="20"/>
          <w:szCs w:val="20"/>
          <w:color w:val="auto"/>
        </w:rPr>
      </w:pPr>
    </w:p>
    <w:p>
      <w:pPr>
        <w:sectPr>
          <w:pgSz w:w="11900" w:h="16838" w:orient="portrait"/>
          <w:cols w:equalWidth="0" w:num="3">
            <w:col w:w="2340" w:space="720"/>
            <w:col w:w="2440" w:space="720"/>
            <w:col w:w="3999"/>
          </w:cols>
          <w:pgMar w:left="240" w:top="723" w:right="1440" w:bottom="1440" w:gutter="0" w:footer="0" w:header="0"/>
        </w:sectPr>
      </w:pPr>
    </w:p>
    <w:p>
      <w:pPr>
        <w:ind w:left="1060" w:right="2619"/>
        <w:spacing w:after="0" w:line="237" w:lineRule="auto"/>
        <w:rPr>
          <w:sz w:val="20"/>
          <w:szCs w:val="20"/>
          <w:color w:val="auto"/>
        </w:rPr>
      </w:pPr>
      <w:r>
        <w:rPr>
          <w:rFonts w:ascii="Courier New" w:cs="Courier New" w:eastAsia="Courier New" w:hAnsi="Courier New"/>
          <w:sz w:val="18"/>
          <w:szCs w:val="18"/>
          <w:color w:val="auto"/>
        </w:rPr>
        <w:t>effect of changing or influencing the control of the issuer of the securities and were not acquired and are not held in connection withor as a participant in any transaction having that purpose or effect. "</w:t>
      </w:r>
    </w:p>
    <w:p>
      <w:pPr>
        <w:spacing w:after="0" w:line="20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1060" w:right="199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380"/>
        <w:spacing w:after="0"/>
        <w:tabs>
          <w:tab w:leader="none" w:pos="38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--//Brian P. Hillery//--</w:t>
      </w:r>
    </w:p>
    <w:p>
      <w:pPr>
        <w:ind w:left="3900"/>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tabs>
          <w:tab w:leader="none" w:pos="430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Brian P. Hillery</w:t>
      </w:r>
    </w:p>
    <w:p>
      <w:pPr>
        <w:ind w:left="3380"/>
        <w:spacing w:after="0" w:line="237" w:lineRule="auto"/>
        <w:tabs>
          <w:tab w:leader="none" w:pos="4300" w:val="left"/>
        </w:tabs>
        <w:rPr>
          <w:sz w:val="20"/>
          <w:szCs w:val="20"/>
          <w:color w:val="auto"/>
        </w:rPr>
      </w:pPr>
      <w:r>
        <w:rPr>
          <w:rFonts w:ascii="Courier New" w:cs="Courier New" w:eastAsia="Courier New" w:hAnsi="Courier New"/>
          <w:sz w:val="18"/>
          <w:szCs w:val="18"/>
          <w:color w:val="auto"/>
        </w:rPr>
        <w:t>Title:</w:t>
        <w:tab/>
        <w:t>Vice President</w:t>
      </w:r>
    </w:p>
    <w:p>
      <w:pPr>
        <w:ind w:left="3380"/>
        <w:spacing w:after="0" w:line="238" w:lineRule="auto"/>
        <w:tabs>
          <w:tab w:leader="none" w:pos="430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February 13, 2004</w:t>
      </w:r>
    </w:p>
    <w:p>
      <w:pPr>
        <w:spacing w:after="0" w:line="200" w:lineRule="exact"/>
        <w:rPr>
          <w:sz w:val="20"/>
          <w:szCs w:val="20"/>
          <w:color w:val="auto"/>
        </w:rPr>
      </w:pPr>
    </w:p>
    <w:p>
      <w:pPr>
        <w:spacing w:after="0" w:line="210"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*Signed pursuant to a Power of Attorney dated January 17, 2002 and filed with the SEC on February 5, 2002.</w:t>
      </w:r>
    </w:p>
    <w:p>
      <w:pPr>
        <w:sectPr>
          <w:pgSz w:w="11900" w:h="16838" w:orient="portrait"/>
          <w:cols w:equalWidth="0" w:num="1">
            <w:col w:w="10219"/>
          </w:cols>
          <w:pgMar w:left="240" w:top="723" w:right="1440" w:bottom="1440" w:gutter="0" w:footer="0" w:header="0"/>
          <w:type w:val="continuous"/>
        </w:sectPr>
      </w:pPr>
    </w:p>
    <w:bookmarkStart w:id="6" w:name="page7"/>
    <w:bookmarkEnd w:id="6"/>
    <w:p>
      <w:pPr>
        <w:ind w:left="1060" w:right="120" w:hanging="1052"/>
        <w:spacing w:after="0" w:line="290" w:lineRule="auto"/>
        <w:rPr>
          <w:sz w:val="20"/>
          <w:szCs w:val="20"/>
          <w:color w:val="auto"/>
        </w:rPr>
      </w:pPr>
      <w:r>
        <w:rPr>
          <w:rFonts w:ascii="Courier New" w:cs="Courier New" w:eastAsia="Courier New" w:hAnsi="Courier New"/>
          <w:sz w:val="16"/>
          <w:szCs w:val="16"/>
          <w:color w:val="auto"/>
        </w:rPr>
        <w:t>CUSIP No. 629337106 -----------</w:t>
      </w:r>
    </w:p>
    <w:p>
      <w:pPr>
        <w:spacing w:after="0" w:line="20" w:lineRule="exact"/>
        <w:rPr>
          <w:sz w:val="20"/>
          <w:szCs w:val="20"/>
          <w:color w:val="auto"/>
        </w:rPr>
      </w:pPr>
      <w:r>
        <w:rPr>
          <w:sz w:val="20"/>
          <w:szCs w:val="20"/>
          <w:color w:val="auto"/>
        </w:rPr>
        <w:br w:type="column"/>
      </w:r>
    </w:p>
    <w:p>
      <w:pPr>
        <w:ind w:left="220"/>
        <w:spacing w:after="0"/>
        <w:rPr>
          <w:sz w:val="20"/>
          <w:szCs w:val="20"/>
          <w:color w:val="auto"/>
        </w:rPr>
      </w:pPr>
      <w:r>
        <w:rPr>
          <w:rFonts w:ascii="Courier New" w:cs="Courier New" w:eastAsia="Courier New" w:hAnsi="Courier New"/>
          <w:sz w:val="16"/>
          <w:szCs w:val="16"/>
          <w:color w:val="auto"/>
        </w:rPr>
        <w:t>Schedule 13G</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 7 of 7 Pages</w:t>
      </w:r>
    </w:p>
    <w:p>
      <w:pPr>
        <w:spacing w:after="0" w:line="420" w:lineRule="exact"/>
        <w:rPr>
          <w:sz w:val="20"/>
          <w:szCs w:val="20"/>
          <w:color w:val="auto"/>
        </w:rPr>
      </w:pPr>
    </w:p>
    <w:p>
      <w:pPr>
        <w:sectPr>
          <w:pgSz w:w="11900" w:h="16838" w:orient="portrait"/>
          <w:cols w:equalWidth="0" w:num="3">
            <w:col w:w="2340" w:space="720"/>
            <w:col w:w="2540" w:space="720"/>
            <w:col w:w="3899"/>
          </w:cols>
          <w:pgMar w:left="240" w:top="723" w:right="1440" w:bottom="1440" w:gutter="0" w:footer="0" w:header="0"/>
        </w:sectPr>
      </w:pPr>
    </w:p>
    <w:p>
      <w:pPr>
        <w:ind w:left="3160"/>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Pursuant to the instructions in Item 7 of this Schedule 13G, the identity and the Item 3 classification of the relevant subsidiary are: Wellington Trust Company, NA, 75 State Street, Boston MA 02109, a wholly-owned subsidiary of Wellington Management Company, LLP and a bank as defined in Section 3(a)(6) of the Securities Exchange Act of 1934.</w:t>
      </w:r>
    </w:p>
    <w:sectPr>
      <w:pgSz w:w="11900" w:h="16838" w:orient="portrait"/>
      <w:cols w:equalWidth="0" w:num="1">
        <w:col w:w="10219"/>
      </w:cols>
      <w:pgMar w:left="240" w:top="723"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1]"/>
      <w:numFmt w:val="upperLetter"/>
      <w:start w:val="24"/>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1."/>
      <w:numFmt w:val="decimal"/>
      <w:start w:val="1"/>
    </w:lvl>
  </w:abstractNum>
  <w:abstractNum w:abstractNumId="7">
    <w:nsid w:val="1BEFD79F"/>
    <w:multiLevelType w:val="hybridMultilevel"/>
    <w:lvl w:ilvl="0">
      <w:lvlJc w:val="left"/>
      <w:lvlText w:val="%1."/>
      <w:numFmt w:val="decimal"/>
      <w:start w:val="3"/>
    </w:lvl>
  </w:abstractNum>
  <w:abstractNum w:abstractNumId="8">
    <w:nsid w:val="41A7C4C9"/>
    <w:multiLevelType w:val="hybridMultilevel"/>
    <w:lvl w:ilvl="0">
      <w:lvlJc w:val="left"/>
      <w:lvlText w:val="%1."/>
      <w:numFmt w:val="decimal"/>
      <w:start w:val="4"/>
    </w:lvl>
  </w:abstractNum>
  <w:abstractNum w:abstractNumId="9">
    <w:nsid w:val="6B68079A"/>
    <w:multiLevelType w:val="hybridMultilevel"/>
    <w:lvl w:ilvl="0">
      <w:lvlJc w:val="left"/>
      <w:lvlText w:val="-"/>
      <w:numFmt w:val="bullet"/>
      <w:start w:val="1"/>
    </w:lvl>
    <w:lvl w:ilvl="1">
      <w:lvlJc w:val="left"/>
      <w:lvlText w:val="%2."/>
      <w:numFmt w:val="decimal"/>
      <w:start w:val="5"/>
    </w:lvl>
  </w:abstractNum>
  <w:abstractNum w:abstractNumId="10">
    <w:nsid w:val="4E6AFB66"/>
    <w:multiLevelType w:val="hybridMultilevel"/>
    <w:lvl w:ilvl="0">
      <w:lvlJc w:val="left"/>
      <w:lvlText w:val="-"/>
      <w:numFmt w:val="bullet"/>
      <w:start w:val="1"/>
    </w:lvl>
    <w:lvl w:ilvl="1">
      <w:lvlJc w:val="left"/>
      <w:lvlText w:val="%2."/>
      <w:numFmt w:val="decimal"/>
      <w:start w:val="8"/>
    </w:lvl>
  </w:abstractNum>
  <w:abstractNum w:abstractNumId="11">
    <w:nsid w:val="25E45D32"/>
    <w:multiLevelType w:val="hybridMultilevel"/>
    <w:lvl w:ilvl="0">
      <w:lvlJc w:val="left"/>
      <w:lvlText w:val="%1."/>
      <w:numFmt w:val="decimal"/>
      <w:start w:val="9"/>
    </w:lvl>
  </w:abstractNum>
  <w:abstractNum w:abstractNumId="12">
    <w:nsid w:val="519B500D"/>
    <w:multiLevelType w:val="hybridMultilevel"/>
    <w:lvl w:ilvl="0">
      <w:lvlJc w:val="left"/>
      <w:lvlText w:val="%1."/>
      <w:numFmt w:val="decimal"/>
      <w:start w:val="10"/>
    </w:lvl>
  </w:abstractNum>
  <w:abstractNum w:abstractNumId="13">
    <w:nsid w:val="431BD7B7"/>
    <w:multiLevelType w:val="hybridMultilevel"/>
    <w:lvl w:ilvl="0">
      <w:lvlJc w:val="left"/>
      <w:lvlText w:val="%1."/>
      <w:numFmt w:val="decimal"/>
      <w:start w:val="11"/>
    </w:lvl>
  </w:abstractNum>
  <w:abstractNum w:abstractNumId="14">
    <w:nsid w:val="3F2DBA31"/>
    <w:multiLevelType w:val="hybridMultilevel"/>
    <w:lvl w:ilvl="0">
      <w:lvlJc w:val="left"/>
      <w:lvlText w:val="%1."/>
      <w:numFmt w:val="decimal"/>
      <w:start w:val="12"/>
    </w:lvl>
  </w:abstractNum>
  <w:abstractNum w:abstractNumId="15">
    <w:nsid w:val="7C83E458"/>
    <w:multiLevelType w:val="hybridMultilevel"/>
    <w:lvl w:ilvl="0">
      <w:lvlJc w:val="left"/>
      <w:lvlText w:val="(%1)"/>
      <w:numFmt w:val="lowerLetter"/>
      <w:start w:val="1"/>
    </w:lvl>
  </w:abstractNum>
  <w:abstractNum w:abstractNumId="16">
    <w:nsid w:val="257130A3"/>
    <w:multiLevelType w:val="hybridMultilevel"/>
    <w:lvl w:ilvl="0">
      <w:lvlJc w:val="left"/>
      <w:lvlText w:val="(%1)"/>
      <w:numFmt w:val="lowerLetter"/>
      <w:start w:val="4"/>
    </w:lvl>
  </w:abstractNum>
  <w:abstractNum w:abstractNumId="17">
    <w:nsid w:val="62BBD95A"/>
    <w:multiLevelType w:val="hybridMultilevel"/>
    <w:lvl w:ilvl="0">
      <w:lvlJc w:val="left"/>
      <w:lvlText w:val="(%1)"/>
      <w:numFmt w:val="lowerLetter"/>
      <w:start w:val="6"/>
    </w:lvl>
  </w:abstractNum>
  <w:abstractNum w:abstractNumId="18">
    <w:nsid w:val="436C6125"/>
    <w:multiLevelType w:val="hybridMultilevel"/>
    <w:lvl w:ilvl="0">
      <w:lvlJc w:val="left"/>
      <w:lvlText w:val="(%1)"/>
      <w:numFmt w:val="lowerLetter"/>
      <w:start w:val="1"/>
    </w:lvl>
    <w:lvl w:ilvl="1">
      <w:lvlJc w:val="left"/>
      <w:lvlText w:val="(%2)"/>
      <w:numFmt w:val="lowerRoman"/>
      <w:start w:val="1"/>
    </w:lvl>
  </w:abstractNum>
  <w:abstractNum w:abstractNumId="19">
    <w:nsid w:val="628C895D"/>
    <w:multiLevelType w:val="hybridMultilevel"/>
    <w:lvl w:ilvl="0">
      <w:lvlJc w:val="left"/>
      <w:lvlText w:val="(%1)"/>
      <w:numFmt w:val="lowerRoman"/>
      <w:start w:val="3"/>
    </w:lvl>
  </w:abstractNum>
  <w:abstractNum w:abstractNumId="20">
    <w:nsid w:val="333AB105"/>
    <w:multiLevelType w:val="hybridMultilevel"/>
    <w:lvl w:ilvl="0">
      <w:lvlJc w:val="left"/>
      <w:lvlText w:val="(%1)"/>
      <w:numFmt w:val="lowerRoman"/>
      <w:start w:val="4"/>
    </w:lvl>
  </w:abstractNum>
  <w:abstractNum w:abstractNumId="21">
    <w:nsid w:val="721DA31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2019-12-11T22:58:35Z</dcterms:created>
  <dcterms:modified xsi:type="dcterms:W3CDTF">2019-12-11T22:58:35Z</dcterms:modified>
</cp:coreProperties>
</file>